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A6" w:rsidRDefault="008463A6"/>
    <w:p w:rsidR="008463A6" w:rsidRDefault="00A012D1">
      <w:r>
        <w:rPr>
          <w:sz w:val="23"/>
          <w:szCs w:val="23"/>
        </w:rPr>
        <w:t>Til adressaterne på høringslisten</w:t>
      </w:r>
    </w:p>
    <w:p w:rsidR="008463A6" w:rsidRDefault="008463A6"/>
    <w:p w:rsidR="008463A6" w:rsidRDefault="008463A6"/>
    <w:p w:rsidR="00752764" w:rsidRDefault="00752764"/>
    <w:p w:rsidR="0090000E" w:rsidRDefault="0090000E" w:rsidP="005E2E73">
      <w:pPr>
        <w:jc w:val="center"/>
      </w:pPr>
    </w:p>
    <w:p w:rsidR="00A012D1" w:rsidRDefault="00A012D1" w:rsidP="005E2E73">
      <w:pPr>
        <w:jc w:val="center"/>
      </w:pPr>
    </w:p>
    <w:p w:rsidR="00A012D1" w:rsidRDefault="00A012D1" w:rsidP="005E2E73">
      <w:pPr>
        <w:jc w:val="center"/>
      </w:pPr>
    </w:p>
    <w:p w:rsidR="00A012D1" w:rsidRDefault="00A012D1" w:rsidP="005E2E73">
      <w:pPr>
        <w:jc w:val="center"/>
      </w:pPr>
    </w:p>
    <w:p w:rsidR="0090000E" w:rsidRDefault="0090000E"/>
    <w:p w:rsidR="005A0C25" w:rsidRDefault="005A0C25">
      <w:pPr>
        <w:rPr>
          <w:b/>
        </w:rPr>
      </w:pPr>
      <w:r>
        <w:rPr>
          <w:b/>
        </w:rPr>
        <w:t>Høring over</w:t>
      </w:r>
      <w:r w:rsidR="0071137C">
        <w:rPr>
          <w:b/>
        </w:rPr>
        <w:t xml:space="preserve"> bekendtgørelse</w:t>
      </w:r>
      <w:r w:rsidR="00B231C8">
        <w:rPr>
          <w:b/>
        </w:rPr>
        <w:t>r</w:t>
      </w:r>
      <w:r w:rsidR="0071137C">
        <w:rPr>
          <w:b/>
        </w:rPr>
        <w:t xml:space="preserve"> og vejledning</w:t>
      </w:r>
      <w:r w:rsidR="00B231C8">
        <w:rPr>
          <w:b/>
        </w:rPr>
        <w:t>er</w:t>
      </w:r>
      <w:r w:rsidR="0071137C">
        <w:rPr>
          <w:b/>
        </w:rPr>
        <w:t xml:space="preserve"> om væv og celler samt assisteret reproduktion</w:t>
      </w:r>
    </w:p>
    <w:p w:rsidR="0071137C" w:rsidRDefault="0071137C">
      <w:pPr>
        <w:rPr>
          <w:b/>
        </w:rPr>
      </w:pPr>
    </w:p>
    <w:p w:rsidR="0071137C" w:rsidRPr="0071137C" w:rsidRDefault="0071137C">
      <w:r w:rsidRPr="0071137C">
        <w:t>Hermed sendes udkast til følgende:</w:t>
      </w:r>
    </w:p>
    <w:p w:rsidR="0071137C" w:rsidRDefault="005A0C25" w:rsidP="0071137C">
      <w:pPr>
        <w:pStyle w:val="Listeafsnit"/>
        <w:numPr>
          <w:ilvl w:val="0"/>
          <w:numId w:val="4"/>
        </w:numPr>
      </w:pPr>
      <w:r w:rsidRPr="0071137C">
        <w:t>Sundhedsministeriets bekendtgørelse om assisteret reproduktion</w:t>
      </w:r>
    </w:p>
    <w:p w:rsidR="0071137C" w:rsidRDefault="005A0C25" w:rsidP="0071137C">
      <w:pPr>
        <w:pStyle w:val="Listeafsnit"/>
        <w:numPr>
          <w:ilvl w:val="0"/>
          <w:numId w:val="4"/>
        </w:numPr>
      </w:pPr>
      <w:r w:rsidRPr="0071137C">
        <w:t>Sundhedsministeriets bekendtgørelse om tilladelse til og kontrol med håndtering af humane væv og celler</w:t>
      </w:r>
    </w:p>
    <w:p w:rsidR="0071137C" w:rsidRDefault="005A0C25" w:rsidP="0071137C">
      <w:pPr>
        <w:pStyle w:val="Listeafsnit"/>
        <w:numPr>
          <w:ilvl w:val="0"/>
          <w:numId w:val="4"/>
        </w:numPr>
      </w:pPr>
      <w:r w:rsidRPr="0071137C">
        <w:t>Sundhedsstyrelsens bekendtgørelse om humane væv og celler (vævsbekendtgørelsen)</w:t>
      </w:r>
    </w:p>
    <w:p w:rsidR="0071137C" w:rsidRDefault="005A0C25" w:rsidP="0071137C">
      <w:pPr>
        <w:pStyle w:val="Listeafsnit"/>
        <w:numPr>
          <w:ilvl w:val="0"/>
          <w:numId w:val="4"/>
        </w:numPr>
      </w:pPr>
      <w:r w:rsidRPr="0071137C">
        <w:t>Sundhedsstyrelsens vejledning om assisteret reproduktion</w:t>
      </w:r>
    </w:p>
    <w:p w:rsidR="005A0C25" w:rsidRPr="0071137C" w:rsidRDefault="005A0C25" w:rsidP="0071137C">
      <w:pPr>
        <w:pStyle w:val="Listeafsnit"/>
        <w:numPr>
          <w:ilvl w:val="0"/>
          <w:numId w:val="4"/>
        </w:numPr>
      </w:pPr>
      <w:r w:rsidRPr="0071137C">
        <w:t>Sundhedsstyrelsens vejledning om kvalitet og sikkerhed ved donation og testning af væv og celler</w:t>
      </w:r>
    </w:p>
    <w:p w:rsidR="001C2F0F" w:rsidRDefault="001C2F0F"/>
    <w:p w:rsidR="0071137C" w:rsidRDefault="0071137C">
      <w:r>
        <w:rPr>
          <w:sz w:val="23"/>
          <w:szCs w:val="23"/>
        </w:rPr>
        <w:t>Disse udkast er sendt i høring til de på vedlagte høringsliste anførte myndigheder og organisationer m.fl. Materialet vil desuden blive offentliggjort på Høringsportalen.</w:t>
      </w:r>
    </w:p>
    <w:p w:rsidR="0071137C" w:rsidRDefault="0071137C"/>
    <w:p w:rsidR="00DF1E65" w:rsidRDefault="00A012D1" w:rsidP="001C0AEE">
      <w:r>
        <w:t>Lov</w:t>
      </w:r>
      <w:r w:rsidR="005A0C25">
        <w:t xml:space="preserve"> om assisteret reproduktion (tidligere</w:t>
      </w:r>
      <w:r>
        <w:t xml:space="preserve"> lov om</w:t>
      </w:r>
      <w:r w:rsidR="005A0C25">
        <w:t xml:space="preserve"> kunstig befrugtning) og v</w:t>
      </w:r>
      <w:r w:rsidR="00B231C8">
        <w:t xml:space="preserve">ævsloven er blevet ændret på nogle </w:t>
      </w:r>
      <w:r w:rsidR="005A0C25">
        <w:t>væsentlige punkter, herunder med nye regler om indberetninger af alvorlige hændelse</w:t>
      </w:r>
      <w:r w:rsidR="002B5DA7">
        <w:t>r og bivirkninger</w:t>
      </w:r>
      <w:r>
        <w:t xml:space="preserve"> samt</w:t>
      </w:r>
      <w:r w:rsidR="002B5DA7">
        <w:t xml:space="preserve"> graviditet</w:t>
      </w:r>
      <w:r>
        <w:t>er</w:t>
      </w:r>
      <w:r w:rsidR="002B5DA7">
        <w:t>. L</w:t>
      </w:r>
      <w:r w:rsidR="005A0C25">
        <w:t>ægemiddelstyrelsen og Sundhedsstyrelsen blev fusioneret i 2012, hvilket gør det relevant af slå de to tidligere bekendtgørelser (</w:t>
      </w:r>
      <w:proofErr w:type="spellStart"/>
      <w:r w:rsidR="005A0C25">
        <w:t>bek</w:t>
      </w:r>
      <w:proofErr w:type="spellEnd"/>
      <w:r w:rsidR="005A0C25">
        <w:t>.</w:t>
      </w:r>
      <w:r w:rsidR="00DF1E65">
        <w:t xml:space="preserve"> 753 af 3. juli 2006 og 984 af 2. august 2007) sammen. </w:t>
      </w:r>
      <w:r w:rsidR="002B5DA7">
        <w:t>På den baggrund er de væsentlige bekendtgørelse og vejledninger vedrørende væv og celler samt assisteret reproduktion blevet genn</w:t>
      </w:r>
      <w:r>
        <w:t>emskrevet, og revideret</w:t>
      </w:r>
      <w:r w:rsidR="002B5DA7">
        <w:t xml:space="preserve"> på en række væsentlige områder.</w:t>
      </w:r>
    </w:p>
    <w:p w:rsidR="00BC1AFF" w:rsidRDefault="00BC1AFF" w:rsidP="001C0AEE"/>
    <w:p w:rsidR="00DF1E65" w:rsidRDefault="0071137C" w:rsidP="001C0AEE">
      <w:pPr>
        <w:rPr>
          <w:sz w:val="23"/>
          <w:szCs w:val="23"/>
        </w:rPr>
      </w:pPr>
      <w:r>
        <w:rPr>
          <w:sz w:val="23"/>
          <w:szCs w:val="23"/>
        </w:rPr>
        <w:t>Ministeriet for Sundhed og Forebyggelse har bedt Sundhedsstyrelsen stå for den samle</w:t>
      </w:r>
      <w:r w:rsidR="00B231C8">
        <w:rPr>
          <w:sz w:val="23"/>
          <w:szCs w:val="23"/>
        </w:rPr>
        <w:t>de høring</w:t>
      </w:r>
      <w:r>
        <w:rPr>
          <w:sz w:val="23"/>
          <w:szCs w:val="23"/>
        </w:rPr>
        <w:t>.</w:t>
      </w:r>
    </w:p>
    <w:p w:rsidR="00B231C8" w:rsidRDefault="00B231C8" w:rsidP="001C0AEE">
      <w:pPr>
        <w:rPr>
          <w:sz w:val="23"/>
          <w:szCs w:val="23"/>
        </w:rPr>
      </w:pPr>
    </w:p>
    <w:p w:rsidR="00B231C8" w:rsidRPr="00B231C8" w:rsidRDefault="00B231C8" w:rsidP="001C0AEE">
      <w:pPr>
        <w:rPr>
          <w:sz w:val="23"/>
          <w:szCs w:val="23"/>
        </w:rPr>
      </w:pPr>
      <w:r w:rsidRPr="00B231C8">
        <w:rPr>
          <w:sz w:val="23"/>
          <w:szCs w:val="23"/>
        </w:rPr>
        <w:lastRenderedPageBreak/>
        <w:t xml:space="preserve">Vi skal anmode om at modtage eventuelle bemærkninger til udkastene </w:t>
      </w:r>
      <w:r w:rsidRPr="00B231C8">
        <w:rPr>
          <w:b/>
          <w:bCs/>
          <w:sz w:val="23"/>
          <w:szCs w:val="23"/>
        </w:rPr>
        <w:t xml:space="preserve">senest </w:t>
      </w:r>
      <w:r w:rsidRPr="006A6739">
        <w:rPr>
          <w:b/>
          <w:bCs/>
          <w:sz w:val="23"/>
          <w:szCs w:val="23"/>
        </w:rPr>
        <w:t xml:space="preserve">den </w:t>
      </w:r>
      <w:r w:rsidR="00BD07FF">
        <w:rPr>
          <w:b/>
          <w:bCs/>
          <w:sz w:val="23"/>
          <w:szCs w:val="23"/>
        </w:rPr>
        <w:t>21. oktober</w:t>
      </w:r>
      <w:r w:rsidR="006A6739" w:rsidRPr="006A6739">
        <w:rPr>
          <w:b/>
          <w:bCs/>
          <w:sz w:val="23"/>
          <w:szCs w:val="23"/>
        </w:rPr>
        <w:t xml:space="preserve"> </w:t>
      </w:r>
      <w:r w:rsidRPr="006A6739">
        <w:rPr>
          <w:b/>
          <w:bCs/>
          <w:sz w:val="23"/>
          <w:szCs w:val="23"/>
        </w:rPr>
        <w:t>2014</w:t>
      </w:r>
      <w:r w:rsidRPr="00B231C8">
        <w:rPr>
          <w:b/>
          <w:bCs/>
          <w:sz w:val="23"/>
          <w:szCs w:val="23"/>
        </w:rPr>
        <w:t xml:space="preserve"> </w:t>
      </w:r>
      <w:r w:rsidRPr="00B231C8">
        <w:rPr>
          <w:sz w:val="23"/>
          <w:szCs w:val="23"/>
        </w:rPr>
        <w:t>på</w:t>
      </w:r>
      <w:r>
        <w:rPr>
          <w:sz w:val="23"/>
          <w:szCs w:val="23"/>
        </w:rPr>
        <w:t xml:space="preserve"> e-mail</w:t>
      </w:r>
      <w:r w:rsidRPr="00B231C8">
        <w:rPr>
          <w:sz w:val="23"/>
          <w:szCs w:val="23"/>
        </w:rPr>
        <w:t xml:space="preserve"> </w:t>
      </w:r>
      <w:hyperlink r:id="rId7" w:history="1">
        <w:r w:rsidR="00E73FF6" w:rsidRPr="00907250">
          <w:rPr>
            <w:rStyle w:val="Hyperlink"/>
            <w:sz w:val="23"/>
            <w:szCs w:val="23"/>
          </w:rPr>
          <w:t>try@dkma.dk</w:t>
        </w:r>
      </w:hyperlink>
      <w:r>
        <w:rPr>
          <w:sz w:val="23"/>
          <w:szCs w:val="23"/>
        </w:rPr>
        <w:t>.</w:t>
      </w:r>
      <w:r w:rsidRPr="00B231C8">
        <w:rPr>
          <w:sz w:val="23"/>
          <w:szCs w:val="23"/>
        </w:rPr>
        <w:t xml:space="preserve"> Spørgsmål til udkastet kan rettes til nedenstående på </w:t>
      </w:r>
      <w:hyperlink r:id="rId8" w:history="1">
        <w:r w:rsidR="0064566B" w:rsidRPr="00907250">
          <w:rPr>
            <w:rStyle w:val="Hyperlink"/>
            <w:sz w:val="23"/>
            <w:szCs w:val="23"/>
          </w:rPr>
          <w:t>try@dkma.dk</w:t>
        </w:r>
      </w:hyperlink>
      <w:r>
        <w:rPr>
          <w:sz w:val="23"/>
          <w:szCs w:val="23"/>
        </w:rPr>
        <w:t xml:space="preserve"> </w:t>
      </w:r>
      <w:r w:rsidRPr="00B231C8">
        <w:rPr>
          <w:sz w:val="23"/>
          <w:szCs w:val="23"/>
        </w:rPr>
        <w:t xml:space="preserve">eller telefonisk på 44 88 </w:t>
      </w:r>
      <w:r w:rsidR="00E73FF6">
        <w:rPr>
          <w:sz w:val="23"/>
          <w:szCs w:val="23"/>
        </w:rPr>
        <w:t>91 60</w:t>
      </w:r>
      <w:r w:rsidRPr="00B231C8">
        <w:rPr>
          <w:sz w:val="23"/>
          <w:szCs w:val="23"/>
        </w:rPr>
        <w:t>.</w:t>
      </w:r>
    </w:p>
    <w:p w:rsidR="0071137C" w:rsidRDefault="0071137C" w:rsidP="001C0AEE"/>
    <w:p w:rsidR="0071137C" w:rsidRDefault="0071137C" w:rsidP="0071137C">
      <w:pPr>
        <w:keepNext/>
        <w:keepLines/>
        <w:rPr>
          <w:b/>
        </w:rPr>
      </w:pPr>
      <w:r>
        <w:rPr>
          <w:b/>
          <w:bCs/>
          <w:sz w:val="23"/>
          <w:szCs w:val="23"/>
        </w:rPr>
        <w:t>Kort om indholdet af bekendtgørelserne</w:t>
      </w:r>
      <w:r w:rsidR="00B231C8">
        <w:rPr>
          <w:b/>
          <w:bCs/>
          <w:sz w:val="23"/>
          <w:szCs w:val="23"/>
        </w:rPr>
        <w:t xml:space="preserve"> og vejledningerne</w:t>
      </w:r>
    </w:p>
    <w:p w:rsidR="0071137C" w:rsidRDefault="0071137C" w:rsidP="0071137C">
      <w:pPr>
        <w:keepNext/>
        <w:keepLines/>
        <w:rPr>
          <w:b/>
        </w:rPr>
      </w:pPr>
    </w:p>
    <w:p w:rsidR="00DF1E65" w:rsidRDefault="00DF1E65" w:rsidP="0071137C">
      <w:pPr>
        <w:keepNext/>
        <w:keepLines/>
        <w:rPr>
          <w:b/>
        </w:rPr>
      </w:pPr>
      <w:r>
        <w:rPr>
          <w:b/>
        </w:rPr>
        <w:t>Ad 1) Sundhedsministeriets bekendtgørelse om assisteret reproduktion</w:t>
      </w:r>
    </w:p>
    <w:p w:rsidR="00DF1E65" w:rsidRPr="00DF1E65" w:rsidRDefault="00990EE2" w:rsidP="0071137C">
      <w:pPr>
        <w:keepNext/>
        <w:keepLines/>
      </w:pPr>
      <w:r>
        <w:t xml:space="preserve">Revision af gældende bekendtgørelse nr. 1344 </w:t>
      </w:r>
      <w:r w:rsidR="002B5DA7">
        <w:t>af</w:t>
      </w:r>
      <w:r>
        <w:t xml:space="preserve"> </w:t>
      </w:r>
      <w:r w:rsidR="002B5DA7">
        <w:t>27. november</w:t>
      </w:r>
      <w:r>
        <w:t xml:space="preserve"> 2013.</w:t>
      </w:r>
      <w:r w:rsidR="00A012D1">
        <w:t xml:space="preserve"> Der er </w:t>
      </w:r>
      <w:r w:rsidR="004160A9">
        <w:t xml:space="preserve">bl.a. </w:t>
      </w:r>
      <w:r w:rsidR="00B231C8">
        <w:t>an</w:t>
      </w:r>
      <w:r w:rsidR="00A012D1">
        <w:t xml:space="preserve">ført </w:t>
      </w:r>
      <w:r w:rsidR="00DF1E65">
        <w:t>definitioner af begreberne ”karantæne af kønsceller”, ”permanent anvendelsesforbud af kønsceller” og ”anvendelse af kønsceller fra søskendedepot”, ligesom der er fastsat regler for søskendedepot (§ 24).</w:t>
      </w:r>
      <w:r w:rsidR="00A012D1">
        <w:t xml:space="preserve"> Der er</w:t>
      </w:r>
      <w:r w:rsidR="004160A9">
        <w:t xml:space="preserve"> desuden</w:t>
      </w:r>
      <w:r w:rsidR="00A012D1">
        <w:t xml:space="preserve"> indsat strafbestemmelser.</w:t>
      </w:r>
    </w:p>
    <w:p w:rsidR="00DF1E65" w:rsidRPr="00DF1E65" w:rsidRDefault="00DF1E65" w:rsidP="00DF1E65"/>
    <w:p w:rsidR="00DF1E65" w:rsidRDefault="00DF1E65" w:rsidP="00DF1E65">
      <w:pPr>
        <w:rPr>
          <w:b/>
        </w:rPr>
      </w:pPr>
      <w:r>
        <w:rPr>
          <w:b/>
        </w:rPr>
        <w:t>Ad 2) Sundhedsministeriets bekendtgørelse om tilladelse til og kontrol med håndtering af humane væv og celler</w:t>
      </w:r>
    </w:p>
    <w:p w:rsidR="00DF1E65" w:rsidRDefault="00990EE2" w:rsidP="00DF1E65">
      <w:r>
        <w:t xml:space="preserve">Revision af gældende bekendtgørelse nr. 1410 </w:t>
      </w:r>
      <w:r w:rsidR="002B5DA7">
        <w:t>af</w:t>
      </w:r>
      <w:r>
        <w:t xml:space="preserve"> 20. december 2012. </w:t>
      </w:r>
      <w:r w:rsidR="00DF1E65">
        <w:t>Hovedsageligt fjernet delene om indberetning, som er overgået til Sundhedsstyrelsen i vævsbekendtgørelsen.</w:t>
      </w:r>
      <w:r>
        <w:t xml:space="preserve"> Indsat ny bestemmelse om Sundhedsstyrelsens kontrolforpligtelser (§ 15).</w:t>
      </w:r>
    </w:p>
    <w:p w:rsidR="00DF1E65" w:rsidRPr="00DF1E65" w:rsidRDefault="00DF1E65" w:rsidP="00DF1E65"/>
    <w:p w:rsidR="00DF1E65" w:rsidRDefault="00DF1E65" w:rsidP="00DF1E65">
      <w:pPr>
        <w:rPr>
          <w:b/>
        </w:rPr>
      </w:pPr>
      <w:r>
        <w:rPr>
          <w:b/>
        </w:rPr>
        <w:t>Ad 3) Sundhedsstyrelsens bekendtgørelse om humane væv og celler (vævsbekendtgørelsen)</w:t>
      </w:r>
    </w:p>
    <w:p w:rsidR="002B5DA7" w:rsidRDefault="002B5DA7" w:rsidP="00DF1E65">
      <w:r>
        <w:t>Sammenskrivning af bekendtgørelse nr. 753 af 3. juli 2006 og nr. 984 af 2. august 2007. Der er samtidig sket væsentlige ændringer:</w:t>
      </w:r>
    </w:p>
    <w:p w:rsidR="002B5DA7" w:rsidRDefault="002B5DA7" w:rsidP="002B5DA7">
      <w:pPr>
        <w:pStyle w:val="Listeafsnit"/>
        <w:numPr>
          <w:ilvl w:val="0"/>
          <w:numId w:val="3"/>
        </w:numPr>
      </w:pPr>
      <w:r>
        <w:t>Der er indsat en række nye definitioner herunder særligt definitioner af begreberne ”karantæne af kønsceller”, ”permanent anvendelsesforbud af kønsceller” og ”anvendelse af kønsceller fra søskendedepot”.</w:t>
      </w:r>
    </w:p>
    <w:p w:rsidR="00DF1E65" w:rsidRDefault="002B5DA7" w:rsidP="002B5DA7">
      <w:pPr>
        <w:pStyle w:val="Listeafsnit"/>
        <w:numPr>
          <w:ilvl w:val="0"/>
          <w:numId w:val="3"/>
        </w:numPr>
      </w:pPr>
      <w:r>
        <w:t xml:space="preserve">Den tidligere </w:t>
      </w:r>
      <w:r w:rsidR="00DF1E65">
        <w:t>sondring mellem en ansvarlig læge og en ansvarlig person</w:t>
      </w:r>
      <w:r>
        <w:t xml:space="preserve"> </w:t>
      </w:r>
      <w:r w:rsidR="00B231C8">
        <w:t>foreslås</w:t>
      </w:r>
      <w:r>
        <w:t xml:space="preserve"> fjernet</w:t>
      </w:r>
      <w:r w:rsidR="00DF1E65">
        <w:t xml:space="preserve">. </w:t>
      </w:r>
      <w:r>
        <w:t>I</w:t>
      </w:r>
      <w:r w:rsidR="00DF1E65">
        <w:t xml:space="preserve"> stedet </w:t>
      </w:r>
      <w:r>
        <w:t xml:space="preserve">er </w:t>
      </w:r>
      <w:r w:rsidR="00DF1E65">
        <w:t xml:space="preserve">vægten </w:t>
      </w:r>
      <w:r>
        <w:t xml:space="preserve">lagt </w:t>
      </w:r>
      <w:r w:rsidR="00DF1E65">
        <w:t>på, at ansvaret overordnet ligger hos vævscentret, og at det er forpligtet til at have en ansvarlig person, der har visse opgaver, som er beskrevet i bekendtgørelsen.</w:t>
      </w:r>
      <w:r>
        <w:t xml:space="preserve"> Den ansvarlige person kan være en læge, men behøver ikke at være det, jf. de krav, der fremgår af § 6.</w:t>
      </w:r>
    </w:p>
    <w:p w:rsidR="002B5DA7" w:rsidRDefault="002B5DA7" w:rsidP="002B5DA7">
      <w:pPr>
        <w:pStyle w:val="Listeafsnit"/>
        <w:numPr>
          <w:ilvl w:val="0"/>
          <w:numId w:val="3"/>
        </w:numPr>
      </w:pPr>
      <w:r>
        <w:t>Der er fastsat regler</w:t>
      </w:r>
      <w:r w:rsidR="00D818D5">
        <w:t xml:space="preserve"> (§ 23)</w:t>
      </w:r>
      <w:r>
        <w:t xml:space="preserve"> om hvornår der skal ske karantænering af væv og celler, e</w:t>
      </w:r>
      <w:r w:rsidR="00906D76">
        <w:t>ventuel ophævelse af karantæne og permanent anvendelsesforbud. Der er samtidig fastsat regler, der kodificerer praksis om udlevering til søskendedepot</w:t>
      </w:r>
      <w:r w:rsidR="00D818D5">
        <w:t>.</w:t>
      </w:r>
    </w:p>
    <w:p w:rsidR="00D818D5" w:rsidRDefault="00D818D5" w:rsidP="002B5DA7">
      <w:pPr>
        <w:pStyle w:val="Listeafsnit"/>
        <w:numPr>
          <w:ilvl w:val="0"/>
          <w:numId w:val="3"/>
        </w:numPr>
      </w:pPr>
      <w:r>
        <w:t>Reglerne om indberetning og information (§ 24-26) er blevet præciseret og udvidet</w:t>
      </w:r>
      <w:r w:rsidR="00A64C4B">
        <w:t xml:space="preserve"> for vævscentre, fertilitetsklinikker og sundhedspersoner</w:t>
      </w:r>
      <w:r>
        <w:t>.</w:t>
      </w:r>
      <w:r w:rsidR="00A64C4B">
        <w:t xml:space="preserve"> </w:t>
      </w:r>
    </w:p>
    <w:p w:rsidR="00DF1E65" w:rsidRDefault="00DF1E65" w:rsidP="00DF1E65"/>
    <w:p w:rsidR="00DF1E65" w:rsidRDefault="00DF1E65" w:rsidP="00DF1E65">
      <w:r>
        <w:lastRenderedPageBreak/>
        <w:t xml:space="preserve">Der er samtidig foretaget en gennemskrivning af bekendtgørelsen, hvor bl.a. bilaget </w:t>
      </w:r>
      <w:r w:rsidR="00B231C8">
        <w:t xml:space="preserve">i bekendtgørelse nr. 753 af 3. juli 2006 </w:t>
      </w:r>
      <w:r>
        <w:t xml:space="preserve">med direktivteksten er udgået og erstattet af tekst i bekendtgørelsen og en række selvstændige bilag til bekendtgørelsen. Samtidig er </w:t>
      </w:r>
      <w:r w:rsidR="00B231C8">
        <w:t xml:space="preserve">det nye </w:t>
      </w:r>
      <w:r>
        <w:t>direktiv 2012/39/EU implementeret i bekendtgørelsen.</w:t>
      </w:r>
    </w:p>
    <w:p w:rsidR="00DF1E65" w:rsidRDefault="00DF1E65" w:rsidP="00DF1E65">
      <w:pPr>
        <w:rPr>
          <w:b/>
        </w:rPr>
      </w:pPr>
    </w:p>
    <w:p w:rsidR="00DF1E65" w:rsidRPr="00DF1E65" w:rsidRDefault="00DF1E65" w:rsidP="00DF1E65">
      <w:r w:rsidRPr="00DF1E65">
        <w:t>Sundh</w:t>
      </w:r>
      <w:r>
        <w:t>edsstyrelsen har overtaget ministeriets hjemler til at fastsætte regler om indberetninger</w:t>
      </w:r>
      <w:r w:rsidR="00B231C8">
        <w:t>, hvorfor bekendtgørelse foreslås udvidet med bestemmelser herom</w:t>
      </w:r>
      <w:r>
        <w:t>.</w:t>
      </w:r>
    </w:p>
    <w:p w:rsidR="00DF1E65" w:rsidRDefault="00DF1E65" w:rsidP="00DF1E65">
      <w:pPr>
        <w:rPr>
          <w:b/>
        </w:rPr>
      </w:pPr>
    </w:p>
    <w:p w:rsidR="00DF1E65" w:rsidRDefault="00DF1E65" w:rsidP="00DF1E65">
      <w:pPr>
        <w:rPr>
          <w:b/>
        </w:rPr>
      </w:pPr>
      <w:r>
        <w:rPr>
          <w:b/>
        </w:rPr>
        <w:t>Ad 4) Sundhedsstyrelsens vejledning om assisteret reproduktion</w:t>
      </w:r>
    </w:p>
    <w:p w:rsidR="00A64C4B" w:rsidRDefault="00BC1AFF" w:rsidP="00DF1E65">
      <w:r>
        <w:t xml:space="preserve">Revision af vejledningen fra 11. december 2012. </w:t>
      </w:r>
      <w:r w:rsidR="00A64C4B" w:rsidRPr="00A64C4B">
        <w:t xml:space="preserve">Der er </w:t>
      </w:r>
      <w:r w:rsidR="00A64C4B">
        <w:t>foretaget en gennemskrivning og opdatering af de enkelte kapitler i vejledningen</w:t>
      </w:r>
      <w:r w:rsidR="004160A9">
        <w:t>, herunder</w:t>
      </w:r>
      <w:r w:rsidR="00A64C4B">
        <w:t>:</w:t>
      </w:r>
    </w:p>
    <w:p w:rsidR="00A64C4B" w:rsidRDefault="00A64C4B" w:rsidP="00DF1E65">
      <w:pPr>
        <w:pStyle w:val="Listeafsnit"/>
        <w:numPr>
          <w:ilvl w:val="0"/>
          <w:numId w:val="3"/>
        </w:numPr>
      </w:pPr>
      <w:r>
        <w:t xml:space="preserve">Der er indsat henvisninger til </w:t>
      </w:r>
      <w:r w:rsidR="004160A9">
        <w:t xml:space="preserve">bestemmelserne i </w:t>
      </w:r>
      <w:r>
        <w:t>de nye bekendtgørelser.</w:t>
      </w:r>
    </w:p>
    <w:p w:rsidR="00A64C4B" w:rsidRDefault="00A64C4B" w:rsidP="00DF1E65">
      <w:pPr>
        <w:pStyle w:val="Listeafsnit"/>
        <w:numPr>
          <w:ilvl w:val="0"/>
          <w:numId w:val="3"/>
        </w:numPr>
      </w:pPr>
      <w:proofErr w:type="spellStart"/>
      <w:r>
        <w:t>Forældreuegnethed</w:t>
      </w:r>
      <w:proofErr w:type="spellEnd"/>
      <w:r>
        <w:t xml:space="preserve"> har fået sit eget afsnit, der er blevet udvidet med henvisning til bekendtgørelsen og uddybet med statsforvaltningens opgaver og klagemulighederne.</w:t>
      </w:r>
    </w:p>
    <w:p w:rsidR="00A64C4B" w:rsidRDefault="00A64C4B" w:rsidP="00DF1E65">
      <w:pPr>
        <w:pStyle w:val="Listeafsnit"/>
        <w:numPr>
          <w:ilvl w:val="0"/>
          <w:numId w:val="3"/>
        </w:numPr>
      </w:pPr>
      <w:r>
        <w:t>Kapitel 6 om hormonbehandling er blevet præciseret.</w:t>
      </w:r>
    </w:p>
    <w:p w:rsidR="00A64C4B" w:rsidRDefault="007E1F5D" w:rsidP="00DF1E65">
      <w:pPr>
        <w:pStyle w:val="Listeafsnit"/>
        <w:numPr>
          <w:ilvl w:val="0"/>
          <w:numId w:val="3"/>
        </w:numPr>
      </w:pPr>
      <w:r>
        <w:t xml:space="preserve">Kapitel 7 om </w:t>
      </w:r>
      <w:proofErr w:type="spellStart"/>
      <w:r>
        <w:t>præimplentationsdiagnostik</w:t>
      </w:r>
      <w:proofErr w:type="spellEnd"/>
      <w:r>
        <w:t xml:space="preserve"> (PGD) er blevet præciseret og udvidet med henvisninger til bekendtgørelse</w:t>
      </w:r>
      <w:r w:rsidR="004B4B3C">
        <w:t>n</w:t>
      </w:r>
      <w:r>
        <w:t>, retningslinjer og en vejledning til ansøgninger.</w:t>
      </w:r>
    </w:p>
    <w:p w:rsidR="007E1F5D" w:rsidRDefault="007E1F5D" w:rsidP="00DF1E65">
      <w:pPr>
        <w:pStyle w:val="Listeafsnit"/>
        <w:numPr>
          <w:ilvl w:val="0"/>
          <w:numId w:val="3"/>
        </w:numPr>
      </w:pPr>
      <w:r>
        <w:t xml:space="preserve">Kapitel 9 er blevet præciseret og udvidet med en vejledning om kompensation til donorer af sæd- og ægceller. Begrebet </w:t>
      </w:r>
      <w:r w:rsidR="004B4B3C">
        <w:t>”</w:t>
      </w:r>
      <w:r>
        <w:t>dedikeret donor</w:t>
      </w:r>
      <w:r w:rsidR="004B4B3C">
        <w:t>"</w:t>
      </w:r>
      <w:r>
        <w:t xml:space="preserve"> udgår, og der henvises i stedet til statsforvaltningens vejledninger vedr. faderskabssager, donorerklæringer og medmoderskab.</w:t>
      </w:r>
    </w:p>
    <w:p w:rsidR="004160A9" w:rsidRDefault="007E1F5D" w:rsidP="00DF1E65">
      <w:pPr>
        <w:pStyle w:val="Listeafsnit"/>
        <w:numPr>
          <w:ilvl w:val="0"/>
          <w:numId w:val="3"/>
        </w:numPr>
      </w:pPr>
      <w:r>
        <w:t xml:space="preserve">Kapitel 10 er opdateret med de nyeste regler om det maksimale antal graviditeter efter én sæddonor. Der er desuden beskrevet to modeller for, hvordan vævscentre kan overholde de nye begrænsninger. Pligt for fertilitetsklinikkerne til at indberette graviditeter til vævscentret er beskrevet. Afsnittene om indberetning og information ved mistanke om arve- eller smitterisiko er blevet præciseret med henvisning til de nye bekendtgørelser, herunder hvornår der skal ske karantæne og permanent anvendelsesforbud. </w:t>
      </w:r>
    </w:p>
    <w:p w:rsidR="004160A9" w:rsidRDefault="004160A9" w:rsidP="004160A9">
      <w:pPr>
        <w:pStyle w:val="Listeafsnit"/>
      </w:pPr>
    </w:p>
    <w:p w:rsidR="007E1F5D" w:rsidRDefault="00BC1AFF" w:rsidP="004160A9">
      <w:pPr>
        <w:pStyle w:val="Listeafsnit"/>
      </w:pPr>
      <w:r>
        <w:t xml:space="preserve">Fra 1. december 2013 har sundhedspersoner, der behandler et barn født med hjælp af sæd eller æg fra donor, eller som behandler en person, der har doneret sæd eller æg, en pligt til at indberette genetisk sygdom hos barnet eller personen til relevante vævscentre og Sundhedsstyrelsen efter vævslovens § 13, stk. 3 og 4. </w:t>
      </w:r>
      <w:r w:rsidR="007E1F5D">
        <w:t xml:space="preserve">Der er også </w:t>
      </w:r>
      <w:r w:rsidR="007E1F5D">
        <w:lastRenderedPageBreak/>
        <w:t>medtaget en almindelig risikovurdering for en sædbank.</w:t>
      </w:r>
      <w:r>
        <w:t xml:space="preserve"> </w:t>
      </w:r>
      <w:r w:rsidR="004160A9">
        <w:t>Endelig er a</w:t>
      </w:r>
      <w:r>
        <w:t>nvendelse af søskendedepot beskrevet.</w:t>
      </w:r>
    </w:p>
    <w:p w:rsidR="00A64C4B" w:rsidRDefault="00A64C4B" w:rsidP="00DF1E65"/>
    <w:p w:rsidR="00DF1E65" w:rsidRPr="0090000E" w:rsidRDefault="00DF1E65" w:rsidP="00DF1E65">
      <w:pPr>
        <w:rPr>
          <w:b/>
        </w:rPr>
      </w:pPr>
      <w:r>
        <w:rPr>
          <w:b/>
        </w:rPr>
        <w:t>Ad 5) Sundhedsstyrelsens vejledning om kvalitet og sikkerhed ved donation og testning af væv og celler</w:t>
      </w:r>
    </w:p>
    <w:p w:rsidR="00DF1E65" w:rsidRDefault="00BC1AFF" w:rsidP="001C0AEE">
      <w:r>
        <w:t>Revision af vejledning nr. 55 af 2. juli 2006 om kvalitet ved donation, udtagning og testning (humane væv og celler).  Der er tale om en fuldstændig gennemskrivning af vejledningen, og d</w:t>
      </w:r>
      <w:r w:rsidR="00A64C4B">
        <w:t xml:space="preserve">er er indsat henvisninger til den nye </w:t>
      </w:r>
      <w:r>
        <w:t>vævs</w:t>
      </w:r>
      <w:r w:rsidR="00A64C4B">
        <w:t>bekendtgørelse</w:t>
      </w:r>
      <w:r>
        <w:t>, jævnfør punkt 3 ovenfor</w:t>
      </w:r>
      <w:r w:rsidR="00A64C4B">
        <w:t>.</w:t>
      </w:r>
    </w:p>
    <w:p w:rsidR="00DF1E65" w:rsidRDefault="00DF1E65" w:rsidP="001C0AEE"/>
    <w:p w:rsidR="001C0AEE" w:rsidRDefault="001C0AEE"/>
    <w:p w:rsidR="00BA5E17" w:rsidRDefault="00BA5E17" w:rsidP="00BA5E17">
      <w:r>
        <w:t>Med venlig hilsen</w:t>
      </w:r>
    </w:p>
    <w:p w:rsidR="00BA5E17" w:rsidRDefault="00E73FF6" w:rsidP="00BA5E17">
      <w:r>
        <w:rPr>
          <w:noProof/>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2570400" cy="9612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00" cy="961200"/>
                    </a:xfrm>
                    <a:prstGeom prst="rect">
                      <a:avLst/>
                    </a:prstGeom>
                  </pic:spPr>
                </pic:pic>
              </a:graphicData>
            </a:graphic>
            <wp14:sizeRelH relativeFrom="margin">
              <wp14:pctWidth>0</wp14:pctWidth>
            </wp14:sizeRelH>
            <wp14:sizeRelV relativeFrom="margin">
              <wp14:pctHeight>0</wp14:pctHeight>
            </wp14:sizeRelV>
          </wp:anchor>
        </w:drawing>
      </w:r>
    </w:p>
    <w:p w:rsidR="00BA5E17" w:rsidRDefault="00BA5E17" w:rsidP="00BA5E17"/>
    <w:p w:rsidR="00BA5E17" w:rsidRDefault="00E73FF6" w:rsidP="00BA5E17">
      <w:r>
        <w:t>Tore Ryberg</w:t>
      </w:r>
    </w:p>
    <w:p w:rsidR="00BA5E17" w:rsidRDefault="00BA5E17" w:rsidP="00BA5E17">
      <w:r>
        <w:t xml:space="preserve">Juridisk </w:t>
      </w:r>
      <w:r w:rsidR="00E73FF6">
        <w:t>specialkonsulent</w:t>
      </w:r>
    </w:p>
    <w:p w:rsidR="00BA5E17" w:rsidRDefault="00BA5E17"/>
    <w:p w:rsidR="001C0AEE" w:rsidRDefault="001C0AEE"/>
    <w:sectPr w:rsidR="001C0AEE" w:rsidSect="00CF2D85">
      <w:headerReference w:type="even" r:id="rId10"/>
      <w:headerReference w:type="default" r:id="rId11"/>
      <w:footerReference w:type="even" r:id="rId12"/>
      <w:footerReference w:type="default" r:id="rId13"/>
      <w:headerReference w:type="first" r:id="rId14"/>
      <w:footerReference w:type="first" r:id="rId15"/>
      <w:pgSz w:w="11906" w:h="16838"/>
      <w:pgMar w:top="1701" w:right="3401" w:bottom="1701" w:left="1134" w:header="45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CD" w:rsidRDefault="006228CD" w:rsidP="00884FCF">
      <w:pPr>
        <w:spacing w:line="240" w:lineRule="auto"/>
      </w:pPr>
      <w:r>
        <w:separator/>
      </w:r>
    </w:p>
  </w:endnote>
  <w:endnote w:type="continuationSeparator" w:id="0">
    <w:p w:rsidR="006228CD" w:rsidRDefault="006228CD" w:rsidP="00884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B" w:rsidRDefault="006456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0236"/>
      <w:docPartObj>
        <w:docPartGallery w:val="Page Numbers (Bottom of Page)"/>
        <w:docPartUnique/>
      </w:docPartObj>
    </w:sdtPr>
    <w:sdtEndPr/>
    <w:sdtContent>
      <w:p w:rsidR="00212F4D" w:rsidRDefault="004160A9">
        <w:pPr>
          <w:pStyle w:val="Sidefod"/>
          <w:jc w:val="right"/>
        </w:pPr>
        <w:r>
          <w:fldChar w:fldCharType="begin"/>
        </w:r>
        <w:r>
          <w:instrText xml:space="preserve"> PAGE   \* MERGEFORMAT </w:instrText>
        </w:r>
        <w:r>
          <w:fldChar w:fldCharType="separate"/>
        </w:r>
        <w:r w:rsidR="0064566B">
          <w:rPr>
            <w:noProof/>
          </w:rPr>
          <w:t>4</w:t>
        </w:r>
        <w:r>
          <w:rPr>
            <w:noProof/>
          </w:rPr>
          <w:fldChar w:fldCharType="end"/>
        </w:r>
      </w:p>
    </w:sdtContent>
  </w:sdt>
  <w:p w:rsidR="00212F4D" w:rsidRDefault="00212F4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C8" w:rsidRDefault="00B231C8">
    <w:pPr>
      <w:pStyle w:val="Sidefod"/>
      <w:rPr>
        <w:noProof/>
        <w:lang w:eastAsia="da-DK"/>
      </w:rPr>
    </w:pPr>
    <w:r>
      <w:rPr>
        <w:noProof/>
        <w:lang w:eastAsia="da-DK"/>
      </w:rPr>
      <w:drawing>
        <wp:anchor distT="0" distB="0" distL="114300" distR="114300" simplePos="0" relativeHeight="251661312" behindDoc="1" locked="0" layoutInCell="1" allowOverlap="1">
          <wp:simplePos x="0" y="0"/>
          <wp:positionH relativeFrom="column">
            <wp:posOffset>5419725</wp:posOffset>
          </wp:positionH>
          <wp:positionV relativeFrom="paragraph">
            <wp:posOffset>-889635</wp:posOffset>
          </wp:positionV>
          <wp:extent cx="935355" cy="1034415"/>
          <wp:effectExtent l="19050" t="0" r="0" b="0"/>
          <wp:wrapNone/>
          <wp:docPr id="10" name="Billede 8" descr="Scannet dokument fra kopimaskin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t dokument fra kopimaskine001.jpg"/>
                  <pic:cNvPicPr/>
                </pic:nvPicPr>
                <pic:blipFill>
                  <a:blip r:embed="rId1" cstate="print">
                    <a:lum contrast="10000"/>
                  </a:blip>
                  <a:srcRect/>
                  <a:stretch>
                    <a:fillRect/>
                  </a:stretch>
                </pic:blipFill>
                <pic:spPr>
                  <a:xfrm>
                    <a:off x="0" y="0"/>
                    <a:ext cx="935355" cy="1034415"/>
                  </a:xfrm>
                  <a:prstGeom prst="rect">
                    <a:avLst/>
                  </a:prstGeom>
                </pic:spPr>
              </pic:pic>
            </a:graphicData>
          </a:graphic>
        </wp:anchor>
      </w:drawing>
    </w:r>
  </w:p>
  <w:p w:rsidR="00B231C8" w:rsidRDefault="00B231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CD" w:rsidRDefault="006228CD" w:rsidP="00884FCF">
      <w:pPr>
        <w:spacing w:line="240" w:lineRule="auto"/>
      </w:pPr>
      <w:r>
        <w:separator/>
      </w:r>
    </w:p>
  </w:footnote>
  <w:footnote w:type="continuationSeparator" w:id="0">
    <w:p w:rsidR="006228CD" w:rsidRDefault="006228CD" w:rsidP="00884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B" w:rsidRDefault="006456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C8" w:rsidRDefault="00B231C8">
    <w:pPr>
      <w:pStyle w:val="Sidehoved"/>
    </w:pPr>
    <w:r>
      <w:rPr>
        <w:noProof/>
        <w:lang w:eastAsia="da-DK"/>
      </w:rPr>
      <w:drawing>
        <wp:inline distT="0" distB="0" distL="0" distR="0">
          <wp:extent cx="3277434" cy="558800"/>
          <wp:effectExtent l="19050" t="0" r="0" b="0"/>
          <wp:docPr id="7" name="Billede 7" descr="\\dkmafil02\users\PLM\Skabelon\SST_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mafil02\users\PLM\Skabelon\SST_UK_logo.jpg"/>
                  <pic:cNvPicPr>
                    <a:picLocks noChangeAspect="1" noChangeArrowheads="1"/>
                  </pic:cNvPicPr>
                </pic:nvPicPr>
                <pic:blipFill>
                  <a:blip r:embed="rId1"/>
                  <a:srcRect/>
                  <a:stretch>
                    <a:fillRect/>
                  </a:stretch>
                </pic:blipFill>
                <pic:spPr bwMode="auto">
                  <a:xfrm>
                    <a:off x="0" y="0"/>
                    <a:ext cx="3278202" cy="55893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C8" w:rsidRDefault="00B231C8">
    <w:pPr>
      <w:pStyle w:val="Sidehoved"/>
    </w:pPr>
    <w:bookmarkStart w:id="0" w:name="_GoBack"/>
    <w:bookmarkEnd w:id="0"/>
    <w:r>
      <w:rPr>
        <w:noProof/>
        <w:lang w:eastAsia="da-DK"/>
      </w:rPr>
      <w:drawing>
        <wp:anchor distT="0" distB="0" distL="114300" distR="114300" simplePos="0" relativeHeight="251662336" behindDoc="0" locked="0" layoutInCell="1" allowOverlap="1">
          <wp:simplePos x="0" y="0"/>
          <wp:positionH relativeFrom="column">
            <wp:posOffset>196215</wp:posOffset>
          </wp:positionH>
          <wp:positionV relativeFrom="paragraph">
            <wp:posOffset>3175</wp:posOffset>
          </wp:positionV>
          <wp:extent cx="3278505" cy="560070"/>
          <wp:effectExtent l="19050" t="0" r="0" b="0"/>
          <wp:wrapNone/>
          <wp:docPr id="1" name="Billede 7" descr="\\dkmafil02\users\PLM\Skabelon\SST_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mafil02\users\PLM\Skabelon\SST_UK_logo.jpg"/>
                  <pic:cNvPicPr>
                    <a:picLocks noChangeAspect="1" noChangeArrowheads="1"/>
                  </pic:cNvPicPr>
                </pic:nvPicPr>
                <pic:blipFill>
                  <a:blip r:embed="rId1"/>
                  <a:srcRect/>
                  <a:stretch>
                    <a:fillRect/>
                  </a:stretch>
                </pic:blipFill>
                <pic:spPr bwMode="auto">
                  <a:xfrm>
                    <a:off x="0" y="0"/>
                    <a:ext cx="3278505" cy="560070"/>
                  </a:xfrm>
                  <a:prstGeom prst="rect">
                    <a:avLst/>
                  </a:prstGeom>
                  <a:noFill/>
                  <a:ln w="9525">
                    <a:noFill/>
                    <a:miter lim="800000"/>
                    <a:headEnd/>
                    <a:tailEnd/>
                  </a:ln>
                </pic:spPr>
              </pic:pic>
            </a:graphicData>
          </a:graphic>
        </wp:anchor>
      </w:drawing>
    </w:r>
    <w:r w:rsidR="0064566B">
      <w:rPr>
        <w:noProof/>
        <w:lang w:eastAsia="da-DK"/>
      </w:rPr>
      <w:pict>
        <v:shapetype id="_x0000_t202" coordsize="21600,21600" o:spt="202" path="m,l,21600r21600,l21600,xe">
          <v:stroke joinstyle="miter"/>
          <v:path gradientshapeok="t" o:connecttype="rect"/>
        </v:shapetype>
        <v:shape id="_x0000_s2049" type="#_x0000_t202" style="position:absolute;margin-left:400.4pt;margin-top:267.2pt;width:108.6pt;height:300pt;z-index:251660288;mso-position-horizontal-relative:text;mso-position-vertical-relative:page" filled="f" stroked="f">
          <v:textbox style="mso-next-textbox:#_x0000_s2049" inset="0,0,0,0">
            <w:txbxContent>
              <w:p w:rsidR="00B231C8" w:rsidRDefault="007C1FF5" w:rsidP="00CF2D85">
                <w:pPr>
                  <w:pStyle w:val="LMSMargentekst"/>
                  <w:rPr>
                    <w:lang w:val="de-DE"/>
                  </w:rPr>
                </w:pPr>
                <w:r>
                  <w:rPr>
                    <w:lang w:val="de-DE"/>
                  </w:rPr>
                  <w:t xml:space="preserve">23. </w:t>
                </w:r>
                <w:proofErr w:type="spellStart"/>
                <w:r>
                  <w:rPr>
                    <w:lang w:val="de-DE"/>
                  </w:rPr>
                  <w:t>september</w:t>
                </w:r>
                <w:proofErr w:type="spellEnd"/>
                <w:r w:rsidR="00B231C8">
                  <w:rPr>
                    <w:lang w:val="de-DE"/>
                  </w:rPr>
                  <w:t xml:space="preserve"> 2014</w:t>
                </w:r>
              </w:p>
              <w:p w:rsidR="00B231C8" w:rsidRPr="005B04FF" w:rsidRDefault="00B231C8" w:rsidP="00CF2D85">
                <w:pPr>
                  <w:pStyle w:val="LMSMargentekst"/>
                  <w:rPr>
                    <w:lang w:val="de-DE"/>
                  </w:rPr>
                </w:pPr>
              </w:p>
              <w:p w:rsidR="00B231C8" w:rsidRDefault="00B231C8" w:rsidP="00CF2D85">
                <w:pPr>
                  <w:pStyle w:val="LMSMargentekst"/>
                </w:pPr>
                <w:r>
                  <w:t xml:space="preserve">Sagsnummer.:  </w:t>
                </w:r>
              </w:p>
              <w:p w:rsidR="00B231C8" w:rsidRPr="00752764" w:rsidRDefault="00B231C8" w:rsidP="00CF2D85">
                <w:pPr>
                  <w:pStyle w:val="LMSMargentekst"/>
                </w:pPr>
                <w:r>
                  <w:t>2014010733</w:t>
                </w:r>
              </w:p>
              <w:p w:rsidR="00B231C8" w:rsidRDefault="00B231C8" w:rsidP="00CF2D85">
                <w:pPr>
                  <w:pStyle w:val="LMSMargentekst"/>
                  <w:rPr>
                    <w:lang w:val="de-DE"/>
                  </w:rPr>
                </w:pPr>
              </w:p>
              <w:p w:rsidR="00B231C8" w:rsidRPr="00752764" w:rsidRDefault="00B231C8" w:rsidP="00CF2D85">
                <w:pPr>
                  <w:pStyle w:val="LMSMargentekst"/>
                </w:pPr>
                <w:r w:rsidRPr="00752764">
                  <w:tab/>
                </w:r>
              </w:p>
              <w:p w:rsidR="00B231C8" w:rsidRDefault="00B231C8" w:rsidP="00CF2D85">
                <w:pPr>
                  <w:pStyle w:val="LMSMargentekst"/>
                  <w:tabs>
                    <w:tab w:val="left" w:pos="690"/>
                  </w:tabs>
                  <w:rPr>
                    <w:lang w:val="de-DE"/>
                  </w:rPr>
                </w:pPr>
                <w:r w:rsidRPr="005B04FF">
                  <w:rPr>
                    <w:lang w:val="de-DE"/>
                  </w:rPr>
                  <w:t>T (dir.)</w:t>
                </w:r>
                <w:r>
                  <w:rPr>
                    <w:lang w:val="de-DE"/>
                  </w:rPr>
                  <w:tab/>
                </w:r>
                <w:r w:rsidRPr="005B04FF">
                  <w:rPr>
                    <w:lang w:val="de-DE"/>
                  </w:rPr>
                  <w:t>+45 4488</w:t>
                </w:r>
                <w:r w:rsidR="00E73FF6">
                  <w:rPr>
                    <w:lang w:val="de-DE"/>
                  </w:rPr>
                  <w:t xml:space="preserve"> 91 60</w:t>
                </w:r>
              </w:p>
              <w:p w:rsidR="00B231C8" w:rsidRPr="001C2F0F" w:rsidRDefault="00E73FF6" w:rsidP="00CF2D85">
                <w:pPr>
                  <w:pStyle w:val="LMSMargentekst"/>
                  <w:rPr>
                    <w:lang w:val="de-DE"/>
                  </w:rPr>
                </w:pPr>
                <w:r>
                  <w:rPr>
                    <w:lang w:val="de-DE"/>
                  </w:rPr>
                  <w:t>try</w:t>
                </w:r>
                <w:r w:rsidR="00B231C8" w:rsidRPr="001C2F0F">
                  <w:rPr>
                    <w:lang w:val="de-DE"/>
                  </w:rPr>
                  <w:t>@dkma.dk</w:t>
                </w:r>
              </w:p>
              <w:p w:rsidR="00B231C8" w:rsidRPr="001C2F0F" w:rsidRDefault="00B231C8" w:rsidP="00CF2D85">
                <w:pPr>
                  <w:pStyle w:val="LMSMargentekst"/>
                  <w:rPr>
                    <w:lang w:val="de-DE"/>
                  </w:rPr>
                </w:pPr>
              </w:p>
              <w:p w:rsidR="00B231C8" w:rsidRPr="00EB56D6" w:rsidRDefault="00B231C8" w:rsidP="00CF2D85">
                <w:pPr>
                  <w:pStyle w:val="LMSMargentekst"/>
                  <w:rPr>
                    <w:lang w:val="en-US"/>
                  </w:rPr>
                </w:pPr>
                <w:proofErr w:type="spellStart"/>
                <w:r w:rsidRPr="00EB56D6">
                  <w:rPr>
                    <w:lang w:val="en-US"/>
                  </w:rPr>
                  <w:t>Vor</w:t>
                </w:r>
                <w:proofErr w:type="spellEnd"/>
                <w:r w:rsidRPr="00EB56D6">
                  <w:rPr>
                    <w:lang w:val="en-US"/>
                  </w:rPr>
                  <w:t xml:space="preserve"> ref.: </w:t>
                </w:r>
                <w:r w:rsidR="0064566B">
                  <w:rPr>
                    <w:lang w:val="en-US"/>
                  </w:rPr>
                  <w:t>try</w:t>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92481"/>
    <w:multiLevelType w:val="hybridMultilevel"/>
    <w:tmpl w:val="9042C168"/>
    <w:lvl w:ilvl="0" w:tplc="0714F94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3934FC"/>
    <w:multiLevelType w:val="hybridMultilevel"/>
    <w:tmpl w:val="C958D1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EDC7A67"/>
    <w:multiLevelType w:val="hybridMultilevel"/>
    <w:tmpl w:val="74DCBD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760234B"/>
    <w:multiLevelType w:val="hybridMultilevel"/>
    <w:tmpl w:val="ED848968"/>
    <w:lvl w:ilvl="0" w:tplc="429E1A9A">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4FCF"/>
    <w:rsid w:val="000A77AC"/>
    <w:rsid w:val="000D39A4"/>
    <w:rsid w:val="000E1510"/>
    <w:rsid w:val="000F04D2"/>
    <w:rsid w:val="00146A1B"/>
    <w:rsid w:val="00156480"/>
    <w:rsid w:val="0016513B"/>
    <w:rsid w:val="0019429A"/>
    <w:rsid w:val="001A00F5"/>
    <w:rsid w:val="001B1B18"/>
    <w:rsid w:val="001C0AEE"/>
    <w:rsid w:val="001C2F0F"/>
    <w:rsid w:val="001C49F3"/>
    <w:rsid w:val="001D59BE"/>
    <w:rsid w:val="00212F4D"/>
    <w:rsid w:val="00215498"/>
    <w:rsid w:val="00216E9C"/>
    <w:rsid w:val="00240A3A"/>
    <w:rsid w:val="00271224"/>
    <w:rsid w:val="00282FF0"/>
    <w:rsid w:val="002B20ED"/>
    <w:rsid w:val="002B495D"/>
    <w:rsid w:val="002B5DA7"/>
    <w:rsid w:val="002B6164"/>
    <w:rsid w:val="002C678C"/>
    <w:rsid w:val="002D7E0A"/>
    <w:rsid w:val="002E020D"/>
    <w:rsid w:val="00315DF1"/>
    <w:rsid w:val="00316297"/>
    <w:rsid w:val="00325BFE"/>
    <w:rsid w:val="00341480"/>
    <w:rsid w:val="00360501"/>
    <w:rsid w:val="003B0B4D"/>
    <w:rsid w:val="003F10C2"/>
    <w:rsid w:val="00405842"/>
    <w:rsid w:val="004160A9"/>
    <w:rsid w:val="004216CF"/>
    <w:rsid w:val="00455BEE"/>
    <w:rsid w:val="00465DA6"/>
    <w:rsid w:val="00473054"/>
    <w:rsid w:val="00486B91"/>
    <w:rsid w:val="0049054E"/>
    <w:rsid w:val="00490D78"/>
    <w:rsid w:val="004B4B3C"/>
    <w:rsid w:val="004F6E94"/>
    <w:rsid w:val="00511DDD"/>
    <w:rsid w:val="005320FF"/>
    <w:rsid w:val="005940E6"/>
    <w:rsid w:val="005A0052"/>
    <w:rsid w:val="005A0C25"/>
    <w:rsid w:val="005E2E73"/>
    <w:rsid w:val="006228CD"/>
    <w:rsid w:val="0064566B"/>
    <w:rsid w:val="006816BF"/>
    <w:rsid w:val="006875B6"/>
    <w:rsid w:val="006A6739"/>
    <w:rsid w:val="006B302B"/>
    <w:rsid w:val="006D2916"/>
    <w:rsid w:val="006D5F3E"/>
    <w:rsid w:val="006E57FF"/>
    <w:rsid w:val="00702107"/>
    <w:rsid w:val="0071137C"/>
    <w:rsid w:val="007333E1"/>
    <w:rsid w:val="00736A6E"/>
    <w:rsid w:val="00742E2C"/>
    <w:rsid w:val="00752764"/>
    <w:rsid w:val="007637A3"/>
    <w:rsid w:val="007C1FF5"/>
    <w:rsid w:val="007C4FE0"/>
    <w:rsid w:val="007D51A6"/>
    <w:rsid w:val="007E1F5D"/>
    <w:rsid w:val="007E5ED1"/>
    <w:rsid w:val="0081506A"/>
    <w:rsid w:val="0082098A"/>
    <w:rsid w:val="00830B4D"/>
    <w:rsid w:val="00835D89"/>
    <w:rsid w:val="008463A6"/>
    <w:rsid w:val="00847A6F"/>
    <w:rsid w:val="00873B4A"/>
    <w:rsid w:val="00874747"/>
    <w:rsid w:val="00882FE5"/>
    <w:rsid w:val="00884FCF"/>
    <w:rsid w:val="0089147A"/>
    <w:rsid w:val="008D48A8"/>
    <w:rsid w:val="008D4E10"/>
    <w:rsid w:val="008F3AEF"/>
    <w:rsid w:val="0090000E"/>
    <w:rsid w:val="00906D76"/>
    <w:rsid w:val="009233A8"/>
    <w:rsid w:val="00944A5F"/>
    <w:rsid w:val="00975E77"/>
    <w:rsid w:val="00990BE0"/>
    <w:rsid w:val="00990EE2"/>
    <w:rsid w:val="009C15DC"/>
    <w:rsid w:val="00A012D1"/>
    <w:rsid w:val="00A0338C"/>
    <w:rsid w:val="00A22680"/>
    <w:rsid w:val="00A30795"/>
    <w:rsid w:val="00A50592"/>
    <w:rsid w:val="00A64C4B"/>
    <w:rsid w:val="00A653E9"/>
    <w:rsid w:val="00AA2646"/>
    <w:rsid w:val="00AB20BA"/>
    <w:rsid w:val="00B12263"/>
    <w:rsid w:val="00B231C8"/>
    <w:rsid w:val="00B2777B"/>
    <w:rsid w:val="00B3467F"/>
    <w:rsid w:val="00B613A4"/>
    <w:rsid w:val="00B73668"/>
    <w:rsid w:val="00B851D9"/>
    <w:rsid w:val="00BA0B52"/>
    <w:rsid w:val="00BA5E17"/>
    <w:rsid w:val="00BB4B36"/>
    <w:rsid w:val="00BC1AFF"/>
    <w:rsid w:val="00BC64F2"/>
    <w:rsid w:val="00BD07FF"/>
    <w:rsid w:val="00BD5B50"/>
    <w:rsid w:val="00BE0418"/>
    <w:rsid w:val="00BE1B3A"/>
    <w:rsid w:val="00BF4D01"/>
    <w:rsid w:val="00C10466"/>
    <w:rsid w:val="00C16777"/>
    <w:rsid w:val="00C3403B"/>
    <w:rsid w:val="00C45984"/>
    <w:rsid w:val="00C52D60"/>
    <w:rsid w:val="00C73C68"/>
    <w:rsid w:val="00C7782B"/>
    <w:rsid w:val="00CC749E"/>
    <w:rsid w:val="00CF1EFF"/>
    <w:rsid w:val="00CF2D85"/>
    <w:rsid w:val="00D06594"/>
    <w:rsid w:val="00D43EEF"/>
    <w:rsid w:val="00D60B3A"/>
    <w:rsid w:val="00D61917"/>
    <w:rsid w:val="00D818D5"/>
    <w:rsid w:val="00D853EB"/>
    <w:rsid w:val="00DB1946"/>
    <w:rsid w:val="00DD048D"/>
    <w:rsid w:val="00DF1E65"/>
    <w:rsid w:val="00DF3314"/>
    <w:rsid w:val="00E06C6E"/>
    <w:rsid w:val="00E2069D"/>
    <w:rsid w:val="00E46EA0"/>
    <w:rsid w:val="00E570F0"/>
    <w:rsid w:val="00E63D64"/>
    <w:rsid w:val="00E65AC3"/>
    <w:rsid w:val="00E73FF6"/>
    <w:rsid w:val="00E86C8A"/>
    <w:rsid w:val="00EB56D6"/>
    <w:rsid w:val="00ED7FE8"/>
    <w:rsid w:val="00EE25A9"/>
    <w:rsid w:val="00EE2623"/>
    <w:rsid w:val="00F348EE"/>
    <w:rsid w:val="00F5030A"/>
    <w:rsid w:val="00F7321D"/>
    <w:rsid w:val="00FB1E8B"/>
    <w:rsid w:val="00FB679B"/>
    <w:rsid w:val="00FC00BF"/>
    <w:rsid w:val="00FC68B0"/>
    <w:rsid w:val="00FD7EE4"/>
    <w:rsid w:val="00FF1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65DCE0E-1776-4E78-AE1E-6C2A32D6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84FC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84FCF"/>
  </w:style>
  <w:style w:type="paragraph" w:styleId="Sidefod">
    <w:name w:val="footer"/>
    <w:basedOn w:val="Normal"/>
    <w:link w:val="SidefodTegn"/>
    <w:uiPriority w:val="99"/>
    <w:unhideWhenUsed/>
    <w:rsid w:val="00884FCF"/>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4FCF"/>
  </w:style>
  <w:style w:type="paragraph" w:styleId="Markeringsbobletekst">
    <w:name w:val="Balloon Text"/>
    <w:basedOn w:val="Normal"/>
    <w:link w:val="MarkeringsbobletekstTegn"/>
    <w:uiPriority w:val="99"/>
    <w:semiHidden/>
    <w:unhideWhenUsed/>
    <w:rsid w:val="0016513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13B"/>
    <w:rPr>
      <w:rFonts w:ascii="Tahoma" w:hAnsi="Tahoma" w:cs="Tahoma"/>
      <w:sz w:val="16"/>
      <w:szCs w:val="16"/>
    </w:rPr>
  </w:style>
  <w:style w:type="character" w:styleId="Hyperlink">
    <w:name w:val="Hyperlink"/>
    <w:basedOn w:val="Standardskrifttypeiafsnit"/>
    <w:unhideWhenUsed/>
    <w:rsid w:val="00835D89"/>
    <w:rPr>
      <w:color w:val="0000FF" w:themeColor="hyperlink"/>
      <w:u w:val="single"/>
    </w:rPr>
  </w:style>
  <w:style w:type="paragraph" w:styleId="NormalWeb">
    <w:name w:val="Normal (Web)"/>
    <w:basedOn w:val="Normal"/>
    <w:uiPriority w:val="99"/>
    <w:unhideWhenUsed/>
    <w:rsid w:val="008463A6"/>
    <w:pPr>
      <w:spacing w:before="100" w:beforeAutospacing="1" w:after="240" w:line="240" w:lineRule="auto"/>
    </w:pPr>
    <w:rPr>
      <w:rFonts w:eastAsia="Times New Roman" w:cs="Times New Roman"/>
      <w:szCs w:val="24"/>
      <w:lang w:eastAsia="da-DK"/>
    </w:rPr>
  </w:style>
  <w:style w:type="paragraph" w:customStyle="1" w:styleId="LMSMargentekst">
    <w:name w:val="LMSMargentekst"/>
    <w:basedOn w:val="Normal"/>
    <w:rsid w:val="008463A6"/>
    <w:pPr>
      <w:spacing w:line="312" w:lineRule="auto"/>
    </w:pPr>
    <w:rPr>
      <w:rFonts w:eastAsia="Times New Roman" w:cs="Times New Roman"/>
      <w:sz w:val="18"/>
      <w:szCs w:val="23"/>
    </w:rPr>
  </w:style>
  <w:style w:type="paragraph" w:customStyle="1" w:styleId="paragraf">
    <w:name w:val="paragraf"/>
    <w:basedOn w:val="Normal"/>
    <w:rsid w:val="007C4FE0"/>
    <w:pPr>
      <w:spacing w:before="200"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7C4FE0"/>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5A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919">
      <w:bodyDiv w:val="1"/>
      <w:marLeft w:val="0"/>
      <w:marRight w:val="0"/>
      <w:marTop w:val="0"/>
      <w:marBottom w:val="0"/>
      <w:divBdr>
        <w:top w:val="none" w:sz="0" w:space="0" w:color="auto"/>
        <w:left w:val="none" w:sz="0" w:space="0" w:color="auto"/>
        <w:bottom w:val="none" w:sz="0" w:space="0" w:color="auto"/>
        <w:right w:val="none" w:sz="0" w:space="0" w:color="auto"/>
      </w:divBdr>
      <w:divsChild>
        <w:div w:id="347174813">
          <w:marLeft w:val="0"/>
          <w:marRight w:val="0"/>
          <w:marTop w:val="0"/>
          <w:marBottom w:val="0"/>
          <w:divBdr>
            <w:top w:val="none" w:sz="0" w:space="0" w:color="auto"/>
            <w:left w:val="none" w:sz="0" w:space="0" w:color="auto"/>
            <w:bottom w:val="none" w:sz="0" w:space="0" w:color="auto"/>
            <w:right w:val="none" w:sz="0" w:space="0" w:color="auto"/>
          </w:divBdr>
          <w:divsChild>
            <w:div w:id="1383019244">
              <w:marLeft w:val="150"/>
              <w:marRight w:val="150"/>
              <w:marTop w:val="0"/>
              <w:marBottom w:val="0"/>
              <w:divBdr>
                <w:top w:val="none" w:sz="0" w:space="0" w:color="auto"/>
                <w:left w:val="none" w:sz="0" w:space="0" w:color="auto"/>
                <w:bottom w:val="dashed" w:sz="6" w:space="8" w:color="CCCCCC"/>
                <w:right w:val="none" w:sz="0" w:space="0" w:color="auto"/>
              </w:divBdr>
            </w:div>
          </w:divsChild>
        </w:div>
      </w:divsChild>
    </w:div>
    <w:div w:id="1063866228">
      <w:bodyDiv w:val="1"/>
      <w:marLeft w:val="0"/>
      <w:marRight w:val="0"/>
      <w:marTop w:val="0"/>
      <w:marBottom w:val="0"/>
      <w:divBdr>
        <w:top w:val="none" w:sz="0" w:space="0" w:color="auto"/>
        <w:left w:val="none" w:sz="0" w:space="0" w:color="auto"/>
        <w:bottom w:val="none" w:sz="0" w:space="0" w:color="auto"/>
        <w:right w:val="none" w:sz="0" w:space="0" w:color="auto"/>
      </w:divBdr>
    </w:div>
    <w:div w:id="1461337941">
      <w:bodyDiv w:val="1"/>
      <w:marLeft w:val="0"/>
      <w:marRight w:val="0"/>
      <w:marTop w:val="0"/>
      <w:marBottom w:val="0"/>
      <w:divBdr>
        <w:top w:val="none" w:sz="0" w:space="0" w:color="auto"/>
        <w:left w:val="none" w:sz="0" w:space="0" w:color="auto"/>
        <w:bottom w:val="none" w:sz="0" w:space="0" w:color="auto"/>
        <w:right w:val="none" w:sz="0" w:space="0" w:color="auto"/>
      </w:divBdr>
      <w:divsChild>
        <w:div w:id="786267974">
          <w:marLeft w:val="0"/>
          <w:marRight w:val="0"/>
          <w:marTop w:val="0"/>
          <w:marBottom w:val="300"/>
          <w:divBdr>
            <w:top w:val="none" w:sz="0" w:space="0" w:color="auto"/>
            <w:left w:val="none" w:sz="0" w:space="0" w:color="auto"/>
            <w:bottom w:val="none" w:sz="0" w:space="0" w:color="auto"/>
            <w:right w:val="none" w:sz="0" w:space="0" w:color="auto"/>
          </w:divBdr>
          <w:divsChild>
            <w:div w:id="1805271736">
              <w:marLeft w:val="0"/>
              <w:marRight w:val="0"/>
              <w:marTop w:val="0"/>
              <w:marBottom w:val="0"/>
              <w:divBdr>
                <w:top w:val="none" w:sz="0" w:space="0" w:color="auto"/>
                <w:left w:val="single" w:sz="6" w:space="1" w:color="FFFFFF"/>
                <w:bottom w:val="none" w:sz="0" w:space="0" w:color="auto"/>
                <w:right w:val="single" w:sz="6" w:space="1" w:color="FFFFFF"/>
              </w:divBdr>
              <w:divsChild>
                <w:div w:id="205069307">
                  <w:marLeft w:val="0"/>
                  <w:marRight w:val="0"/>
                  <w:marTop w:val="0"/>
                  <w:marBottom w:val="0"/>
                  <w:divBdr>
                    <w:top w:val="none" w:sz="0" w:space="0" w:color="auto"/>
                    <w:left w:val="none" w:sz="0" w:space="0" w:color="auto"/>
                    <w:bottom w:val="none" w:sz="0" w:space="0" w:color="auto"/>
                    <w:right w:val="none" w:sz="0" w:space="0" w:color="auto"/>
                  </w:divBdr>
                  <w:divsChild>
                    <w:div w:id="2093425853">
                      <w:marLeft w:val="0"/>
                      <w:marRight w:val="0"/>
                      <w:marTop w:val="0"/>
                      <w:marBottom w:val="0"/>
                      <w:divBdr>
                        <w:top w:val="none" w:sz="0" w:space="0" w:color="auto"/>
                        <w:left w:val="none" w:sz="0" w:space="0" w:color="auto"/>
                        <w:bottom w:val="none" w:sz="0" w:space="0" w:color="auto"/>
                        <w:right w:val="none" w:sz="0" w:space="0" w:color="auto"/>
                      </w:divBdr>
                      <w:divsChild>
                        <w:div w:id="2044670589">
                          <w:marLeft w:val="0"/>
                          <w:marRight w:val="0"/>
                          <w:marTop w:val="0"/>
                          <w:marBottom w:val="0"/>
                          <w:divBdr>
                            <w:top w:val="none" w:sz="0" w:space="0" w:color="auto"/>
                            <w:left w:val="none" w:sz="0" w:space="0" w:color="auto"/>
                            <w:bottom w:val="none" w:sz="0" w:space="0" w:color="auto"/>
                            <w:right w:val="none" w:sz="0" w:space="0" w:color="auto"/>
                          </w:divBdr>
                          <w:divsChild>
                            <w:div w:id="1598909140">
                              <w:marLeft w:val="0"/>
                              <w:marRight w:val="0"/>
                              <w:marTop w:val="0"/>
                              <w:marBottom w:val="0"/>
                              <w:divBdr>
                                <w:top w:val="none" w:sz="0" w:space="0" w:color="auto"/>
                                <w:left w:val="none" w:sz="0" w:space="0" w:color="auto"/>
                                <w:bottom w:val="none" w:sz="0" w:space="0" w:color="auto"/>
                                <w:right w:val="none" w:sz="0" w:space="0" w:color="auto"/>
                              </w:divBdr>
                              <w:divsChild>
                                <w:div w:id="872765352">
                                  <w:marLeft w:val="0"/>
                                  <w:marRight w:val="0"/>
                                  <w:marTop w:val="0"/>
                                  <w:marBottom w:val="0"/>
                                  <w:divBdr>
                                    <w:top w:val="none" w:sz="0" w:space="0" w:color="auto"/>
                                    <w:left w:val="none" w:sz="0" w:space="0" w:color="auto"/>
                                    <w:bottom w:val="none" w:sz="0" w:space="0" w:color="auto"/>
                                    <w:right w:val="none" w:sz="0" w:space="0" w:color="auto"/>
                                  </w:divBdr>
                                  <w:divsChild>
                                    <w:div w:id="16505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y@dkma.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y@dkma.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919</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Francis Ferneborg</dc:creator>
  <cp:lastModifiedBy>TORE RYBERG - 9160</cp:lastModifiedBy>
  <cp:revision>7</cp:revision>
  <cp:lastPrinted>2013-07-23T14:41:00Z</cp:lastPrinted>
  <dcterms:created xsi:type="dcterms:W3CDTF">2014-09-22T11:23:00Z</dcterms:created>
  <dcterms:modified xsi:type="dcterms:W3CDTF">2014-09-23T12:23:00Z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C:\Users\summni\AppData\Local\Temp\SJ2014082708420956.DOCX</vt:lpwstr>
  </property>
</Properties>
</file>