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59"/>
        <w:gridCol w:w="3260"/>
      </w:tblGrid>
      <w:tr w:rsidR="009A11AA" w:rsidRPr="00387E2A" w:rsidTr="00CF19EA">
        <w:trPr>
          <w:trHeight w:val="561"/>
        </w:trPr>
        <w:tc>
          <w:tcPr>
            <w:tcW w:w="3259" w:type="dxa"/>
          </w:tcPr>
          <w:p w:rsidR="009A11AA" w:rsidRPr="00387E2A" w:rsidRDefault="009A11AA">
            <w:pPr>
              <w:rPr>
                <w:color w:val="404040" w:themeColor="text1" w:themeTint="BF"/>
              </w:rPr>
            </w:pPr>
            <w:bookmarkStart w:id="0" w:name="_GoBack"/>
            <w:bookmarkEnd w:id="0"/>
          </w:p>
        </w:tc>
        <w:tc>
          <w:tcPr>
            <w:tcW w:w="3259" w:type="dxa"/>
          </w:tcPr>
          <w:p w:rsidR="009A11AA" w:rsidRPr="00387E2A" w:rsidRDefault="009A11AA">
            <w:pPr>
              <w:rPr>
                <w:color w:val="404040" w:themeColor="text1" w:themeTint="BF"/>
              </w:rPr>
            </w:pPr>
          </w:p>
        </w:tc>
        <w:tc>
          <w:tcPr>
            <w:tcW w:w="3260" w:type="dxa"/>
          </w:tcPr>
          <w:p w:rsidR="009A11AA" w:rsidRPr="00387E2A" w:rsidRDefault="002A116F">
            <w:pPr>
              <w:rPr>
                <w:noProof/>
                <w:color w:val="404040" w:themeColor="text1" w:themeTint="BF"/>
                <w:lang w:eastAsia="da-DK"/>
              </w:rPr>
            </w:pPr>
            <w:r>
              <w:rPr>
                <w:noProof/>
                <w:color w:val="404040" w:themeColor="text1" w:themeTint="BF"/>
                <w:lang w:eastAsia="da-DK"/>
              </w:rPr>
              <w:drawing>
                <wp:inline distT="0" distB="0" distL="0" distR="0" wp14:anchorId="553E1523" wp14:editId="49BDD49B">
                  <wp:extent cx="1532965" cy="313495"/>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_Navnetræk_og_payoff_til_højre.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3714" cy="313648"/>
                          </a:xfrm>
                          <a:prstGeom prst="rect">
                            <a:avLst/>
                          </a:prstGeom>
                        </pic:spPr>
                      </pic:pic>
                    </a:graphicData>
                  </a:graphic>
                </wp:inline>
              </w:drawing>
            </w:r>
          </w:p>
        </w:tc>
      </w:tr>
      <w:tr w:rsidR="009A11AA" w:rsidRPr="00387E2A" w:rsidTr="00CF19EA">
        <w:trPr>
          <w:trHeight w:val="984"/>
        </w:trPr>
        <w:tc>
          <w:tcPr>
            <w:tcW w:w="3259" w:type="dxa"/>
          </w:tcPr>
          <w:p w:rsidR="008C38E0" w:rsidRPr="008C38E0" w:rsidRDefault="008C38E0" w:rsidP="001B4712">
            <w:pPr>
              <w:rPr>
                <w:rFonts w:ascii="Franklin Gothic Book" w:hAnsi="Franklin Gothic Book"/>
                <w:b/>
                <w:color w:val="404040" w:themeColor="text1" w:themeTint="BF"/>
                <w:sz w:val="24"/>
                <w:szCs w:val="24"/>
              </w:rPr>
            </w:pPr>
            <w:r>
              <w:rPr>
                <w:rFonts w:ascii="Franklin Gothic Book" w:hAnsi="Franklin Gothic Book"/>
                <w:b/>
                <w:color w:val="404040" w:themeColor="text1" w:themeTint="BF"/>
                <w:sz w:val="24"/>
                <w:szCs w:val="24"/>
              </w:rPr>
              <w:t>S</w:t>
            </w:r>
            <w:r w:rsidR="001B4712">
              <w:rPr>
                <w:rFonts w:ascii="Franklin Gothic Book" w:hAnsi="Franklin Gothic Book"/>
                <w:b/>
                <w:color w:val="404040" w:themeColor="text1" w:themeTint="BF"/>
                <w:sz w:val="24"/>
                <w:szCs w:val="24"/>
              </w:rPr>
              <w:t>undhedsstyrelsen</w:t>
            </w:r>
            <w:r w:rsidR="001B4712">
              <w:rPr>
                <w:rFonts w:ascii="Franklin Gothic Book" w:hAnsi="Franklin Gothic Book"/>
                <w:b/>
                <w:color w:val="404040" w:themeColor="text1" w:themeTint="BF"/>
                <w:sz w:val="24"/>
                <w:szCs w:val="24"/>
              </w:rPr>
              <w:br/>
              <w:t>Axel Heides Gade 1</w:t>
            </w:r>
            <w:r w:rsidR="001B4712">
              <w:rPr>
                <w:rFonts w:ascii="Franklin Gothic Book" w:hAnsi="Franklin Gothic Book"/>
                <w:b/>
                <w:color w:val="404040" w:themeColor="text1" w:themeTint="BF"/>
                <w:sz w:val="24"/>
                <w:szCs w:val="24"/>
              </w:rPr>
              <w:br/>
              <w:t>2300 København S</w:t>
            </w:r>
          </w:p>
        </w:tc>
        <w:tc>
          <w:tcPr>
            <w:tcW w:w="3259" w:type="dxa"/>
          </w:tcPr>
          <w:p w:rsidR="009A11AA" w:rsidRPr="00387E2A" w:rsidRDefault="009A11AA">
            <w:pPr>
              <w:rPr>
                <w:color w:val="404040" w:themeColor="text1" w:themeTint="BF"/>
              </w:rPr>
            </w:pPr>
          </w:p>
        </w:tc>
        <w:tc>
          <w:tcPr>
            <w:tcW w:w="3260" w:type="dxa"/>
          </w:tcPr>
          <w:p w:rsidR="009A11AA" w:rsidRPr="00184266" w:rsidRDefault="009A11AA" w:rsidP="00AA0E80">
            <w:pPr>
              <w:rPr>
                <w:rFonts w:ascii="Franklin Gothic Book" w:hAnsi="Franklin Gothic Book"/>
                <w:color w:val="404040" w:themeColor="text1" w:themeTint="BF"/>
                <w:sz w:val="24"/>
                <w:szCs w:val="24"/>
              </w:rPr>
            </w:pPr>
            <w:r>
              <w:rPr>
                <w:rFonts w:ascii="Franklin Gothic Book" w:hAnsi="Franklin Gothic Book"/>
                <w:color w:val="404040" w:themeColor="text1" w:themeTint="BF"/>
                <w:sz w:val="24"/>
                <w:szCs w:val="24"/>
              </w:rPr>
              <w:t xml:space="preserve"> </w:t>
            </w:r>
            <w:r w:rsidRPr="00184266">
              <w:rPr>
                <w:rFonts w:ascii="Franklin Gothic Book" w:hAnsi="Franklin Gothic Book"/>
                <w:color w:val="404040" w:themeColor="text1" w:themeTint="BF"/>
                <w:sz w:val="24"/>
                <w:szCs w:val="24"/>
              </w:rPr>
              <w:t>Børns Vilkår</w:t>
            </w:r>
          </w:p>
          <w:p w:rsidR="009A11AA" w:rsidRPr="00184266" w:rsidRDefault="009A11AA" w:rsidP="00AA0E80">
            <w:pPr>
              <w:rPr>
                <w:rFonts w:ascii="Franklin Gothic Book" w:hAnsi="Franklin Gothic Book"/>
                <w:color w:val="404040" w:themeColor="text1" w:themeTint="BF"/>
                <w:sz w:val="24"/>
                <w:szCs w:val="24"/>
              </w:rPr>
            </w:pPr>
            <w:r>
              <w:rPr>
                <w:rFonts w:ascii="Franklin Gothic Book" w:hAnsi="Franklin Gothic Book"/>
                <w:color w:val="404040" w:themeColor="text1" w:themeTint="BF"/>
                <w:sz w:val="24"/>
                <w:szCs w:val="24"/>
              </w:rPr>
              <w:t xml:space="preserve"> </w:t>
            </w:r>
            <w:r w:rsidRPr="00184266">
              <w:rPr>
                <w:rFonts w:ascii="Franklin Gothic Book" w:hAnsi="Franklin Gothic Book"/>
                <w:color w:val="404040" w:themeColor="text1" w:themeTint="BF"/>
                <w:sz w:val="24"/>
                <w:szCs w:val="24"/>
              </w:rPr>
              <w:t>Trekronergade 126 F, 2. sal</w:t>
            </w:r>
          </w:p>
          <w:p w:rsidR="009A11AA" w:rsidRPr="00387E2A" w:rsidRDefault="009A11AA">
            <w:pPr>
              <w:rPr>
                <w:color w:val="404040" w:themeColor="text1" w:themeTint="BF"/>
              </w:rPr>
            </w:pPr>
            <w:r>
              <w:rPr>
                <w:rFonts w:ascii="Franklin Gothic Book" w:hAnsi="Franklin Gothic Book"/>
                <w:color w:val="404040" w:themeColor="text1" w:themeTint="BF"/>
                <w:sz w:val="24"/>
                <w:szCs w:val="24"/>
              </w:rPr>
              <w:t xml:space="preserve"> </w:t>
            </w:r>
            <w:r w:rsidRPr="00184266">
              <w:rPr>
                <w:rFonts w:ascii="Franklin Gothic Book" w:hAnsi="Franklin Gothic Book"/>
                <w:color w:val="404040" w:themeColor="text1" w:themeTint="BF"/>
                <w:sz w:val="24"/>
                <w:szCs w:val="24"/>
              </w:rPr>
              <w:t>2500 Valby</w:t>
            </w:r>
          </w:p>
        </w:tc>
      </w:tr>
      <w:tr w:rsidR="009A11AA" w:rsidRPr="00387E2A" w:rsidTr="00CF19EA">
        <w:tc>
          <w:tcPr>
            <w:tcW w:w="3259" w:type="dxa"/>
          </w:tcPr>
          <w:p w:rsidR="009A11AA" w:rsidRPr="00387E2A" w:rsidRDefault="009A11AA">
            <w:pPr>
              <w:rPr>
                <w:color w:val="404040" w:themeColor="text1" w:themeTint="BF"/>
              </w:rPr>
            </w:pPr>
          </w:p>
        </w:tc>
        <w:tc>
          <w:tcPr>
            <w:tcW w:w="3259" w:type="dxa"/>
          </w:tcPr>
          <w:p w:rsidR="009A11AA" w:rsidRPr="00387E2A" w:rsidRDefault="009A11AA">
            <w:pPr>
              <w:rPr>
                <w:color w:val="404040" w:themeColor="text1" w:themeTint="BF"/>
              </w:rPr>
            </w:pPr>
          </w:p>
        </w:tc>
        <w:tc>
          <w:tcPr>
            <w:tcW w:w="3260" w:type="dxa"/>
            <w:vAlign w:val="bottom"/>
          </w:tcPr>
          <w:p w:rsidR="009A11AA" w:rsidRPr="00387E2A" w:rsidRDefault="009A11AA" w:rsidP="00AA0E80">
            <w:pPr>
              <w:rPr>
                <w:color w:val="404040" w:themeColor="text1" w:themeTint="BF"/>
              </w:rPr>
            </w:pPr>
          </w:p>
        </w:tc>
      </w:tr>
      <w:tr w:rsidR="009A11AA" w:rsidRPr="00387E2A" w:rsidTr="00CF19EA">
        <w:tc>
          <w:tcPr>
            <w:tcW w:w="3259" w:type="dxa"/>
          </w:tcPr>
          <w:p w:rsidR="009A11AA" w:rsidRPr="00387E2A" w:rsidRDefault="009A11AA" w:rsidP="00D570EB">
            <w:pPr>
              <w:rPr>
                <w:color w:val="404040" w:themeColor="text1" w:themeTint="BF"/>
              </w:rPr>
            </w:pPr>
          </w:p>
        </w:tc>
        <w:tc>
          <w:tcPr>
            <w:tcW w:w="3259" w:type="dxa"/>
          </w:tcPr>
          <w:p w:rsidR="009A11AA" w:rsidRPr="00387E2A" w:rsidRDefault="009A11AA" w:rsidP="00DC3A25">
            <w:pPr>
              <w:jc w:val="center"/>
              <w:rPr>
                <w:color w:val="404040" w:themeColor="text1" w:themeTint="BF"/>
              </w:rPr>
            </w:pPr>
          </w:p>
        </w:tc>
        <w:tc>
          <w:tcPr>
            <w:tcW w:w="3260" w:type="dxa"/>
          </w:tcPr>
          <w:p w:rsidR="009A11AA" w:rsidRPr="00387E2A" w:rsidRDefault="009A11AA" w:rsidP="00D570EB">
            <w:pPr>
              <w:rPr>
                <w:color w:val="404040" w:themeColor="text1" w:themeTint="BF"/>
              </w:rPr>
            </w:pPr>
          </w:p>
        </w:tc>
      </w:tr>
      <w:tr w:rsidR="009A11AA" w:rsidRPr="00387E2A" w:rsidTr="00CF19EA">
        <w:trPr>
          <w:trHeight w:val="1683"/>
        </w:trPr>
        <w:tc>
          <w:tcPr>
            <w:tcW w:w="3259" w:type="dxa"/>
          </w:tcPr>
          <w:p w:rsidR="009A11AA" w:rsidRPr="00387E2A" w:rsidRDefault="009A11AA">
            <w:pPr>
              <w:rPr>
                <w:color w:val="404040" w:themeColor="text1" w:themeTint="BF"/>
              </w:rPr>
            </w:pPr>
          </w:p>
        </w:tc>
        <w:tc>
          <w:tcPr>
            <w:tcW w:w="3259" w:type="dxa"/>
          </w:tcPr>
          <w:p w:rsidR="009A11AA" w:rsidRPr="00387E2A" w:rsidRDefault="009A11AA">
            <w:pPr>
              <w:rPr>
                <w:color w:val="404040" w:themeColor="text1" w:themeTint="BF"/>
              </w:rPr>
            </w:pPr>
          </w:p>
        </w:tc>
        <w:tc>
          <w:tcPr>
            <w:tcW w:w="3260" w:type="dxa"/>
          </w:tcPr>
          <w:p w:rsidR="009A11AA" w:rsidRPr="00387E2A" w:rsidRDefault="007446F5" w:rsidP="009C7525">
            <w:pPr>
              <w:rPr>
                <w:color w:val="404040" w:themeColor="text1" w:themeTint="BF"/>
              </w:rPr>
            </w:pPr>
            <w:r>
              <w:rPr>
                <w:rFonts w:ascii="Franklin Gothic Book" w:hAnsi="Franklin Gothic Book"/>
                <w:color w:val="404040" w:themeColor="text1" w:themeTint="BF"/>
              </w:rPr>
              <w:t>8</w:t>
            </w:r>
            <w:r w:rsidR="009C7525">
              <w:rPr>
                <w:rFonts w:ascii="Franklin Gothic Book" w:hAnsi="Franklin Gothic Book"/>
                <w:color w:val="404040" w:themeColor="text1" w:themeTint="BF"/>
              </w:rPr>
              <w:t xml:space="preserve">. august </w:t>
            </w:r>
            <w:r w:rsidR="008C38E0">
              <w:rPr>
                <w:rFonts w:ascii="Franklin Gothic Book" w:hAnsi="Franklin Gothic Book"/>
                <w:color w:val="404040" w:themeColor="text1" w:themeTint="BF"/>
              </w:rPr>
              <w:t>201</w:t>
            </w:r>
            <w:r w:rsidR="0009677B">
              <w:rPr>
                <w:rFonts w:ascii="Franklin Gothic Book" w:hAnsi="Franklin Gothic Book"/>
                <w:color w:val="404040" w:themeColor="text1" w:themeTint="BF"/>
              </w:rPr>
              <w:t>4</w:t>
            </w:r>
          </w:p>
        </w:tc>
      </w:tr>
    </w:tbl>
    <w:p w:rsidR="001B4712" w:rsidRDefault="008C38E0" w:rsidP="001B4712">
      <w:pPr>
        <w:rPr>
          <w:b/>
          <w:bCs/>
          <w:sz w:val="28"/>
          <w:szCs w:val="28"/>
        </w:rPr>
      </w:pPr>
      <w:r>
        <w:rPr>
          <w:b/>
          <w:sz w:val="28"/>
          <w:szCs w:val="28"/>
        </w:rPr>
        <w:t>Høringssvar vedr.</w:t>
      </w:r>
      <w:r w:rsidR="001B4712" w:rsidRPr="001B4712">
        <w:rPr>
          <w:rFonts w:ascii="Arial" w:hAnsi="Arial" w:cs="Arial"/>
          <w:color w:val="000000"/>
          <w:sz w:val="24"/>
          <w:szCs w:val="24"/>
        </w:rPr>
        <w:t xml:space="preserve"> </w:t>
      </w:r>
      <w:r w:rsidR="001B4712" w:rsidRPr="001B4712">
        <w:rPr>
          <w:b/>
          <w:bCs/>
          <w:sz w:val="28"/>
          <w:szCs w:val="28"/>
        </w:rPr>
        <w:t>udkast til vejledning om udredning og behandling af transkønnede</w:t>
      </w:r>
      <w:r w:rsidR="001B4712">
        <w:rPr>
          <w:b/>
          <w:bCs/>
          <w:sz w:val="28"/>
          <w:szCs w:val="28"/>
        </w:rPr>
        <w:t>.</w:t>
      </w:r>
    </w:p>
    <w:p w:rsidR="008C38E0" w:rsidRDefault="008C38E0" w:rsidP="001B4712">
      <w:r>
        <w:t xml:space="preserve">Børns Vilkår takker for muligheden for at afgive høringssvar vedr. </w:t>
      </w:r>
      <w:r w:rsidR="003B3888">
        <w:t>ovennævnte vejledning.</w:t>
      </w:r>
    </w:p>
    <w:p w:rsidR="004265A3" w:rsidRDefault="004265A3" w:rsidP="001B4712">
      <w:r w:rsidRPr="004265A3">
        <w:t>Overordnet set mener vi</w:t>
      </w:r>
      <w:r w:rsidR="009C7525">
        <w:t>,</w:t>
      </w:r>
      <w:r w:rsidRPr="004265A3">
        <w:t xml:space="preserve"> at vejledningen er egnet til at støtte lægerne i forbindelse med udredning og behandling af transkønnede patienter.</w:t>
      </w:r>
    </w:p>
    <w:p w:rsidR="009C7525" w:rsidRDefault="009C7525" w:rsidP="00F601E1">
      <w:r w:rsidRPr="009C7525">
        <w:t xml:space="preserve">Børns Vilkår </w:t>
      </w:r>
      <w:r>
        <w:t xml:space="preserve">får </w:t>
      </w:r>
      <w:r w:rsidR="00EE7A9E">
        <w:t xml:space="preserve">på BørneTelefonen </w:t>
      </w:r>
      <w:r>
        <w:t xml:space="preserve">henvendelser fra børn, </w:t>
      </w:r>
      <w:r w:rsidRPr="009C7525">
        <w:t xml:space="preserve">der </w:t>
      </w:r>
      <w:r>
        <w:t xml:space="preserve">giver udtryk for, at </w:t>
      </w:r>
      <w:r w:rsidRPr="009C7525">
        <w:t>de føler sig ensomme og ikke mødes med forståelse for deres tanker om at være ’fanget i egen krop’</w:t>
      </w:r>
    </w:p>
    <w:p w:rsidR="007446F5" w:rsidRDefault="00F601E1" w:rsidP="007446F5">
      <w:r>
        <w:t xml:space="preserve">På den baggrund mener </w:t>
      </w:r>
      <w:r w:rsidR="006B174C">
        <w:t xml:space="preserve">Børns Vilkår, at det er positivt, </w:t>
      </w:r>
      <w:r w:rsidR="009C7525">
        <w:t xml:space="preserve">at </w:t>
      </w:r>
      <w:r w:rsidR="00810DEA">
        <w:t>vejledningen indeholder et afsnit</w:t>
      </w:r>
      <w:r w:rsidR="007446F5">
        <w:t>,</w:t>
      </w:r>
      <w:r w:rsidR="00810DEA">
        <w:t xml:space="preserve"> der specifikt omhandler rådgivning mv. af børn og unge.</w:t>
      </w:r>
      <w:r w:rsidR="007446F5" w:rsidRPr="007446F5">
        <w:t xml:space="preserve"> Det er af afgørende betydning for børn, der har en kønsforstyrrelse, eller er forvirrede over deres følelser om ’rigtigt køn’, at de bliver mødt af voksne, der</w:t>
      </w:r>
      <w:r w:rsidR="007446F5">
        <w:t xml:space="preserve"> har indsigt og </w:t>
      </w:r>
      <w:r w:rsidR="007446F5" w:rsidRPr="007446F5">
        <w:t xml:space="preserve">kan støtte dem </w:t>
      </w:r>
      <w:r w:rsidR="007446F5">
        <w:t xml:space="preserve">og deres forældre </w:t>
      </w:r>
      <w:r w:rsidR="007446F5" w:rsidRPr="007446F5">
        <w:t>i d</w:t>
      </w:r>
      <w:r w:rsidR="007446F5">
        <w:t xml:space="preserve">en proces det er, at få afklaring. </w:t>
      </w:r>
      <w:r w:rsidR="00810DEA">
        <w:t xml:space="preserve"> </w:t>
      </w:r>
    </w:p>
    <w:p w:rsidR="00141D2D" w:rsidRDefault="00141D2D" w:rsidP="006214C1">
      <w:r>
        <w:t xml:space="preserve">Henset til den meget begrænsede forskning på området </w:t>
      </w:r>
      <w:r w:rsidR="006214C1">
        <w:t xml:space="preserve">og de endnu mere begrænsede danske erfaringer </w:t>
      </w:r>
      <w:r>
        <w:t xml:space="preserve">vil Børns Vilkår appellere til, at man hurtigst muligt iværksætter systematisk </w:t>
      </w:r>
      <w:r w:rsidR="00A61F2A">
        <w:t>videns indsamling</w:t>
      </w:r>
      <w:r>
        <w:t xml:space="preserve">. Det vil i den forbindelse være </w:t>
      </w:r>
      <w:r w:rsidR="002B6F74">
        <w:t xml:space="preserve">afgørende, at man både </w:t>
      </w:r>
      <w:r w:rsidR="006214C1">
        <w:t xml:space="preserve">dokumenterer praksis </w:t>
      </w:r>
      <w:r>
        <w:t xml:space="preserve">ud fra </w:t>
      </w:r>
      <w:r w:rsidR="002B6F74">
        <w:t xml:space="preserve">et behandlingsmæssigt synspunkt, og derudover indsamler viden om, hvordan det opleves at være et barn med en kønsforstyrrelse i behandlingssystemet. Børns Vilkår skal i den forbindelse opfordre til, at man i videst muligt omfang inddrager børnene </w:t>
      </w:r>
      <w:r w:rsidR="006214C1">
        <w:t>og de unge selv</w:t>
      </w:r>
      <w:r w:rsidR="007446F5">
        <w:t xml:space="preserve"> i forbindelse med tilvejebringelsen af dokumentationen</w:t>
      </w:r>
      <w:r w:rsidR="002B6F74">
        <w:t>.</w:t>
      </w:r>
      <w:r>
        <w:t xml:space="preserve"> </w:t>
      </w:r>
    </w:p>
    <w:p w:rsidR="00141D2D" w:rsidRDefault="00810DEA" w:rsidP="007446F5">
      <w:r>
        <w:t>Børns Vilkår mener, at det vil være naturligt, såfremt ekspertisen samle</w:t>
      </w:r>
      <w:r w:rsidR="007446F5">
        <w:t xml:space="preserve">s </w:t>
      </w:r>
      <w:r w:rsidR="00141D2D">
        <w:t>f.eks. på</w:t>
      </w:r>
      <w:r>
        <w:t xml:space="preserve"> Sexologisk Klinik på Rigshospitalet</w:t>
      </w:r>
      <w:r w:rsidR="00A61F2A">
        <w:t>, hvor kompetencen på voksenområdet i forvejen er samlet</w:t>
      </w:r>
      <w:r w:rsidR="00141D2D">
        <w:t>.</w:t>
      </w:r>
      <w:r w:rsidR="00EE7A9E">
        <w:t xml:space="preserve"> </w:t>
      </w:r>
    </w:p>
    <w:p w:rsidR="00662199" w:rsidRDefault="00141D2D" w:rsidP="006214C1">
      <w:r>
        <w:t xml:space="preserve">Børns Vilkår </w:t>
      </w:r>
      <w:r w:rsidR="006214C1">
        <w:t xml:space="preserve">kan være bekymrede for </w:t>
      </w:r>
      <w:r w:rsidR="002D4953">
        <w:t>at børn og unge, der har brug for rådgivning, fordi de ikke lever i harmoni med deres biologiske køn,</w:t>
      </w:r>
      <w:r w:rsidR="006214C1">
        <w:t xml:space="preserve"> oplever den geografiske afstand</w:t>
      </w:r>
      <w:r w:rsidR="007446F5">
        <w:t xml:space="preserve"> til klinikken</w:t>
      </w:r>
      <w:r w:rsidR="006214C1">
        <w:t xml:space="preserve"> som en hindring for at søge hjælp. Vi skal derfor understrege, at det er af afgørende betydning, at indsamlet viden deles og forankres lokalt.</w:t>
      </w:r>
    </w:p>
    <w:p w:rsidR="004265A3" w:rsidRDefault="004265A3" w:rsidP="006214C1">
      <w:r>
        <w:t xml:space="preserve">I tillæg til </w:t>
      </w:r>
      <w:r w:rsidR="006214C1">
        <w:t xml:space="preserve">vejledningen og ovennævnte bemærkninger </w:t>
      </w:r>
      <w:r>
        <w:t xml:space="preserve">anbefaler Børns Vilkår på det kraftigste, at der oparbejdes og igangsættes systematiske forløb, der klæder praktiserende læger samt det social- og </w:t>
      </w:r>
      <w:r>
        <w:lastRenderedPageBreak/>
        <w:t xml:space="preserve">børnefaglige personale som børn, herunder transkønnede børn, møder i deres dagligdag, fagligt på til at møde og håndtere børn, der ikke lever i harmoni med deres biologiske køn. </w:t>
      </w:r>
    </w:p>
    <w:p w:rsidR="004265A3" w:rsidRDefault="004265A3" w:rsidP="00522055">
      <w:r>
        <w:t>Dette fordi det kan have store konsekvenser for barnets sociale og seksuelle udvikling, hvis dets oplevede følelse af ikke at ’høre til’ i sin krop med det medfødte biologiske køn, ikke imødekommes og håndteres af voksne, der har indsigt i betydningen af en kønsforstyrrelse og i transkønnedes levevilkår. Hvis hver voksen i barnets omverden – oftest med de bedste intentioner – tager afsæt i egne individuelle holdninger og egen potentielt begrænsede viden om forskelle på socialt og biologisk køn, er der risiko for at barnets oplevede mistrivsel øges</w:t>
      </w:r>
      <w:r w:rsidR="00522055">
        <w:t xml:space="preserve">. Dette som direkte </w:t>
      </w:r>
      <w:r>
        <w:t xml:space="preserve">følge af de voksnes utilsigtede ekskludering og stigmatisering. </w:t>
      </w:r>
    </w:p>
    <w:p w:rsidR="004265A3" w:rsidRDefault="004265A3" w:rsidP="00522055">
      <w:r>
        <w:t>Børns Vilkår anbefaler derfor, at alt social- og børnefagligt personale som en del af et uddannelsesforløb får indsigt i, hvad en kønsforstyrrelse vil sige og i hvordan voksne bedst møder og hjælper transkønnede børn. Ydermere anbefaler Børns Vilkår, at de praktiserende læger, som er den faggruppe der er i kontakt med transkønnede børn forud for henvisningen til Sexologisk Klinik, opnår indsigt i hvad en kønsforstyrrelse er og i transkønnede personers levevilkår. Sammen med den lægefaglige viden kan denne indsigt danne grundlag for, at den praktiserende læge kan udfylde en mere omfattende rådgivende og anbefalende rolle over for transkønnede børn og deres forældre, og dermed fungere som en ”overgangsstation” inden</w:t>
      </w:r>
      <w:r w:rsidR="00522055">
        <w:t xml:space="preserve"> forløbet på Sexologisk Klinik </w:t>
      </w:r>
      <w:r>
        <w:t xml:space="preserve">eventuelt begynder. </w:t>
      </w:r>
    </w:p>
    <w:p w:rsidR="001209D1" w:rsidRDefault="001209D1" w:rsidP="00CB4036"/>
    <w:p w:rsidR="001209D1" w:rsidRDefault="00CB4036" w:rsidP="00CB4036">
      <w:r w:rsidRPr="000B60FD">
        <w:t>Med venlig hilsen</w:t>
      </w:r>
      <w:r>
        <w:br/>
      </w:r>
      <w:r>
        <w:br/>
      </w:r>
    </w:p>
    <w:p w:rsidR="00CB4036" w:rsidRPr="00D10BFD" w:rsidRDefault="001B4712" w:rsidP="00CB4036">
      <w:r>
        <w:t>Rasmus Kjeldahl</w:t>
      </w:r>
      <w:r w:rsidR="00CB4036">
        <w:tab/>
      </w:r>
      <w:r w:rsidR="00CB4036">
        <w:tab/>
        <w:t>Ingrid Hartelius Dall</w:t>
      </w:r>
      <w:r w:rsidR="00CB4036">
        <w:br/>
        <w:t xml:space="preserve">     Direktør</w:t>
      </w:r>
      <w:r w:rsidR="00CB4036">
        <w:tab/>
      </w:r>
      <w:r w:rsidR="00CB4036">
        <w:tab/>
      </w:r>
      <w:r w:rsidR="00CB4036">
        <w:tab/>
        <w:t xml:space="preserve">             Jurist</w:t>
      </w:r>
    </w:p>
    <w:p w:rsidR="00A41F32" w:rsidRPr="00A41F32" w:rsidRDefault="00A41F32" w:rsidP="00A41F32"/>
    <w:sectPr w:rsidR="00A41F32" w:rsidRPr="00A41F3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9D1" w:rsidRDefault="001209D1" w:rsidP="001209D1">
      <w:pPr>
        <w:spacing w:after="0" w:line="240" w:lineRule="auto"/>
      </w:pPr>
      <w:r>
        <w:separator/>
      </w:r>
    </w:p>
  </w:endnote>
  <w:endnote w:type="continuationSeparator" w:id="0">
    <w:p w:rsidR="001209D1" w:rsidRDefault="001209D1" w:rsidP="00120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9D1" w:rsidRDefault="001209D1" w:rsidP="001209D1">
      <w:pPr>
        <w:spacing w:after="0" w:line="240" w:lineRule="auto"/>
      </w:pPr>
      <w:r>
        <w:separator/>
      </w:r>
    </w:p>
  </w:footnote>
  <w:footnote w:type="continuationSeparator" w:id="0">
    <w:p w:rsidR="001209D1" w:rsidRDefault="001209D1" w:rsidP="001209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E80"/>
    <w:rsid w:val="000006BE"/>
    <w:rsid w:val="0001563C"/>
    <w:rsid w:val="0009677B"/>
    <w:rsid w:val="000C4647"/>
    <w:rsid w:val="001209D1"/>
    <w:rsid w:val="00141D2D"/>
    <w:rsid w:val="00144B0E"/>
    <w:rsid w:val="00184266"/>
    <w:rsid w:val="001B4712"/>
    <w:rsid w:val="001F4639"/>
    <w:rsid w:val="002A116F"/>
    <w:rsid w:val="002B6F74"/>
    <w:rsid w:val="002D4953"/>
    <w:rsid w:val="00387E2A"/>
    <w:rsid w:val="003B3888"/>
    <w:rsid w:val="003B6E85"/>
    <w:rsid w:val="004265A3"/>
    <w:rsid w:val="004C0453"/>
    <w:rsid w:val="005025D8"/>
    <w:rsid w:val="00522055"/>
    <w:rsid w:val="006214C1"/>
    <w:rsid w:val="00662199"/>
    <w:rsid w:val="006B174C"/>
    <w:rsid w:val="007446F5"/>
    <w:rsid w:val="0078524B"/>
    <w:rsid w:val="007B62DC"/>
    <w:rsid w:val="00810DEA"/>
    <w:rsid w:val="00852D86"/>
    <w:rsid w:val="008745CA"/>
    <w:rsid w:val="008B22BF"/>
    <w:rsid w:val="008C38E0"/>
    <w:rsid w:val="008E7E59"/>
    <w:rsid w:val="00906D6B"/>
    <w:rsid w:val="00976117"/>
    <w:rsid w:val="009A11AA"/>
    <w:rsid w:val="009C7525"/>
    <w:rsid w:val="009D54D0"/>
    <w:rsid w:val="00A41F32"/>
    <w:rsid w:val="00A61F2A"/>
    <w:rsid w:val="00A91018"/>
    <w:rsid w:val="00AA0E80"/>
    <w:rsid w:val="00AA6ECB"/>
    <w:rsid w:val="00AB6E42"/>
    <w:rsid w:val="00BE7460"/>
    <w:rsid w:val="00C433EA"/>
    <w:rsid w:val="00CB4036"/>
    <w:rsid w:val="00CF19EA"/>
    <w:rsid w:val="00D17CC1"/>
    <w:rsid w:val="00D570EB"/>
    <w:rsid w:val="00DC3A25"/>
    <w:rsid w:val="00E04E4D"/>
    <w:rsid w:val="00E50167"/>
    <w:rsid w:val="00EB749E"/>
    <w:rsid w:val="00EC7863"/>
    <w:rsid w:val="00EE7A9E"/>
    <w:rsid w:val="00F129C8"/>
    <w:rsid w:val="00F601E1"/>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AA0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AA0E8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A0E80"/>
    <w:rPr>
      <w:rFonts w:ascii="Tahoma" w:hAnsi="Tahoma" w:cs="Tahoma"/>
      <w:sz w:val="16"/>
      <w:szCs w:val="16"/>
    </w:rPr>
  </w:style>
  <w:style w:type="character" w:styleId="Kommentarhenvisning">
    <w:name w:val="annotation reference"/>
    <w:basedOn w:val="Standardskrifttypeiafsnit"/>
    <w:uiPriority w:val="99"/>
    <w:semiHidden/>
    <w:unhideWhenUsed/>
    <w:rsid w:val="000C4647"/>
    <w:rPr>
      <w:sz w:val="16"/>
      <w:szCs w:val="16"/>
    </w:rPr>
  </w:style>
  <w:style w:type="paragraph" w:styleId="Kommentartekst">
    <w:name w:val="annotation text"/>
    <w:basedOn w:val="Normal"/>
    <w:link w:val="KommentartekstTegn"/>
    <w:uiPriority w:val="99"/>
    <w:semiHidden/>
    <w:unhideWhenUsed/>
    <w:rsid w:val="000C464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0C4647"/>
    <w:rPr>
      <w:sz w:val="20"/>
      <w:szCs w:val="20"/>
    </w:rPr>
  </w:style>
  <w:style w:type="paragraph" w:styleId="Kommentaremne">
    <w:name w:val="annotation subject"/>
    <w:basedOn w:val="Kommentartekst"/>
    <w:next w:val="Kommentartekst"/>
    <w:link w:val="KommentaremneTegn"/>
    <w:uiPriority w:val="99"/>
    <w:semiHidden/>
    <w:unhideWhenUsed/>
    <w:rsid w:val="000C4647"/>
    <w:rPr>
      <w:b/>
      <w:bCs/>
    </w:rPr>
  </w:style>
  <w:style w:type="character" w:customStyle="1" w:styleId="KommentaremneTegn">
    <w:name w:val="Kommentaremne Tegn"/>
    <w:basedOn w:val="KommentartekstTegn"/>
    <w:link w:val="Kommentaremne"/>
    <w:uiPriority w:val="99"/>
    <w:semiHidden/>
    <w:rsid w:val="000C4647"/>
    <w:rPr>
      <w:b/>
      <w:bCs/>
      <w:sz w:val="20"/>
      <w:szCs w:val="20"/>
    </w:rPr>
  </w:style>
  <w:style w:type="paragraph" w:styleId="Sidehoved">
    <w:name w:val="header"/>
    <w:basedOn w:val="Normal"/>
    <w:link w:val="SidehovedTegn"/>
    <w:uiPriority w:val="99"/>
    <w:unhideWhenUsed/>
    <w:rsid w:val="001209D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209D1"/>
  </w:style>
  <w:style w:type="paragraph" w:styleId="Sidefod">
    <w:name w:val="footer"/>
    <w:basedOn w:val="Normal"/>
    <w:link w:val="SidefodTegn"/>
    <w:uiPriority w:val="99"/>
    <w:unhideWhenUsed/>
    <w:rsid w:val="001209D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209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AA0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AA0E8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A0E80"/>
    <w:rPr>
      <w:rFonts w:ascii="Tahoma" w:hAnsi="Tahoma" w:cs="Tahoma"/>
      <w:sz w:val="16"/>
      <w:szCs w:val="16"/>
    </w:rPr>
  </w:style>
  <w:style w:type="character" w:styleId="Kommentarhenvisning">
    <w:name w:val="annotation reference"/>
    <w:basedOn w:val="Standardskrifttypeiafsnit"/>
    <w:uiPriority w:val="99"/>
    <w:semiHidden/>
    <w:unhideWhenUsed/>
    <w:rsid w:val="000C4647"/>
    <w:rPr>
      <w:sz w:val="16"/>
      <w:szCs w:val="16"/>
    </w:rPr>
  </w:style>
  <w:style w:type="paragraph" w:styleId="Kommentartekst">
    <w:name w:val="annotation text"/>
    <w:basedOn w:val="Normal"/>
    <w:link w:val="KommentartekstTegn"/>
    <w:uiPriority w:val="99"/>
    <w:semiHidden/>
    <w:unhideWhenUsed/>
    <w:rsid w:val="000C464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0C4647"/>
    <w:rPr>
      <w:sz w:val="20"/>
      <w:szCs w:val="20"/>
    </w:rPr>
  </w:style>
  <w:style w:type="paragraph" w:styleId="Kommentaremne">
    <w:name w:val="annotation subject"/>
    <w:basedOn w:val="Kommentartekst"/>
    <w:next w:val="Kommentartekst"/>
    <w:link w:val="KommentaremneTegn"/>
    <w:uiPriority w:val="99"/>
    <w:semiHidden/>
    <w:unhideWhenUsed/>
    <w:rsid w:val="000C4647"/>
    <w:rPr>
      <w:b/>
      <w:bCs/>
    </w:rPr>
  </w:style>
  <w:style w:type="character" w:customStyle="1" w:styleId="KommentaremneTegn">
    <w:name w:val="Kommentaremne Tegn"/>
    <w:basedOn w:val="KommentartekstTegn"/>
    <w:link w:val="Kommentaremne"/>
    <w:uiPriority w:val="99"/>
    <w:semiHidden/>
    <w:rsid w:val="000C4647"/>
    <w:rPr>
      <w:b/>
      <w:bCs/>
      <w:sz w:val="20"/>
      <w:szCs w:val="20"/>
    </w:rPr>
  </w:style>
  <w:style w:type="paragraph" w:styleId="Sidehoved">
    <w:name w:val="header"/>
    <w:basedOn w:val="Normal"/>
    <w:link w:val="SidehovedTegn"/>
    <w:uiPriority w:val="99"/>
    <w:unhideWhenUsed/>
    <w:rsid w:val="001209D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209D1"/>
  </w:style>
  <w:style w:type="paragraph" w:styleId="Sidefod">
    <w:name w:val="footer"/>
    <w:basedOn w:val="Normal"/>
    <w:link w:val="SidefodTegn"/>
    <w:uiPriority w:val="99"/>
    <w:unhideWhenUsed/>
    <w:rsid w:val="001209D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20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14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74433-615F-43C2-B9E9-8A9B07362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3463</Characters>
  <Application>Microsoft Office Word</Application>
  <DocSecurity>4</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PNO</Company>
  <LinksUpToDate>false</LinksUpToDate>
  <CharactersWithSpaces>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Børns Vilkår</dc:creator>
  <cp:lastModifiedBy>Ane Rindom</cp:lastModifiedBy>
  <cp:revision>2</cp:revision>
  <cp:lastPrinted>2012-11-27T10:39:00Z</cp:lastPrinted>
  <dcterms:created xsi:type="dcterms:W3CDTF">2015-01-21T13:54:00Z</dcterms:created>
  <dcterms:modified xsi:type="dcterms:W3CDTF">2015-01-21T13:54:00Z</dcterms:modified>
</cp:coreProperties>
</file>