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26" w:rsidRDefault="00D34026" w:rsidP="0018143C">
      <w:bookmarkStart w:id="0" w:name="_GoBack"/>
      <w:bookmarkEnd w:id="0"/>
    </w:p>
    <w:p w:rsidR="002E77B3" w:rsidRDefault="002E77B3" w:rsidP="0018143C">
      <w:pPr>
        <w:rPr>
          <w:szCs w:val="20"/>
        </w:rPr>
      </w:pPr>
    </w:p>
    <w:p w:rsidR="002E77B3" w:rsidRPr="00185A40" w:rsidRDefault="002E77B3" w:rsidP="0018143C">
      <w:pPr>
        <w:rPr>
          <w:color w:val="0000FF"/>
          <w:szCs w:val="20"/>
        </w:rPr>
      </w:pPr>
    </w:p>
    <w:p w:rsidR="00D34026" w:rsidRPr="00626EE2" w:rsidRDefault="00D93572" w:rsidP="0018143C">
      <w:pPr>
        <w:rPr>
          <w:szCs w:val="20"/>
        </w:rPr>
      </w:pPr>
      <w:r>
        <w:rPr>
          <w:szCs w:val="20"/>
        </w:rPr>
        <w:t>Sundhedsstyrelsen</w:t>
      </w:r>
      <w:r w:rsidR="00E84B76" w:rsidRPr="00626EE2">
        <w:rPr>
          <w:szCs w:val="20"/>
        </w:rPr>
        <w:t xml:space="preserve">  </w:t>
      </w:r>
    </w:p>
    <w:p w:rsidR="006E5DA0" w:rsidRDefault="00D93572" w:rsidP="0018143C">
      <w:pPr>
        <w:rPr>
          <w:szCs w:val="20"/>
        </w:rPr>
      </w:pPr>
      <w:r>
        <w:rPr>
          <w:szCs w:val="20"/>
        </w:rPr>
        <w:t xml:space="preserve">Tilsyn og patientsikkerhed </w:t>
      </w:r>
    </w:p>
    <w:p w:rsidR="002D696E" w:rsidRPr="00626EE2" w:rsidRDefault="00D93572" w:rsidP="0018143C">
      <w:pPr>
        <w:rPr>
          <w:szCs w:val="20"/>
        </w:rPr>
      </w:pPr>
      <w:r>
        <w:rPr>
          <w:szCs w:val="20"/>
        </w:rPr>
        <w:t>Axel Heides Gade 1</w:t>
      </w:r>
      <w:r w:rsidR="00E84B76" w:rsidRPr="00626EE2">
        <w:rPr>
          <w:szCs w:val="20"/>
        </w:rPr>
        <w:t xml:space="preserve">  </w:t>
      </w:r>
    </w:p>
    <w:p w:rsidR="00D34026" w:rsidRPr="00626EE2" w:rsidRDefault="00D93572" w:rsidP="0018143C">
      <w:pPr>
        <w:rPr>
          <w:szCs w:val="20"/>
        </w:rPr>
      </w:pPr>
      <w:r>
        <w:rPr>
          <w:szCs w:val="20"/>
        </w:rPr>
        <w:t>2300</w:t>
      </w:r>
      <w:r w:rsidR="00E84B76" w:rsidRPr="00626EE2">
        <w:rPr>
          <w:szCs w:val="20"/>
        </w:rPr>
        <w:t xml:space="preserve"> </w:t>
      </w:r>
      <w:r>
        <w:rPr>
          <w:szCs w:val="20"/>
        </w:rPr>
        <w:t>København S</w:t>
      </w:r>
      <w:r w:rsidR="00E84B76" w:rsidRPr="00626EE2">
        <w:rPr>
          <w:szCs w:val="20"/>
        </w:rPr>
        <w:t xml:space="preserve"> </w:t>
      </w:r>
    </w:p>
    <w:p w:rsidR="00D34026" w:rsidRPr="00626EE2" w:rsidRDefault="00B73D20" w:rsidP="0018143C">
      <w:pPr>
        <w:tabs>
          <w:tab w:val="left" w:pos="9195"/>
        </w:tabs>
        <w:rPr>
          <w:szCs w:val="20"/>
        </w:rPr>
      </w:pPr>
      <w:r w:rsidRPr="00626EE2">
        <w:rPr>
          <w:szCs w:val="20"/>
        </w:rPr>
        <w:tab/>
      </w:r>
    </w:p>
    <w:p w:rsidR="00D34026" w:rsidRPr="00626EE2" w:rsidRDefault="00D34026" w:rsidP="0018143C">
      <w:pPr>
        <w:rPr>
          <w:szCs w:val="20"/>
        </w:rPr>
      </w:pPr>
    </w:p>
    <w:p w:rsidR="00012D71" w:rsidRPr="00626EE2" w:rsidRDefault="00012D71" w:rsidP="0018143C">
      <w:pPr>
        <w:rPr>
          <w:szCs w:val="20"/>
        </w:rPr>
      </w:pPr>
    </w:p>
    <w:p w:rsidR="00012D71" w:rsidRPr="00626EE2" w:rsidRDefault="00012D71" w:rsidP="0018143C">
      <w:pPr>
        <w:rPr>
          <w:szCs w:val="20"/>
        </w:rPr>
      </w:pPr>
    </w:p>
    <w:p w:rsidR="0018143C" w:rsidRPr="00626EE2" w:rsidRDefault="0018143C" w:rsidP="0018143C">
      <w:pPr>
        <w:rPr>
          <w:szCs w:val="20"/>
        </w:rPr>
      </w:pPr>
    </w:p>
    <w:p w:rsidR="00B72FF9" w:rsidRPr="00626EE2" w:rsidRDefault="00567A2C" w:rsidP="00584C67">
      <w:pPr>
        <w:spacing w:line="312" w:lineRule="auto"/>
        <w:jc w:val="both"/>
        <w:rPr>
          <w:b/>
          <w:noProof/>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05.3pt;margin-top:220.5pt;width:124.7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" filled="f" stroked="f">
            <v:textbox>
              <w:txbxContent>
                <w:p w:rsidR="00740CC0" w:rsidRDefault="00740CC0" w:rsidP="0015603B">
                  <w:pPr>
                    <w:tabs>
                      <w:tab w:val="left" w:pos="180"/>
                    </w:tabs>
                    <w:ind w:left="180" w:right="-285"/>
                    <w:rPr>
                      <w:sz w:val="14"/>
                      <w:szCs w:val="14"/>
                    </w:rPr>
                  </w:pPr>
                </w:p>
                <w:p w:rsidR="0078656E" w:rsidRDefault="0078656E" w:rsidP="0078656E">
                  <w:pPr>
                    <w:tabs>
                      <w:tab w:val="left" w:pos="180"/>
                    </w:tabs>
                    <w:ind w:left="180" w:right="-285"/>
                    <w:rPr>
                      <w:sz w:val="14"/>
                      <w:szCs w:val="14"/>
                      <w:lang w:val="en-GB"/>
                    </w:rPr>
                  </w:pPr>
                  <w:r>
                    <w:rPr>
                      <w:sz w:val="14"/>
                      <w:szCs w:val="14"/>
                      <w:lang w:val="en-GB"/>
                    </w:rPr>
                    <w:t xml:space="preserve">Dato: </w:t>
                  </w:r>
                  <w:r w:rsidR="00D57314">
                    <w:rPr>
                      <w:sz w:val="14"/>
                      <w:szCs w:val="14"/>
                      <w:lang w:val="en-GB"/>
                    </w:rPr>
                    <w:t>25-07-2014</w:t>
                  </w:r>
                </w:p>
                <w:p w:rsidR="0078656E" w:rsidRPr="005900F2" w:rsidRDefault="0078656E" w:rsidP="0078656E">
                  <w:pPr>
                    <w:tabs>
                      <w:tab w:val="left" w:pos="180"/>
                    </w:tabs>
                    <w:ind w:left="180" w:right="-285"/>
                    <w:rPr>
                      <w:b/>
                      <w:sz w:val="14"/>
                      <w:szCs w:val="14"/>
                      <w:lang w:val="en-GB"/>
                    </w:rPr>
                  </w:pPr>
                  <w:r w:rsidRPr="005900F2">
                    <w:rPr>
                      <w:b/>
                      <w:sz w:val="14"/>
                      <w:szCs w:val="14"/>
                      <w:lang w:val="en-GB"/>
                    </w:rPr>
                    <w:t xml:space="preserve">Sagsnr.: </w:t>
                  </w:r>
                  <w:r w:rsidR="00D57314">
                    <w:rPr>
                      <w:b/>
                      <w:sz w:val="14"/>
                      <w:szCs w:val="14"/>
                      <w:lang w:val="en-GB"/>
                    </w:rPr>
                    <w:t>14/5695</w:t>
                  </w:r>
                  <w:r w:rsidR="00852537" w:rsidRPr="005900F2">
                    <w:rPr>
                      <w:b/>
                      <w:sz w:val="14"/>
                      <w:szCs w:val="14"/>
                      <w:lang w:val="en-GB"/>
                    </w:rPr>
                    <w:t>/KC</w:t>
                  </w:r>
                </w:p>
                <w:p w:rsidR="0078656E" w:rsidRDefault="0078656E" w:rsidP="0078656E">
                  <w:pPr>
                    <w:tabs>
                      <w:tab w:val="left" w:pos="180"/>
                    </w:tabs>
                    <w:ind w:left="180" w:right="-285"/>
                    <w:rPr>
                      <w:sz w:val="14"/>
                      <w:szCs w:val="14"/>
                      <w:lang w:val="en-GB"/>
                    </w:rPr>
                  </w:pPr>
                  <w:r>
                    <w:rPr>
                      <w:sz w:val="14"/>
                      <w:szCs w:val="14"/>
                      <w:lang w:val="en-GB"/>
                    </w:rPr>
                    <w:t xml:space="preserve">Sagsbeh.: </w:t>
                  </w:r>
                  <w:r w:rsidR="00D57314">
                    <w:rPr>
                      <w:sz w:val="14"/>
                      <w:szCs w:val="14"/>
                      <w:lang w:val="en-GB"/>
                    </w:rPr>
                    <w:t>Hbl</w:t>
                  </w:r>
                </w:p>
                <w:p w:rsidR="0078656E" w:rsidRPr="000C1046" w:rsidRDefault="0078656E" w:rsidP="0078656E">
                  <w:pPr>
                    <w:tabs>
                      <w:tab w:val="left" w:pos="180"/>
                    </w:tabs>
                    <w:ind w:left="180" w:right="-285"/>
                    <w:rPr>
                      <w:sz w:val="14"/>
                      <w:szCs w:val="14"/>
                      <w:lang w:val="en-GB"/>
                    </w:rPr>
                  </w:pPr>
                </w:p>
                <w:p w:rsidR="0078656E" w:rsidRDefault="002D5518" w:rsidP="0078656E">
                  <w:pPr>
                    <w:tabs>
                      <w:tab w:val="left" w:pos="180"/>
                    </w:tabs>
                    <w:ind w:left="180" w:right="-285"/>
                    <w:rPr>
                      <w:sz w:val="14"/>
                      <w:szCs w:val="14"/>
                    </w:rPr>
                  </w:pPr>
                  <w:r>
                    <w:rPr>
                      <w:sz w:val="14"/>
                      <w:szCs w:val="14"/>
                    </w:rPr>
                    <w:t>Patientombuddet</w:t>
                  </w:r>
                </w:p>
                <w:p w:rsidR="0078656E" w:rsidRDefault="0078656E" w:rsidP="0078656E">
                  <w:pPr>
                    <w:tabs>
                      <w:tab w:val="left" w:pos="180"/>
                    </w:tabs>
                    <w:ind w:left="180" w:right="-285"/>
                    <w:rPr>
                      <w:sz w:val="14"/>
                      <w:szCs w:val="14"/>
                    </w:rPr>
                  </w:pPr>
                  <w:r>
                    <w:rPr>
                      <w:sz w:val="14"/>
                      <w:szCs w:val="14"/>
                    </w:rPr>
                    <w:t>Finsensvej 15</w:t>
                  </w:r>
                </w:p>
                <w:p w:rsidR="0078656E" w:rsidRDefault="0078656E" w:rsidP="0078656E">
                  <w:pPr>
                    <w:tabs>
                      <w:tab w:val="left" w:pos="180"/>
                    </w:tabs>
                    <w:ind w:left="180" w:right="-285"/>
                    <w:rPr>
                      <w:sz w:val="14"/>
                      <w:szCs w:val="14"/>
                    </w:rPr>
                  </w:pPr>
                  <w:r>
                    <w:rPr>
                      <w:sz w:val="14"/>
                      <w:szCs w:val="14"/>
                    </w:rPr>
                    <w:t>2000 Frederiksberg</w:t>
                  </w:r>
                </w:p>
                <w:p w:rsidR="005900F2" w:rsidRDefault="005900F2" w:rsidP="005900F2">
                  <w:pPr>
                    <w:tabs>
                      <w:tab w:val="left" w:pos="180"/>
                    </w:tabs>
                    <w:ind w:left="180" w:right="-285"/>
                    <w:rPr>
                      <w:sz w:val="14"/>
                      <w:szCs w:val="14"/>
                    </w:rPr>
                  </w:pPr>
                  <w:r>
                    <w:rPr>
                      <w:sz w:val="14"/>
                      <w:szCs w:val="14"/>
                    </w:rPr>
                    <w:t>Dir. Tlf. +45 7228 6765</w:t>
                  </w:r>
                </w:p>
                <w:p w:rsidR="0078656E" w:rsidRDefault="0078656E" w:rsidP="0078656E">
                  <w:pPr>
                    <w:tabs>
                      <w:tab w:val="left" w:pos="180"/>
                    </w:tabs>
                    <w:ind w:left="180" w:right="-285"/>
                    <w:rPr>
                      <w:sz w:val="14"/>
                      <w:szCs w:val="14"/>
                    </w:rPr>
                  </w:pPr>
                  <w:r>
                    <w:rPr>
                      <w:sz w:val="14"/>
                      <w:szCs w:val="14"/>
                    </w:rPr>
                    <w:t>Telefontid: 10:00-14:00</w:t>
                  </w:r>
                </w:p>
                <w:p w:rsidR="0078656E" w:rsidRDefault="0078656E" w:rsidP="0078656E">
                  <w:pPr>
                    <w:tabs>
                      <w:tab w:val="left" w:pos="180"/>
                    </w:tabs>
                    <w:ind w:left="180" w:right="-285"/>
                    <w:rPr>
                      <w:sz w:val="14"/>
                      <w:szCs w:val="14"/>
                    </w:rPr>
                  </w:pPr>
                  <w:r>
                    <w:rPr>
                      <w:sz w:val="14"/>
                      <w:szCs w:val="14"/>
                    </w:rPr>
                    <w:t>Fax +45 7228 6601</w:t>
                  </w:r>
                </w:p>
                <w:p w:rsidR="0078656E" w:rsidRPr="001736C4" w:rsidRDefault="0078656E" w:rsidP="0078656E">
                  <w:pPr>
                    <w:tabs>
                      <w:tab w:val="left" w:pos="180"/>
                    </w:tabs>
                    <w:ind w:left="180" w:right="-285"/>
                    <w:rPr>
                      <w:sz w:val="14"/>
                      <w:szCs w:val="14"/>
                    </w:rPr>
                  </w:pPr>
                </w:p>
                <w:p w:rsidR="0078656E" w:rsidRPr="001736C4" w:rsidRDefault="00567A2C" w:rsidP="0078656E">
                  <w:pPr>
                    <w:tabs>
                      <w:tab w:val="left" w:pos="180"/>
                    </w:tabs>
                    <w:ind w:left="180" w:right="-285"/>
                    <w:rPr>
                      <w:sz w:val="14"/>
                      <w:szCs w:val="14"/>
                    </w:rPr>
                  </w:pPr>
                  <w:hyperlink r:id="rId8" w:history="1">
                    <w:r w:rsidR="0078656E" w:rsidRPr="001736C4">
                      <w:rPr>
                        <w:rStyle w:val="Hyperlink"/>
                        <w:color w:val="auto"/>
                        <w:sz w:val="14"/>
                        <w:szCs w:val="14"/>
                      </w:rPr>
                      <w:t>pob@patientombuddet.dk</w:t>
                    </w:r>
                  </w:hyperlink>
                </w:p>
                <w:p w:rsidR="0078656E" w:rsidRPr="001736C4" w:rsidRDefault="00567A2C" w:rsidP="0078656E">
                  <w:pPr>
                    <w:ind w:left="180"/>
                    <w:rPr>
                      <w:szCs w:val="12"/>
                    </w:rPr>
                  </w:pPr>
                  <w:hyperlink r:id="rId9" w:history="1">
                    <w:r w:rsidR="0078656E" w:rsidRPr="001736C4">
                      <w:rPr>
                        <w:rStyle w:val="Hyperlink"/>
                        <w:color w:val="auto"/>
                        <w:sz w:val="14"/>
                        <w:szCs w:val="14"/>
                      </w:rPr>
                      <w:t>www.patientombuddet.dk</w:t>
                    </w:r>
                  </w:hyperlink>
                </w:p>
                <w:p w:rsidR="006B2415" w:rsidRPr="00FF5CB2" w:rsidRDefault="006B2415" w:rsidP="0015603B">
                  <w:pPr>
                    <w:tabs>
                      <w:tab w:val="left" w:pos="360"/>
                    </w:tabs>
                    <w:ind w:left="180" w:right="-285"/>
                    <w:rPr>
                      <w:sz w:val="12"/>
                      <w:szCs w:val="12"/>
                    </w:rPr>
                  </w:pPr>
                </w:p>
              </w:txbxContent>
            </v:textbox>
            <w10:wrap type="square" anchory="page"/>
            <w10:anchorlock/>
          </v:shape>
        </w:pict>
      </w:r>
      <w:r w:rsidR="0018143C" w:rsidRPr="00626EE2">
        <w:rPr>
          <w:b/>
          <w:noProof/>
          <w:szCs w:val="20"/>
        </w:rPr>
        <w:t>Vedr.:</w:t>
      </w:r>
      <w:r w:rsidR="009A461C" w:rsidRPr="00626EE2">
        <w:rPr>
          <w:b/>
          <w:noProof/>
          <w:szCs w:val="20"/>
        </w:rPr>
        <w:t xml:space="preserve"> </w:t>
      </w:r>
      <w:r w:rsidR="00D57314">
        <w:rPr>
          <w:b/>
          <w:noProof/>
          <w:szCs w:val="20"/>
        </w:rPr>
        <w:t>Høring over Sundhedsstyrelsens vejledning om udredning og behandling af transkønnede</w:t>
      </w:r>
    </w:p>
    <w:p w:rsidR="0018143C" w:rsidRPr="00626EE2" w:rsidRDefault="0018143C" w:rsidP="00584C67">
      <w:pPr>
        <w:spacing w:line="312" w:lineRule="auto"/>
        <w:jc w:val="both"/>
        <w:rPr>
          <w:szCs w:val="20"/>
        </w:rPr>
      </w:pPr>
    </w:p>
    <w:p w:rsidR="0018143C" w:rsidRDefault="006E5DA0" w:rsidP="000C1046">
      <w:pPr>
        <w:spacing w:line="312" w:lineRule="auto"/>
        <w:jc w:val="both"/>
        <w:rPr>
          <w:szCs w:val="20"/>
        </w:rPr>
      </w:pPr>
      <w:r>
        <w:rPr>
          <w:szCs w:val="20"/>
        </w:rPr>
        <w:t xml:space="preserve">Sundhedsstyrelsen har ved e-mail af </w:t>
      </w:r>
      <w:r w:rsidR="007B7574">
        <w:rPr>
          <w:szCs w:val="20"/>
        </w:rPr>
        <w:t>2. juni 2014</w:t>
      </w:r>
      <w:r>
        <w:rPr>
          <w:szCs w:val="20"/>
        </w:rPr>
        <w:t xml:space="preserve"> anmodet om bemærkninger til udkast til vejledning om udredning og behandling af transkønnede. </w:t>
      </w:r>
    </w:p>
    <w:p w:rsidR="006E5DA0" w:rsidRDefault="006E5DA0" w:rsidP="000C1046">
      <w:pPr>
        <w:spacing w:line="312" w:lineRule="auto"/>
        <w:jc w:val="both"/>
        <w:rPr>
          <w:szCs w:val="20"/>
        </w:rPr>
      </w:pPr>
    </w:p>
    <w:p w:rsidR="006E5DA0" w:rsidRDefault="006E5DA0" w:rsidP="000C1046">
      <w:pPr>
        <w:spacing w:line="312" w:lineRule="auto"/>
        <w:jc w:val="both"/>
        <w:rPr>
          <w:szCs w:val="20"/>
        </w:rPr>
      </w:pPr>
      <w:r>
        <w:rPr>
          <w:szCs w:val="20"/>
        </w:rPr>
        <w:t>Patientombuddet skal hertil bemærke følgende:</w:t>
      </w:r>
    </w:p>
    <w:p w:rsidR="006E5DA0" w:rsidRDefault="006E5DA0" w:rsidP="000C1046">
      <w:pPr>
        <w:spacing w:line="312" w:lineRule="auto"/>
        <w:jc w:val="both"/>
        <w:rPr>
          <w:szCs w:val="20"/>
        </w:rPr>
      </w:pPr>
    </w:p>
    <w:p w:rsidR="00C22AD2" w:rsidRPr="00626EE2" w:rsidRDefault="00C22AD2" w:rsidP="000C1046">
      <w:pPr>
        <w:spacing w:line="312" w:lineRule="auto"/>
        <w:jc w:val="both"/>
        <w:rPr>
          <w:szCs w:val="20"/>
        </w:rPr>
      </w:pPr>
      <w:r>
        <w:rPr>
          <w:szCs w:val="20"/>
        </w:rPr>
        <w:t>Det fremgår af indledningen i afsnit 1, at en psykiater i teamet skal have a</w:t>
      </w:r>
      <w:r>
        <w:rPr>
          <w:szCs w:val="20"/>
        </w:rPr>
        <w:t>n</w:t>
      </w:r>
      <w:r>
        <w:rPr>
          <w:szCs w:val="20"/>
        </w:rPr>
        <w:t xml:space="preserve">svaret for patientens forløb, herunder den indledende udredning m.v. Det bør </w:t>
      </w:r>
      <w:r w:rsidR="004F40F3">
        <w:rPr>
          <w:szCs w:val="20"/>
        </w:rPr>
        <w:t xml:space="preserve">efter Patientombuddets opfattelse </w:t>
      </w:r>
      <w:r>
        <w:rPr>
          <w:szCs w:val="20"/>
        </w:rPr>
        <w:t xml:space="preserve">tydeliggøres, </w:t>
      </w:r>
      <w:r w:rsidR="004F40F3">
        <w:rPr>
          <w:szCs w:val="20"/>
        </w:rPr>
        <w:t>at ansvaret vedrører den in</w:t>
      </w:r>
      <w:r w:rsidR="004F40F3">
        <w:rPr>
          <w:szCs w:val="20"/>
        </w:rPr>
        <w:t>d</w:t>
      </w:r>
      <w:r w:rsidR="004F40F3">
        <w:rPr>
          <w:szCs w:val="20"/>
        </w:rPr>
        <w:t xml:space="preserve">ledende psykiatriske udredning, samt </w:t>
      </w:r>
      <w:r>
        <w:rPr>
          <w:szCs w:val="20"/>
        </w:rPr>
        <w:t>om der er tale om en kontaktpersonro</w:t>
      </w:r>
      <w:r>
        <w:rPr>
          <w:szCs w:val="20"/>
        </w:rPr>
        <w:t>l</w:t>
      </w:r>
      <w:r>
        <w:rPr>
          <w:szCs w:val="20"/>
        </w:rPr>
        <w:t xml:space="preserve">le, og at det særlige ansvar for koordineringen af forløbet ikke ændrer ved de øvrige sundhedspersoners ansvar for de enkelte dele af behandlingen. </w:t>
      </w:r>
    </w:p>
    <w:p w:rsidR="0018143C" w:rsidRPr="00626EE2" w:rsidRDefault="0018143C" w:rsidP="00584C67">
      <w:pPr>
        <w:spacing w:line="312" w:lineRule="auto"/>
        <w:jc w:val="both"/>
        <w:rPr>
          <w:szCs w:val="20"/>
        </w:rPr>
      </w:pPr>
    </w:p>
    <w:p w:rsidR="0018143C" w:rsidRPr="00626EE2" w:rsidRDefault="004F40F3" w:rsidP="00584C67">
      <w:pPr>
        <w:spacing w:line="312" w:lineRule="auto"/>
        <w:jc w:val="both"/>
        <w:rPr>
          <w:szCs w:val="20"/>
        </w:rPr>
      </w:pPr>
      <w:r>
        <w:rPr>
          <w:szCs w:val="20"/>
        </w:rPr>
        <w:t>Under pkt. 1.1.2 bør det efter Patientombuddets opfattelse præciseres, at inddragelse af pårørende eller andre kræver patientens samtykke, ligesom patienten – hvis denne ikke ønsker inddragelse af andre – må informeres om konsekvenserne heraf.</w:t>
      </w:r>
    </w:p>
    <w:p w:rsidR="006E5C78" w:rsidRDefault="006E5C78" w:rsidP="00584C67">
      <w:pPr>
        <w:spacing w:line="312" w:lineRule="auto"/>
        <w:jc w:val="both"/>
        <w:rPr>
          <w:szCs w:val="20"/>
        </w:rPr>
      </w:pPr>
    </w:p>
    <w:p w:rsidR="00A522DC" w:rsidRDefault="004F40F3" w:rsidP="00A522DC">
      <w:pPr>
        <w:spacing w:line="312" w:lineRule="auto"/>
        <w:jc w:val="both"/>
        <w:rPr>
          <w:szCs w:val="20"/>
        </w:rPr>
      </w:pPr>
      <w:r>
        <w:rPr>
          <w:szCs w:val="20"/>
        </w:rPr>
        <w:t>I pkt. 1.1.3 henvises til ”real life experience”</w:t>
      </w:r>
      <w:r w:rsidR="00067B99">
        <w:rPr>
          <w:szCs w:val="20"/>
        </w:rPr>
        <w:t>, som defineres under punkt 1.4</w:t>
      </w:r>
      <w:r>
        <w:rPr>
          <w:szCs w:val="20"/>
        </w:rPr>
        <w:t>. Dette udtryk kan med fordel defineres tidligere i vejledningen. Under pkt. 1.1.3 bør det endvidere fremgå, at statusbeskrivelsen også skal indeholde oplysninger om eventuelle væsentlige indikationer, der kan tale imod behan</w:t>
      </w:r>
      <w:r>
        <w:rPr>
          <w:szCs w:val="20"/>
        </w:rPr>
        <w:t>d</w:t>
      </w:r>
      <w:r>
        <w:rPr>
          <w:szCs w:val="20"/>
        </w:rPr>
        <w:t>lingen.</w:t>
      </w:r>
      <w:r w:rsidR="00A522DC">
        <w:rPr>
          <w:szCs w:val="20"/>
        </w:rPr>
        <w:t xml:space="preserve"> Det bør desuden tydeliggøres, i hvilket omfang behandling forudsætter et observationsforløb, herunder om dette også kræves forud for kønshormo</w:t>
      </w:r>
      <w:r w:rsidR="00A522DC">
        <w:rPr>
          <w:szCs w:val="20"/>
        </w:rPr>
        <w:t>n</w:t>
      </w:r>
      <w:r w:rsidR="00A522DC">
        <w:rPr>
          <w:szCs w:val="20"/>
        </w:rPr>
        <w:t xml:space="preserve">behandling. </w:t>
      </w:r>
    </w:p>
    <w:p w:rsidR="00A522DC" w:rsidRDefault="00A522DC" w:rsidP="00A522DC">
      <w:pPr>
        <w:spacing w:line="312" w:lineRule="auto"/>
        <w:jc w:val="both"/>
        <w:rPr>
          <w:szCs w:val="20"/>
        </w:rPr>
      </w:pPr>
    </w:p>
    <w:p w:rsidR="00A522DC" w:rsidRDefault="00A522DC" w:rsidP="00A522DC">
      <w:pPr>
        <w:spacing w:line="312" w:lineRule="auto"/>
        <w:jc w:val="both"/>
        <w:rPr>
          <w:szCs w:val="20"/>
        </w:rPr>
      </w:pPr>
      <w:r>
        <w:rPr>
          <w:szCs w:val="20"/>
        </w:rPr>
        <w:t>Af pkt. 1.1.3 fremgår det, at kønshormonbehandling samt kirurgisk behan</w:t>
      </w:r>
      <w:r>
        <w:rPr>
          <w:szCs w:val="20"/>
        </w:rPr>
        <w:t>d</w:t>
      </w:r>
      <w:r>
        <w:rPr>
          <w:szCs w:val="20"/>
        </w:rPr>
        <w:t>ling forudsætter, at det multidisciplinære team er enigt i behandlingstilbu</w:t>
      </w:r>
      <w:r>
        <w:rPr>
          <w:szCs w:val="20"/>
        </w:rPr>
        <w:t>d</w:t>
      </w:r>
      <w:r>
        <w:rPr>
          <w:szCs w:val="20"/>
        </w:rPr>
        <w:t>det. Patientombuddet vil foreslå, at ansvarsforholdene tydeliggøres, herunder om det vil være i strid med autorisationsloven for en sundhedsperson at iværksætte en behandling, hvis der ikke er enighed i teamet.</w:t>
      </w:r>
      <w:r w:rsidR="00204F00">
        <w:rPr>
          <w:szCs w:val="20"/>
        </w:rPr>
        <w:t xml:space="preserve"> Det fremgår </w:t>
      </w:r>
      <w:r w:rsidR="00204F00">
        <w:rPr>
          <w:szCs w:val="20"/>
        </w:rPr>
        <w:lastRenderedPageBreak/>
        <w:t>desuden, at der forud for operative indgreb skal foreligge en fornyet og aktuel status. Det bør i den forbindelse præciseres, om der kræves afholdt et nyt statusmøde.</w:t>
      </w:r>
    </w:p>
    <w:p w:rsidR="004F40F3" w:rsidRDefault="004F40F3" w:rsidP="00584C67">
      <w:pPr>
        <w:spacing w:line="312" w:lineRule="auto"/>
        <w:jc w:val="both"/>
        <w:rPr>
          <w:szCs w:val="20"/>
        </w:rPr>
      </w:pPr>
    </w:p>
    <w:p w:rsidR="00A522DC" w:rsidRDefault="00A522DC" w:rsidP="00584C67">
      <w:pPr>
        <w:spacing w:line="312" w:lineRule="auto"/>
        <w:jc w:val="both"/>
        <w:rPr>
          <w:szCs w:val="20"/>
        </w:rPr>
      </w:pPr>
      <w:r>
        <w:rPr>
          <w:szCs w:val="20"/>
        </w:rPr>
        <w:t>I pkt. 1.3 beskrives bl.a. deponering af sæd- og ægceller og fodnoten indeholder en henvisning til loven. Der kan med fordel henvises også til bekendtgørelsens regler herom, ligesom emnet med fordel kan afspejles i overskriften.</w:t>
      </w:r>
    </w:p>
    <w:p w:rsidR="00A522DC" w:rsidRDefault="00A522DC" w:rsidP="00584C67">
      <w:pPr>
        <w:spacing w:line="312" w:lineRule="auto"/>
        <w:jc w:val="both"/>
        <w:rPr>
          <w:szCs w:val="20"/>
        </w:rPr>
      </w:pPr>
    </w:p>
    <w:p w:rsidR="00A522DC" w:rsidRDefault="00A522DC" w:rsidP="00584C67">
      <w:pPr>
        <w:spacing w:line="312" w:lineRule="auto"/>
        <w:jc w:val="both"/>
        <w:rPr>
          <w:szCs w:val="20"/>
        </w:rPr>
      </w:pPr>
      <w:r>
        <w:rPr>
          <w:szCs w:val="20"/>
        </w:rPr>
        <w:t>I afsnit 1.4 bør det tydeliggøres, om brystfjernelse forudsætter forudgående kønshormonb</w:t>
      </w:r>
      <w:r>
        <w:rPr>
          <w:szCs w:val="20"/>
        </w:rPr>
        <w:t>e</w:t>
      </w:r>
      <w:r>
        <w:rPr>
          <w:szCs w:val="20"/>
        </w:rPr>
        <w:t xml:space="preserve">handling. </w:t>
      </w:r>
    </w:p>
    <w:p w:rsidR="00A522DC" w:rsidRDefault="00A522DC" w:rsidP="00584C67">
      <w:pPr>
        <w:spacing w:line="312" w:lineRule="auto"/>
        <w:jc w:val="both"/>
        <w:rPr>
          <w:szCs w:val="20"/>
        </w:rPr>
      </w:pPr>
    </w:p>
    <w:p w:rsidR="00B93BFE" w:rsidRDefault="00B93BFE" w:rsidP="00584C67">
      <w:pPr>
        <w:spacing w:line="312" w:lineRule="auto"/>
        <w:jc w:val="both"/>
        <w:rPr>
          <w:szCs w:val="20"/>
        </w:rPr>
      </w:pPr>
      <w:r>
        <w:rPr>
          <w:szCs w:val="20"/>
        </w:rPr>
        <w:t>Patientombuddet har med hensyn til behandlingen af unge under 18 år forstået, at der efter lovgivningen principielt ikke gælder nogen nedre aldersgrænse for behandling med supprim</w:t>
      </w:r>
      <w:r>
        <w:rPr>
          <w:szCs w:val="20"/>
        </w:rPr>
        <w:t>e</w:t>
      </w:r>
      <w:r>
        <w:rPr>
          <w:szCs w:val="20"/>
        </w:rPr>
        <w:t>rende hormonterapi eller kønshormoner, og at det eneste angivne nedre kriti</w:t>
      </w:r>
      <w:r w:rsidR="00CC3085">
        <w:rPr>
          <w:szCs w:val="20"/>
        </w:rPr>
        <w:t>e</w:t>
      </w:r>
      <w:r>
        <w:rPr>
          <w:szCs w:val="20"/>
        </w:rPr>
        <w:t>rium i vejledni</w:t>
      </w:r>
      <w:r>
        <w:rPr>
          <w:szCs w:val="20"/>
        </w:rPr>
        <w:t>n</w:t>
      </w:r>
      <w:r>
        <w:rPr>
          <w:szCs w:val="20"/>
        </w:rPr>
        <w:t>g</w:t>
      </w:r>
      <w:r w:rsidR="00CC3085">
        <w:rPr>
          <w:szCs w:val="20"/>
        </w:rPr>
        <w:t>en</w:t>
      </w:r>
      <w:r>
        <w:rPr>
          <w:szCs w:val="20"/>
        </w:rPr>
        <w:t xml:space="preserve"> er relateret til, </w:t>
      </w:r>
      <w:r w:rsidR="00CC3085">
        <w:rPr>
          <w:szCs w:val="20"/>
        </w:rPr>
        <w:t>at den unge almindeligvis skal have nået Tanner stadie 2-4</w:t>
      </w:r>
      <w:r>
        <w:rPr>
          <w:szCs w:val="20"/>
        </w:rPr>
        <w:t>. Patientombu</w:t>
      </w:r>
      <w:r>
        <w:rPr>
          <w:szCs w:val="20"/>
        </w:rPr>
        <w:t>d</w:t>
      </w:r>
      <w:r>
        <w:rPr>
          <w:szCs w:val="20"/>
        </w:rPr>
        <w:t>det går i øvrigt ud fra, at de almindelige samtykkeregler i sundhedsloven kapitel 5 finder a</w:t>
      </w:r>
      <w:r>
        <w:rPr>
          <w:szCs w:val="20"/>
        </w:rPr>
        <w:t>n</w:t>
      </w:r>
      <w:r>
        <w:rPr>
          <w:szCs w:val="20"/>
        </w:rPr>
        <w:t xml:space="preserve">vendelse for behandling af unge under 18 år. Såfremt der af sundhedsfaglige grunde måtte være en nedre aldersgrænse bør der i vejledningen redegøres for denne. </w:t>
      </w:r>
    </w:p>
    <w:p w:rsidR="00CC3085" w:rsidRDefault="00CC3085" w:rsidP="00584C67">
      <w:pPr>
        <w:spacing w:line="312" w:lineRule="auto"/>
        <w:jc w:val="both"/>
        <w:rPr>
          <w:szCs w:val="20"/>
        </w:rPr>
      </w:pPr>
    </w:p>
    <w:p w:rsidR="00CC3085" w:rsidRDefault="00CC3085" w:rsidP="00584C67">
      <w:pPr>
        <w:spacing w:line="312" w:lineRule="auto"/>
        <w:jc w:val="both"/>
        <w:rPr>
          <w:szCs w:val="20"/>
        </w:rPr>
      </w:pPr>
      <w:r>
        <w:rPr>
          <w:szCs w:val="20"/>
        </w:rPr>
        <w:t xml:space="preserve">I pkt. 3.2.1 fremgår det, at afdelingen, hvor udrednings- og observationsforløbet er foretaget, skal fremlægge erklæring med en samlet konklusion. Efter Patientombuddets opfattelse bør konklusionen angive enten, om der er grundlag for at gå imod ansøgerens ønske eller om der </w:t>
      </w:r>
      <w:r w:rsidR="00204F00">
        <w:rPr>
          <w:szCs w:val="20"/>
        </w:rPr>
        <w:t>findes</w:t>
      </w:r>
      <w:r>
        <w:rPr>
          <w:szCs w:val="20"/>
        </w:rPr>
        <w:t xml:space="preserve"> indikation for behandlingen.</w:t>
      </w:r>
    </w:p>
    <w:p w:rsidR="00204F00" w:rsidRDefault="00204F00" w:rsidP="00584C67">
      <w:pPr>
        <w:spacing w:line="312" w:lineRule="auto"/>
        <w:jc w:val="both"/>
        <w:rPr>
          <w:szCs w:val="20"/>
        </w:rPr>
      </w:pPr>
    </w:p>
    <w:p w:rsidR="00204F00" w:rsidRDefault="00204F00" w:rsidP="00204F00">
      <w:pPr>
        <w:spacing w:line="312" w:lineRule="auto"/>
        <w:jc w:val="both"/>
        <w:rPr>
          <w:szCs w:val="20"/>
        </w:rPr>
      </w:pPr>
      <w:r>
        <w:rPr>
          <w:szCs w:val="20"/>
        </w:rPr>
        <w:t>Patientombuddet kan i øvrigt oplyse, at et tema i de klagesager, ombuddet modtager inden for området, ofte vedrører information om forløbet og information om andre behandlingstilbud, herunder tilbud om behandling for at lindre mistrivsel, samt vejledning om bl.a. hårfjerning og brug af paryk. Det er således vigtigt, at ansvaret for en tilstrækkelig information om forløbet er entydigt placeret. Der har desuden været eksempel på en klage over, at den for erklæri</w:t>
      </w:r>
      <w:r>
        <w:rPr>
          <w:szCs w:val="20"/>
        </w:rPr>
        <w:t>n</w:t>
      </w:r>
      <w:r>
        <w:rPr>
          <w:szCs w:val="20"/>
        </w:rPr>
        <w:t>gen, jf. pkt. 3.2.1 ansvarlige læge, aldrig havde set patienten. Det kan evt. præciseres, at e</w:t>
      </w:r>
      <w:r>
        <w:rPr>
          <w:szCs w:val="20"/>
        </w:rPr>
        <w:t>r</w:t>
      </w:r>
      <w:r>
        <w:rPr>
          <w:szCs w:val="20"/>
        </w:rPr>
        <w:t>klæringen i 3.2.1 bør underskrives af den behandlingsansvarlige læge.</w:t>
      </w:r>
    </w:p>
    <w:p w:rsidR="00204F00" w:rsidRDefault="00204F00" w:rsidP="00584C67">
      <w:pPr>
        <w:spacing w:line="312" w:lineRule="auto"/>
        <w:jc w:val="both"/>
        <w:rPr>
          <w:szCs w:val="20"/>
        </w:rPr>
      </w:pPr>
    </w:p>
    <w:p w:rsidR="00B93BFE" w:rsidRPr="00626EE2" w:rsidRDefault="00B93BFE" w:rsidP="00584C67">
      <w:pPr>
        <w:spacing w:line="312" w:lineRule="auto"/>
        <w:jc w:val="both"/>
        <w:rPr>
          <w:szCs w:val="20"/>
        </w:rPr>
      </w:pPr>
    </w:p>
    <w:p w:rsidR="00A522DC" w:rsidRDefault="00A522DC" w:rsidP="004C67AE">
      <w:pPr>
        <w:tabs>
          <w:tab w:val="left" w:pos="7200"/>
        </w:tabs>
        <w:spacing w:line="312" w:lineRule="auto"/>
        <w:jc w:val="center"/>
        <w:rPr>
          <w:szCs w:val="20"/>
        </w:rPr>
      </w:pPr>
    </w:p>
    <w:p w:rsidR="00A12AD0" w:rsidRPr="00626EE2" w:rsidRDefault="005C65CF" w:rsidP="004C67AE">
      <w:pPr>
        <w:tabs>
          <w:tab w:val="left" w:pos="7200"/>
        </w:tabs>
        <w:spacing w:line="312" w:lineRule="auto"/>
        <w:jc w:val="center"/>
        <w:rPr>
          <w:szCs w:val="20"/>
        </w:rPr>
      </w:pPr>
      <w:r w:rsidRPr="00626EE2">
        <w:rPr>
          <w:szCs w:val="20"/>
        </w:rPr>
        <w:t>Med venlig hilsen</w:t>
      </w:r>
    </w:p>
    <w:p w:rsidR="00E829EA" w:rsidRPr="00626EE2" w:rsidRDefault="00E829EA" w:rsidP="004C67AE">
      <w:pPr>
        <w:tabs>
          <w:tab w:val="left" w:pos="7200"/>
        </w:tabs>
        <w:spacing w:line="312" w:lineRule="auto"/>
        <w:jc w:val="center"/>
        <w:rPr>
          <w:szCs w:val="20"/>
        </w:rPr>
      </w:pPr>
    </w:p>
    <w:p w:rsidR="00292B14" w:rsidRPr="00626EE2" w:rsidRDefault="00292B14" w:rsidP="004C67AE">
      <w:pPr>
        <w:tabs>
          <w:tab w:val="left" w:pos="7200"/>
        </w:tabs>
        <w:spacing w:line="312" w:lineRule="auto"/>
        <w:jc w:val="center"/>
        <w:rPr>
          <w:szCs w:val="20"/>
        </w:rPr>
      </w:pPr>
    </w:p>
    <w:p w:rsidR="005C65CF" w:rsidRPr="00626EE2" w:rsidRDefault="005C65CF" w:rsidP="004C67AE">
      <w:pPr>
        <w:tabs>
          <w:tab w:val="left" w:pos="7200"/>
        </w:tabs>
        <w:spacing w:line="312" w:lineRule="auto"/>
        <w:jc w:val="center"/>
        <w:rPr>
          <w:szCs w:val="20"/>
        </w:rPr>
      </w:pPr>
    </w:p>
    <w:p w:rsidR="00B217A6" w:rsidRPr="00626EE2" w:rsidRDefault="00D57314" w:rsidP="00204F00">
      <w:pPr>
        <w:tabs>
          <w:tab w:val="left" w:pos="7200"/>
        </w:tabs>
        <w:spacing w:line="312" w:lineRule="auto"/>
        <w:jc w:val="center"/>
        <w:rPr>
          <w:szCs w:val="20"/>
        </w:rPr>
      </w:pPr>
      <w:r>
        <w:rPr>
          <w:szCs w:val="20"/>
        </w:rPr>
        <w:t>Helle Borg Larsen</w:t>
      </w:r>
    </w:p>
    <w:p w:rsidR="00B217A6" w:rsidRPr="00626EE2" w:rsidRDefault="00B217A6" w:rsidP="004C67AE">
      <w:pPr>
        <w:tabs>
          <w:tab w:val="left" w:pos="7200"/>
        </w:tabs>
        <w:spacing w:line="312" w:lineRule="auto"/>
        <w:jc w:val="both"/>
        <w:rPr>
          <w:szCs w:val="20"/>
        </w:rPr>
      </w:pPr>
    </w:p>
    <w:p w:rsidR="004C67AE" w:rsidRPr="00626EE2" w:rsidRDefault="004C67AE">
      <w:pPr>
        <w:tabs>
          <w:tab w:val="left" w:pos="7200"/>
        </w:tabs>
        <w:spacing w:line="312" w:lineRule="auto"/>
        <w:jc w:val="both"/>
        <w:rPr>
          <w:szCs w:val="20"/>
        </w:rPr>
      </w:pPr>
    </w:p>
    <w:sectPr w:rsidR="004C67AE" w:rsidRPr="00626EE2" w:rsidSect="001755C0">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71" w:rsidRDefault="00C04571">
      <w:r>
        <w:separator/>
      </w:r>
    </w:p>
  </w:endnote>
  <w:endnote w:type="continuationSeparator" w:id="0">
    <w:p w:rsidR="00C04571" w:rsidRDefault="00C0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6D" w:rsidRDefault="000B2B6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6D" w:rsidRDefault="000B2B6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6D" w:rsidRDefault="000B2B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71" w:rsidRDefault="00C04571">
      <w:r>
        <w:separator/>
      </w:r>
    </w:p>
  </w:footnote>
  <w:footnote w:type="continuationSeparator" w:id="0">
    <w:p w:rsidR="00C04571" w:rsidRDefault="00C0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6D" w:rsidRDefault="000B2B6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50" w:rsidRPr="0015603B" w:rsidRDefault="00B73D20" w:rsidP="00B73D20">
    <w:pPr>
      <w:pStyle w:val="Sidehoved"/>
      <w:tabs>
        <w:tab w:val="clear" w:pos="4819"/>
        <w:tab w:val="clear" w:pos="9638"/>
        <w:tab w:val="center" w:pos="5193"/>
      </w:tabs>
      <w:rPr>
        <w:sz w:val="30"/>
        <w:szCs w:val="3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6D" w:rsidRDefault="00567A2C">
    <w:pPr>
      <w:pStyle w:val="Sidehoved"/>
    </w:pPr>
    <w:r>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i1025" type="#_x0000_t75" style="width:27pt;height:21.75pt;visibility:visible;mso-wrap-style:square">
          <v:imagedata r:id="rId1" o:title=""/>
        </v:shape>
      </w:pict>
    </w:r>
    <w:r w:rsidR="001755C0" w:rsidRPr="00582559">
      <w:rPr>
        <w:noProof/>
        <w:sz w:val="44"/>
        <w:szCs w:val="44"/>
      </w:rPr>
      <w:t xml:space="preserve"> </w:t>
    </w:r>
    <w:r w:rsidR="001755C0">
      <w:rPr>
        <w:sz w:val="44"/>
        <w:szCs w:val="44"/>
      </w:rPr>
      <w:t xml:space="preserve"> Patientombuddet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aveInTemplateCenterEnabled" w:val="False"/>
  </w:docVars>
  <w:rsids>
    <w:rsidRoot w:val="001B588F"/>
    <w:rsid w:val="0000223D"/>
    <w:rsid w:val="00012D71"/>
    <w:rsid w:val="00067B99"/>
    <w:rsid w:val="0009201D"/>
    <w:rsid w:val="000B2B6D"/>
    <w:rsid w:val="000C1046"/>
    <w:rsid w:val="000F5E49"/>
    <w:rsid w:val="00123267"/>
    <w:rsid w:val="0015603B"/>
    <w:rsid w:val="001736C4"/>
    <w:rsid w:val="001755C0"/>
    <w:rsid w:val="0018143C"/>
    <w:rsid w:val="00185A40"/>
    <w:rsid w:val="001A506D"/>
    <w:rsid w:val="001B588F"/>
    <w:rsid w:val="001C0448"/>
    <w:rsid w:val="001C2FA8"/>
    <w:rsid w:val="001C7D50"/>
    <w:rsid w:val="00204F00"/>
    <w:rsid w:val="00281D56"/>
    <w:rsid w:val="00292B14"/>
    <w:rsid w:val="002D5518"/>
    <w:rsid w:val="002D696E"/>
    <w:rsid w:val="002D7B93"/>
    <w:rsid w:val="002E5DD9"/>
    <w:rsid w:val="002E77B3"/>
    <w:rsid w:val="003C184C"/>
    <w:rsid w:val="003C5B12"/>
    <w:rsid w:val="003E39D1"/>
    <w:rsid w:val="00403C45"/>
    <w:rsid w:val="00470A36"/>
    <w:rsid w:val="00481489"/>
    <w:rsid w:val="004C67AE"/>
    <w:rsid w:val="004F40F3"/>
    <w:rsid w:val="00522225"/>
    <w:rsid w:val="00567A2C"/>
    <w:rsid w:val="00584C67"/>
    <w:rsid w:val="005900F2"/>
    <w:rsid w:val="00593247"/>
    <w:rsid w:val="005951B3"/>
    <w:rsid w:val="005C65CF"/>
    <w:rsid w:val="00604B20"/>
    <w:rsid w:val="00626EE2"/>
    <w:rsid w:val="006B2415"/>
    <w:rsid w:val="006D2D5F"/>
    <w:rsid w:val="006E5C78"/>
    <w:rsid w:val="006E5DA0"/>
    <w:rsid w:val="006F260D"/>
    <w:rsid w:val="00705B5E"/>
    <w:rsid w:val="00740CC0"/>
    <w:rsid w:val="00745CC1"/>
    <w:rsid w:val="0078656E"/>
    <w:rsid w:val="007B7574"/>
    <w:rsid w:val="007C53F2"/>
    <w:rsid w:val="007E3634"/>
    <w:rsid w:val="007E6FD9"/>
    <w:rsid w:val="00845190"/>
    <w:rsid w:val="00852537"/>
    <w:rsid w:val="00872BFE"/>
    <w:rsid w:val="00881B50"/>
    <w:rsid w:val="00902D00"/>
    <w:rsid w:val="009A461C"/>
    <w:rsid w:val="009B1AF1"/>
    <w:rsid w:val="00A059CA"/>
    <w:rsid w:val="00A12AD0"/>
    <w:rsid w:val="00A522DC"/>
    <w:rsid w:val="00AD18D8"/>
    <w:rsid w:val="00B217A6"/>
    <w:rsid w:val="00B25C8B"/>
    <w:rsid w:val="00B618F5"/>
    <w:rsid w:val="00B72FF9"/>
    <w:rsid w:val="00B73D20"/>
    <w:rsid w:val="00B93BFE"/>
    <w:rsid w:val="00BA1E46"/>
    <w:rsid w:val="00BB134F"/>
    <w:rsid w:val="00BF0755"/>
    <w:rsid w:val="00C04571"/>
    <w:rsid w:val="00C22AD2"/>
    <w:rsid w:val="00C574AC"/>
    <w:rsid w:val="00CB4A25"/>
    <w:rsid w:val="00CB53B4"/>
    <w:rsid w:val="00CC3085"/>
    <w:rsid w:val="00CF22D8"/>
    <w:rsid w:val="00D01941"/>
    <w:rsid w:val="00D34026"/>
    <w:rsid w:val="00D4300C"/>
    <w:rsid w:val="00D57314"/>
    <w:rsid w:val="00D93572"/>
    <w:rsid w:val="00DC7218"/>
    <w:rsid w:val="00E33464"/>
    <w:rsid w:val="00E40028"/>
    <w:rsid w:val="00E50907"/>
    <w:rsid w:val="00E829EA"/>
    <w:rsid w:val="00E84B76"/>
    <w:rsid w:val="00E966F3"/>
    <w:rsid w:val="00EB51E2"/>
    <w:rsid w:val="00EC322C"/>
    <w:rsid w:val="00EC531D"/>
    <w:rsid w:val="00EC5A55"/>
    <w:rsid w:val="00EF4A90"/>
    <w:rsid w:val="00F72D97"/>
    <w:rsid w:val="00FA68DB"/>
    <w:rsid w:val="00FF5C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C78"/>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A12AD0"/>
    <w:rPr>
      <w:color w:val="0000FF"/>
      <w:u w:val="single"/>
    </w:rPr>
  </w:style>
  <w:style w:type="character" w:styleId="BesgtHyperlink">
    <w:name w:val="FollowedHyperlink"/>
    <w:rsid w:val="00A12AD0"/>
    <w:rPr>
      <w:color w:val="800080"/>
      <w:u w:val="single"/>
    </w:rPr>
  </w:style>
  <w:style w:type="paragraph" w:styleId="Markeringsbobletekst">
    <w:name w:val="Balloon Text"/>
    <w:basedOn w:val="Normal"/>
    <w:semiHidden/>
    <w:rsid w:val="00A12AD0"/>
    <w:rPr>
      <w:rFonts w:ascii="Tahoma" w:hAnsi="Tahoma" w:cs="Tahoma"/>
      <w:sz w:val="16"/>
      <w:szCs w:val="16"/>
    </w:rPr>
  </w:style>
  <w:style w:type="paragraph" w:styleId="Sidehoved">
    <w:name w:val="header"/>
    <w:basedOn w:val="Normal"/>
    <w:rsid w:val="001C7D50"/>
    <w:pPr>
      <w:tabs>
        <w:tab w:val="center" w:pos="4819"/>
        <w:tab w:val="right" w:pos="9638"/>
      </w:tabs>
    </w:pPr>
  </w:style>
  <w:style w:type="paragraph" w:styleId="Sidefod">
    <w:name w:val="footer"/>
    <w:basedOn w:val="Normal"/>
    <w:rsid w:val="001C7D50"/>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90157">
      <w:bodyDiv w:val="1"/>
      <w:marLeft w:val="0"/>
      <w:marRight w:val="0"/>
      <w:marTop w:val="0"/>
      <w:marBottom w:val="0"/>
      <w:divBdr>
        <w:top w:val="none" w:sz="0" w:space="0" w:color="auto"/>
        <w:left w:val="none" w:sz="0" w:space="0" w:color="auto"/>
        <w:bottom w:val="none" w:sz="0" w:space="0" w:color="auto"/>
        <w:right w:val="none" w:sz="0" w:space="0" w:color="auto"/>
      </w:divBdr>
    </w:div>
    <w:div w:id="366299987">
      <w:bodyDiv w:val="1"/>
      <w:marLeft w:val="0"/>
      <w:marRight w:val="0"/>
      <w:marTop w:val="0"/>
      <w:marBottom w:val="0"/>
      <w:divBdr>
        <w:top w:val="none" w:sz="0" w:space="0" w:color="auto"/>
        <w:left w:val="none" w:sz="0" w:space="0" w:color="auto"/>
        <w:bottom w:val="none" w:sz="0" w:space="0" w:color="auto"/>
        <w:right w:val="none" w:sz="0" w:space="0" w:color="auto"/>
      </w:divBdr>
    </w:div>
    <w:div w:id="6241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b@patientombuddet.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tientombuddet.d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3610-AD96-4156-951A-4D6F6676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3462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Patientombuddet</vt:lpstr>
    </vt:vector>
  </TitlesOfParts>
  <Company>Patientskadeaneknµvnet</Company>
  <LinksUpToDate>false</LinksUpToDate>
  <CharactersWithSpaces>4021</CharactersWithSpaces>
  <SharedDoc>false</SharedDoc>
  <HLinks>
    <vt:vector size="18" baseType="variant">
      <vt:variant>
        <vt:i4>8192127</vt:i4>
      </vt:variant>
      <vt:variant>
        <vt:i4>6</vt:i4>
      </vt:variant>
      <vt:variant>
        <vt:i4>0</vt:i4>
      </vt:variant>
      <vt:variant>
        <vt:i4>5</vt:i4>
      </vt:variant>
      <vt:variant>
        <vt:lpwstr>http://www.patientombuddet.dk/</vt:lpwstr>
      </vt:variant>
      <vt:variant>
        <vt:lpwstr/>
      </vt:variant>
      <vt:variant>
        <vt:i4>589857</vt:i4>
      </vt:variant>
      <vt:variant>
        <vt:i4>3</vt:i4>
      </vt:variant>
      <vt:variant>
        <vt:i4>0</vt:i4>
      </vt:variant>
      <vt:variant>
        <vt:i4>5</vt:i4>
      </vt:variant>
      <vt:variant>
        <vt:lpwstr>mailto:pob@patientombuddet.dk</vt:lpwstr>
      </vt:variant>
      <vt:variant>
        <vt:lpwstr/>
      </vt:variant>
      <vt:variant>
        <vt:i4>6357084</vt:i4>
      </vt:variant>
      <vt:variant>
        <vt:i4>0</vt:i4>
      </vt:variant>
      <vt:variant>
        <vt:i4>0</vt:i4>
      </vt:variant>
      <vt:variant>
        <vt:i4>5</vt:i4>
      </vt:variant>
      <vt:variant>
        <vt:lpwstr>mailto:lo@patientombuddet.dk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Patientombuddet</dc:title>
  <dc:creator>Helle Borg Larsen</dc:creator>
  <cp:lastModifiedBy>Ane Rindom</cp:lastModifiedBy>
  <cp:revision>2</cp:revision>
  <cp:lastPrinted>2012-02-08T08:00:00Z</cp:lastPrinted>
  <dcterms:created xsi:type="dcterms:W3CDTF">2015-01-21T13:41:00Z</dcterms:created>
  <dcterms:modified xsi:type="dcterms:W3CDTF">2015-01-21T13:41:00Z</dcterms:modified>
</cp:coreProperties>
</file>