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92" w:rsidRDefault="00D51A92">
      <w:pPr>
        <w:rPr>
          <w:sz w:val="24"/>
        </w:rPr>
      </w:pPr>
      <w:bookmarkStart w:id="0" w:name="_GoBack"/>
      <w:bookmarkEnd w:id="0"/>
    </w:p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D51A92" w:rsidRDefault="00D51A92">
      <w:pPr>
        <w:pStyle w:val="Overskrift1"/>
        <w:spacing w:after="0" w:line="240" w:lineRule="auto"/>
      </w:pPr>
      <w:r>
        <w:t>Resumé</w:t>
      </w:r>
    </w:p>
    <w:p w:rsidR="00D51A92" w:rsidRDefault="000E3F60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D51A92">
        <w:rPr>
          <w:b/>
          <w:bCs/>
          <w:sz w:val="24"/>
        </w:rPr>
        <w:t>f</w:t>
      </w:r>
    </w:p>
    <w:p w:rsidR="000E3F60" w:rsidRDefault="000E3F60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</w:p>
    <w:p w:rsidR="00DA76B7" w:rsidRPr="000E3F60" w:rsidRDefault="00DA76B7" w:rsidP="000E3F60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Cs/>
          <w:sz w:val="24"/>
        </w:rPr>
      </w:pPr>
      <w:r w:rsidRPr="000E3F60">
        <w:rPr>
          <w:bCs/>
          <w:sz w:val="24"/>
        </w:rPr>
        <w:t xml:space="preserve">Forslag til </w:t>
      </w:r>
      <w:r w:rsidR="00CD0D33" w:rsidRPr="000E3F60">
        <w:rPr>
          <w:bCs/>
          <w:sz w:val="24"/>
        </w:rPr>
        <w:t>l</w:t>
      </w:r>
      <w:r w:rsidRPr="000E3F60">
        <w:rPr>
          <w:bCs/>
          <w:sz w:val="24"/>
        </w:rPr>
        <w:t>ov om ændring af affalds- og råstofafgiftsloven, lov om kuld</w:t>
      </w:r>
      <w:r w:rsidRPr="000E3F60">
        <w:rPr>
          <w:bCs/>
          <w:sz w:val="24"/>
        </w:rPr>
        <w:t>i</w:t>
      </w:r>
      <w:r w:rsidRPr="000E3F60">
        <w:rPr>
          <w:bCs/>
          <w:sz w:val="24"/>
        </w:rPr>
        <w:t>oxidafgift af visse energiprodukter, lov om afgift af elektricitet, momsl</w:t>
      </w:r>
      <w:r w:rsidRPr="000E3F60">
        <w:rPr>
          <w:bCs/>
          <w:sz w:val="24"/>
        </w:rPr>
        <w:t>o</w:t>
      </w:r>
      <w:r w:rsidRPr="000E3F60">
        <w:rPr>
          <w:bCs/>
          <w:sz w:val="24"/>
        </w:rPr>
        <w:t>ven og forskellige andre love</w:t>
      </w:r>
    </w:p>
    <w:p w:rsidR="00D51A92" w:rsidRDefault="00DA76B7" w:rsidP="000E3F60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Cs/>
          <w:sz w:val="24"/>
        </w:rPr>
      </w:pPr>
      <w:r w:rsidRPr="00CD0D33">
        <w:rPr>
          <w:bCs/>
          <w:sz w:val="24"/>
        </w:rPr>
        <w:t>(Nedsættelse af afgifter på el til erhverv, bortfald af CO2-afgift af el for erhverv, nedsættelse af energiafgifter på brændsler til proces</w:t>
      </w:r>
      <w:r w:rsidR="00FA0ACE">
        <w:rPr>
          <w:bCs/>
          <w:sz w:val="24"/>
        </w:rPr>
        <w:t>,</w:t>
      </w:r>
      <w:r w:rsidRPr="00CD0D33">
        <w:rPr>
          <w:bCs/>
          <w:sz w:val="24"/>
        </w:rPr>
        <w:t xml:space="preserve"> ændret l</w:t>
      </w:r>
      <w:r w:rsidRPr="00CD0D33">
        <w:rPr>
          <w:bCs/>
          <w:sz w:val="24"/>
        </w:rPr>
        <w:t>a</w:t>
      </w:r>
      <w:r w:rsidRPr="00CD0D33">
        <w:rPr>
          <w:bCs/>
          <w:sz w:val="24"/>
        </w:rPr>
        <w:t>gerprincip ved deponering af farligt a</w:t>
      </w:r>
      <w:r w:rsidRPr="00CD0D33">
        <w:rPr>
          <w:bCs/>
          <w:sz w:val="24"/>
        </w:rPr>
        <w:t>f</w:t>
      </w:r>
      <w:r w:rsidRPr="00CD0D33">
        <w:rPr>
          <w:bCs/>
          <w:sz w:val="24"/>
        </w:rPr>
        <w:t>fald, lempelse af momskredittider samt supplerende støtte til eksisterende industrielle kraft-varme-værker)</w:t>
      </w:r>
      <w:bookmarkStart w:id="1" w:name="Quickmark"/>
      <w:bookmarkEnd w:id="1"/>
    </w:p>
    <w:p w:rsidR="00BE6D02" w:rsidRPr="00BE6D02" w:rsidRDefault="00BE6D02" w:rsidP="00BE6D0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rPr>
          <w:bCs/>
          <w:sz w:val="24"/>
        </w:rPr>
      </w:pPr>
    </w:p>
    <w:p w:rsidR="00A011C6" w:rsidRPr="000E3F60" w:rsidRDefault="00A011C6">
      <w:pPr>
        <w:rPr>
          <w:sz w:val="24"/>
        </w:rPr>
      </w:pPr>
      <w:r w:rsidRPr="000E3F60">
        <w:rPr>
          <w:sz w:val="24"/>
        </w:rPr>
        <w:t xml:space="preserve">Lovforslaget indeholder følgende elementer fra Aftale om en Vækstplan indgået </w:t>
      </w:r>
      <w:r w:rsidR="000E3F60" w:rsidRPr="000E3F60">
        <w:rPr>
          <w:sz w:val="24"/>
        </w:rPr>
        <w:t xml:space="preserve">af </w:t>
      </w:r>
      <w:r w:rsidRPr="000E3F60">
        <w:rPr>
          <w:sz w:val="24"/>
        </w:rPr>
        <w:t>Regeringen, Venstre, Liberal Alliance og det Konservative Fo</w:t>
      </w:r>
      <w:r w:rsidRPr="000E3F60">
        <w:rPr>
          <w:sz w:val="24"/>
        </w:rPr>
        <w:t>l</w:t>
      </w:r>
      <w:r w:rsidRPr="000E3F60">
        <w:rPr>
          <w:sz w:val="24"/>
        </w:rPr>
        <w:t>keparti den 24. april 2013</w:t>
      </w:r>
      <w:r w:rsidR="007218C9">
        <w:rPr>
          <w:sz w:val="24"/>
        </w:rPr>
        <w:t>:</w:t>
      </w:r>
      <w:r w:rsidRPr="000E3F60">
        <w:rPr>
          <w:sz w:val="24"/>
        </w:rPr>
        <w:t xml:space="preserve"> </w:t>
      </w:r>
    </w:p>
    <w:p w:rsidR="00237867" w:rsidRPr="000E3F60" w:rsidRDefault="00237867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>Energiafgifterne på brændsler til proces nedbringes til EU’s min</w:t>
      </w:r>
      <w:r w:rsidRPr="000E3F60">
        <w:rPr>
          <w:sz w:val="24"/>
        </w:rPr>
        <w:t>i</w:t>
      </w:r>
      <w:r w:rsidRPr="000E3F60">
        <w:rPr>
          <w:sz w:val="24"/>
        </w:rPr>
        <w:t>mumsafgifter</w:t>
      </w:r>
      <w:r w:rsidR="007218C9">
        <w:rPr>
          <w:sz w:val="24"/>
        </w:rPr>
        <w:t xml:space="preserve"> fra 2015</w:t>
      </w:r>
      <w:r w:rsidRPr="000E3F60">
        <w:rPr>
          <w:sz w:val="24"/>
        </w:rPr>
        <w:t>, og dermed mindskes virksomheders pr</w:t>
      </w:r>
      <w:r w:rsidRPr="000E3F60">
        <w:rPr>
          <w:sz w:val="24"/>
        </w:rPr>
        <w:t>o</w:t>
      </w:r>
      <w:r w:rsidRPr="000E3F60">
        <w:rPr>
          <w:sz w:val="24"/>
        </w:rPr>
        <w:t>duktionsrelaterede omkostninger.</w:t>
      </w:r>
    </w:p>
    <w:p w:rsidR="00237867" w:rsidRPr="000E3F60" w:rsidRDefault="00237867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>De samlede lempelser vedr. el til proces fører til, at der alene skal betales EU’s minimumsafgift af el til proces fra 2014. Dermed o</w:t>
      </w:r>
      <w:r w:rsidRPr="000E3F60">
        <w:rPr>
          <w:sz w:val="24"/>
        </w:rPr>
        <w:t>p</w:t>
      </w:r>
      <w:r w:rsidRPr="000E3F60">
        <w:rPr>
          <w:sz w:val="24"/>
        </w:rPr>
        <w:t>nås en betydelig administrativ forenkling af elafgiften vedr. pr</w:t>
      </w:r>
      <w:r w:rsidRPr="000E3F60">
        <w:rPr>
          <w:sz w:val="24"/>
        </w:rPr>
        <w:t>o</w:t>
      </w:r>
      <w:r w:rsidRPr="000E3F60">
        <w:rPr>
          <w:sz w:val="24"/>
        </w:rPr>
        <w:t>cesenergi.</w:t>
      </w:r>
    </w:p>
    <w:p w:rsidR="00237867" w:rsidRPr="000E3F60" w:rsidRDefault="00237867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 xml:space="preserve">Virksomhedernes betaling af </w:t>
      </w:r>
      <w:proofErr w:type="spellStart"/>
      <w:r w:rsidRPr="000E3F60">
        <w:rPr>
          <w:sz w:val="24"/>
        </w:rPr>
        <w:t>energispareafgiften</w:t>
      </w:r>
      <w:proofErr w:type="spellEnd"/>
      <w:r w:rsidRPr="000E3F60">
        <w:rPr>
          <w:sz w:val="24"/>
        </w:rPr>
        <w:t xml:space="preserve"> (CO2-afgift) på elektricitet afska</w:t>
      </w:r>
      <w:r w:rsidRPr="000E3F60">
        <w:rPr>
          <w:sz w:val="24"/>
        </w:rPr>
        <w:t>f</w:t>
      </w:r>
      <w:r w:rsidRPr="000E3F60">
        <w:rPr>
          <w:sz w:val="24"/>
        </w:rPr>
        <w:t>fes, så produktionsomkostningerne nedbringes.</w:t>
      </w:r>
    </w:p>
    <w:p w:rsidR="00237867" w:rsidRPr="000E3F60" w:rsidRDefault="00237867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 xml:space="preserve">Virksomhedernes betaling af </w:t>
      </w:r>
      <w:proofErr w:type="spellStart"/>
      <w:r w:rsidRPr="000E3F60">
        <w:rPr>
          <w:sz w:val="24"/>
        </w:rPr>
        <w:t>eldistributionsbidraget</w:t>
      </w:r>
      <w:proofErr w:type="spellEnd"/>
      <w:r w:rsidRPr="000E3F60">
        <w:rPr>
          <w:sz w:val="24"/>
        </w:rPr>
        <w:t xml:space="preserve"> bortfalder, så produktionsomkostninger og administrative omkostninger ved b</w:t>
      </w:r>
      <w:r w:rsidRPr="000E3F60">
        <w:rPr>
          <w:sz w:val="24"/>
        </w:rPr>
        <w:t>e</w:t>
      </w:r>
      <w:r w:rsidRPr="000E3F60">
        <w:rPr>
          <w:sz w:val="24"/>
        </w:rPr>
        <w:t xml:space="preserve">taling af </w:t>
      </w:r>
      <w:proofErr w:type="spellStart"/>
      <w:r w:rsidRPr="000E3F60">
        <w:rPr>
          <w:sz w:val="24"/>
        </w:rPr>
        <w:t>eldistributionsbidraget</w:t>
      </w:r>
      <w:proofErr w:type="spellEnd"/>
      <w:r w:rsidRPr="000E3F60">
        <w:rPr>
          <w:sz w:val="24"/>
        </w:rPr>
        <w:t xml:space="preserve"> nedbringes.</w:t>
      </w:r>
    </w:p>
    <w:p w:rsidR="001233A0" w:rsidRPr="000E3F60" w:rsidRDefault="001233A0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>Som et led i de aftalte initiativer</w:t>
      </w:r>
      <w:r w:rsidR="00DC2EDA" w:rsidRPr="000E3F60">
        <w:rPr>
          <w:sz w:val="24"/>
        </w:rPr>
        <w:t>,</w:t>
      </w:r>
      <w:r w:rsidRPr="000E3F60">
        <w:rPr>
          <w:sz w:val="24"/>
        </w:rPr>
        <w:t xml:space="preserve"> der </w:t>
      </w:r>
      <w:r w:rsidR="00DC2EDA" w:rsidRPr="000E3F60">
        <w:rPr>
          <w:sz w:val="24"/>
        </w:rPr>
        <w:t>har til formål at reducere</w:t>
      </w:r>
      <w:r w:rsidRPr="000E3F60">
        <w:rPr>
          <w:sz w:val="24"/>
        </w:rPr>
        <w:t xml:space="preserve"> o</w:t>
      </w:r>
      <w:r w:rsidRPr="000E3F60">
        <w:rPr>
          <w:sz w:val="24"/>
        </w:rPr>
        <w:t>m</w:t>
      </w:r>
      <w:r w:rsidRPr="000E3F60">
        <w:rPr>
          <w:sz w:val="24"/>
        </w:rPr>
        <w:t>kostningerne vedrørende affald, herunder sikring af</w:t>
      </w:r>
      <w:r w:rsidR="00DC2EDA" w:rsidRPr="000E3F60">
        <w:rPr>
          <w:sz w:val="24"/>
        </w:rPr>
        <w:t xml:space="preserve"> kapacitet til farligt affald</w:t>
      </w:r>
      <w:r w:rsidR="000E3F60" w:rsidRPr="000E3F60">
        <w:rPr>
          <w:sz w:val="24"/>
        </w:rPr>
        <w:t>,</w:t>
      </w:r>
      <w:r w:rsidR="00DC2EDA" w:rsidRPr="000E3F60">
        <w:rPr>
          <w:sz w:val="24"/>
        </w:rPr>
        <w:t xml:space="preserve"> lempes den økonomiske belastning for bl.a. </w:t>
      </w:r>
      <w:proofErr w:type="spellStart"/>
      <w:r w:rsidR="00DC2EDA" w:rsidRPr="000E3F60">
        <w:rPr>
          <w:sz w:val="24"/>
        </w:rPr>
        <w:t>shre</w:t>
      </w:r>
      <w:r w:rsidR="00DC2EDA" w:rsidRPr="000E3F60">
        <w:rPr>
          <w:sz w:val="24"/>
        </w:rPr>
        <w:t>d</w:t>
      </w:r>
      <w:r w:rsidR="00DC2EDA" w:rsidRPr="000E3F60">
        <w:rPr>
          <w:sz w:val="24"/>
        </w:rPr>
        <w:t>dervirksomhederne</w:t>
      </w:r>
      <w:proofErr w:type="spellEnd"/>
      <w:r w:rsidR="00DC2EDA" w:rsidRPr="000E3F60">
        <w:rPr>
          <w:sz w:val="24"/>
        </w:rPr>
        <w:t xml:space="preserve"> ved at ændre bestemmelserne for, hvordan godtgørelsen opgøres, når der sker </w:t>
      </w:r>
      <w:proofErr w:type="spellStart"/>
      <w:r w:rsidR="00DC2EDA" w:rsidRPr="000E3F60">
        <w:rPr>
          <w:sz w:val="24"/>
        </w:rPr>
        <w:t>fraførsel</w:t>
      </w:r>
      <w:proofErr w:type="spellEnd"/>
      <w:r w:rsidR="00DC2EDA" w:rsidRPr="000E3F60">
        <w:rPr>
          <w:sz w:val="24"/>
        </w:rPr>
        <w:t xml:space="preserve"> af deponeret farligt a</w:t>
      </w:r>
      <w:r w:rsidR="00DC2EDA" w:rsidRPr="000E3F60">
        <w:rPr>
          <w:sz w:val="24"/>
        </w:rPr>
        <w:t>f</w:t>
      </w:r>
      <w:r w:rsidR="00DC2EDA" w:rsidRPr="000E3F60">
        <w:rPr>
          <w:sz w:val="24"/>
        </w:rPr>
        <w:t>fald.</w:t>
      </w:r>
    </w:p>
    <w:p w:rsidR="00675FA0" w:rsidRPr="00E1444F" w:rsidRDefault="00DC2EDA" w:rsidP="00E1444F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 xml:space="preserve">For at styrke likviditeten for mindre virksomheder </w:t>
      </w:r>
      <w:r w:rsidR="00675FA0" w:rsidRPr="00675FA0">
        <w:rPr>
          <w:iCs/>
          <w:sz w:val="24"/>
        </w:rPr>
        <w:t>udvide</w:t>
      </w:r>
      <w:r w:rsidR="006A1664">
        <w:rPr>
          <w:iCs/>
          <w:sz w:val="24"/>
        </w:rPr>
        <w:t>s</w:t>
      </w:r>
      <w:r w:rsidR="00675FA0" w:rsidRPr="00675FA0">
        <w:rPr>
          <w:iCs/>
          <w:sz w:val="24"/>
        </w:rPr>
        <w:t xml:space="preserve"> defin</w:t>
      </w:r>
      <w:r w:rsidR="00675FA0" w:rsidRPr="00675FA0">
        <w:rPr>
          <w:iCs/>
          <w:sz w:val="24"/>
        </w:rPr>
        <w:t>i</w:t>
      </w:r>
      <w:r w:rsidR="00675FA0" w:rsidRPr="00675FA0">
        <w:rPr>
          <w:iCs/>
          <w:sz w:val="24"/>
        </w:rPr>
        <w:t>tionen af små virksomheder i momsloven og dermed forhøje græ</w:t>
      </w:r>
      <w:r w:rsidR="00675FA0" w:rsidRPr="00675FA0">
        <w:rPr>
          <w:iCs/>
          <w:sz w:val="24"/>
        </w:rPr>
        <w:t>n</w:t>
      </w:r>
      <w:r w:rsidR="00675FA0" w:rsidRPr="00675FA0">
        <w:rPr>
          <w:iCs/>
          <w:sz w:val="24"/>
        </w:rPr>
        <w:t>sen for, hvornår der kan foretages halvårlig afregning af moms. Grænsen foreslås forhøjet fra 1 mio. kr. i samlet årlig momspligtig leverance til 5 mio. kr.</w:t>
      </w:r>
    </w:p>
    <w:p w:rsidR="00DC2EDA" w:rsidRPr="000E3F60" w:rsidRDefault="00D15B24" w:rsidP="00AA630A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 xml:space="preserve">For at forbedre likviditeten for små og mellemstore virksomheder </w:t>
      </w:r>
      <w:r w:rsidR="00675FA0">
        <w:rPr>
          <w:sz w:val="24"/>
        </w:rPr>
        <w:t xml:space="preserve">forlænges </w:t>
      </w:r>
      <w:r w:rsidR="00675FA0" w:rsidRPr="00675FA0">
        <w:rPr>
          <w:iCs/>
          <w:sz w:val="24"/>
        </w:rPr>
        <w:t>fristen for angivelse og betaling af moms for virkso</w:t>
      </w:r>
      <w:r w:rsidR="00675FA0" w:rsidRPr="00675FA0">
        <w:rPr>
          <w:iCs/>
          <w:sz w:val="24"/>
        </w:rPr>
        <w:t>m</w:t>
      </w:r>
      <w:r w:rsidR="00675FA0" w:rsidRPr="00675FA0">
        <w:rPr>
          <w:iCs/>
          <w:sz w:val="24"/>
        </w:rPr>
        <w:t>heder, der afregner moms kvartalsvis.</w:t>
      </w:r>
    </w:p>
    <w:p w:rsidR="000E3F60" w:rsidRPr="000E3F60" w:rsidRDefault="000E3F60" w:rsidP="000E3F60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lastRenderedPageBreak/>
        <w:t>Ligeledes for at forbedre likviditeten overgår virksomheder, der har en årlig mom</w:t>
      </w:r>
      <w:r w:rsidRPr="000E3F60">
        <w:rPr>
          <w:sz w:val="24"/>
        </w:rPr>
        <w:t>s</w:t>
      </w:r>
      <w:r w:rsidRPr="000E3F60">
        <w:rPr>
          <w:sz w:val="24"/>
        </w:rPr>
        <w:t>pligtig omsætning mellem 15 og 50 mio. kr., fra månedlig til kvartalsvis afregning af moms.</w:t>
      </w:r>
    </w:p>
    <w:p w:rsidR="008028D9" w:rsidRPr="000E3F60" w:rsidRDefault="00D15B24" w:rsidP="008028D9">
      <w:pPr>
        <w:numPr>
          <w:ilvl w:val="0"/>
          <w:numId w:val="1"/>
        </w:numPr>
        <w:rPr>
          <w:sz w:val="24"/>
        </w:rPr>
      </w:pPr>
      <w:r w:rsidRPr="000E3F60">
        <w:rPr>
          <w:sz w:val="24"/>
        </w:rPr>
        <w:t>Der indføres et yderligere tilskud til industriel kraftvarme. Dermed støttes virkso</w:t>
      </w:r>
      <w:r w:rsidRPr="000E3F60">
        <w:rPr>
          <w:sz w:val="24"/>
        </w:rPr>
        <w:t>m</w:t>
      </w:r>
      <w:r w:rsidRPr="000E3F60">
        <w:rPr>
          <w:sz w:val="24"/>
        </w:rPr>
        <w:t>heder med industrielle kraft-varme-anlæg, således at energieffektiv produktion af ind</w:t>
      </w:r>
      <w:r w:rsidR="00197357" w:rsidRPr="000E3F60">
        <w:rPr>
          <w:sz w:val="24"/>
        </w:rPr>
        <w:t>ustriel kraft</w:t>
      </w:r>
      <w:r w:rsidR="009C6836" w:rsidRPr="000E3F60">
        <w:rPr>
          <w:sz w:val="24"/>
        </w:rPr>
        <w:t>varme fremmes</w:t>
      </w:r>
      <w:r w:rsidR="007265F5">
        <w:rPr>
          <w:sz w:val="24"/>
        </w:rPr>
        <w:t>.</w:t>
      </w:r>
    </w:p>
    <w:p w:rsidR="007218C9" w:rsidRDefault="007218C9" w:rsidP="008028D9">
      <w:pPr>
        <w:rPr>
          <w:sz w:val="24"/>
        </w:rPr>
      </w:pPr>
      <w:r>
        <w:rPr>
          <w:sz w:val="24"/>
        </w:rPr>
        <w:t xml:space="preserve">Forslaget indeholder desuden et punkt fra </w:t>
      </w:r>
      <w:r w:rsidRPr="000E3F60">
        <w:rPr>
          <w:sz w:val="24"/>
        </w:rPr>
        <w:t>delaftalen om Vækstplan DK indgået af Regeri</w:t>
      </w:r>
      <w:r w:rsidRPr="000E3F60">
        <w:rPr>
          <w:sz w:val="24"/>
        </w:rPr>
        <w:t>n</w:t>
      </w:r>
      <w:r w:rsidRPr="000E3F60">
        <w:rPr>
          <w:sz w:val="24"/>
        </w:rPr>
        <w:t>gen, Venstre, Dansk Folkeparti, Liberal Alliance og det Konservative Folkeparti den 21. april 2013:</w:t>
      </w:r>
    </w:p>
    <w:p w:rsidR="00707D83" w:rsidRPr="00707D83" w:rsidRDefault="007218C9" w:rsidP="00E1444F">
      <w:pPr>
        <w:numPr>
          <w:ilvl w:val="0"/>
          <w:numId w:val="2"/>
        </w:numPr>
        <w:rPr>
          <w:sz w:val="24"/>
        </w:rPr>
      </w:pPr>
      <w:r w:rsidRPr="007218C9">
        <w:rPr>
          <w:sz w:val="24"/>
        </w:rPr>
        <w:t>Afgiftslempelser på procesenergi fremrykkes, så den fulde lempelse opnås i 2014. Det vil reducere virksomhedernes produktionsrelaterede omkostninger og bidrage til at understøtte Danmarks konkurrenceevne og nye danske arbejdspladser.</w:t>
      </w:r>
    </w:p>
    <w:p w:rsidR="008028D9" w:rsidRPr="000E3F60" w:rsidRDefault="008028D9" w:rsidP="008028D9">
      <w:pPr>
        <w:rPr>
          <w:sz w:val="24"/>
        </w:rPr>
      </w:pPr>
      <w:r w:rsidRPr="000E3F60">
        <w:rPr>
          <w:sz w:val="24"/>
        </w:rPr>
        <w:t xml:space="preserve">Efter tilbageløb og adfærd skønnes et </w:t>
      </w:r>
      <w:proofErr w:type="spellStart"/>
      <w:r w:rsidRPr="000E3F60">
        <w:rPr>
          <w:sz w:val="24"/>
        </w:rPr>
        <w:t>mindreprovenu</w:t>
      </w:r>
      <w:proofErr w:type="spellEnd"/>
      <w:r w:rsidRPr="000E3F60">
        <w:rPr>
          <w:sz w:val="24"/>
        </w:rPr>
        <w:t xml:space="preserve"> vedr. lempelser af virksomhedernes afgifter på energi på godt knap 1,3 mia. kr. i 2014 og knap 0,8 mia. kr. i varig virkning.</w:t>
      </w:r>
    </w:p>
    <w:p w:rsidR="008028D9" w:rsidRPr="00D87454" w:rsidRDefault="008028D9" w:rsidP="008028D9">
      <w:pPr>
        <w:rPr>
          <w:sz w:val="24"/>
        </w:rPr>
      </w:pPr>
      <w:r w:rsidRPr="000E3F60">
        <w:rPr>
          <w:sz w:val="24"/>
        </w:rPr>
        <w:t xml:space="preserve">Efter tilbageløb og adfærd skønnes et </w:t>
      </w:r>
      <w:proofErr w:type="spellStart"/>
      <w:r w:rsidRPr="000E3F60">
        <w:rPr>
          <w:sz w:val="24"/>
        </w:rPr>
        <w:t>mindreprovenu</w:t>
      </w:r>
      <w:proofErr w:type="spellEnd"/>
      <w:r w:rsidRPr="000E3F60">
        <w:rPr>
          <w:sz w:val="24"/>
        </w:rPr>
        <w:t xml:space="preserve"> vedr. ændring af godtgørelsesreglerne for deponering af farligt affald til LIFO-princippet på ca. 5 </w:t>
      </w:r>
      <w:r w:rsidRPr="00D87454">
        <w:rPr>
          <w:sz w:val="24"/>
        </w:rPr>
        <w:t xml:space="preserve">mio. kr. </w:t>
      </w:r>
      <w:r w:rsidR="00C13440" w:rsidRPr="00D87454">
        <w:rPr>
          <w:sz w:val="24"/>
        </w:rPr>
        <w:t xml:space="preserve">I perioden fra 2015 og en årrække frem skønnes </w:t>
      </w:r>
      <w:proofErr w:type="spellStart"/>
      <w:r w:rsidR="00C13440" w:rsidRPr="00D87454">
        <w:rPr>
          <w:sz w:val="24"/>
        </w:rPr>
        <w:t>mindreprovenuet</w:t>
      </w:r>
      <w:proofErr w:type="spellEnd"/>
      <w:r w:rsidR="00C13440" w:rsidRPr="00D87454">
        <w:rPr>
          <w:sz w:val="24"/>
        </w:rPr>
        <w:t xml:space="preserve"> til ca. 12,5 mio. kr.</w:t>
      </w:r>
      <w:r w:rsidR="00781777" w:rsidRPr="00D87454">
        <w:rPr>
          <w:sz w:val="24"/>
        </w:rPr>
        <w:t xml:space="preserve"> årligt.</w:t>
      </w:r>
    </w:p>
    <w:p w:rsidR="00F416DE" w:rsidRPr="00D87454" w:rsidRDefault="00F416DE" w:rsidP="00FB23D2">
      <w:pPr>
        <w:rPr>
          <w:sz w:val="24"/>
        </w:rPr>
      </w:pPr>
      <w:r w:rsidRPr="00D87454">
        <w:rPr>
          <w:sz w:val="24"/>
        </w:rPr>
        <w:t xml:space="preserve">Ændringerne vedrørende forlængelsen af den gennemsnitlige momskredittid medfører et umiddelbart varigt mindre-provenu på </w:t>
      </w:r>
      <w:r w:rsidR="00781777" w:rsidRPr="00D87454">
        <w:rPr>
          <w:sz w:val="24"/>
        </w:rPr>
        <w:t xml:space="preserve">265 </w:t>
      </w:r>
      <w:r w:rsidRPr="00D87454">
        <w:rPr>
          <w:sz w:val="24"/>
        </w:rPr>
        <w:t>mio. kr.</w:t>
      </w:r>
      <w:r w:rsidR="00781777" w:rsidRPr="00D87454">
        <w:rPr>
          <w:sz w:val="24"/>
        </w:rPr>
        <w:t xml:space="preserve"> efter tilbageløb og adfærd.</w:t>
      </w:r>
    </w:p>
    <w:p w:rsidR="00FB23D2" w:rsidRPr="000E3F60" w:rsidRDefault="00781777" w:rsidP="00FB23D2">
      <w:pPr>
        <w:rPr>
          <w:sz w:val="24"/>
        </w:rPr>
      </w:pPr>
      <w:r w:rsidRPr="00D87454">
        <w:rPr>
          <w:sz w:val="24"/>
        </w:rPr>
        <w:t>F</w:t>
      </w:r>
      <w:r w:rsidR="00FB23D2" w:rsidRPr="00D87454">
        <w:rPr>
          <w:sz w:val="24"/>
        </w:rPr>
        <w:t>orslaget om den supplerende støtte til eksisterende industrielle kraftvarmeværker</w:t>
      </w:r>
      <w:r w:rsidRPr="00D87454">
        <w:rPr>
          <w:sz w:val="24"/>
        </w:rPr>
        <w:t xml:space="preserve"> forve</w:t>
      </w:r>
      <w:r w:rsidRPr="00D87454">
        <w:rPr>
          <w:sz w:val="24"/>
        </w:rPr>
        <w:t>n</w:t>
      </w:r>
      <w:r w:rsidRPr="00D87454">
        <w:rPr>
          <w:sz w:val="24"/>
        </w:rPr>
        <w:t>tes at indebære statslige merudgifter</w:t>
      </w:r>
      <w:r w:rsidR="00FB23D2" w:rsidRPr="00D87454">
        <w:rPr>
          <w:sz w:val="24"/>
        </w:rPr>
        <w:t xml:space="preserve"> på 17 mio. kr. årligt i årene 2014-2020.</w:t>
      </w:r>
    </w:p>
    <w:p w:rsidR="00BE6D02" w:rsidRDefault="00BE6D02" w:rsidP="00BE6D02"/>
    <w:sectPr w:rsidR="00BE6D02" w:rsidSect="00FC280F">
      <w:footerReference w:type="default" r:id="rId8"/>
      <w:headerReference w:type="first" r:id="rId9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6" w:rsidRDefault="00776286">
      <w:r>
        <w:separator/>
      </w:r>
    </w:p>
  </w:endnote>
  <w:endnote w:type="continuationSeparator" w:id="0">
    <w:p w:rsidR="00776286" w:rsidRDefault="007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96" w:rsidRDefault="006D4096">
    <w:pPr>
      <w:pStyle w:val="Departement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41FE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6" w:rsidRDefault="00776286">
      <w:r>
        <w:separator/>
      </w:r>
    </w:p>
  </w:footnote>
  <w:footnote w:type="continuationSeparator" w:id="0">
    <w:p w:rsidR="00776286" w:rsidRDefault="007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 w:firstRow="1" w:lastRow="1" w:firstColumn="1" w:lastColumn="1" w:noHBand="0" w:noVBand="0"/>
    </w:tblPr>
    <w:tblGrid>
      <w:gridCol w:w="2484"/>
    </w:tblGrid>
    <w:tr w:rsidR="006D4096">
      <w:trPr>
        <w:trHeight w:val="13551"/>
      </w:trPr>
      <w:tc>
        <w:tcPr>
          <w:tcW w:w="2484" w:type="dxa"/>
        </w:tcPr>
        <w:p w:rsidR="006D4096" w:rsidRDefault="006D4096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2" w:name="sagsnr"/>
          <w:bookmarkEnd w:id="2"/>
          <w:r>
            <w:rPr>
              <w:rFonts w:ascii="Arial" w:hAnsi="Arial" w:cs="Arial"/>
              <w:sz w:val="14"/>
            </w:rPr>
            <w:t>13-0083613</w:t>
          </w:r>
        </w:p>
        <w:p w:rsidR="006D4096" w:rsidRDefault="006D4096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 7. maj 2013</w:t>
          </w:r>
        </w:p>
        <w:p w:rsidR="006D4096" w:rsidRDefault="006D4096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6D4096" w:rsidRDefault="006D4096">
          <w:pPr>
            <w:pStyle w:val="Departementtekst"/>
            <w:ind w:left="540" w:right="-105"/>
            <w:rPr>
              <w:sz w:val="14"/>
            </w:rPr>
          </w:pPr>
        </w:p>
        <w:p w:rsidR="006D4096" w:rsidRDefault="006D4096">
          <w:pPr>
            <w:pStyle w:val="Departementtekst"/>
            <w:ind w:left="540" w:right="-105"/>
            <w:rPr>
              <w:sz w:val="14"/>
            </w:rPr>
          </w:pPr>
        </w:p>
        <w:p w:rsidR="006D4096" w:rsidRDefault="006D4096">
          <w:pPr>
            <w:pStyle w:val="Departementtekst"/>
          </w:pPr>
        </w:p>
      </w:tc>
    </w:tr>
  </w:tbl>
  <w:p w:rsidR="006D4096" w:rsidRDefault="00241FEE">
    <w:pPr>
      <w:pStyle w:val="Departementtekst"/>
      <w:ind w:right="-13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Beskrivelse: SKM" style="width:225pt;height:66pt;visibility:visible;mso-wrap-style:square">
          <v:imagedata r:id="rId1" o:title="SK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E86"/>
    <w:multiLevelType w:val="hybridMultilevel"/>
    <w:tmpl w:val="D7346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CEF"/>
    <w:multiLevelType w:val="hybridMultilevel"/>
    <w:tmpl w:val="79869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284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92"/>
    <w:rsid w:val="00043D5A"/>
    <w:rsid w:val="00086252"/>
    <w:rsid w:val="000E3F60"/>
    <w:rsid w:val="001233A0"/>
    <w:rsid w:val="00197357"/>
    <w:rsid w:val="00237867"/>
    <w:rsid w:val="00241FEE"/>
    <w:rsid w:val="002E052E"/>
    <w:rsid w:val="00330E72"/>
    <w:rsid w:val="00360E76"/>
    <w:rsid w:val="003D180E"/>
    <w:rsid w:val="0049707E"/>
    <w:rsid w:val="004A2303"/>
    <w:rsid w:val="004B2270"/>
    <w:rsid w:val="004C1CA2"/>
    <w:rsid w:val="004E3673"/>
    <w:rsid w:val="004F1D6C"/>
    <w:rsid w:val="00584446"/>
    <w:rsid w:val="0062548D"/>
    <w:rsid w:val="00675FA0"/>
    <w:rsid w:val="006A1664"/>
    <w:rsid w:val="006D4096"/>
    <w:rsid w:val="006E67D4"/>
    <w:rsid w:val="00707D83"/>
    <w:rsid w:val="007218C9"/>
    <w:rsid w:val="007265F5"/>
    <w:rsid w:val="00745352"/>
    <w:rsid w:val="00776286"/>
    <w:rsid w:val="00781777"/>
    <w:rsid w:val="00783C2F"/>
    <w:rsid w:val="007B6916"/>
    <w:rsid w:val="008028D9"/>
    <w:rsid w:val="008C52CD"/>
    <w:rsid w:val="008E131A"/>
    <w:rsid w:val="009641D9"/>
    <w:rsid w:val="00967D30"/>
    <w:rsid w:val="009750AB"/>
    <w:rsid w:val="00987557"/>
    <w:rsid w:val="0099306E"/>
    <w:rsid w:val="009A68AF"/>
    <w:rsid w:val="009C6836"/>
    <w:rsid w:val="00A00AAA"/>
    <w:rsid w:val="00A011C6"/>
    <w:rsid w:val="00A0280F"/>
    <w:rsid w:val="00A1506C"/>
    <w:rsid w:val="00A604AF"/>
    <w:rsid w:val="00AA630A"/>
    <w:rsid w:val="00B24D57"/>
    <w:rsid w:val="00BE6D02"/>
    <w:rsid w:val="00C13440"/>
    <w:rsid w:val="00CD0D33"/>
    <w:rsid w:val="00D15B24"/>
    <w:rsid w:val="00D20991"/>
    <w:rsid w:val="00D32C60"/>
    <w:rsid w:val="00D51A92"/>
    <w:rsid w:val="00D80617"/>
    <w:rsid w:val="00D87454"/>
    <w:rsid w:val="00D97827"/>
    <w:rsid w:val="00DA76B7"/>
    <w:rsid w:val="00DB023F"/>
    <w:rsid w:val="00DB13CC"/>
    <w:rsid w:val="00DC2EDA"/>
    <w:rsid w:val="00DF5A8D"/>
    <w:rsid w:val="00E1444F"/>
    <w:rsid w:val="00E4144E"/>
    <w:rsid w:val="00E56860"/>
    <w:rsid w:val="00E97E4D"/>
    <w:rsid w:val="00F416DE"/>
    <w:rsid w:val="00FA0ACE"/>
    <w:rsid w:val="00FA4520"/>
    <w:rsid w:val="00FB23D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0E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FC280F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C2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280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280F"/>
  </w:style>
  <w:style w:type="paragraph" w:styleId="Markeringsbobletekst">
    <w:name w:val="Balloon Text"/>
    <w:basedOn w:val="Normal"/>
    <w:link w:val="MarkeringsbobletekstTegn"/>
    <w:rsid w:val="00E56860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FC280F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rsid w:val="00FC280F"/>
    <w:rPr>
      <w:color w:val="0000FF"/>
      <w:u w:val="single"/>
    </w:rPr>
  </w:style>
  <w:style w:type="paragraph" w:customStyle="1" w:styleId="Adressat">
    <w:name w:val="Adressat"/>
    <w:rsid w:val="00FC280F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FC280F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FC280F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FC280F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link w:val="Markeringsbobletekst"/>
    <w:rsid w:val="00E5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0</TotalTime>
  <Pages>2</Pages>
  <Words>541</Words>
  <Characters>3127</Characters>
  <Application>Microsoft Office Word</Application>
  <DocSecurity>4</DocSecurity>
  <Lines>97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2013-05-07T12:03:00Z</cp:lastPrinted>
  <dcterms:created xsi:type="dcterms:W3CDTF">2013-05-08T12:35:00Z</dcterms:created>
  <dcterms:modified xsi:type="dcterms:W3CDTF">2013-05-08T12:35:00Z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C:\Users\w07365\AppData\Local\Temp\SJ20130508084138697 [DOK13335308].DOCX</vt:lpwstr>
  </property>
  <property fmtid="{D5CDD505-2E9C-101B-9397-08002B2CF9AE}" pid="6" name="title">
    <vt:lpwstr>vækstpakke - ændringer i energiafgifterne mm - resumé (DOK13335308)</vt:lpwstr>
  </property>
  <property fmtid="{D5CDD505-2E9C-101B-9397-08002B2CF9AE}" pid="7" name="command">
    <vt:lpwstr/>
  </property>
</Properties>
</file>