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B56A7D">
        <w:trPr>
          <w:trHeight w:val="2835"/>
        </w:trPr>
        <w:tc>
          <w:tcPr>
            <w:tcW w:w="2484" w:type="dxa"/>
          </w:tcPr>
          <w:bookmarkStart w:id="0" w:name="_GoBack" w:displacedByCustomXml="next"/>
          <w:bookmarkEnd w:id="0" w:displacedByCustomXml="next"/>
          <w:sdt>
            <w:sdtPr>
              <w:alias w:val="Vælg dato"/>
              <w:tag w:val="Vælg dato"/>
              <w:id w:val="-696322164"/>
              <w:placeholder>
                <w:docPart w:val="1102700AAA9243BFBFA7499DA621CF99"/>
              </w:placeholder>
              <w:date w:fullDate="2015-05-08T00:00:00Z">
                <w:dateFormat w:val="d. MMMM yyyy"/>
                <w:lid w:val="da-DK"/>
                <w:storeMappedDataAs w:val="dateTime"/>
                <w:calendar w:val="gregorian"/>
              </w:date>
            </w:sdtPr>
            <w:sdtEndPr/>
            <w:sdtContent>
              <w:p w:rsidR="00F37F63" w:rsidRDefault="0027790E" w:rsidP="00F37F63">
                <w:pPr>
                  <w:pStyle w:val="Hjrespaltetekst"/>
                  <w:rPr>
                    <w:rFonts w:ascii="Garamond" w:hAnsi="Garamond"/>
                    <w:noProof w:val="0"/>
                    <w:color w:val="auto"/>
                    <w:spacing w:val="0"/>
                    <w:sz w:val="22"/>
                  </w:rPr>
                </w:pPr>
                <w:r>
                  <w:t>8. maj 2015</w:t>
                </w:r>
              </w:p>
            </w:sdtContent>
          </w:sdt>
          <w:p w:rsidR="00F37F63" w:rsidRDefault="00F37F63" w:rsidP="00F37F63">
            <w:pPr>
              <w:pStyle w:val="Template-Dato"/>
            </w:pPr>
            <w:r>
              <w:t xml:space="preserve">J.nr. </w:t>
            </w:r>
            <w:bookmarkStart w:id="1" w:name="sagsnr"/>
            <w:r w:rsidR="00132B25">
              <w:t>15-0510314</w:t>
            </w:r>
            <w:bookmarkEnd w:id="1"/>
          </w:p>
          <w:p w:rsidR="00F37F63" w:rsidRPr="00102933" w:rsidRDefault="00F37F63" w:rsidP="00F37F63">
            <w:pPr>
              <w:pStyle w:val="Hjrespaltetekst"/>
              <w:rPr>
                <w:lang w:val="nb-NO"/>
              </w:rPr>
            </w:pPr>
            <w:r w:rsidRPr="00102933">
              <w:rPr>
                <w:lang w:val="nb-NO"/>
              </w:rPr>
              <w:t xml:space="preserve">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094ABD" w:rsidTr="00C45EEB">
        <w:trPr>
          <w:trHeight w:hRule="exact" w:val="2835"/>
        </w:trPr>
        <w:tc>
          <w:tcPr>
            <w:tcW w:w="7655" w:type="dxa"/>
            <w:vAlign w:val="bottom"/>
          </w:tcPr>
          <w:p w:rsidR="00F37F63" w:rsidRPr="00094ABD" w:rsidRDefault="00FB1FE9" w:rsidP="00F37F63">
            <w:r w:rsidRPr="00FB1FE9">
              <w:t>Til Folketinget – Skatteudvalget</w:t>
            </w:r>
          </w:p>
        </w:tc>
      </w:tr>
    </w:tbl>
    <w:p w:rsidR="00F37F63" w:rsidRDefault="00F37F63" w:rsidP="00F37F63"/>
    <w:p w:rsidR="00FB1FE9" w:rsidRDefault="00600E3E" w:rsidP="00FB1FE9">
      <w:r w:rsidRPr="00684545">
        <w:t xml:space="preserve">Til udvalgets orientering </w:t>
      </w:r>
      <w:r>
        <w:t>vedlægges høringsskema samt de modtagne høringssvar vedrørende forslag til</w:t>
      </w:r>
      <w:r w:rsidRPr="00684545">
        <w:t xml:space="preserve"> </w:t>
      </w:r>
      <w:r w:rsidR="00132B25">
        <w:t>lov om ændring af opkrævningsloven og selskabsskatteloven (Ændring af rentetillæg for afregning af selskabsskat og begrænsning af indestående på skattekontoen m.v.)</w:t>
      </w:r>
      <w:r w:rsidR="00006F66">
        <w:t>.</w:t>
      </w:r>
    </w:p>
    <w:p w:rsidR="00967833" w:rsidRDefault="00967833" w:rsidP="00967833"/>
    <w:p w:rsidR="00967833" w:rsidRDefault="00967833" w:rsidP="00967833"/>
    <w:p w:rsidR="00161AF0" w:rsidRDefault="00161AF0" w:rsidP="00161AF0">
      <w:pPr>
        <w:keepNext/>
        <w:keepLines/>
        <w:jc w:val="center"/>
      </w:pPr>
      <w:r>
        <w:t>Benny Engelbrecht</w:t>
      </w:r>
    </w:p>
    <w:p w:rsidR="00967833" w:rsidRDefault="00967833" w:rsidP="00967833">
      <w:pPr>
        <w:keepNext/>
        <w:keepLines/>
        <w:jc w:val="right"/>
      </w:pPr>
      <w:r>
        <w:t xml:space="preserve">/ </w:t>
      </w:r>
      <w:r w:rsidR="00132B25">
        <w:t>Camilla Christensen</w:t>
      </w:r>
    </w:p>
    <w:p w:rsidR="00815F28" w:rsidRDefault="00815F28" w:rsidP="00815F28">
      <w:pPr>
        <w:spacing w:line="260" w:lineRule="atLeast"/>
      </w:pPr>
      <w:r>
        <w:br w:type="page"/>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0"/>
        <w:gridCol w:w="213"/>
        <w:gridCol w:w="3443"/>
        <w:gridCol w:w="230"/>
        <w:gridCol w:w="3443"/>
      </w:tblGrid>
      <w:tr w:rsidR="00600E3E" w:rsidTr="00A30808">
        <w:trPr>
          <w:tblHeader/>
        </w:trPr>
        <w:tc>
          <w:tcPr>
            <w:tcW w:w="2310" w:type="dxa"/>
            <w:shd w:val="clear" w:color="auto" w:fill="D1C5C3"/>
            <w:vAlign w:val="center"/>
          </w:tcPr>
          <w:p w:rsidR="00600E3E" w:rsidRDefault="00600E3E" w:rsidP="00B9508F">
            <w:pPr>
              <w:pStyle w:val="Tabel-KolonneOverskrift"/>
            </w:pPr>
            <w:r>
              <w:lastRenderedPageBreak/>
              <w:t>Organisation</w:t>
            </w:r>
          </w:p>
        </w:tc>
        <w:tc>
          <w:tcPr>
            <w:tcW w:w="213" w:type="dxa"/>
            <w:shd w:val="clear" w:color="auto" w:fill="FFFFFF" w:themeFill="background1"/>
            <w:vAlign w:val="center"/>
          </w:tcPr>
          <w:p w:rsidR="00600E3E" w:rsidRDefault="00600E3E" w:rsidP="00B9508F">
            <w:pPr>
              <w:keepNext/>
              <w:keepLines/>
            </w:pPr>
          </w:p>
        </w:tc>
        <w:tc>
          <w:tcPr>
            <w:tcW w:w="3443" w:type="dxa"/>
            <w:shd w:val="clear" w:color="auto" w:fill="D1C5C3" w:themeFill="accent3"/>
            <w:vAlign w:val="center"/>
          </w:tcPr>
          <w:p w:rsidR="00600E3E" w:rsidRDefault="00600E3E" w:rsidP="00B9508F">
            <w:pPr>
              <w:pStyle w:val="Tabel-KolonneOverskrift"/>
            </w:pPr>
            <w:r>
              <w:t>Bemærkninger</w:t>
            </w:r>
          </w:p>
        </w:tc>
        <w:tc>
          <w:tcPr>
            <w:tcW w:w="230" w:type="dxa"/>
            <w:shd w:val="clear" w:color="auto" w:fill="FFFFFF" w:themeFill="background1"/>
            <w:vAlign w:val="center"/>
          </w:tcPr>
          <w:p w:rsidR="00600E3E" w:rsidRDefault="00600E3E" w:rsidP="00B9508F">
            <w:pPr>
              <w:keepNext/>
              <w:keepLines/>
            </w:pPr>
          </w:p>
        </w:tc>
        <w:tc>
          <w:tcPr>
            <w:tcW w:w="3443" w:type="dxa"/>
            <w:shd w:val="clear" w:color="auto" w:fill="14143C" w:themeFill="accent1"/>
            <w:vAlign w:val="center"/>
          </w:tcPr>
          <w:p w:rsidR="00600E3E" w:rsidRDefault="00600E3E" w:rsidP="00B9508F">
            <w:pPr>
              <w:pStyle w:val="Tabel-KolonneOverskriftHvid"/>
            </w:pPr>
            <w:r>
              <w:t>Kommentarer</w:t>
            </w:r>
          </w:p>
        </w:tc>
      </w:tr>
      <w:tr w:rsidR="00CE285D" w:rsidRPr="00B5346F" w:rsidTr="004D2BD7">
        <w:tc>
          <w:tcPr>
            <w:tcW w:w="2310" w:type="dxa"/>
            <w:tcBorders>
              <w:bottom w:val="single" w:sz="4" w:space="0" w:color="D1C5C3" w:themeColor="accent3"/>
            </w:tcBorders>
            <w:shd w:val="clear" w:color="auto" w:fill="FBF9F9"/>
          </w:tcPr>
          <w:p w:rsidR="00CE285D" w:rsidRDefault="00CE285D" w:rsidP="00144FBA">
            <w:pPr>
              <w:pStyle w:val="Tabel-BrdtekstmedafstandptekstGaramond"/>
              <w:rPr>
                <w:i/>
              </w:rPr>
            </w:pPr>
            <w:r>
              <w:rPr>
                <w:i/>
              </w:rPr>
              <w:t>Advokatrådet</w:t>
            </w:r>
          </w:p>
        </w:tc>
        <w:tc>
          <w:tcPr>
            <w:tcW w:w="213" w:type="dxa"/>
            <w:shd w:val="clear" w:color="auto" w:fill="FFFFFF" w:themeFill="background1"/>
          </w:tcPr>
          <w:p w:rsidR="00CE285D" w:rsidRPr="00B5346F" w:rsidRDefault="00CE285D" w:rsidP="00144FBA"/>
        </w:tc>
        <w:tc>
          <w:tcPr>
            <w:tcW w:w="3443" w:type="dxa"/>
            <w:tcBorders>
              <w:bottom w:val="single" w:sz="4" w:space="0" w:color="D1C5C3" w:themeColor="accent3"/>
            </w:tcBorders>
            <w:shd w:val="clear" w:color="auto" w:fill="FBF9F9"/>
          </w:tcPr>
          <w:p w:rsidR="00D7011E" w:rsidRDefault="00D7011E" w:rsidP="00D7011E">
            <w:pPr>
              <w:pStyle w:val="Tabel-BrdtekstmedafstandptekstGaramond"/>
            </w:pPr>
            <w:r>
              <w:t>Advokatrådet finder det stærkt utilfredsstillende, at høringen først gennemføres efter lovforslagets fremsættelse, da Advokatrådet ikke finder, at der er tungtvejende grunde til, at lovforslaget ikke har afventet høring af de relevante interesser.</w:t>
            </w:r>
          </w:p>
          <w:p w:rsidR="00D7011E" w:rsidRDefault="00D7011E"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p>
          <w:p w:rsidR="005B684A" w:rsidRDefault="005B684A" w:rsidP="00D7011E">
            <w:pPr>
              <w:pStyle w:val="Tabel-BrdtekstmedafstandptekstGaramond"/>
            </w:pPr>
          </w:p>
          <w:p w:rsidR="005B684A" w:rsidRDefault="005B684A"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r>
              <w:t>Det anføres, at stykket om beregning af restskattetillægget lovtekni</w:t>
            </w:r>
            <w:r w:rsidR="002477B5">
              <w:t>s</w:t>
            </w:r>
            <w:r>
              <w:t>k kan flyttes op fra stk. 10 til stk. 8 med henblik på, at henvisningerne i stykkerne til øvrige stykker i bestemmelsen kommer i numerisk rækkefølge.</w:t>
            </w:r>
          </w:p>
          <w:p w:rsidR="00D7011E" w:rsidRDefault="00D7011E" w:rsidP="00D7011E">
            <w:pPr>
              <w:pStyle w:val="Tabel-BrdtekstmedafstandptekstGaramond"/>
            </w:pPr>
          </w:p>
          <w:p w:rsidR="00D7011E" w:rsidRDefault="00D7011E" w:rsidP="00D7011E">
            <w:pPr>
              <w:pStyle w:val="Tabel-BrdtekstmedafstandptekstGaramond"/>
            </w:pPr>
            <w:r>
              <w:t>Der henvises til, at det i nyaffattelsen af selskabsskattelovens § 29 B, stk. 7, 1. pkt.</w:t>
            </w:r>
            <w:r w:rsidR="002477B5">
              <w:t>,</w:t>
            </w:r>
            <w:r>
              <w:t xml:space="preserve"> er anført, at der skal betales et tillæg efter stk. 11. I 2. pkt. er det imidlertid anført, at der ikke skal betales et tillæg efter stk. 11. Det at føres, at hvis det er meningen, at 2. pkt. er en undtagelse til 1. pkt., </w:t>
            </w:r>
            <w:r w:rsidR="002477B5">
              <w:t>bør der i 2. pkt. indføjes et ”</w:t>
            </w:r>
            <w:r>
              <w:t>dog</w:t>
            </w:r>
            <w:r w:rsidR="002477B5">
              <w:t>” mellem ordene ”</w:t>
            </w:r>
            <w:r>
              <w:t>betales ingen”.</w:t>
            </w:r>
          </w:p>
          <w:p w:rsidR="00D7011E" w:rsidRDefault="00D7011E"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r>
              <w:t xml:space="preserve">Advokatrådet savner en uddybning af, hvordan virksomhederne har et incitament til at betale frivillig acontoskat efter den 1. november i indkomståret, når de skal betale </w:t>
            </w:r>
            <w:r>
              <w:lastRenderedPageBreak/>
              <w:t xml:space="preserve">restskattetillæg af den frivillige indbetaling. </w:t>
            </w:r>
          </w:p>
          <w:p w:rsidR="00D7011E" w:rsidRDefault="00D7011E" w:rsidP="00D7011E">
            <w:pPr>
              <w:pStyle w:val="Tabel-BrdtekstmedafstandptekstGaramond"/>
            </w:pPr>
          </w:p>
          <w:p w:rsidR="00D7011E" w:rsidRDefault="00D7011E" w:rsidP="00D7011E">
            <w:pPr>
              <w:pStyle w:val="Tabel-BrdtekstmedafstandptekstGaramond"/>
            </w:pPr>
            <w:r>
              <w:t>Det findes at være en omgåelse af skattefriheden af godtgørelse for overskydende skat, at der i selve beregningen af godtgørelsesprocenten korrigeres for skattefriheden, så det økonomiske resultat af en godtgørelse svarer til, at den var skattepligtig.</w:t>
            </w:r>
          </w:p>
          <w:p w:rsidR="00D7011E" w:rsidRDefault="00D7011E"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p>
          <w:p w:rsidR="00D7011E" w:rsidRDefault="00D7011E" w:rsidP="00D7011E">
            <w:pPr>
              <w:pStyle w:val="Tabel-BrdtekstmedafstandptekstGaramond"/>
            </w:pPr>
          </w:p>
          <w:p w:rsidR="00CE285D" w:rsidRDefault="00D7011E" w:rsidP="00D7011E">
            <w:pPr>
              <w:pStyle w:val="Tabel-BrdtekstmedafstandptekstGaramond"/>
            </w:pPr>
            <w:r>
              <w:t>Henset til det nuværende rentemarked savnes der en forklaring på, hvorfor spændet mellem godtgørelsesprocenten og rest</w:t>
            </w:r>
            <w:r w:rsidR="00A04B65">
              <w:t>s</w:t>
            </w:r>
            <w:r>
              <w:t>katteprocenten udvides fra 3,5 procentpo</w:t>
            </w:r>
            <w:r w:rsidR="00A04B65">
              <w:t>int</w:t>
            </w:r>
            <w:r>
              <w:t xml:space="preserve"> til 5 procentpoint.</w:t>
            </w:r>
          </w:p>
        </w:tc>
        <w:tc>
          <w:tcPr>
            <w:tcW w:w="230" w:type="dxa"/>
            <w:shd w:val="clear" w:color="auto" w:fill="FFFFFF" w:themeFill="background1"/>
          </w:tcPr>
          <w:p w:rsidR="00CE285D" w:rsidRPr="00B5346F" w:rsidRDefault="00CE285D" w:rsidP="00144FBA"/>
        </w:tc>
        <w:tc>
          <w:tcPr>
            <w:tcW w:w="3443" w:type="dxa"/>
            <w:tcBorders>
              <w:bottom w:val="single" w:sz="4" w:space="0" w:color="14143C" w:themeColor="accent1"/>
            </w:tcBorders>
            <w:shd w:val="clear" w:color="auto" w:fill="D2CED8"/>
          </w:tcPr>
          <w:p w:rsidR="00CE285D" w:rsidRDefault="00CE285D" w:rsidP="00CE285D">
            <w:pPr>
              <w:pStyle w:val="Tabel-BrdtekstmedafstandptekstGaramond"/>
            </w:pPr>
            <w:r>
              <w:t xml:space="preserve">Lovforslaget er ikke sendt i høring forinden fremsættelsen af hensyn til den foreslåede overgangsregel, hvorefter </w:t>
            </w:r>
            <w:r w:rsidR="005B684A">
              <w:t xml:space="preserve">selskaber for den </w:t>
            </w:r>
            <w:r>
              <w:t>overskydende skat, der kan henføres til acontoskat indbetalt inden fremsættelsen, opnår den hidtil gældende godtgørelse. En udsendes i høring inden fremsættelsen ville give mulighed for</w:t>
            </w:r>
            <w:r w:rsidR="002477B5">
              <w:t>,</w:t>
            </w:r>
            <w:r>
              <w:t xml:space="preserve"> at selskaberne kunne indbetale yderligere beløb, der ville blive omfattet af de hidtil gældende regler, hvilket ville modgå sigtet med lovforslaget. </w:t>
            </w:r>
            <w:r w:rsidR="005B684A">
              <w:t>Der er redegjort herfor i lovforslagets bemærkninger.</w:t>
            </w:r>
          </w:p>
          <w:p w:rsidR="00CE285D" w:rsidRDefault="00CE285D" w:rsidP="00CE285D">
            <w:pPr>
              <w:pStyle w:val="Tabel-BrdtekstmedafstandptekstGaramond"/>
            </w:pPr>
          </w:p>
          <w:p w:rsidR="00CE285D" w:rsidRDefault="00CE285D" w:rsidP="00CE285D">
            <w:pPr>
              <w:pStyle w:val="Tabel-BrdtekstmedafstandptekstGaramond"/>
            </w:pPr>
            <w:r>
              <w:t xml:space="preserve">Stykket om beregning af restskatteprocenten er placeret ved siden af stykket om beregningen af procenttillægget for den nye 3. rate af frivillig acontoskat, fordi de to procenter begge bygger på den gennemsnitlige kassekreditrente. </w:t>
            </w:r>
          </w:p>
          <w:p w:rsidR="00CE285D" w:rsidRDefault="00CE285D" w:rsidP="00CE285D">
            <w:pPr>
              <w:pStyle w:val="Tabel-BrdtekstmedafstandptekstGaramond"/>
            </w:pPr>
          </w:p>
          <w:p w:rsidR="00CE285D" w:rsidRDefault="00CE285D" w:rsidP="00CE285D">
            <w:pPr>
              <w:pStyle w:val="Tabel-BrdtekstmedafstandptekstGaramond"/>
              <w:ind w:left="183"/>
            </w:pPr>
            <w:r>
              <w:t>2. pkt. i den foreslåede § 29 B, stk. 7, er</w:t>
            </w:r>
            <w:r w:rsidR="002477B5">
              <w:t xml:space="preserve"> ikke</w:t>
            </w:r>
            <w:r>
              <w:t xml:space="preserve"> en undtagelse til det foreslåede 1. pkt. i bestemmelse. Det omhandlede 2. pkt. har sammenhæng med den foreslåede bestemmelse i selskabsskattelovens § 29 B, stk. 5, 4. pkt., hvorefter der ikke betales godtgørelse af en overskydende skat, der modsvares af en frivillig indbetaling af acontoskat foretaget efter den 20. november i indkomståret.</w:t>
            </w:r>
          </w:p>
          <w:p w:rsidR="00CE285D" w:rsidRDefault="00CE285D" w:rsidP="00CE285D">
            <w:pPr>
              <w:pStyle w:val="Tabel-BrdtekstmedafstandptekstGaramond"/>
            </w:pPr>
          </w:p>
          <w:p w:rsidR="00CE285D" w:rsidRDefault="00CE285D" w:rsidP="00CE285D">
            <w:pPr>
              <w:pStyle w:val="Tabel-BrdtekstmedafstandptekstGaramond"/>
            </w:pPr>
            <w:r>
              <w:t>Selskabernes incitament til at indbetale frivillig acontoskat efter den nye 3. rate ligger i, at procenttillægget bliver lavere, fordi der alene skal betales for den kortere perio</w:t>
            </w:r>
            <w:r>
              <w:lastRenderedPageBreak/>
              <w:t xml:space="preserve">de. </w:t>
            </w:r>
          </w:p>
          <w:p w:rsidR="00CE285D" w:rsidRDefault="00CE285D" w:rsidP="00CE285D">
            <w:pPr>
              <w:ind w:left="183"/>
            </w:pPr>
          </w:p>
          <w:p w:rsidR="00CE285D" w:rsidRPr="000F232F" w:rsidRDefault="00CE285D" w:rsidP="00CE285D">
            <w:pPr>
              <w:ind w:left="183"/>
            </w:pPr>
            <w:r w:rsidRPr="000F232F">
              <w:t>Godtgørelsesprocenten skal så vidt muligt afspejle det skattepligtige afkast</w:t>
            </w:r>
            <w:r w:rsidR="002477B5">
              <w:t>,</w:t>
            </w:r>
            <w:r w:rsidRPr="000F232F">
              <w:t xml:space="preserve"> selskaberne alternativt ville kunne opnå i banken. Da godtgørelsen ved overskydende skat er skattefri, kan denne balance kun opnås, hvis godtgørelsesprocenten afspejler markedsrenten efter skat. Ellers ville det bedre kunne betales sig for selskaberne at placere deres likviditet i SKAT frem for i deres pengeinstitut. Godtgørelsesprocenten er derfor efter både forslaget og de nuværende regler fastsat som en efterskatrente, hvilket direkte fremgår af den gældende bestemmelse i SEL §</w:t>
            </w:r>
            <w:r>
              <w:t xml:space="preserve"> </w:t>
            </w:r>
            <w:r w:rsidRPr="000F232F">
              <w:t xml:space="preserve">29 </w:t>
            </w:r>
            <w:r>
              <w:t>B</w:t>
            </w:r>
            <w:r w:rsidRPr="000F232F">
              <w:t xml:space="preserve">, stk.7. </w:t>
            </w:r>
          </w:p>
          <w:p w:rsidR="00CE285D" w:rsidRPr="00B5346F" w:rsidRDefault="00BF6B69" w:rsidP="00144FBA">
            <w:pPr>
              <w:pStyle w:val="Tabel-BrdtekstmedafstandptekstGaramond"/>
            </w:pPr>
            <w:r>
              <w:t xml:space="preserve">Vedrørende forklaring på forskellen i rentespænd mellem restskatteprocenten og godtgørelsesprocenten henvises til kommentaren til høringssvaret fra SEGES. </w:t>
            </w:r>
          </w:p>
        </w:tc>
      </w:tr>
      <w:tr w:rsidR="001B12A0" w:rsidRPr="00B5346F" w:rsidTr="004D2BD7">
        <w:tc>
          <w:tcPr>
            <w:tcW w:w="2310" w:type="dxa"/>
            <w:tcBorders>
              <w:bottom w:val="single" w:sz="4" w:space="0" w:color="D1C5C3" w:themeColor="accent3"/>
            </w:tcBorders>
            <w:shd w:val="clear" w:color="auto" w:fill="FBF9F9"/>
          </w:tcPr>
          <w:p w:rsidR="001B12A0" w:rsidRDefault="001B12A0" w:rsidP="00144FBA">
            <w:pPr>
              <w:pStyle w:val="Tabel-BrdtekstmedafstandptekstGaramond"/>
              <w:rPr>
                <w:i/>
              </w:rPr>
            </w:pPr>
            <w:r>
              <w:rPr>
                <w:i/>
              </w:rPr>
              <w:lastRenderedPageBreak/>
              <w:t>Dansk Byggeri</w:t>
            </w:r>
          </w:p>
        </w:tc>
        <w:tc>
          <w:tcPr>
            <w:tcW w:w="213" w:type="dxa"/>
            <w:shd w:val="clear" w:color="auto" w:fill="FFFFFF" w:themeFill="background1"/>
          </w:tcPr>
          <w:p w:rsidR="001B12A0" w:rsidRPr="00B5346F" w:rsidRDefault="001B12A0" w:rsidP="00144FBA"/>
        </w:tc>
        <w:tc>
          <w:tcPr>
            <w:tcW w:w="3443" w:type="dxa"/>
            <w:tcBorders>
              <w:bottom w:val="single" w:sz="4" w:space="0" w:color="D1C5C3" w:themeColor="accent3"/>
            </w:tcBorders>
            <w:shd w:val="clear" w:color="auto" w:fill="FBF9F9"/>
          </w:tcPr>
          <w:p w:rsidR="001B12A0" w:rsidRPr="00B5346F" w:rsidRDefault="001A19BC" w:rsidP="001A19BC">
            <w:pPr>
              <w:pStyle w:val="Tabel-BrdtekstmedafstandptekstGaramond"/>
            </w:pPr>
            <w:r>
              <w:t>Dansk Byggeri</w:t>
            </w:r>
            <w:r w:rsidR="001B12A0">
              <w:t xml:space="preserve"> </w:t>
            </w:r>
            <w:r w:rsidR="00BD3F5A">
              <w:t xml:space="preserve">har </w:t>
            </w:r>
            <w:r w:rsidR="001B12A0">
              <w:t>ingen bemærkninger</w:t>
            </w:r>
            <w:r>
              <w:t xml:space="preserve"> til lovforslaget.</w:t>
            </w:r>
          </w:p>
        </w:tc>
        <w:tc>
          <w:tcPr>
            <w:tcW w:w="230" w:type="dxa"/>
            <w:shd w:val="clear" w:color="auto" w:fill="FFFFFF" w:themeFill="background1"/>
          </w:tcPr>
          <w:p w:rsidR="001B12A0" w:rsidRPr="00B5346F" w:rsidRDefault="001B12A0" w:rsidP="00144FBA"/>
        </w:tc>
        <w:tc>
          <w:tcPr>
            <w:tcW w:w="3443" w:type="dxa"/>
            <w:tcBorders>
              <w:bottom w:val="single" w:sz="4" w:space="0" w:color="14143C" w:themeColor="accent1"/>
            </w:tcBorders>
            <w:shd w:val="clear" w:color="auto" w:fill="D2CED8"/>
          </w:tcPr>
          <w:p w:rsidR="001B12A0" w:rsidRPr="00B5346F" w:rsidRDefault="001B12A0" w:rsidP="00144FBA">
            <w:pPr>
              <w:pStyle w:val="Tabel-BrdtekstmedafstandptekstGaramond"/>
            </w:pPr>
          </w:p>
        </w:tc>
      </w:tr>
      <w:tr w:rsidR="004F1D1E" w:rsidRPr="00B5346F" w:rsidTr="004D2BD7">
        <w:tc>
          <w:tcPr>
            <w:tcW w:w="2310" w:type="dxa"/>
            <w:tcBorders>
              <w:bottom w:val="single" w:sz="4" w:space="0" w:color="D1C5C3" w:themeColor="accent3"/>
            </w:tcBorders>
            <w:shd w:val="clear" w:color="auto" w:fill="FBF9F9"/>
          </w:tcPr>
          <w:p w:rsidR="004F1D1E" w:rsidRDefault="004F1D1E" w:rsidP="00144FBA">
            <w:pPr>
              <w:pStyle w:val="Tabel-BrdtekstmedafstandptekstGaramond"/>
              <w:rPr>
                <w:i/>
              </w:rPr>
            </w:pPr>
            <w:r>
              <w:rPr>
                <w:i/>
              </w:rPr>
              <w:t>Dansk Erhverv</w:t>
            </w:r>
          </w:p>
        </w:tc>
        <w:tc>
          <w:tcPr>
            <w:tcW w:w="213" w:type="dxa"/>
            <w:shd w:val="clear" w:color="auto" w:fill="FFFFFF" w:themeFill="background1"/>
          </w:tcPr>
          <w:p w:rsidR="004F1D1E" w:rsidRPr="00B5346F" w:rsidRDefault="004F1D1E" w:rsidP="00144FBA"/>
        </w:tc>
        <w:tc>
          <w:tcPr>
            <w:tcW w:w="3443" w:type="dxa"/>
            <w:tcBorders>
              <w:bottom w:val="single" w:sz="4" w:space="0" w:color="D1C5C3" w:themeColor="accent3"/>
            </w:tcBorders>
            <w:shd w:val="clear" w:color="auto" w:fill="FBF9F9"/>
          </w:tcPr>
          <w:p w:rsidR="004F1D1E" w:rsidRDefault="00BD3F5A" w:rsidP="00144FBA">
            <w:pPr>
              <w:pStyle w:val="Tabel-BrdtekstmedafstandptekstGaramond"/>
            </w:pPr>
            <w:r>
              <w:t>Dansk Erhverv h</w:t>
            </w:r>
            <w:r w:rsidR="0086736E">
              <w:t>ar forståelse for justeringen af rentesatserne for indbetaling af acontoskat m.v., så rentesatserne ikke bevirker, at staten anvendes som et alternativ til at sætte penge i banken.</w:t>
            </w:r>
          </w:p>
          <w:p w:rsidR="00A74D30" w:rsidRDefault="00A74D30" w:rsidP="00144FBA">
            <w:pPr>
              <w:pStyle w:val="Tabel-BrdtekstmedafstandptekstGaramond"/>
            </w:pPr>
          </w:p>
          <w:p w:rsidR="0086736E" w:rsidRDefault="00A74D30" w:rsidP="00144FBA">
            <w:pPr>
              <w:pStyle w:val="Tabel-BrdtekstmedafstandptekstGaramond"/>
            </w:pPr>
            <w:r>
              <w:t>D</w:t>
            </w:r>
            <w:r w:rsidR="0086736E">
              <w:t xml:space="preserve">et er </w:t>
            </w:r>
            <w:r>
              <w:t xml:space="preserve">ifølge DE </w:t>
            </w:r>
            <w:r w:rsidR="0086736E">
              <w:t>positivt, at der åbnes for at indbetale acontoskat i februar i året efter indkomståret, da det giver selskaberne klart bedre mulighed for at minimere over</w:t>
            </w:r>
            <w:r w:rsidR="0086736E">
              <w:lastRenderedPageBreak/>
              <w:t xml:space="preserve">skydende skat og restskat. </w:t>
            </w:r>
          </w:p>
          <w:p w:rsidR="00A74D30" w:rsidRDefault="00A74D30" w:rsidP="00393157">
            <w:pPr>
              <w:pStyle w:val="Tabel-BrdtekstmedafstandptekstGaramond"/>
            </w:pPr>
          </w:p>
          <w:p w:rsidR="00393157" w:rsidRDefault="00A74D30" w:rsidP="00A74D30">
            <w:pPr>
              <w:pStyle w:val="Tabel-BrdtekstmedafstandptekstGaramond"/>
            </w:pPr>
            <w:r>
              <w:t>D</w:t>
            </w:r>
            <w:r w:rsidR="0086736E">
              <w:t xml:space="preserve">et </w:t>
            </w:r>
            <w:r>
              <w:t xml:space="preserve">findes </w:t>
            </w:r>
            <w:r w:rsidR="0086736E">
              <w:t>ikke rimeligt, at selskaberne ikke kender rentesatse</w:t>
            </w:r>
            <w:r w:rsidR="009E14AF">
              <w:t>r</w:t>
            </w:r>
            <w:r w:rsidR="0086736E">
              <w:t>n</w:t>
            </w:r>
            <w:r w:rsidR="009E14AF">
              <w:t>e</w:t>
            </w:r>
            <w:r w:rsidR="0086736E">
              <w:t>, når betalingen foretages</w:t>
            </w:r>
            <w:r w:rsidR="00393157">
              <w:t>. Da renten beregnes på baggrund af Nationalbankens indlånsrente</w:t>
            </w:r>
            <w:r w:rsidR="009E14AF">
              <w:t>,</w:t>
            </w:r>
            <w:r w:rsidR="00393157">
              <w:t xml:space="preserve"> må renten kendes den 1. ok</w:t>
            </w:r>
            <w:r w:rsidR="00540EF3">
              <w:t>t</w:t>
            </w:r>
            <w:r w:rsidR="00393157">
              <w:t>ober</w:t>
            </w:r>
            <w:r w:rsidR="009E14AF">
              <w:t>,</w:t>
            </w:r>
            <w:r w:rsidR="00393157">
              <w:t xml:space="preserve"> og DE f</w:t>
            </w:r>
            <w:r w:rsidR="0086736E">
              <w:t xml:space="preserve">oreslår derfor, at satserne skal offentliggøres senest </w:t>
            </w:r>
            <w:r w:rsidR="000A6C92">
              <w:t xml:space="preserve">den </w:t>
            </w:r>
            <w:r w:rsidR="0086736E">
              <w:t xml:space="preserve">15. oktober. </w:t>
            </w:r>
            <w:r w:rsidR="00393157">
              <w:t xml:space="preserve">Da rentesatsen for </w:t>
            </w:r>
            <w:r w:rsidR="0064644B">
              <w:t>betaling senest 1. februar i året efter indkomståret er højere end rentesatsen for indbetaling senest den 20. november i indkomståret</w:t>
            </w:r>
            <w:r w:rsidR="00BD3F5A">
              <w:t>,</w:t>
            </w:r>
            <w:r w:rsidR="0064644B">
              <w:t xml:space="preserve"> vil selskaberne have en interesse i at kende rentesatserne inden fristen den 20. november. </w:t>
            </w:r>
          </w:p>
          <w:p w:rsidR="00A74D30" w:rsidRDefault="00A74D30" w:rsidP="00A74D30">
            <w:pPr>
              <w:pStyle w:val="Tabel-BrdtekstmedafstandptekstGaramond"/>
            </w:pPr>
          </w:p>
          <w:p w:rsidR="0064644B" w:rsidRPr="00B5346F" w:rsidRDefault="00A74D30" w:rsidP="00A74D30">
            <w:pPr>
              <w:pStyle w:val="Tabel-BrdtekstmedafstandptekstGaramond"/>
            </w:pPr>
            <w:r>
              <w:t>Det f</w:t>
            </w:r>
            <w:r w:rsidR="0064644B">
              <w:t>oreslå</w:t>
            </w:r>
            <w:r>
              <w:t>s</w:t>
            </w:r>
            <w:r w:rsidR="0064644B">
              <w:t>, at rentesatsen for indbetaling senest 1. februar (forventet</w:t>
            </w:r>
            <w:r w:rsidR="00901A08">
              <w:t xml:space="preserve"> </w:t>
            </w:r>
            <w:r w:rsidR="0064644B">
              <w:t xml:space="preserve">0,8 pct.) fastsættes med udgangspunkt i indlånsrenten svarende til rentesatsen for indbetaling senest 20. november (forventet 0 pct.), da det ikke virker rimeligt, at en tre måneders ekstra kredittid skal koste så meget mere. </w:t>
            </w:r>
          </w:p>
        </w:tc>
        <w:tc>
          <w:tcPr>
            <w:tcW w:w="230" w:type="dxa"/>
            <w:shd w:val="clear" w:color="auto" w:fill="FFFFFF" w:themeFill="background1"/>
          </w:tcPr>
          <w:p w:rsidR="004F1D1E" w:rsidRPr="00B5346F" w:rsidRDefault="004F1D1E" w:rsidP="00144FBA"/>
        </w:tc>
        <w:tc>
          <w:tcPr>
            <w:tcW w:w="3443" w:type="dxa"/>
            <w:tcBorders>
              <w:bottom w:val="single" w:sz="4" w:space="0" w:color="14143C" w:themeColor="accent1"/>
            </w:tcBorders>
            <w:shd w:val="clear" w:color="auto" w:fill="D2CED8"/>
          </w:tcPr>
          <w:p w:rsidR="00BD3F5A" w:rsidRDefault="00BD3F5A" w:rsidP="00540EF3">
            <w:pPr>
              <w:pStyle w:val="Tabel-BrdtekstmedafstandptekstGaramond"/>
            </w:pPr>
          </w:p>
          <w:p w:rsidR="00BD3F5A" w:rsidRDefault="00BD3F5A" w:rsidP="00540EF3">
            <w:pPr>
              <w:pStyle w:val="Tabel-BrdtekstmedafstandptekstGaramond"/>
            </w:pPr>
          </w:p>
          <w:p w:rsidR="00BD3F5A" w:rsidRDefault="00BD3F5A" w:rsidP="00540EF3">
            <w:pPr>
              <w:pStyle w:val="Tabel-BrdtekstmedafstandptekstGaramond"/>
            </w:pPr>
          </w:p>
          <w:p w:rsidR="00BD3F5A" w:rsidRDefault="00BD3F5A" w:rsidP="00540EF3">
            <w:pPr>
              <w:pStyle w:val="Tabel-BrdtekstmedafstandptekstGaramond"/>
            </w:pPr>
          </w:p>
          <w:p w:rsidR="00BD3F5A" w:rsidRDefault="00BD3F5A" w:rsidP="00540EF3">
            <w:pPr>
              <w:pStyle w:val="Tabel-BrdtekstmedafstandptekstGaramond"/>
            </w:pPr>
          </w:p>
          <w:p w:rsidR="00BD3F5A" w:rsidRDefault="00BD3F5A" w:rsidP="00540EF3">
            <w:pPr>
              <w:pStyle w:val="Tabel-BrdtekstmedafstandptekstGaramond"/>
            </w:pPr>
          </w:p>
          <w:p w:rsidR="00BD3F5A" w:rsidRDefault="00BD3F5A" w:rsidP="00540EF3">
            <w:pPr>
              <w:pStyle w:val="Tabel-BrdtekstmedafstandptekstGaramond"/>
            </w:pPr>
          </w:p>
          <w:p w:rsidR="00BD3F5A" w:rsidRDefault="00BD3F5A" w:rsidP="00540EF3">
            <w:pPr>
              <w:pStyle w:val="Tabel-BrdtekstmedafstandptekstGaramond"/>
            </w:pPr>
          </w:p>
          <w:p w:rsidR="00BD3F5A" w:rsidRDefault="00BD3F5A" w:rsidP="00540EF3">
            <w:pPr>
              <w:pStyle w:val="Tabel-BrdtekstmedafstandptekstGaramond"/>
            </w:pPr>
          </w:p>
          <w:p w:rsidR="00BD3F5A" w:rsidRDefault="00BD3F5A" w:rsidP="00540EF3">
            <w:pPr>
              <w:pStyle w:val="Tabel-BrdtekstmedafstandptekstGaramond"/>
            </w:pPr>
          </w:p>
          <w:p w:rsidR="00BD3F5A" w:rsidRDefault="00BD3F5A" w:rsidP="00540EF3">
            <w:pPr>
              <w:pStyle w:val="Tabel-BrdtekstmedafstandptekstGaramond"/>
            </w:pPr>
          </w:p>
          <w:p w:rsidR="00BD3F5A" w:rsidRDefault="00BD3F5A" w:rsidP="00540EF3">
            <w:pPr>
              <w:pStyle w:val="Tabel-BrdtekstmedafstandptekstGaramond"/>
            </w:pPr>
          </w:p>
          <w:p w:rsidR="00A74D30" w:rsidRDefault="00A74D30" w:rsidP="00540EF3">
            <w:pPr>
              <w:pStyle w:val="Tabel-BrdtekstmedafstandptekstGaramond"/>
            </w:pPr>
          </w:p>
          <w:p w:rsidR="00A74D30" w:rsidRDefault="00A74D30" w:rsidP="00540EF3">
            <w:pPr>
              <w:pStyle w:val="Tabel-BrdtekstmedafstandptekstGaramond"/>
            </w:pPr>
          </w:p>
          <w:p w:rsidR="00540EF3" w:rsidRDefault="00540EF3" w:rsidP="00540EF3">
            <w:pPr>
              <w:pStyle w:val="Tabel-BrdtekstmedafstandptekstGaramond"/>
            </w:pPr>
            <w:r>
              <w:t xml:space="preserve">I forhold til muligheden for at fremskynde offentliggørelsen af rentesatserne henvises til </w:t>
            </w:r>
            <w:r w:rsidR="001A19BC">
              <w:t>kommentar</w:t>
            </w:r>
            <w:r>
              <w:t xml:space="preserve"> </w:t>
            </w:r>
            <w:r w:rsidR="001A19BC">
              <w:t>til</w:t>
            </w:r>
            <w:r>
              <w:t xml:space="preserve"> høringssvar fra FSR</w:t>
            </w:r>
            <w:r w:rsidR="001A19BC">
              <w:t xml:space="preserve"> – Danske Revisorer</w:t>
            </w:r>
            <w:r>
              <w:t>.</w:t>
            </w:r>
          </w:p>
          <w:p w:rsidR="00540EF3" w:rsidRDefault="00540EF3" w:rsidP="00540EF3">
            <w:pPr>
              <w:pStyle w:val="Tabel-BrdtekstmedafstandptekstGaramond"/>
            </w:pPr>
          </w:p>
          <w:p w:rsidR="00A74D30" w:rsidRDefault="00A74D30" w:rsidP="00540EF3">
            <w:pPr>
              <w:pStyle w:val="Tabel-BrdtekstmedafstandptekstGaramond"/>
            </w:pPr>
          </w:p>
          <w:p w:rsidR="00A74D30" w:rsidRDefault="00A74D30" w:rsidP="00540EF3">
            <w:pPr>
              <w:pStyle w:val="Tabel-BrdtekstmedafstandptekstGaramond"/>
            </w:pPr>
          </w:p>
          <w:p w:rsidR="00A74D30" w:rsidRDefault="00A74D30" w:rsidP="00540EF3">
            <w:pPr>
              <w:pStyle w:val="Tabel-BrdtekstmedafstandptekstGaramond"/>
            </w:pPr>
          </w:p>
          <w:p w:rsidR="00A74D30" w:rsidRDefault="00A74D30" w:rsidP="00540EF3">
            <w:pPr>
              <w:pStyle w:val="Tabel-BrdtekstmedafstandptekstGaramond"/>
            </w:pPr>
          </w:p>
          <w:p w:rsidR="00A74D30" w:rsidRDefault="00A74D30" w:rsidP="00540EF3">
            <w:pPr>
              <w:pStyle w:val="Tabel-BrdtekstmedafstandptekstGaramond"/>
            </w:pPr>
          </w:p>
          <w:p w:rsidR="00A74D30" w:rsidRDefault="00A74D30" w:rsidP="00540EF3">
            <w:pPr>
              <w:pStyle w:val="Tabel-BrdtekstmedafstandptekstGaramond"/>
            </w:pPr>
          </w:p>
          <w:p w:rsidR="00A74D30" w:rsidRDefault="00A74D30" w:rsidP="00540EF3">
            <w:pPr>
              <w:pStyle w:val="Tabel-BrdtekstmedafstandptekstGaramond"/>
            </w:pPr>
          </w:p>
          <w:p w:rsidR="00A74D30" w:rsidRDefault="00A74D30" w:rsidP="00540EF3">
            <w:pPr>
              <w:pStyle w:val="Tabel-BrdtekstmedafstandptekstGaramond"/>
            </w:pPr>
          </w:p>
          <w:p w:rsidR="00A74D30" w:rsidRDefault="00A74D30" w:rsidP="00540EF3">
            <w:pPr>
              <w:pStyle w:val="Tabel-BrdtekstmedafstandptekstGaramond"/>
            </w:pPr>
          </w:p>
          <w:p w:rsidR="00A74D30" w:rsidRDefault="00A74D30" w:rsidP="00540EF3">
            <w:pPr>
              <w:pStyle w:val="Tabel-BrdtekstmedafstandptekstGaramond"/>
            </w:pPr>
          </w:p>
          <w:p w:rsidR="00A74D30" w:rsidRDefault="00A74D30" w:rsidP="00540EF3">
            <w:pPr>
              <w:pStyle w:val="Tabel-BrdtekstmedafstandptekstGaramond"/>
            </w:pPr>
          </w:p>
          <w:p w:rsidR="00540EF3" w:rsidRDefault="00540EF3" w:rsidP="00540EF3">
            <w:pPr>
              <w:pStyle w:val="Tabel-BrdtekstmedafstandptekstGaramond"/>
            </w:pPr>
            <w:r>
              <w:t xml:space="preserve">Indbetalinger senest </w:t>
            </w:r>
            <w:r w:rsidR="001A19BC">
              <w:t xml:space="preserve">den </w:t>
            </w:r>
            <w:r>
              <w:t>1. februar sker normalt i året efter indkomståret og har derfor i højere grad karakter af restskat end af en samtidighedsskat. Det er på denne bagrund fundet naturligt</w:t>
            </w:r>
            <w:r w:rsidR="00BD3F5A">
              <w:t>,</w:t>
            </w:r>
            <w:r>
              <w:t xml:space="preserve"> </w:t>
            </w:r>
            <w:r w:rsidR="000C321F">
              <w:t xml:space="preserve">at </w:t>
            </w:r>
            <w:r>
              <w:t>rentesatsen fastsættes med udgangspunkt i restskattetillægget.</w:t>
            </w:r>
          </w:p>
          <w:p w:rsidR="004F1D1E" w:rsidRPr="00B5346F" w:rsidRDefault="004F1D1E" w:rsidP="00144FBA">
            <w:pPr>
              <w:pStyle w:val="Tabel-BrdtekstmedafstandptekstGaramond"/>
            </w:pPr>
          </w:p>
        </w:tc>
      </w:tr>
      <w:tr w:rsidR="00DD6705" w:rsidRPr="00B5346F" w:rsidTr="004D2BD7">
        <w:tc>
          <w:tcPr>
            <w:tcW w:w="2310" w:type="dxa"/>
            <w:tcBorders>
              <w:bottom w:val="single" w:sz="4" w:space="0" w:color="D1C5C3" w:themeColor="accent3"/>
            </w:tcBorders>
            <w:shd w:val="clear" w:color="auto" w:fill="FBF9F9"/>
          </w:tcPr>
          <w:p w:rsidR="00DD6705" w:rsidRPr="00600E3E" w:rsidRDefault="001B12A0" w:rsidP="00144FBA">
            <w:pPr>
              <w:pStyle w:val="Tabel-BrdtekstmedafstandptekstGaramond"/>
              <w:rPr>
                <w:i/>
              </w:rPr>
            </w:pPr>
            <w:r>
              <w:rPr>
                <w:i/>
              </w:rPr>
              <w:lastRenderedPageBreak/>
              <w:t>DI</w:t>
            </w:r>
          </w:p>
        </w:tc>
        <w:tc>
          <w:tcPr>
            <w:tcW w:w="213" w:type="dxa"/>
            <w:shd w:val="clear" w:color="auto" w:fill="FFFFFF" w:themeFill="background1"/>
          </w:tcPr>
          <w:p w:rsidR="00DD6705" w:rsidRPr="00B5346F" w:rsidRDefault="00DD6705" w:rsidP="00144FBA"/>
        </w:tc>
        <w:tc>
          <w:tcPr>
            <w:tcW w:w="3443" w:type="dxa"/>
            <w:tcBorders>
              <w:bottom w:val="single" w:sz="4" w:space="0" w:color="D1C5C3" w:themeColor="accent3"/>
            </w:tcBorders>
            <w:shd w:val="clear" w:color="auto" w:fill="FBF9F9"/>
          </w:tcPr>
          <w:p w:rsidR="00DD6705" w:rsidRDefault="00BD3F5A" w:rsidP="00193138">
            <w:pPr>
              <w:pStyle w:val="Tabel-BrdtekstmedafstandptekstGaramond"/>
            </w:pPr>
            <w:r>
              <w:t>DI e</w:t>
            </w:r>
            <w:r w:rsidR="00193138">
              <w:t xml:space="preserve">r enig i lovforslagets intention om at gøre renteniveauet mere tidssvarende og har forståelse for, at der ikke skal være et økonomisk incitament til at indbetale for meget på skattekontoen eller som acontoskat. </w:t>
            </w:r>
            <w:r>
              <w:t>D</w:t>
            </w:r>
            <w:r w:rsidR="00193138">
              <w:t>og</w:t>
            </w:r>
            <w:r>
              <w:t xml:space="preserve"> rejses der</w:t>
            </w:r>
            <w:r w:rsidR="00193138">
              <w:t xml:space="preserve"> spørgsmål ved</w:t>
            </w:r>
            <w:r>
              <w:t>,</w:t>
            </w:r>
            <w:r w:rsidR="00193138">
              <w:t xml:space="preserve"> om en rentetilpasning skal afgrænses til selskabers acontoskat uden at omfatte renteniveauet på skattekontoen. </w:t>
            </w:r>
            <w:r>
              <w:t>Det f</w:t>
            </w:r>
            <w:r w:rsidR="00193138">
              <w:t>remhæve</w:t>
            </w:r>
            <w:r>
              <w:t>s</w:t>
            </w:r>
            <w:r w:rsidR="00193138">
              <w:t xml:space="preserve">, at det aktuelle renteniveau medfører, at der pålægges uforholdsmæssigt store renter ved </w:t>
            </w:r>
            <w:r w:rsidR="00193138">
              <w:lastRenderedPageBreak/>
              <w:t xml:space="preserve">ansættelsesændringer, hvilket er i strid med intentionerne bag reglerne om rente ved ansættelsesændringer. </w:t>
            </w:r>
            <w:r w:rsidR="00A74D30">
              <w:t>D</w:t>
            </w:r>
            <w:r w:rsidR="00193138">
              <w:t xml:space="preserve">et aktuelle lovforslag </w:t>
            </w:r>
            <w:r w:rsidR="00A74D30">
              <w:t>anses for</w:t>
            </w:r>
            <w:r w:rsidR="00193138">
              <w:t xml:space="preserve"> en oplagt mulighed for at ændre reglerne om</w:t>
            </w:r>
            <w:r w:rsidR="00ED6F61">
              <w:t>, at</w:t>
            </w:r>
            <w:r w:rsidR="00193138">
              <w:t xml:space="preserve"> renten ved ansættelsesændringer </w:t>
            </w:r>
            <w:r w:rsidR="00ED6F61">
              <w:t>er</w:t>
            </w:r>
            <w:r w:rsidR="00193138">
              <w:t xml:space="preserve"> den samme som ved for sen betaling. </w:t>
            </w:r>
          </w:p>
          <w:p w:rsidR="00A74D30" w:rsidRDefault="00A74D30" w:rsidP="00A74D30">
            <w:pPr>
              <w:pStyle w:val="Tabel-BrdtekstmedafstandptekstGaramond"/>
            </w:pPr>
          </w:p>
          <w:p w:rsidR="00193138" w:rsidRPr="00B5346F" w:rsidRDefault="00BD3F5A" w:rsidP="00A74D30">
            <w:pPr>
              <w:pStyle w:val="Tabel-BrdtekstmedafstandptekstGaramond"/>
            </w:pPr>
            <w:r>
              <w:t>Det f</w:t>
            </w:r>
            <w:r w:rsidR="00193138">
              <w:t>inde</w:t>
            </w:r>
            <w:r>
              <w:t>s</w:t>
            </w:r>
            <w:r w:rsidR="00193138">
              <w:t xml:space="preserve"> ikke rimeligt, at rentesatserne bygger på en antagelse om, at alle selskaber, som har betalt for lidt i forskudsskat, ville have finansieret indbetalingen ved et træk på kassekreditten og tilsvarende, at alle selskaber, som har indbetalt for meget</w:t>
            </w:r>
            <w:r>
              <w:t>,</w:t>
            </w:r>
            <w:r w:rsidR="00193138">
              <w:t xml:space="preserve"> har finansieret indbetalingen fra et almindeligt bankindestående. Det anerkendes dog, at der bør være </w:t>
            </w:r>
            <w:r>
              <w:t>et</w:t>
            </w:r>
            <w:r w:rsidR="00193138">
              <w:t xml:space="preserve"> økonomisk incitament for selskaberne til at afregne selskabsskatten </w:t>
            </w:r>
            <w:r w:rsidR="00A74D30">
              <w:t>s</w:t>
            </w:r>
            <w:r w:rsidR="00193138">
              <w:t xml:space="preserve">å korrekt og tidligt som muligt. </w:t>
            </w:r>
          </w:p>
        </w:tc>
        <w:tc>
          <w:tcPr>
            <w:tcW w:w="230" w:type="dxa"/>
            <w:shd w:val="clear" w:color="auto" w:fill="FFFFFF" w:themeFill="background1"/>
          </w:tcPr>
          <w:p w:rsidR="00DD6705" w:rsidRPr="00B5346F" w:rsidRDefault="00DD6705" w:rsidP="00144FBA"/>
        </w:tc>
        <w:tc>
          <w:tcPr>
            <w:tcW w:w="3443" w:type="dxa"/>
            <w:tcBorders>
              <w:bottom w:val="single" w:sz="4" w:space="0" w:color="14143C" w:themeColor="accent1"/>
            </w:tcBorders>
            <w:shd w:val="clear" w:color="auto" w:fill="D2CED8"/>
          </w:tcPr>
          <w:p w:rsidR="00DD6705" w:rsidRDefault="00CB6E77" w:rsidP="00144FBA">
            <w:pPr>
              <w:pStyle w:val="Tabel-BrdtekstmedafstandptekstGaramond"/>
            </w:pPr>
            <w:r>
              <w:t xml:space="preserve">Vedrørende behovet og mulighederne for at justere rentesatserne i den øvrige del af skattesystemet henvises til </w:t>
            </w:r>
            <w:r w:rsidR="001A19BC">
              <w:t xml:space="preserve">kommentar til </w:t>
            </w:r>
            <w:r>
              <w:t>høringssvar fra FSR</w:t>
            </w:r>
            <w:r w:rsidR="001A19BC">
              <w:t xml:space="preserve"> – Danske Revisorer</w:t>
            </w:r>
            <w:r>
              <w:t>.</w:t>
            </w:r>
          </w:p>
          <w:p w:rsidR="00CB6E77" w:rsidRDefault="00CB6E77" w:rsidP="00144FBA">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A74D30" w:rsidRDefault="00A74D30" w:rsidP="00FD2511">
            <w:pPr>
              <w:pStyle w:val="Tabel-BrdtekstmedafstandptekstGaramond"/>
            </w:pPr>
          </w:p>
          <w:p w:rsidR="00CB6E77" w:rsidRPr="00B5346F" w:rsidRDefault="00FD2511" w:rsidP="00FD2511">
            <w:pPr>
              <w:pStyle w:val="Tabel-BrdtekstmedafstandptekstGaramond"/>
            </w:pPr>
            <w:r>
              <w:t xml:space="preserve">Fastsættelsen af procenttillæggene ved overskydende skat og </w:t>
            </w:r>
            <w:r w:rsidR="00015557">
              <w:t xml:space="preserve">ved </w:t>
            </w:r>
            <w:r>
              <w:t xml:space="preserve">restskat skal i videst muligt omfang afspejle virksomhedernes alternative lånerente og placeringsrente. Gennemsnitligt set vurderes dette at være tilfældet med den foreslåede model baseret på henholdsvis kassekreditrenten og Nationalbankens indskudsbevisrente. </w:t>
            </w:r>
          </w:p>
        </w:tc>
      </w:tr>
      <w:tr w:rsidR="004B54BE" w:rsidRPr="00B5346F" w:rsidTr="004D2BD7">
        <w:tc>
          <w:tcPr>
            <w:tcW w:w="2310" w:type="dxa"/>
            <w:tcBorders>
              <w:bottom w:val="single" w:sz="4" w:space="0" w:color="D1C5C3" w:themeColor="accent3"/>
            </w:tcBorders>
            <w:shd w:val="clear" w:color="auto" w:fill="FBF9F9"/>
          </w:tcPr>
          <w:p w:rsidR="004B54BE" w:rsidRDefault="004B54BE" w:rsidP="00144FBA">
            <w:pPr>
              <w:pStyle w:val="Tabel-BrdtekstmedafstandptekstGaramond"/>
              <w:rPr>
                <w:i/>
              </w:rPr>
            </w:pPr>
            <w:r>
              <w:rPr>
                <w:i/>
              </w:rPr>
              <w:lastRenderedPageBreak/>
              <w:t>Finanstilsynet</w:t>
            </w:r>
          </w:p>
        </w:tc>
        <w:tc>
          <w:tcPr>
            <w:tcW w:w="213" w:type="dxa"/>
            <w:shd w:val="clear" w:color="auto" w:fill="FFFFFF" w:themeFill="background1"/>
          </w:tcPr>
          <w:p w:rsidR="004B54BE" w:rsidRPr="00B5346F" w:rsidRDefault="004B54BE" w:rsidP="00144FBA"/>
        </w:tc>
        <w:tc>
          <w:tcPr>
            <w:tcW w:w="3443" w:type="dxa"/>
            <w:tcBorders>
              <w:bottom w:val="single" w:sz="4" w:space="0" w:color="D1C5C3" w:themeColor="accent3"/>
            </w:tcBorders>
            <w:shd w:val="clear" w:color="auto" w:fill="FBF9F9"/>
          </w:tcPr>
          <w:p w:rsidR="004B54BE" w:rsidRDefault="001A19BC" w:rsidP="00144FBA">
            <w:pPr>
              <w:pStyle w:val="Tabel-BrdtekstmedafstandptekstGaramond"/>
            </w:pPr>
            <w:r>
              <w:t>Finanstilsynet h</w:t>
            </w:r>
            <w:r w:rsidR="004B54BE">
              <w:t>ar ingen bemærkninger</w:t>
            </w:r>
            <w:r>
              <w:t xml:space="preserve"> til lovforslaget.</w:t>
            </w:r>
          </w:p>
        </w:tc>
        <w:tc>
          <w:tcPr>
            <w:tcW w:w="230" w:type="dxa"/>
            <w:shd w:val="clear" w:color="auto" w:fill="FFFFFF" w:themeFill="background1"/>
          </w:tcPr>
          <w:p w:rsidR="004B54BE" w:rsidRPr="00B5346F" w:rsidRDefault="004B54BE" w:rsidP="00144FBA"/>
        </w:tc>
        <w:tc>
          <w:tcPr>
            <w:tcW w:w="3443" w:type="dxa"/>
            <w:tcBorders>
              <w:bottom w:val="single" w:sz="4" w:space="0" w:color="14143C" w:themeColor="accent1"/>
            </w:tcBorders>
            <w:shd w:val="clear" w:color="auto" w:fill="D2CED8"/>
          </w:tcPr>
          <w:p w:rsidR="004B54BE" w:rsidRPr="00B5346F" w:rsidRDefault="004B54BE" w:rsidP="00144FBA">
            <w:pPr>
              <w:pStyle w:val="Tabel-BrdtekstmedafstandptekstGaramond"/>
            </w:pPr>
          </w:p>
        </w:tc>
      </w:tr>
      <w:tr w:rsidR="00815F28" w:rsidRPr="00B5346F" w:rsidTr="004D2BD7">
        <w:tc>
          <w:tcPr>
            <w:tcW w:w="2310" w:type="dxa"/>
            <w:tcBorders>
              <w:top w:val="single" w:sz="4" w:space="0" w:color="D1C5C3" w:themeColor="accent3"/>
              <w:bottom w:val="single" w:sz="4" w:space="0" w:color="D1C5C3" w:themeColor="accent3"/>
            </w:tcBorders>
            <w:shd w:val="clear" w:color="auto" w:fill="FBF9F9"/>
          </w:tcPr>
          <w:p w:rsidR="00815F28" w:rsidRPr="00600E3E" w:rsidRDefault="0071634C" w:rsidP="00144FBA">
            <w:pPr>
              <w:pStyle w:val="Tabel-BrdtekstmedafstandptekstGaramond"/>
              <w:rPr>
                <w:i/>
              </w:rPr>
            </w:pPr>
            <w:r>
              <w:rPr>
                <w:i/>
              </w:rPr>
              <w:t>FSR - Danske Revisorer</w:t>
            </w:r>
          </w:p>
        </w:tc>
        <w:tc>
          <w:tcPr>
            <w:tcW w:w="213" w:type="dxa"/>
            <w:shd w:val="clear" w:color="auto" w:fill="FFFFFF" w:themeFill="background1"/>
          </w:tcPr>
          <w:p w:rsidR="00815F28" w:rsidRPr="00B5346F" w:rsidRDefault="00815F28" w:rsidP="00144FBA"/>
        </w:tc>
        <w:tc>
          <w:tcPr>
            <w:tcW w:w="3443" w:type="dxa"/>
            <w:tcBorders>
              <w:top w:val="single" w:sz="4" w:space="0" w:color="D1C5C3" w:themeColor="accent3"/>
              <w:bottom w:val="single" w:sz="4" w:space="0" w:color="D1C5C3" w:themeColor="accent3"/>
            </w:tcBorders>
            <w:shd w:val="clear" w:color="auto" w:fill="FBF9F9"/>
          </w:tcPr>
          <w:p w:rsidR="00815F28" w:rsidRDefault="0071634C" w:rsidP="00144FBA">
            <w:pPr>
              <w:pStyle w:val="Tabel-BrdtekstmedafstandptekstGaramond"/>
            </w:pPr>
            <w:r>
              <w:t>F</w:t>
            </w:r>
            <w:r w:rsidR="00BD3F5A">
              <w:t>SR – Danske Revisorer f</w:t>
            </w:r>
            <w:r>
              <w:t xml:space="preserve">inder det forståeligt, at det er nødvendigt at justere reglerne, </w:t>
            </w:r>
            <w:r w:rsidR="00F546AF">
              <w:t xml:space="preserve">så de tilpasses det gældende markedsrenteniveau, men </w:t>
            </w:r>
            <w:r>
              <w:t>finder</w:t>
            </w:r>
            <w:r w:rsidR="000C321F">
              <w:t>,</w:t>
            </w:r>
            <w:r>
              <w:t xml:space="preserve"> at det generelle renteniveau på skattekontoen </w:t>
            </w:r>
            <w:r w:rsidR="00F546AF">
              <w:t>væsentligt overstiger det generelle markedsrenteniveau</w:t>
            </w:r>
            <w:r>
              <w:t xml:space="preserve">, fordi rentesatsen indeholder et fast tillæg på 0,7 pct. </w:t>
            </w:r>
            <w:r w:rsidR="00F546AF">
              <w:t xml:space="preserve">Foreningen finder ikke, at der er en fornuftlig begrundelse for, at en forhøjelse af ansættelsen for et tidligere år skal pålægges en rente, der er ude at trit med det generelle renteniveau, og omvendt en for </w:t>
            </w:r>
            <w:r w:rsidR="00F546AF">
              <w:lastRenderedPageBreak/>
              <w:t>stor godtgørelse ved en nedsættelse af ansættelsen.</w:t>
            </w:r>
          </w:p>
          <w:p w:rsidR="00A74D30" w:rsidRDefault="00A74D30" w:rsidP="0071634C">
            <w:pPr>
              <w:pStyle w:val="Tabel-BrdtekstmedafstandptekstGaramond"/>
            </w:pPr>
          </w:p>
          <w:p w:rsidR="0071634C" w:rsidRDefault="00BD3F5A" w:rsidP="0071634C">
            <w:pPr>
              <w:pStyle w:val="Tabel-BrdtekstmedafstandptekstGaramond"/>
            </w:pPr>
            <w:r>
              <w:t>Det f</w:t>
            </w:r>
            <w:r w:rsidR="0071634C">
              <w:t>inde</w:t>
            </w:r>
            <w:r>
              <w:t>s</w:t>
            </w:r>
            <w:r w:rsidR="0071634C">
              <w:t xml:space="preserve"> positivt, at selskabers frist for at betale acontoskat forlænges til</w:t>
            </w:r>
            <w:r w:rsidR="000C321F">
              <w:t xml:space="preserve"> den</w:t>
            </w:r>
            <w:r w:rsidR="0071634C">
              <w:t xml:space="preserve"> 1. februar, men fore</w:t>
            </w:r>
            <w:r w:rsidR="000C321F">
              <w:t xml:space="preserve">slår, at fristen forlænges til den </w:t>
            </w:r>
            <w:r w:rsidR="0071634C">
              <w:t xml:space="preserve">1. </w:t>
            </w:r>
            <w:r w:rsidR="003B1029">
              <w:t xml:space="preserve">marts med henblik på at flere kan få glæde af det. </w:t>
            </w:r>
          </w:p>
          <w:p w:rsidR="00A74D30" w:rsidRDefault="00A74D30" w:rsidP="00956ABC">
            <w:pPr>
              <w:pStyle w:val="Tabel-BrdtekstmedafstandptekstGaramond"/>
            </w:pPr>
          </w:p>
          <w:p w:rsidR="008A2CA3" w:rsidRDefault="008A2CA3" w:rsidP="00956ABC">
            <w:pPr>
              <w:pStyle w:val="Tabel-BrdtekstmedafstandptekstGaramond"/>
            </w:pPr>
          </w:p>
          <w:p w:rsidR="008A2CA3" w:rsidRDefault="008A2CA3" w:rsidP="00956ABC">
            <w:pPr>
              <w:pStyle w:val="Tabel-BrdtekstmedafstandptekstGaramond"/>
            </w:pPr>
          </w:p>
          <w:p w:rsidR="008A2CA3" w:rsidRDefault="008A2CA3" w:rsidP="00956ABC">
            <w:pPr>
              <w:pStyle w:val="Tabel-BrdtekstmedafstandptekstGaramond"/>
            </w:pPr>
          </w:p>
          <w:p w:rsidR="008A2CA3" w:rsidRDefault="008A2CA3" w:rsidP="00956ABC">
            <w:pPr>
              <w:pStyle w:val="Tabel-BrdtekstmedafstandptekstGaramond"/>
            </w:pPr>
          </w:p>
          <w:p w:rsidR="008A2CA3" w:rsidRDefault="008A2CA3" w:rsidP="00956ABC">
            <w:pPr>
              <w:pStyle w:val="Tabel-BrdtekstmedafstandptekstGaramond"/>
            </w:pPr>
          </w:p>
          <w:p w:rsidR="00FF1681" w:rsidRDefault="00FF1681" w:rsidP="00956ABC">
            <w:pPr>
              <w:pStyle w:val="Tabel-BrdtekstmedafstandptekstGaramond"/>
            </w:pPr>
          </w:p>
          <w:p w:rsidR="008A2CA3" w:rsidRDefault="00BD3F5A" w:rsidP="00956ABC">
            <w:pPr>
              <w:pStyle w:val="Tabel-BrdtekstmedafstandptekstGaramond"/>
            </w:pPr>
            <w:r>
              <w:t>V</w:t>
            </w:r>
            <w:r w:rsidR="00956ABC">
              <w:t>edrørende</w:t>
            </w:r>
            <w:r w:rsidR="003B1029">
              <w:t xml:space="preserve"> selskabsskattelovens § 29 B, stk. 7, </w:t>
            </w:r>
            <w:r>
              <w:t xml:space="preserve">anbefales det </w:t>
            </w:r>
            <w:r w:rsidR="00956ABC">
              <w:t>præcisere</w:t>
            </w:r>
            <w:r w:rsidR="00A74D30">
              <w:t>t,</w:t>
            </w:r>
            <w:r w:rsidR="00956ABC">
              <w:t xml:space="preserve"> hvilke beløb der ikke ydes godtgørelse af henholdsvis ikke betales tillæg af.</w:t>
            </w:r>
          </w:p>
          <w:p w:rsidR="008A2CA3" w:rsidRDefault="008A2CA3" w:rsidP="00956ABC">
            <w:pPr>
              <w:pStyle w:val="Tabel-BrdtekstmedafstandptekstGaramond"/>
            </w:pPr>
          </w:p>
          <w:p w:rsidR="008A2CA3" w:rsidRDefault="008A2CA3" w:rsidP="00956ABC">
            <w:pPr>
              <w:pStyle w:val="Tabel-BrdtekstmedafstandptekstGaramond"/>
            </w:pPr>
          </w:p>
          <w:p w:rsidR="008A2CA3" w:rsidRDefault="008A2CA3" w:rsidP="00956ABC">
            <w:pPr>
              <w:pStyle w:val="Tabel-BrdtekstmedafstandptekstGaramond"/>
            </w:pPr>
          </w:p>
          <w:p w:rsidR="008A2CA3" w:rsidRDefault="008A2CA3" w:rsidP="00956ABC">
            <w:pPr>
              <w:pStyle w:val="Tabel-BrdtekstmedafstandptekstGaramond"/>
            </w:pPr>
          </w:p>
          <w:p w:rsidR="00956ABC" w:rsidRDefault="00BD3F5A" w:rsidP="00956ABC">
            <w:pPr>
              <w:pStyle w:val="Tabel-BrdtekstmedafstandptekstGaramond"/>
            </w:pPr>
            <w:r>
              <w:t>Det f</w:t>
            </w:r>
            <w:r w:rsidR="00987DEF">
              <w:t>oreslå</w:t>
            </w:r>
            <w:r>
              <w:t>s</w:t>
            </w:r>
            <w:r w:rsidR="00987DEF">
              <w:t xml:space="preserve">, at offentliggørelsen af godtgørelsesprocent, restskatteprocent og procenttillæg skal ske senest </w:t>
            </w:r>
            <w:r w:rsidR="000C321F">
              <w:t xml:space="preserve">den </w:t>
            </w:r>
            <w:r w:rsidR="00987DEF">
              <w:t>1. november i indkomståret med henblik på</w:t>
            </w:r>
            <w:r w:rsidR="000C321F">
              <w:t>,</w:t>
            </w:r>
            <w:r w:rsidR="00987DEF">
              <w:t xml:space="preserve"> at selskaberne kan foretage beregninger af de nøjagtige rentemæssige konsekvenser i forbindelse med beslutning om indbetaling senest</w:t>
            </w:r>
            <w:r w:rsidR="000C321F">
              <w:t xml:space="preserve"> den</w:t>
            </w:r>
            <w:r w:rsidR="00987DEF">
              <w:t xml:space="preserve"> 20. november i indkomståret.</w:t>
            </w:r>
          </w:p>
          <w:p w:rsidR="008A2CA3" w:rsidRDefault="008A2CA3" w:rsidP="00BD3F5A">
            <w:pPr>
              <w:pStyle w:val="Tabel-BrdtekstmedafstandptekstGaramond"/>
            </w:pPr>
          </w:p>
          <w:p w:rsidR="008A2CA3" w:rsidRDefault="008A2CA3" w:rsidP="00BD3F5A">
            <w:pPr>
              <w:pStyle w:val="Tabel-BrdtekstmedafstandptekstGaramond"/>
            </w:pPr>
          </w:p>
          <w:p w:rsidR="008A2CA3" w:rsidRDefault="008A2CA3" w:rsidP="00BD3F5A">
            <w:pPr>
              <w:pStyle w:val="Tabel-BrdtekstmedafstandptekstGaramond"/>
            </w:pPr>
          </w:p>
          <w:p w:rsidR="008A2CA3" w:rsidRDefault="008A2CA3" w:rsidP="00BD3F5A">
            <w:pPr>
              <w:pStyle w:val="Tabel-BrdtekstmedafstandptekstGaramond"/>
            </w:pPr>
          </w:p>
          <w:p w:rsidR="00987DEF" w:rsidRPr="00B5346F" w:rsidRDefault="00BD3F5A" w:rsidP="00BD3F5A">
            <w:pPr>
              <w:pStyle w:val="Tabel-BrdtekstmedafstandptekstGaramond"/>
            </w:pPr>
            <w:r>
              <w:t>Det f</w:t>
            </w:r>
            <w:r w:rsidR="00987DEF">
              <w:t>oreslå</w:t>
            </w:r>
            <w:r>
              <w:t xml:space="preserve">s, </w:t>
            </w:r>
            <w:r w:rsidR="00CD648D">
              <w:t xml:space="preserve">at </w:t>
            </w:r>
            <w:r w:rsidR="00987DEF">
              <w:t>reglerne om fordeling af acontoskat i forbindel</w:t>
            </w:r>
            <w:r w:rsidR="00CD648D">
              <w:t xml:space="preserve">se med omstruktureringer ændres, så selskaber, der indgår i en ny sambeskatning, på selvangivelsen kan </w:t>
            </w:r>
            <w:r w:rsidR="00CD648D">
              <w:lastRenderedPageBreak/>
              <w:t>oplyse</w:t>
            </w:r>
            <w:r>
              <w:t>,</w:t>
            </w:r>
            <w:r w:rsidR="00CD648D">
              <w:t xml:space="preserve"> hvordan indbetalt acontoskat skal fordeles mellem den nye sambeskatning og det særbeskattede selskab. Alternativ</w:t>
            </w:r>
            <w:r w:rsidR="008A2CA3">
              <w:t>t</w:t>
            </w:r>
            <w:r w:rsidR="00CD648D">
              <w:t xml:space="preserve"> bør fristen for at anmode om omfordeling forlænges, og der bør gives mulighed for, at et selskab i en vis periode efter indtræden i en sambeskatning kan foretage indbetaling af acontoskat, som kan henføres til perioden før indtræden i sambeskatningen.</w:t>
            </w:r>
          </w:p>
        </w:tc>
        <w:tc>
          <w:tcPr>
            <w:tcW w:w="230" w:type="dxa"/>
            <w:shd w:val="clear" w:color="auto" w:fill="FFFFFF" w:themeFill="background1"/>
          </w:tcPr>
          <w:p w:rsidR="00815F28" w:rsidRPr="00B5346F" w:rsidRDefault="00815F28" w:rsidP="00144FBA"/>
        </w:tc>
        <w:tc>
          <w:tcPr>
            <w:tcW w:w="3443" w:type="dxa"/>
            <w:tcBorders>
              <w:top w:val="single" w:sz="4" w:space="0" w:color="14143C" w:themeColor="accent1"/>
              <w:bottom w:val="single" w:sz="4" w:space="0" w:color="14143C" w:themeColor="accent1"/>
            </w:tcBorders>
            <w:shd w:val="clear" w:color="auto" w:fill="D2CED8"/>
          </w:tcPr>
          <w:p w:rsidR="00815F28" w:rsidRDefault="00126B93" w:rsidP="00144FBA">
            <w:pPr>
              <w:pStyle w:val="Tabel-BrdtekstmedafstandptekstGaramond"/>
            </w:pPr>
            <w:r>
              <w:t>En j</w:t>
            </w:r>
            <w:r w:rsidR="000C4621">
              <w:t xml:space="preserve">ustering af </w:t>
            </w:r>
            <w:r>
              <w:t xml:space="preserve">de </w:t>
            </w:r>
            <w:r w:rsidR="000C4621">
              <w:t>øvrige rentesat</w:t>
            </w:r>
            <w:r w:rsidR="002E69E2">
              <w:t>ser i skattesystemet</w:t>
            </w:r>
            <w:r>
              <w:t xml:space="preserve"> ligger uden for rammerne af dette lovforslag</w:t>
            </w:r>
            <w:r w:rsidR="000C4621">
              <w:t xml:space="preserve">, men </w:t>
            </w:r>
            <w:r w:rsidR="00F56538">
              <w:t xml:space="preserve">spørgsmålet om </w:t>
            </w:r>
            <w:r>
              <w:t>bl</w:t>
            </w:r>
            <w:r w:rsidR="00425FA2">
              <w:t>.</w:t>
            </w:r>
            <w:r>
              <w:t>a</w:t>
            </w:r>
            <w:r w:rsidR="00425FA2">
              <w:t>.</w:t>
            </w:r>
            <w:r>
              <w:t xml:space="preserve"> </w:t>
            </w:r>
            <w:r w:rsidR="00F56538">
              <w:t xml:space="preserve">vægtningen mellem det variable renteelement og det faste tillæg </w:t>
            </w:r>
            <w:r w:rsidR="00425FA2">
              <w:t xml:space="preserve">vil blive vurderet nærmere </w:t>
            </w:r>
            <w:r w:rsidR="00425FA2" w:rsidRPr="00425FA2">
              <w:t xml:space="preserve">med henblik på </w:t>
            </w:r>
            <w:r w:rsidR="00425FA2">
              <w:t xml:space="preserve">en </w:t>
            </w:r>
            <w:r w:rsidR="00425FA2" w:rsidRPr="00425FA2">
              <w:t xml:space="preserve">eventuel senere </w:t>
            </w:r>
            <w:r w:rsidR="00425FA2">
              <w:t xml:space="preserve">ændring af </w:t>
            </w:r>
            <w:r w:rsidR="00425FA2" w:rsidRPr="00425FA2">
              <w:t>lovgivning</w:t>
            </w:r>
            <w:r w:rsidR="00425FA2">
              <w:t>en</w:t>
            </w:r>
            <w:r w:rsidR="00F56538">
              <w:t xml:space="preserve">. </w:t>
            </w:r>
          </w:p>
          <w:p w:rsidR="008A2CA3" w:rsidRDefault="008A2CA3" w:rsidP="00144FBA">
            <w:pPr>
              <w:pStyle w:val="Tabel-BrdtekstmedafstandptekstGaramond"/>
            </w:pPr>
          </w:p>
          <w:p w:rsidR="008A2CA3" w:rsidRDefault="008A2CA3" w:rsidP="00144FBA">
            <w:pPr>
              <w:pStyle w:val="Tabel-BrdtekstmedafstandptekstGaramond"/>
            </w:pPr>
          </w:p>
          <w:p w:rsidR="008A2CA3" w:rsidRDefault="008A2CA3" w:rsidP="00144FBA">
            <w:pPr>
              <w:pStyle w:val="Tabel-BrdtekstmedafstandptekstGaramond"/>
            </w:pPr>
          </w:p>
          <w:p w:rsidR="008A2CA3" w:rsidRDefault="008A2CA3" w:rsidP="00144FBA">
            <w:pPr>
              <w:pStyle w:val="Tabel-BrdtekstmedafstandptekstGaramond"/>
            </w:pPr>
          </w:p>
          <w:p w:rsidR="008A2CA3" w:rsidRDefault="008A2CA3" w:rsidP="00144FBA">
            <w:pPr>
              <w:pStyle w:val="Tabel-BrdtekstmedafstandptekstGaramond"/>
            </w:pPr>
          </w:p>
          <w:p w:rsidR="008A2CA3" w:rsidRDefault="008A2CA3" w:rsidP="00144FBA">
            <w:pPr>
              <w:pStyle w:val="Tabel-BrdtekstmedafstandptekstGaramond"/>
            </w:pPr>
          </w:p>
          <w:p w:rsidR="008A2CA3" w:rsidRDefault="008A2CA3" w:rsidP="00144FBA">
            <w:pPr>
              <w:pStyle w:val="Tabel-BrdtekstmedafstandptekstGaramond"/>
            </w:pPr>
          </w:p>
          <w:p w:rsidR="008A2CA3" w:rsidRDefault="008A2CA3" w:rsidP="00144FBA">
            <w:pPr>
              <w:pStyle w:val="Tabel-BrdtekstmedafstandptekstGaramond"/>
            </w:pPr>
          </w:p>
          <w:p w:rsidR="001D4E36" w:rsidRDefault="001D4E36" w:rsidP="00144FBA">
            <w:pPr>
              <w:pStyle w:val="Tabel-BrdtekstmedafstandptekstGaramond"/>
            </w:pPr>
          </w:p>
          <w:p w:rsidR="00987DEF" w:rsidRDefault="00987DEF" w:rsidP="00144FBA">
            <w:pPr>
              <w:pStyle w:val="Tabel-BrdtekstmedafstandptekstGaramond"/>
            </w:pPr>
            <w:r>
              <w:t xml:space="preserve">Fristen </w:t>
            </w:r>
            <w:r w:rsidR="00FE7058">
              <w:t xml:space="preserve">den </w:t>
            </w:r>
            <w:r>
              <w:t>1. februar er fastsat ud fra en afvejning af hensynet til at kunne indbetale acontoskat efter årsskiftet overfor hensynet til</w:t>
            </w:r>
            <w:r w:rsidR="00BD3F5A">
              <w:t>,</w:t>
            </w:r>
            <w:r>
              <w:t xml:space="preserve"> at rentetillægget for den senere indbetaling ikke skal blive for høj</w:t>
            </w:r>
            <w:r w:rsidR="00425FA2">
              <w:t>t</w:t>
            </w:r>
            <w:r w:rsidR="00BD3F5A">
              <w:t>. Det</w:t>
            </w:r>
            <w:r>
              <w:t xml:space="preserve"> bemærkes, at renteniveauet svarer til renteniveauet for restskattetillægget, men fordelen for selskaberne ligger i, at der alene skal betales for den kortere periode. </w:t>
            </w:r>
          </w:p>
          <w:p w:rsidR="008A2CA3" w:rsidRDefault="008A2CA3" w:rsidP="00144FBA">
            <w:pPr>
              <w:pStyle w:val="Tabel-BrdtekstmedafstandptekstGaramond"/>
            </w:pPr>
          </w:p>
          <w:p w:rsidR="00987DEF" w:rsidRDefault="004156B0" w:rsidP="00144FBA">
            <w:pPr>
              <w:pStyle w:val="Tabel-BrdtekstmedafstandptekstGaramond"/>
            </w:pPr>
            <w:r>
              <w:t>Det fremgår af den foreslåede bestemmelse, at der ikke ydes godtgørelse</w:t>
            </w:r>
            <w:r w:rsidR="00BD3F5A">
              <w:t>,</w:t>
            </w:r>
            <w:r>
              <w:t xml:space="preserve"> henholdsvis ikke skal betales tillæg</w:t>
            </w:r>
            <w:r w:rsidR="00425FA2">
              <w:t>,</w:t>
            </w:r>
            <w:r>
              <w:t xml:space="preserve"> af frivillige indbetalinger af acontoskat</w:t>
            </w:r>
            <w:r w:rsidR="00BD3F5A">
              <w:t>,</w:t>
            </w:r>
            <w:r>
              <w:t xml:space="preserve"> foretaget efter </w:t>
            </w:r>
            <w:r w:rsidR="00FE7058">
              <w:t xml:space="preserve">den </w:t>
            </w:r>
            <w:r>
              <w:t>20. november i indkomståret</w:t>
            </w:r>
            <w:r w:rsidR="00425FA2">
              <w:t>,</w:t>
            </w:r>
            <w:r>
              <w:t xml:space="preserve"> men senest</w:t>
            </w:r>
            <w:r w:rsidR="00FE7058">
              <w:t xml:space="preserve"> den</w:t>
            </w:r>
            <w:r>
              <w:t xml:space="preserve"> 1. februar i året efter indkomståret.</w:t>
            </w:r>
          </w:p>
          <w:p w:rsidR="008A2CA3" w:rsidRDefault="008A2CA3" w:rsidP="004328E4">
            <w:pPr>
              <w:pStyle w:val="Tabel-BrdtekstmedafstandptekstGaramond"/>
            </w:pPr>
          </w:p>
          <w:p w:rsidR="004156B0" w:rsidRDefault="004156B0" w:rsidP="004328E4">
            <w:pPr>
              <w:pStyle w:val="Tabel-BrdtekstmedafstandptekstGaramond"/>
            </w:pPr>
            <w:r>
              <w:t>Efter forslaget skal godtgørelsesprocent, restskatteprocent og procenttillæg offentliggøres senest</w:t>
            </w:r>
            <w:r w:rsidR="00FE7058">
              <w:t xml:space="preserve"> den</w:t>
            </w:r>
            <w:r>
              <w:t xml:space="preserve"> 15. december i indkomståret. Fristen er fastsat med henblik på at sikre, at der i alle år er tid nok til at få </w:t>
            </w:r>
            <w:r w:rsidR="005867C7">
              <w:t xml:space="preserve">opgjort og </w:t>
            </w:r>
            <w:r>
              <w:t>offentliggjort satserne</w:t>
            </w:r>
            <w:r w:rsidR="004328E4">
              <w:t>. SKAT vil bestræbe sig på at offentliggøre satserne tidligst muligt</w:t>
            </w:r>
            <w:r w:rsidR="000C321F">
              <w:t>,</w:t>
            </w:r>
            <w:r w:rsidR="004328E4">
              <w:t xml:space="preserve"> og d</w:t>
            </w:r>
            <w:r>
              <w:t xml:space="preserve">et er forventningen, at det </w:t>
            </w:r>
            <w:r w:rsidR="005867C7">
              <w:t>normalt</w:t>
            </w:r>
            <w:r>
              <w:t xml:space="preserve"> vil være muligt at offentlig</w:t>
            </w:r>
            <w:r w:rsidR="000C321F">
              <w:t>gøre</w:t>
            </w:r>
            <w:r>
              <w:t xml:space="preserve"> satserne allerede i </w:t>
            </w:r>
            <w:r w:rsidR="000C321F">
              <w:t xml:space="preserve">starten af </w:t>
            </w:r>
            <w:r>
              <w:t>november.</w:t>
            </w:r>
          </w:p>
          <w:p w:rsidR="008A2CA3" w:rsidRDefault="008A2CA3" w:rsidP="00BD3F5A">
            <w:pPr>
              <w:pStyle w:val="Tabel-BrdtekstmedafstandptekstGaramond"/>
            </w:pPr>
          </w:p>
          <w:p w:rsidR="00DA02D3" w:rsidRPr="00B5346F" w:rsidRDefault="00DA02D3" w:rsidP="00BD3F5A">
            <w:pPr>
              <w:pStyle w:val="Tabel-BrdtekstmedafstandptekstGaramond"/>
            </w:pPr>
            <w:r>
              <w:t xml:space="preserve">Spørgsmålet om ændring af reglerne om fordeling af acontoskat i forbindelse med omstruktureringer ligger uden for </w:t>
            </w:r>
            <w:r w:rsidR="00BD3F5A">
              <w:t>rammerne af</w:t>
            </w:r>
            <w:r>
              <w:t xml:space="preserve"> nærværende lovforslag</w:t>
            </w:r>
            <w:r w:rsidR="00425FA2">
              <w:t>, men der ar</w:t>
            </w:r>
            <w:r w:rsidR="00425FA2">
              <w:lastRenderedPageBreak/>
              <w:t>bejdes videre med forslaget i anden sammenhæng</w:t>
            </w:r>
            <w:r>
              <w:t>.</w:t>
            </w:r>
          </w:p>
        </w:tc>
      </w:tr>
      <w:tr w:rsidR="00815F28" w:rsidRPr="00B5346F" w:rsidTr="004D2BD7">
        <w:tc>
          <w:tcPr>
            <w:tcW w:w="2310" w:type="dxa"/>
            <w:tcBorders>
              <w:top w:val="single" w:sz="4" w:space="0" w:color="D1C5C3" w:themeColor="accent3"/>
              <w:bottom w:val="single" w:sz="4" w:space="0" w:color="D1C5C3" w:themeColor="accent3"/>
            </w:tcBorders>
            <w:shd w:val="clear" w:color="auto" w:fill="FBF9F9"/>
          </w:tcPr>
          <w:p w:rsidR="00815F28" w:rsidRPr="00600E3E" w:rsidRDefault="0071634C" w:rsidP="00144FBA">
            <w:pPr>
              <w:pStyle w:val="Tabel-BrdtekstmedafstandptekstGaramond"/>
              <w:rPr>
                <w:i/>
              </w:rPr>
            </w:pPr>
            <w:r>
              <w:rPr>
                <w:i/>
              </w:rPr>
              <w:lastRenderedPageBreak/>
              <w:t>FTF</w:t>
            </w:r>
          </w:p>
        </w:tc>
        <w:tc>
          <w:tcPr>
            <w:tcW w:w="213" w:type="dxa"/>
            <w:shd w:val="clear" w:color="auto" w:fill="FFFFFF" w:themeFill="background1"/>
          </w:tcPr>
          <w:p w:rsidR="00815F28" w:rsidRPr="00B5346F" w:rsidRDefault="00815F28" w:rsidP="00144FBA"/>
        </w:tc>
        <w:tc>
          <w:tcPr>
            <w:tcW w:w="3443" w:type="dxa"/>
            <w:tcBorders>
              <w:top w:val="single" w:sz="4" w:space="0" w:color="D1C5C3" w:themeColor="accent3"/>
              <w:bottom w:val="single" w:sz="4" w:space="0" w:color="D1C5C3" w:themeColor="accent3"/>
            </w:tcBorders>
            <w:shd w:val="clear" w:color="auto" w:fill="FBF9F9"/>
          </w:tcPr>
          <w:p w:rsidR="00815F28" w:rsidRDefault="00BD3F5A" w:rsidP="00144FBA">
            <w:pPr>
              <w:pStyle w:val="Tabel-BrdtekstmedafstandptekstGaramond"/>
            </w:pPr>
            <w:r>
              <w:t>FTF s</w:t>
            </w:r>
            <w:r w:rsidR="00987DEF">
              <w:t>tøtter tiltag, der forhindrer</w:t>
            </w:r>
            <w:r w:rsidR="00425FA2">
              <w:t>,</w:t>
            </w:r>
            <w:r w:rsidR="00987DEF">
              <w:t xml:space="preserve"> at indbetalinger til SKAT bruges til rentespekulation.</w:t>
            </w:r>
          </w:p>
          <w:p w:rsidR="008A2CA3" w:rsidRDefault="008A2CA3" w:rsidP="00BD3F5A">
            <w:pPr>
              <w:pStyle w:val="Tabel-BrdtekstmedafstandptekstGaramond"/>
            </w:pPr>
          </w:p>
          <w:p w:rsidR="00987DEF" w:rsidRPr="00B5346F" w:rsidRDefault="00BD3F5A" w:rsidP="00BD3F5A">
            <w:pPr>
              <w:pStyle w:val="Tabel-BrdtekstmedafstandptekstGaramond"/>
            </w:pPr>
            <w:r>
              <w:t>Det f</w:t>
            </w:r>
            <w:r w:rsidR="00987DEF">
              <w:t>orvente</w:t>
            </w:r>
            <w:r>
              <w:t>s</w:t>
            </w:r>
            <w:r w:rsidR="00987DEF">
              <w:t>, at lovforslagets merforbrug af årsværk ikke tages fra andre arbejdsområder i SKAT, således at der ikke sker personale reduktioner på andre vigtige skatteområder.</w:t>
            </w:r>
          </w:p>
        </w:tc>
        <w:tc>
          <w:tcPr>
            <w:tcW w:w="230" w:type="dxa"/>
            <w:shd w:val="clear" w:color="auto" w:fill="FFFFFF" w:themeFill="background1"/>
          </w:tcPr>
          <w:p w:rsidR="00815F28" w:rsidRPr="00B5346F" w:rsidRDefault="00815F28" w:rsidP="00144FBA"/>
        </w:tc>
        <w:tc>
          <w:tcPr>
            <w:tcW w:w="3443" w:type="dxa"/>
            <w:tcBorders>
              <w:top w:val="single" w:sz="4" w:space="0" w:color="14143C" w:themeColor="accent1"/>
              <w:bottom w:val="single" w:sz="4" w:space="0" w:color="14143C" w:themeColor="accent1"/>
            </w:tcBorders>
            <w:shd w:val="clear" w:color="auto" w:fill="D2CED8"/>
          </w:tcPr>
          <w:p w:rsidR="008A2CA3" w:rsidRDefault="008A2CA3" w:rsidP="00BD3F5A">
            <w:pPr>
              <w:pStyle w:val="Tabel-BrdtekstmedafstandptekstGaramond"/>
            </w:pPr>
          </w:p>
          <w:p w:rsidR="008A2CA3" w:rsidRDefault="008A2CA3" w:rsidP="00BD3F5A">
            <w:pPr>
              <w:pStyle w:val="Tabel-BrdtekstmedafstandptekstGaramond"/>
            </w:pPr>
          </w:p>
          <w:p w:rsidR="008A2CA3" w:rsidRDefault="008A2CA3" w:rsidP="00BD3F5A">
            <w:pPr>
              <w:pStyle w:val="Tabel-BrdtekstmedafstandptekstGaramond"/>
            </w:pPr>
          </w:p>
          <w:p w:rsidR="008A2CA3" w:rsidRDefault="008A2CA3" w:rsidP="00BD3F5A">
            <w:pPr>
              <w:pStyle w:val="Tabel-BrdtekstmedafstandptekstGaramond"/>
            </w:pPr>
          </w:p>
          <w:p w:rsidR="00815F28" w:rsidRPr="00B5346F" w:rsidRDefault="00B97D2E" w:rsidP="00BD3F5A">
            <w:pPr>
              <w:pStyle w:val="Tabel-BrdtekstmedafstandptekstGaramond"/>
            </w:pPr>
            <w:r>
              <w:t>De 3 yderligere årsværk vil indgå i den samlede prioritering af</w:t>
            </w:r>
            <w:r w:rsidR="0061559D">
              <w:t>,</w:t>
            </w:r>
            <w:r>
              <w:t xml:space="preserve"> hvordan SKATs samlede årsværk fordeles på de forskellige </w:t>
            </w:r>
            <w:r w:rsidR="00BD3F5A">
              <w:t>opgaver inden for SKATs forretningsområde</w:t>
            </w:r>
            <w:r>
              <w:t xml:space="preserve">. </w:t>
            </w:r>
          </w:p>
        </w:tc>
      </w:tr>
      <w:tr w:rsidR="00815F28" w:rsidRPr="00B5346F" w:rsidTr="004D2BD7">
        <w:tc>
          <w:tcPr>
            <w:tcW w:w="2310" w:type="dxa"/>
            <w:tcBorders>
              <w:top w:val="single" w:sz="4" w:space="0" w:color="D1C5C3" w:themeColor="accent3"/>
              <w:bottom w:val="single" w:sz="4" w:space="0" w:color="D1C5C3" w:themeColor="accent3"/>
            </w:tcBorders>
            <w:shd w:val="clear" w:color="auto" w:fill="FBF9F9"/>
          </w:tcPr>
          <w:p w:rsidR="00815F28" w:rsidRPr="00600E3E" w:rsidRDefault="0012747E" w:rsidP="00144FBA">
            <w:pPr>
              <w:pStyle w:val="Tabel-BrdtekstmedafstandptekstGaramond"/>
              <w:rPr>
                <w:i/>
              </w:rPr>
            </w:pPr>
            <w:r>
              <w:rPr>
                <w:i/>
              </w:rPr>
              <w:t>SEGES</w:t>
            </w:r>
          </w:p>
        </w:tc>
        <w:tc>
          <w:tcPr>
            <w:tcW w:w="213" w:type="dxa"/>
            <w:shd w:val="clear" w:color="auto" w:fill="FFFFFF" w:themeFill="background1"/>
          </w:tcPr>
          <w:p w:rsidR="00815F28" w:rsidRPr="00B5346F" w:rsidRDefault="00815F28" w:rsidP="00144FBA"/>
        </w:tc>
        <w:tc>
          <w:tcPr>
            <w:tcW w:w="3443" w:type="dxa"/>
            <w:tcBorders>
              <w:top w:val="single" w:sz="4" w:space="0" w:color="D1C5C3" w:themeColor="accent3"/>
              <w:bottom w:val="single" w:sz="4" w:space="0" w:color="D1C5C3" w:themeColor="accent3"/>
            </w:tcBorders>
            <w:shd w:val="clear" w:color="auto" w:fill="FBF9F9"/>
          </w:tcPr>
          <w:p w:rsidR="00815F28" w:rsidRDefault="00BD3F5A" w:rsidP="00144FBA">
            <w:pPr>
              <w:pStyle w:val="Tabel-BrdtekstmedafstandptekstGaramond"/>
            </w:pPr>
            <w:r>
              <w:t>SEGES f</w:t>
            </w:r>
            <w:r w:rsidR="0012747E">
              <w:t>inder det uhensigtsmæssigt, at indkomstårets rentesatser først offentliggøres den 15. december i indkomståret, fordi tillægget for betaling af yderligere acontoskat den 1. februar er højere end tillægget for betaling af acontoskat inden 20. november i indkomståret, og selskaberne derfor ikke kender størrelsen af satserne inden 20. november i indkomståret.</w:t>
            </w:r>
          </w:p>
          <w:p w:rsidR="008A2CA3" w:rsidRDefault="008A2CA3" w:rsidP="003C3B97">
            <w:pPr>
              <w:pStyle w:val="Tabel-BrdtekstmedafstandptekstGaramond"/>
            </w:pPr>
          </w:p>
          <w:p w:rsidR="0064644B" w:rsidRPr="00B5346F" w:rsidRDefault="00BD3F5A" w:rsidP="003C3B97">
            <w:pPr>
              <w:pStyle w:val="Tabel-BrdtekstmedafstandptekstGaramond"/>
            </w:pPr>
            <w:r>
              <w:t>Der h</w:t>
            </w:r>
            <w:r w:rsidR="0064644B">
              <w:t>envise</w:t>
            </w:r>
            <w:r>
              <w:t>s</w:t>
            </w:r>
            <w:r w:rsidR="0064644B">
              <w:t xml:space="preserve"> til, at der i dag altid er en forskel på 3,5 pct. mellem rentesatsen for overskydende skat og rentesatsen for restskat. </w:t>
            </w:r>
            <w:r w:rsidR="003C3B97">
              <w:t>Det f</w:t>
            </w:r>
            <w:r w:rsidR="0064644B">
              <w:t>oreslå</w:t>
            </w:r>
            <w:r w:rsidR="003C3B97">
              <w:t>s</w:t>
            </w:r>
            <w:r w:rsidR="0064644B">
              <w:t xml:space="preserve">, at der fastsættes et loft over </w:t>
            </w:r>
            <w:r w:rsidR="0064644B">
              <w:lastRenderedPageBreak/>
              <w:t>forskellen mellem rentesatsen for restskat og overskydende skat.</w:t>
            </w:r>
          </w:p>
        </w:tc>
        <w:tc>
          <w:tcPr>
            <w:tcW w:w="230" w:type="dxa"/>
            <w:shd w:val="clear" w:color="auto" w:fill="FFFFFF" w:themeFill="background1"/>
          </w:tcPr>
          <w:p w:rsidR="00815F28" w:rsidRPr="00B5346F" w:rsidRDefault="00815F28" w:rsidP="00144FBA"/>
        </w:tc>
        <w:tc>
          <w:tcPr>
            <w:tcW w:w="3443" w:type="dxa"/>
            <w:tcBorders>
              <w:top w:val="single" w:sz="4" w:space="0" w:color="14143C" w:themeColor="accent1"/>
              <w:bottom w:val="single" w:sz="4" w:space="0" w:color="14143C" w:themeColor="accent1"/>
            </w:tcBorders>
            <w:shd w:val="clear" w:color="auto" w:fill="D2CED8"/>
          </w:tcPr>
          <w:p w:rsidR="005867C7" w:rsidRDefault="005867C7" w:rsidP="005867C7">
            <w:pPr>
              <w:pStyle w:val="Tabel-BrdtekstmedafstandptekstGaramond"/>
            </w:pPr>
            <w:r>
              <w:t xml:space="preserve">I forhold til muligheden for at fremskynde offentliggørelsen af rentesatserne henvises til </w:t>
            </w:r>
            <w:r w:rsidR="001A19BC">
              <w:t xml:space="preserve">kommentar til </w:t>
            </w:r>
            <w:r>
              <w:t>høringssvar fra FSR</w:t>
            </w:r>
            <w:r w:rsidR="001A19BC">
              <w:t xml:space="preserve"> – Danske Revisorer</w:t>
            </w:r>
            <w:r>
              <w:t>.</w:t>
            </w:r>
          </w:p>
          <w:p w:rsidR="005867C7" w:rsidRDefault="005867C7" w:rsidP="005867C7">
            <w:pPr>
              <w:pStyle w:val="Tabel-BrdtekstmedafstandptekstGaramond"/>
            </w:pPr>
          </w:p>
          <w:p w:rsidR="008A2CA3" w:rsidRDefault="008A2CA3" w:rsidP="003C3B97">
            <w:pPr>
              <w:pStyle w:val="Tabel-BrdtekstmedafstandptekstGaramond"/>
            </w:pPr>
          </w:p>
          <w:p w:rsidR="008A2CA3" w:rsidRDefault="008A2CA3" w:rsidP="003C3B97">
            <w:pPr>
              <w:pStyle w:val="Tabel-BrdtekstmedafstandptekstGaramond"/>
            </w:pPr>
          </w:p>
          <w:p w:rsidR="008A2CA3" w:rsidRDefault="008A2CA3" w:rsidP="003C3B97">
            <w:pPr>
              <w:pStyle w:val="Tabel-BrdtekstmedafstandptekstGaramond"/>
            </w:pPr>
          </w:p>
          <w:p w:rsidR="008A2CA3" w:rsidRDefault="008A2CA3" w:rsidP="003C3B97">
            <w:pPr>
              <w:pStyle w:val="Tabel-BrdtekstmedafstandptekstGaramond"/>
            </w:pPr>
          </w:p>
          <w:p w:rsidR="008A2CA3" w:rsidRDefault="008A2CA3" w:rsidP="003C3B97">
            <w:pPr>
              <w:pStyle w:val="Tabel-BrdtekstmedafstandptekstGaramond"/>
            </w:pPr>
          </w:p>
          <w:p w:rsidR="008A2CA3" w:rsidRDefault="008A2CA3" w:rsidP="003C3B97">
            <w:pPr>
              <w:pStyle w:val="Tabel-BrdtekstmedafstandptekstGaramond"/>
            </w:pPr>
          </w:p>
          <w:p w:rsidR="008A2CA3" w:rsidRDefault="008A2CA3" w:rsidP="003C3B97">
            <w:pPr>
              <w:pStyle w:val="Tabel-BrdtekstmedafstandptekstGaramond"/>
            </w:pPr>
          </w:p>
          <w:p w:rsidR="00815F28" w:rsidRPr="00B5346F" w:rsidRDefault="005867C7" w:rsidP="00881414">
            <w:pPr>
              <w:pStyle w:val="Tabel-BrdtekstmedafstandptekstGaramond"/>
            </w:pPr>
            <w:r>
              <w:t xml:space="preserve">Formålet med justeringen af rentereglerne er, at både procenttillægget ved restskat og </w:t>
            </w:r>
            <w:r w:rsidR="00901A08">
              <w:t xml:space="preserve">ved </w:t>
            </w:r>
            <w:r>
              <w:t>overskydende skat i vid</w:t>
            </w:r>
            <w:r w:rsidR="00881414">
              <w:t>e</w:t>
            </w:r>
            <w:r>
              <w:t>st muligt omfang skal afspejle henholdsvis selska</w:t>
            </w:r>
            <w:r>
              <w:lastRenderedPageBreak/>
              <w:t>bernes låne</w:t>
            </w:r>
            <w:r w:rsidR="003C3B97">
              <w:t>-</w:t>
            </w:r>
            <w:r>
              <w:t xml:space="preserve"> og indskudsrente. Forskellen på de to (rentemarginalen) varierer afhængig af den konkrete renteudvikling i samfundsøkonomien. Et loft over forskellen på de to rentesatser vil derfor potentielt medføre, at disse kan afvige betydeligt fra renteniveauet på penge- og kapitalmarkederne, hvilket er i modstrid med inten</w:t>
            </w:r>
            <w:r w:rsidR="00881414">
              <w:t>t</w:t>
            </w:r>
            <w:r>
              <w:t xml:space="preserve">ionen </w:t>
            </w:r>
            <w:r w:rsidR="003C3B97">
              <w:t>med</w:t>
            </w:r>
            <w:r>
              <w:t xml:space="preserve"> lovforslaget. </w:t>
            </w:r>
          </w:p>
        </w:tc>
      </w:tr>
      <w:tr w:rsidR="00600E3E" w:rsidRPr="00B5346F" w:rsidTr="004D2BD7">
        <w:tc>
          <w:tcPr>
            <w:tcW w:w="2310" w:type="dxa"/>
            <w:tcBorders>
              <w:top w:val="single" w:sz="4" w:space="0" w:color="D1C5C3" w:themeColor="accent3"/>
              <w:bottom w:val="single" w:sz="4" w:space="0" w:color="D1C5C3" w:themeColor="accent3"/>
            </w:tcBorders>
            <w:shd w:val="clear" w:color="auto" w:fill="FBF9F9"/>
          </w:tcPr>
          <w:p w:rsidR="00600E3E" w:rsidRPr="00600E3E" w:rsidRDefault="00FF04F8" w:rsidP="00815F28">
            <w:pPr>
              <w:pStyle w:val="Tabel-BrdtekstmedafstandptekstGaramond"/>
              <w:rPr>
                <w:i/>
              </w:rPr>
            </w:pPr>
            <w:r>
              <w:rPr>
                <w:i/>
              </w:rPr>
              <w:lastRenderedPageBreak/>
              <w:t>Pensionsstyrelsen (ATP)</w:t>
            </w:r>
          </w:p>
        </w:tc>
        <w:tc>
          <w:tcPr>
            <w:tcW w:w="213" w:type="dxa"/>
            <w:shd w:val="clear" w:color="auto" w:fill="FFFFFF" w:themeFill="background1"/>
          </w:tcPr>
          <w:p w:rsidR="00600E3E" w:rsidRPr="00B5346F" w:rsidRDefault="00600E3E" w:rsidP="00144FBA"/>
        </w:tc>
        <w:tc>
          <w:tcPr>
            <w:tcW w:w="3443" w:type="dxa"/>
            <w:tcBorders>
              <w:top w:val="single" w:sz="4" w:space="0" w:color="D1C5C3" w:themeColor="accent3"/>
              <w:bottom w:val="single" w:sz="4" w:space="0" w:color="D1C5C3" w:themeColor="accent3"/>
            </w:tcBorders>
            <w:shd w:val="clear" w:color="auto" w:fill="FBF9F9"/>
          </w:tcPr>
          <w:p w:rsidR="00600E3E" w:rsidRPr="00B5346F" w:rsidRDefault="001A19BC" w:rsidP="00144FBA">
            <w:pPr>
              <w:pStyle w:val="Tabel-BrdtekstmedafstandptekstGaramond"/>
            </w:pPr>
            <w:r>
              <w:t>Pensionsstyrelsen har ingen bemærkninger til lovforslaget.</w:t>
            </w:r>
          </w:p>
        </w:tc>
        <w:tc>
          <w:tcPr>
            <w:tcW w:w="230" w:type="dxa"/>
            <w:shd w:val="clear" w:color="auto" w:fill="FFFFFF" w:themeFill="background1"/>
          </w:tcPr>
          <w:p w:rsidR="00600E3E" w:rsidRPr="00B5346F" w:rsidRDefault="00600E3E" w:rsidP="00144FBA"/>
        </w:tc>
        <w:tc>
          <w:tcPr>
            <w:tcW w:w="3443" w:type="dxa"/>
            <w:tcBorders>
              <w:top w:val="single" w:sz="4" w:space="0" w:color="14143C" w:themeColor="accent1"/>
              <w:bottom w:val="single" w:sz="4" w:space="0" w:color="14143C" w:themeColor="accent1"/>
            </w:tcBorders>
            <w:shd w:val="clear" w:color="auto" w:fill="D2CED8"/>
          </w:tcPr>
          <w:p w:rsidR="0071634C" w:rsidRPr="00B5346F" w:rsidRDefault="0071634C" w:rsidP="0071634C">
            <w:pPr>
              <w:pStyle w:val="Tabel-BrdtekstmedafstandptekstGaramond"/>
            </w:pPr>
          </w:p>
        </w:tc>
      </w:tr>
    </w:tbl>
    <w:p w:rsidR="00600E3E" w:rsidRPr="00F37F63" w:rsidRDefault="00600E3E" w:rsidP="002B3C73">
      <w:pPr>
        <w:keepNext/>
        <w:keepLines/>
      </w:pPr>
    </w:p>
    <w:sectPr w:rsidR="00600E3E" w:rsidRPr="00F37F63" w:rsidSect="00207BEC">
      <w:headerReference w:type="even" r:id="rId7"/>
      <w:headerReference w:type="default" r:id="rId8"/>
      <w:footerReference w:type="even" r:id="rId9"/>
      <w:footerReference w:type="default" r:id="rId10"/>
      <w:headerReference w:type="first" r:id="rId11"/>
      <w:footerReference w:type="first" r:id="rId12"/>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4A" w:rsidRDefault="00F7454A" w:rsidP="009E4B94">
      <w:pPr>
        <w:spacing w:line="240" w:lineRule="auto"/>
      </w:pPr>
      <w:r>
        <w:separator/>
      </w:r>
    </w:p>
  </w:endnote>
  <w:endnote w:type="continuationSeparator" w:id="0">
    <w:p w:rsidR="00F7454A" w:rsidRDefault="00F7454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19" w:rsidRDefault="007E0E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83" w:rsidRPr="00681D83" w:rsidRDefault="00207BEC"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644ED6">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644ED6">
                            <w:rPr>
                              <w:rStyle w:val="Sidetal"/>
                              <w:noProof/>
                            </w:rPr>
                            <w:t>8</w:t>
                          </w:r>
                          <w:r w:rsidR="00681D83"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7769AD"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644ED6">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644ED6">
                      <w:rPr>
                        <w:rStyle w:val="Sidetal"/>
                        <w:noProof/>
                      </w:rPr>
                      <w:t>8</w:t>
                    </w:r>
                    <w:r w:rsidR="00681D83" w:rsidRPr="00094ABD">
                      <w:rPr>
                        <w:rStyle w:val="Sidetal"/>
                      </w:rPr>
                      <w:fldChar w:fldCharType="end"/>
                    </w:r>
                  </w:p>
                </w:txbxContent>
              </v:textbox>
              <w10:wrap anchorx="margin" anchory="page"/>
            </v:shape>
          </w:pict>
        </mc:Fallback>
      </mc:AlternateContent>
    </w:r>
    <w:r w:rsidR="00C51167">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94" w:rsidRPr="00094ABD" w:rsidRDefault="000C4289"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4A" w:rsidRDefault="00F7454A" w:rsidP="009E4B94">
      <w:pPr>
        <w:spacing w:line="240" w:lineRule="auto"/>
      </w:pPr>
      <w:r>
        <w:separator/>
      </w:r>
    </w:p>
  </w:footnote>
  <w:footnote w:type="continuationSeparator" w:id="0">
    <w:p w:rsidR="00F7454A" w:rsidRDefault="00F7454A"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19" w:rsidRDefault="007E0E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19" w:rsidRDefault="007E0E1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32" w:rsidRDefault="003075A8"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EE"/>
    <w:rsid w:val="00003B70"/>
    <w:rsid w:val="00004865"/>
    <w:rsid w:val="00006F66"/>
    <w:rsid w:val="0000703F"/>
    <w:rsid w:val="0001534C"/>
    <w:rsid w:val="00015557"/>
    <w:rsid w:val="00017063"/>
    <w:rsid w:val="00017586"/>
    <w:rsid w:val="0002656E"/>
    <w:rsid w:val="00030F87"/>
    <w:rsid w:val="000423FF"/>
    <w:rsid w:val="00045E50"/>
    <w:rsid w:val="00062109"/>
    <w:rsid w:val="00066A26"/>
    <w:rsid w:val="000733EE"/>
    <w:rsid w:val="00081169"/>
    <w:rsid w:val="00094ABD"/>
    <w:rsid w:val="000A42E7"/>
    <w:rsid w:val="000A6C92"/>
    <w:rsid w:val="000B2946"/>
    <w:rsid w:val="000B4136"/>
    <w:rsid w:val="000C321F"/>
    <w:rsid w:val="000C4289"/>
    <w:rsid w:val="000C4621"/>
    <w:rsid w:val="000C6781"/>
    <w:rsid w:val="000F4D15"/>
    <w:rsid w:val="00112511"/>
    <w:rsid w:val="00121584"/>
    <w:rsid w:val="00126B93"/>
    <w:rsid w:val="0012747E"/>
    <w:rsid w:val="001278A8"/>
    <w:rsid w:val="00127940"/>
    <w:rsid w:val="00131F5D"/>
    <w:rsid w:val="0013244F"/>
    <w:rsid w:val="00132B25"/>
    <w:rsid w:val="00136B6A"/>
    <w:rsid w:val="00140E7A"/>
    <w:rsid w:val="00153F40"/>
    <w:rsid w:val="00161AF0"/>
    <w:rsid w:val="00165D2F"/>
    <w:rsid w:val="00182651"/>
    <w:rsid w:val="00182FDC"/>
    <w:rsid w:val="001863A7"/>
    <w:rsid w:val="00193138"/>
    <w:rsid w:val="001A19BC"/>
    <w:rsid w:val="001A2678"/>
    <w:rsid w:val="001B12A0"/>
    <w:rsid w:val="001D0093"/>
    <w:rsid w:val="001D4E36"/>
    <w:rsid w:val="001D6BD9"/>
    <w:rsid w:val="001E79D1"/>
    <w:rsid w:val="001F374B"/>
    <w:rsid w:val="00203DE6"/>
    <w:rsid w:val="00207BEC"/>
    <w:rsid w:val="0022582F"/>
    <w:rsid w:val="002301C3"/>
    <w:rsid w:val="00244D70"/>
    <w:rsid w:val="002477B5"/>
    <w:rsid w:val="0026468A"/>
    <w:rsid w:val="00267514"/>
    <w:rsid w:val="0027790E"/>
    <w:rsid w:val="002870F4"/>
    <w:rsid w:val="00290FC4"/>
    <w:rsid w:val="002A7E17"/>
    <w:rsid w:val="002B3C73"/>
    <w:rsid w:val="002C258E"/>
    <w:rsid w:val="002E233E"/>
    <w:rsid w:val="002E30A1"/>
    <w:rsid w:val="002E69E2"/>
    <w:rsid w:val="002E6B15"/>
    <w:rsid w:val="002E74A4"/>
    <w:rsid w:val="00302887"/>
    <w:rsid w:val="003075A8"/>
    <w:rsid w:val="00351C70"/>
    <w:rsid w:val="00393157"/>
    <w:rsid w:val="003B1029"/>
    <w:rsid w:val="003B35B0"/>
    <w:rsid w:val="003C3B97"/>
    <w:rsid w:val="003C4F9F"/>
    <w:rsid w:val="003C60F1"/>
    <w:rsid w:val="003F52AC"/>
    <w:rsid w:val="00401E88"/>
    <w:rsid w:val="00404BF7"/>
    <w:rsid w:val="004141C6"/>
    <w:rsid w:val="004156B0"/>
    <w:rsid w:val="00415896"/>
    <w:rsid w:val="00416196"/>
    <w:rsid w:val="00424709"/>
    <w:rsid w:val="00425F90"/>
    <w:rsid w:val="00425FA2"/>
    <w:rsid w:val="004328E4"/>
    <w:rsid w:val="00446687"/>
    <w:rsid w:val="00455537"/>
    <w:rsid w:val="00466136"/>
    <w:rsid w:val="00484640"/>
    <w:rsid w:val="00491D5C"/>
    <w:rsid w:val="004A5600"/>
    <w:rsid w:val="004B5150"/>
    <w:rsid w:val="004B54BE"/>
    <w:rsid w:val="004C01B2"/>
    <w:rsid w:val="004D0057"/>
    <w:rsid w:val="004D0A20"/>
    <w:rsid w:val="004D2BD7"/>
    <w:rsid w:val="004D46CB"/>
    <w:rsid w:val="004E5FA3"/>
    <w:rsid w:val="004F1D1E"/>
    <w:rsid w:val="00503680"/>
    <w:rsid w:val="00504882"/>
    <w:rsid w:val="00522DA7"/>
    <w:rsid w:val="00525897"/>
    <w:rsid w:val="00530A82"/>
    <w:rsid w:val="00535188"/>
    <w:rsid w:val="0053662E"/>
    <w:rsid w:val="00540EF3"/>
    <w:rsid w:val="00546077"/>
    <w:rsid w:val="00547634"/>
    <w:rsid w:val="00562DFF"/>
    <w:rsid w:val="00563829"/>
    <w:rsid w:val="00565DF6"/>
    <w:rsid w:val="005867C7"/>
    <w:rsid w:val="005A28D4"/>
    <w:rsid w:val="005B4028"/>
    <w:rsid w:val="005B684A"/>
    <w:rsid w:val="005C5F97"/>
    <w:rsid w:val="005F1580"/>
    <w:rsid w:val="005F3493"/>
    <w:rsid w:val="005F3ED8"/>
    <w:rsid w:val="005F5372"/>
    <w:rsid w:val="00600E3E"/>
    <w:rsid w:val="0061559D"/>
    <w:rsid w:val="00622C50"/>
    <w:rsid w:val="00626540"/>
    <w:rsid w:val="00637CAF"/>
    <w:rsid w:val="00642CBC"/>
    <w:rsid w:val="00644ED6"/>
    <w:rsid w:val="0064644B"/>
    <w:rsid w:val="00655B49"/>
    <w:rsid w:val="0067143B"/>
    <w:rsid w:val="0067386E"/>
    <w:rsid w:val="00681D83"/>
    <w:rsid w:val="006900C2"/>
    <w:rsid w:val="00694421"/>
    <w:rsid w:val="006B0F61"/>
    <w:rsid w:val="006B30A9"/>
    <w:rsid w:val="006F6849"/>
    <w:rsid w:val="0070267E"/>
    <w:rsid w:val="00703B3F"/>
    <w:rsid w:val="00706E32"/>
    <w:rsid w:val="00707273"/>
    <w:rsid w:val="00713F98"/>
    <w:rsid w:val="007154F3"/>
    <w:rsid w:val="0071634C"/>
    <w:rsid w:val="007327A9"/>
    <w:rsid w:val="007546AF"/>
    <w:rsid w:val="00765934"/>
    <w:rsid w:val="00770410"/>
    <w:rsid w:val="00773919"/>
    <w:rsid w:val="00775409"/>
    <w:rsid w:val="00786FCF"/>
    <w:rsid w:val="0078774E"/>
    <w:rsid w:val="007A1B96"/>
    <w:rsid w:val="007A2D34"/>
    <w:rsid w:val="007E0E19"/>
    <w:rsid w:val="007E2CF5"/>
    <w:rsid w:val="007E373C"/>
    <w:rsid w:val="00801F34"/>
    <w:rsid w:val="00815F28"/>
    <w:rsid w:val="00824115"/>
    <w:rsid w:val="008531FB"/>
    <w:rsid w:val="00864D45"/>
    <w:rsid w:val="008662D3"/>
    <w:rsid w:val="0086736E"/>
    <w:rsid w:val="00881414"/>
    <w:rsid w:val="00890310"/>
    <w:rsid w:val="00892D08"/>
    <w:rsid w:val="00893791"/>
    <w:rsid w:val="008A2CA3"/>
    <w:rsid w:val="008B5B59"/>
    <w:rsid w:val="008B797F"/>
    <w:rsid w:val="008D000A"/>
    <w:rsid w:val="008D2509"/>
    <w:rsid w:val="008D5A02"/>
    <w:rsid w:val="008E2ECE"/>
    <w:rsid w:val="008E4C26"/>
    <w:rsid w:val="008E5A6D"/>
    <w:rsid w:val="008F32DF"/>
    <w:rsid w:val="008F49A4"/>
    <w:rsid w:val="008F4D20"/>
    <w:rsid w:val="008F5726"/>
    <w:rsid w:val="00901A08"/>
    <w:rsid w:val="00902C3D"/>
    <w:rsid w:val="0092171B"/>
    <w:rsid w:val="00947BA0"/>
    <w:rsid w:val="00951B25"/>
    <w:rsid w:val="00956ABC"/>
    <w:rsid w:val="00967654"/>
    <w:rsid w:val="00967833"/>
    <w:rsid w:val="009678F1"/>
    <w:rsid w:val="00983B74"/>
    <w:rsid w:val="00986D8F"/>
    <w:rsid w:val="00987DEF"/>
    <w:rsid w:val="00990263"/>
    <w:rsid w:val="00992813"/>
    <w:rsid w:val="0099322F"/>
    <w:rsid w:val="009A2571"/>
    <w:rsid w:val="009A4CCC"/>
    <w:rsid w:val="009C1470"/>
    <w:rsid w:val="009D200D"/>
    <w:rsid w:val="009E14AF"/>
    <w:rsid w:val="009E4B94"/>
    <w:rsid w:val="009F18F2"/>
    <w:rsid w:val="009F53D4"/>
    <w:rsid w:val="00A04B65"/>
    <w:rsid w:val="00A239DF"/>
    <w:rsid w:val="00A262CF"/>
    <w:rsid w:val="00A30808"/>
    <w:rsid w:val="00A63E8A"/>
    <w:rsid w:val="00A74D30"/>
    <w:rsid w:val="00AB149E"/>
    <w:rsid w:val="00AB29A0"/>
    <w:rsid w:val="00AB3463"/>
    <w:rsid w:val="00AB50C9"/>
    <w:rsid w:val="00AB5B85"/>
    <w:rsid w:val="00AD043D"/>
    <w:rsid w:val="00AD0C8A"/>
    <w:rsid w:val="00AE1404"/>
    <w:rsid w:val="00AF1D02"/>
    <w:rsid w:val="00B00D92"/>
    <w:rsid w:val="00B31CF7"/>
    <w:rsid w:val="00B3548C"/>
    <w:rsid w:val="00B421B6"/>
    <w:rsid w:val="00B430B4"/>
    <w:rsid w:val="00B5082D"/>
    <w:rsid w:val="00B5346F"/>
    <w:rsid w:val="00B64C73"/>
    <w:rsid w:val="00B6504E"/>
    <w:rsid w:val="00B93951"/>
    <w:rsid w:val="00B9508F"/>
    <w:rsid w:val="00B96502"/>
    <w:rsid w:val="00B96937"/>
    <w:rsid w:val="00B96D2A"/>
    <w:rsid w:val="00B97D2E"/>
    <w:rsid w:val="00BC22A9"/>
    <w:rsid w:val="00BC24ED"/>
    <w:rsid w:val="00BC590D"/>
    <w:rsid w:val="00BD3F5A"/>
    <w:rsid w:val="00BF6B69"/>
    <w:rsid w:val="00C173F9"/>
    <w:rsid w:val="00C2169F"/>
    <w:rsid w:val="00C217E3"/>
    <w:rsid w:val="00C2782C"/>
    <w:rsid w:val="00C310A8"/>
    <w:rsid w:val="00C31791"/>
    <w:rsid w:val="00C44948"/>
    <w:rsid w:val="00C45EEB"/>
    <w:rsid w:val="00C51167"/>
    <w:rsid w:val="00C605DF"/>
    <w:rsid w:val="00C62DBD"/>
    <w:rsid w:val="00C71C8E"/>
    <w:rsid w:val="00C86D85"/>
    <w:rsid w:val="00C91AD4"/>
    <w:rsid w:val="00CA2AAB"/>
    <w:rsid w:val="00CA61D4"/>
    <w:rsid w:val="00CB33DF"/>
    <w:rsid w:val="00CB6E77"/>
    <w:rsid w:val="00CC0BE2"/>
    <w:rsid w:val="00CC342E"/>
    <w:rsid w:val="00CC6322"/>
    <w:rsid w:val="00CD5714"/>
    <w:rsid w:val="00CD648D"/>
    <w:rsid w:val="00CE262C"/>
    <w:rsid w:val="00CE285D"/>
    <w:rsid w:val="00CE5C53"/>
    <w:rsid w:val="00CF73BA"/>
    <w:rsid w:val="00D0360E"/>
    <w:rsid w:val="00D243BB"/>
    <w:rsid w:val="00D25933"/>
    <w:rsid w:val="00D3786F"/>
    <w:rsid w:val="00D42FEE"/>
    <w:rsid w:val="00D66542"/>
    <w:rsid w:val="00D66E2C"/>
    <w:rsid w:val="00D7011E"/>
    <w:rsid w:val="00D96141"/>
    <w:rsid w:val="00DA02D3"/>
    <w:rsid w:val="00DB31AF"/>
    <w:rsid w:val="00DB6E2D"/>
    <w:rsid w:val="00DB743D"/>
    <w:rsid w:val="00DC2AB9"/>
    <w:rsid w:val="00DC38FB"/>
    <w:rsid w:val="00DD4A74"/>
    <w:rsid w:val="00DD6705"/>
    <w:rsid w:val="00DE2B28"/>
    <w:rsid w:val="00DF0E45"/>
    <w:rsid w:val="00DF207D"/>
    <w:rsid w:val="00E05FF2"/>
    <w:rsid w:val="00E13E84"/>
    <w:rsid w:val="00E13F68"/>
    <w:rsid w:val="00E1438D"/>
    <w:rsid w:val="00E26493"/>
    <w:rsid w:val="00E370C3"/>
    <w:rsid w:val="00E434D1"/>
    <w:rsid w:val="00E47932"/>
    <w:rsid w:val="00E64A82"/>
    <w:rsid w:val="00E66240"/>
    <w:rsid w:val="00E75ED1"/>
    <w:rsid w:val="00EB603A"/>
    <w:rsid w:val="00ED6F61"/>
    <w:rsid w:val="00ED7096"/>
    <w:rsid w:val="00EE4C34"/>
    <w:rsid w:val="00EF0F9B"/>
    <w:rsid w:val="00EF55B3"/>
    <w:rsid w:val="00F002D7"/>
    <w:rsid w:val="00F05EEC"/>
    <w:rsid w:val="00F23AA3"/>
    <w:rsid w:val="00F26552"/>
    <w:rsid w:val="00F2770A"/>
    <w:rsid w:val="00F34E84"/>
    <w:rsid w:val="00F37F63"/>
    <w:rsid w:val="00F45445"/>
    <w:rsid w:val="00F540A8"/>
    <w:rsid w:val="00F546AF"/>
    <w:rsid w:val="00F56538"/>
    <w:rsid w:val="00F6027B"/>
    <w:rsid w:val="00F63834"/>
    <w:rsid w:val="00F7454A"/>
    <w:rsid w:val="00F94967"/>
    <w:rsid w:val="00FA6475"/>
    <w:rsid w:val="00FB1FE9"/>
    <w:rsid w:val="00FC4E3D"/>
    <w:rsid w:val="00FC511D"/>
    <w:rsid w:val="00FC6B3E"/>
    <w:rsid w:val="00FC7F59"/>
    <w:rsid w:val="00FD2511"/>
    <w:rsid w:val="00FE2C9C"/>
    <w:rsid w:val="00FE7058"/>
    <w:rsid w:val="00FF04F8"/>
    <w:rsid w:val="00FF1681"/>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40443">
      <w:bodyDiv w:val="1"/>
      <w:marLeft w:val="0"/>
      <w:marRight w:val="0"/>
      <w:marTop w:val="0"/>
      <w:marBottom w:val="0"/>
      <w:divBdr>
        <w:top w:val="none" w:sz="0" w:space="0" w:color="auto"/>
        <w:left w:val="none" w:sz="0" w:space="0" w:color="auto"/>
        <w:bottom w:val="none" w:sz="0" w:space="0" w:color="auto"/>
        <w:right w:val="none" w:sz="0" w:space="0" w:color="auto"/>
      </w:divBdr>
    </w:div>
    <w:div w:id="1266380527">
      <w:bodyDiv w:val="1"/>
      <w:marLeft w:val="0"/>
      <w:marRight w:val="0"/>
      <w:marTop w:val="0"/>
      <w:marBottom w:val="0"/>
      <w:divBdr>
        <w:top w:val="none" w:sz="0" w:space="0" w:color="auto"/>
        <w:left w:val="none" w:sz="0" w:space="0" w:color="auto"/>
        <w:bottom w:val="none" w:sz="0" w:space="0" w:color="auto"/>
        <w:right w:val="none" w:sz="0" w:space="0" w:color="auto"/>
      </w:divBdr>
    </w:div>
    <w:div w:id="1399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6D2201" w:rsidP="006D2201">
          <w:pPr>
            <w:pStyle w:val="1102700AAA9243BFBFA7499DA621CF991"/>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E2E27"/>
    <w:rsid w:val="001B697B"/>
    <w:rsid w:val="001C729D"/>
    <w:rsid w:val="001F06EB"/>
    <w:rsid w:val="002B55D2"/>
    <w:rsid w:val="003531BE"/>
    <w:rsid w:val="00491717"/>
    <w:rsid w:val="005A3DE0"/>
    <w:rsid w:val="006D2201"/>
    <w:rsid w:val="007752DF"/>
    <w:rsid w:val="00795A2C"/>
    <w:rsid w:val="007B5A3D"/>
    <w:rsid w:val="00C1191D"/>
    <w:rsid w:val="00EB0B7B"/>
    <w:rsid w:val="00EC1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8</Pages>
  <Words>1796</Words>
  <Characters>10958</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2015-05-13T12:14:00Z</dcterms:created>
  <dcterms:modified xsi:type="dcterms:W3CDTF">2015-05-13T12:14:00Z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Høringsskema (DOK98658636)</vt:lpwstr>
  </property>
  <property fmtid="{D5CDD505-2E9C-101B-9397-08002B2CF9AE}" pid="4" name="path">
    <vt:lpwstr>C:\Users\w17754\AppData\Local\Temp\17\Scanjour\Captia\SJ20150508102720573 [DOK98658636].DOCX</vt:lpwstr>
  </property>
  <property fmtid="{D5CDD505-2E9C-101B-9397-08002B2CF9AE}" pid="5" name="command">
    <vt:lpwstr>&amp;x_infomerge=1</vt:lpwstr>
  </property>
</Properties>
</file>