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FA" w:rsidRPr="002A2097" w:rsidRDefault="00C81EFA" w:rsidP="00C81EFA">
      <w:pPr>
        <w:widowControl/>
        <w:spacing w:line="288" w:lineRule="auto"/>
        <w:jc w:val="both"/>
        <w:rPr>
          <w:sz w:val="24"/>
        </w:rPr>
      </w:pPr>
      <w:r w:rsidRPr="002A2097">
        <w:rPr>
          <w:sz w:val="24"/>
        </w:rPr>
        <w:t xml:space="preserve">Skatteministeriet </w:t>
      </w:r>
      <w:r w:rsidRPr="002A2097">
        <w:rPr>
          <w:sz w:val="24"/>
        </w:rPr>
        <w:fldChar w:fldCharType="begin"/>
      </w:r>
      <w:r w:rsidRPr="002A2097">
        <w:rPr>
          <w:sz w:val="24"/>
        </w:rPr>
        <w:instrText>ADVANCE \r255</w:instrText>
      </w:r>
      <w:r w:rsidRPr="002A2097">
        <w:rPr>
          <w:sz w:val="24"/>
        </w:rPr>
        <w:fldChar w:fldCharType="end"/>
      </w:r>
      <w:r w:rsidRPr="002A2097">
        <w:rPr>
          <w:sz w:val="24"/>
        </w:rPr>
        <w:t>J. nr. 14-3881387</w:t>
      </w:r>
    </w:p>
    <w:p w:rsidR="00C81EFA" w:rsidRPr="002A2097" w:rsidRDefault="00C81EFA" w:rsidP="00C81EFA">
      <w:pPr>
        <w:widowControl/>
        <w:spacing w:line="288" w:lineRule="auto"/>
        <w:rPr>
          <w:sz w:val="24"/>
        </w:rPr>
      </w:pPr>
    </w:p>
    <w:p w:rsidR="00C81EFA" w:rsidRPr="002A2097" w:rsidRDefault="00C81EFA" w:rsidP="00C81EFA">
      <w:pPr>
        <w:widowControl/>
        <w:spacing w:line="288" w:lineRule="auto"/>
        <w:jc w:val="both"/>
        <w:rPr>
          <w:sz w:val="24"/>
        </w:rPr>
      </w:pPr>
    </w:p>
    <w:p w:rsidR="00C81EFA" w:rsidRPr="002A2097" w:rsidRDefault="00C81EFA" w:rsidP="00C81EFA">
      <w:pPr>
        <w:widowControl/>
        <w:spacing w:line="288" w:lineRule="auto"/>
        <w:jc w:val="both"/>
        <w:rPr>
          <w:sz w:val="24"/>
        </w:rPr>
      </w:pPr>
    </w:p>
    <w:p w:rsidR="00C81EFA" w:rsidRPr="002A2097" w:rsidRDefault="00C81EFA" w:rsidP="00C81EFA">
      <w:pPr>
        <w:widowControl/>
        <w:spacing w:line="288" w:lineRule="auto"/>
        <w:jc w:val="both"/>
        <w:rPr>
          <w:sz w:val="24"/>
        </w:rPr>
      </w:pPr>
    </w:p>
    <w:p w:rsidR="00C81EFA" w:rsidRPr="002A2097" w:rsidRDefault="00C81EFA" w:rsidP="00C81EFA">
      <w:pPr>
        <w:widowControl/>
        <w:spacing w:line="288" w:lineRule="auto"/>
        <w:jc w:val="both"/>
        <w:rPr>
          <w:sz w:val="24"/>
        </w:rPr>
      </w:pPr>
    </w:p>
    <w:p w:rsidR="00C81EFA" w:rsidRPr="002A2097" w:rsidRDefault="00C81EFA" w:rsidP="00C81EFA">
      <w:pPr>
        <w:widowControl/>
        <w:spacing w:line="288" w:lineRule="auto"/>
        <w:jc w:val="both"/>
        <w:rPr>
          <w:sz w:val="24"/>
        </w:rPr>
      </w:pPr>
    </w:p>
    <w:p w:rsidR="00C81EFA" w:rsidRPr="002A2097" w:rsidRDefault="00C81EFA" w:rsidP="00C81EFA">
      <w:pPr>
        <w:jc w:val="center"/>
        <w:rPr>
          <w:b/>
          <w:bCs/>
          <w:sz w:val="28"/>
        </w:rPr>
      </w:pPr>
      <w:r w:rsidRPr="002A2097">
        <w:rPr>
          <w:b/>
          <w:bCs/>
          <w:sz w:val="28"/>
        </w:rPr>
        <w:t xml:space="preserve">Forslag </w:t>
      </w:r>
    </w:p>
    <w:p w:rsidR="00C81EFA" w:rsidRPr="002A2097" w:rsidRDefault="00C81EFA" w:rsidP="00C81EFA">
      <w:pPr>
        <w:jc w:val="center"/>
        <w:rPr>
          <w:sz w:val="24"/>
        </w:rPr>
      </w:pPr>
      <w:r w:rsidRPr="002A2097">
        <w:rPr>
          <w:sz w:val="24"/>
        </w:rPr>
        <w:t xml:space="preserve">til </w:t>
      </w:r>
    </w:p>
    <w:p w:rsidR="00C81EFA" w:rsidRPr="002A2097" w:rsidRDefault="00C81EFA" w:rsidP="00C81EFA">
      <w:pPr>
        <w:jc w:val="center"/>
        <w:rPr>
          <w:b/>
          <w:sz w:val="28"/>
        </w:rPr>
      </w:pPr>
      <w:r w:rsidRPr="002A2097">
        <w:rPr>
          <w:b/>
          <w:sz w:val="28"/>
        </w:rPr>
        <w:t>Lov om ændring af momsloven, registreringsafgiftsloven og forskellige andre love</w:t>
      </w:r>
    </w:p>
    <w:p w:rsidR="00C81EFA" w:rsidRPr="002A2097" w:rsidRDefault="00C81EFA" w:rsidP="00C81EFA">
      <w:pPr>
        <w:jc w:val="center"/>
        <w:rPr>
          <w:sz w:val="24"/>
        </w:rPr>
      </w:pPr>
      <w:r w:rsidRPr="002A2097">
        <w:rPr>
          <w:sz w:val="24"/>
        </w:rPr>
        <w:t>(</w:t>
      </w:r>
      <w:r w:rsidRPr="002A2097">
        <w:rPr>
          <w:color w:val="000000"/>
          <w:sz w:val="24"/>
        </w:rPr>
        <w:t>Ophævelse af fradragsbegrænsningen for moms på hotelophold</w:t>
      </w:r>
      <w:r w:rsidRPr="002A2097">
        <w:rPr>
          <w:sz w:val="24"/>
        </w:rPr>
        <w:t xml:space="preserve"> og</w:t>
      </w:r>
      <w:r w:rsidR="00203BC6">
        <w:rPr>
          <w:sz w:val="24"/>
        </w:rPr>
        <w:t xml:space="preserve"> harmonisering af afgifterne på</w:t>
      </w:r>
      <w:r>
        <w:rPr>
          <w:sz w:val="24"/>
        </w:rPr>
        <w:t xml:space="preserve"> personbiler med tilladelse til</w:t>
      </w:r>
      <w:r w:rsidRPr="002A2097">
        <w:rPr>
          <w:sz w:val="24"/>
        </w:rPr>
        <w:t xml:space="preserve"> erhvervsmæssig persontranspor</w:t>
      </w:r>
      <w:r w:rsidR="009A0AC9">
        <w:rPr>
          <w:sz w:val="24"/>
        </w:rPr>
        <w:t>t</w:t>
      </w:r>
      <w:r w:rsidR="009A0AC9" w:rsidRPr="009A0AC9">
        <w:rPr>
          <w:rStyle w:val="Fodnotehenvisning"/>
          <w:sz w:val="18"/>
          <w:vertAlign w:val="superscript"/>
        </w:rPr>
        <w:footnoteReference w:id="1"/>
      </w:r>
      <w:r>
        <w:rPr>
          <w:sz w:val="24"/>
        </w:rPr>
        <w:t>)</w:t>
      </w:r>
    </w:p>
    <w:p w:rsidR="00C81EFA" w:rsidRPr="002A2097" w:rsidRDefault="00C81EFA" w:rsidP="00C81EFA">
      <w:pPr>
        <w:spacing w:line="288" w:lineRule="auto"/>
        <w:jc w:val="center"/>
        <w:rPr>
          <w:sz w:val="24"/>
        </w:rPr>
      </w:pPr>
    </w:p>
    <w:p w:rsidR="00C81EFA" w:rsidRPr="002A2097" w:rsidRDefault="00C81EFA" w:rsidP="00C81EFA">
      <w:pPr>
        <w:rPr>
          <w:sz w:val="24"/>
        </w:rPr>
      </w:pPr>
      <w:r w:rsidRPr="002A2097">
        <w:rPr>
          <w:sz w:val="24"/>
        </w:rPr>
        <w:t xml:space="preserve"> </w:t>
      </w:r>
    </w:p>
    <w:p w:rsidR="00C81EFA" w:rsidRPr="002A2097" w:rsidRDefault="00C81EFA" w:rsidP="00C81EFA">
      <w:pPr>
        <w:jc w:val="center"/>
        <w:rPr>
          <w:color w:val="000000"/>
          <w:sz w:val="24"/>
        </w:rPr>
      </w:pPr>
      <w:r w:rsidRPr="002A2097">
        <w:rPr>
          <w:b/>
          <w:bCs/>
          <w:color w:val="000000"/>
          <w:sz w:val="24"/>
        </w:rPr>
        <w:t>§ 1</w:t>
      </w:r>
    </w:p>
    <w:p w:rsidR="00C81EFA" w:rsidRPr="002A2097" w:rsidRDefault="00C81EFA" w:rsidP="00C81EFA">
      <w:pPr>
        <w:jc w:val="center"/>
        <w:rPr>
          <w:color w:val="000000"/>
          <w:sz w:val="24"/>
        </w:rPr>
      </w:pPr>
    </w:p>
    <w:p w:rsidR="00C81EFA" w:rsidRPr="002A2097" w:rsidRDefault="00C81EFA" w:rsidP="00C81EFA">
      <w:pPr>
        <w:rPr>
          <w:color w:val="000000"/>
          <w:sz w:val="24"/>
        </w:rPr>
      </w:pPr>
      <w:r w:rsidRPr="00A026A3">
        <w:rPr>
          <w:color w:val="000000"/>
          <w:sz w:val="24"/>
        </w:rPr>
        <w:t>I</w:t>
      </w:r>
      <w:r w:rsidRPr="002A2097">
        <w:rPr>
          <w:color w:val="000000"/>
          <w:sz w:val="24"/>
        </w:rPr>
        <w:t xml:space="preserve"> momsloven, jf. lovbekendtgørelse nr. 1</w:t>
      </w:r>
      <w:r w:rsidR="00E33AF7">
        <w:rPr>
          <w:color w:val="000000"/>
          <w:sz w:val="24"/>
        </w:rPr>
        <w:t>06 af 23. januar 2013, som</w:t>
      </w:r>
      <w:r w:rsidRPr="002A2097">
        <w:rPr>
          <w:color w:val="000000"/>
          <w:sz w:val="24"/>
        </w:rPr>
        <w:t xml:space="preserve"> ændret ved § 4 i lov nr. 789 af 28. juni 2013,</w:t>
      </w:r>
      <w:r w:rsidR="00E33AF7">
        <w:rPr>
          <w:color w:val="000000"/>
          <w:sz w:val="24"/>
        </w:rPr>
        <w:t xml:space="preserve"> § 7 i lov nr. 903 af 4. juli 2013, § 2 i lov nr. 1637 af 26. december 2013 og</w:t>
      </w:r>
      <w:r w:rsidRPr="002A2097">
        <w:rPr>
          <w:color w:val="000000"/>
          <w:sz w:val="24"/>
        </w:rPr>
        <w:t xml:space="preserve"> § 1 i lov nr. 554 af 2. juni</w:t>
      </w:r>
      <w:r w:rsidR="00E33AF7">
        <w:rPr>
          <w:color w:val="000000"/>
          <w:sz w:val="24"/>
        </w:rPr>
        <w:t xml:space="preserve"> 2014,</w:t>
      </w:r>
      <w:r w:rsidRPr="002A2097">
        <w:rPr>
          <w:color w:val="000000"/>
          <w:sz w:val="24"/>
        </w:rPr>
        <w:t xml:space="preserve"> foretages følgende ændringer:</w:t>
      </w:r>
    </w:p>
    <w:p w:rsidR="00C81EFA" w:rsidRPr="002A2097" w:rsidRDefault="00C81EFA" w:rsidP="00C81EFA">
      <w:pPr>
        <w:rPr>
          <w:color w:val="000000"/>
          <w:sz w:val="24"/>
        </w:rPr>
      </w:pPr>
    </w:p>
    <w:p w:rsidR="00C81EFA" w:rsidRPr="002A2097" w:rsidRDefault="00C81EFA" w:rsidP="00C81EFA">
      <w:pPr>
        <w:rPr>
          <w:i/>
          <w:iCs/>
          <w:color w:val="000000"/>
          <w:sz w:val="24"/>
        </w:rPr>
      </w:pPr>
      <w:r w:rsidRPr="002A2097">
        <w:rPr>
          <w:b/>
          <w:bCs/>
          <w:color w:val="000000"/>
          <w:sz w:val="24"/>
        </w:rPr>
        <w:t xml:space="preserve">1. </w:t>
      </w:r>
      <w:r w:rsidRPr="002A2097">
        <w:rPr>
          <w:i/>
          <w:iCs/>
          <w:color w:val="000000"/>
          <w:sz w:val="24"/>
        </w:rPr>
        <w:t>§ 42, stk. 1, nr. 6</w:t>
      </w:r>
      <w:r w:rsidRPr="00E33AF7">
        <w:rPr>
          <w:i/>
          <w:color w:val="000000"/>
          <w:sz w:val="24"/>
        </w:rPr>
        <w:t>,</w:t>
      </w:r>
      <w:r w:rsidRPr="002A2097">
        <w:rPr>
          <w:color w:val="000000"/>
          <w:sz w:val="24"/>
        </w:rPr>
        <w:t xml:space="preserve"> ophæves.</w:t>
      </w:r>
      <w:r w:rsidRPr="002A2097">
        <w:rPr>
          <w:i/>
          <w:iCs/>
          <w:color w:val="000000"/>
          <w:sz w:val="24"/>
        </w:rPr>
        <w:t xml:space="preserve">  </w:t>
      </w:r>
    </w:p>
    <w:p w:rsidR="00C81EFA" w:rsidRPr="002A2097" w:rsidRDefault="009F1CE1" w:rsidP="00C81EFA">
      <w:pPr>
        <w:rPr>
          <w:color w:val="000000"/>
          <w:sz w:val="24"/>
        </w:rPr>
      </w:pPr>
      <w:r>
        <w:rPr>
          <w:color w:val="000000"/>
          <w:sz w:val="24"/>
        </w:rPr>
        <w:t xml:space="preserve">Nr. 7 bliver herefter nr. 6.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b/>
          <w:bCs/>
          <w:color w:val="000000"/>
          <w:sz w:val="24"/>
        </w:rPr>
        <w:t xml:space="preserve">2. </w:t>
      </w:r>
      <w:r w:rsidRPr="002A2097">
        <w:rPr>
          <w:i/>
          <w:iCs/>
          <w:color w:val="000000"/>
          <w:sz w:val="24"/>
        </w:rPr>
        <w:t>§ 42, stk. 2, 2. pkt</w:t>
      </w:r>
      <w:r w:rsidRPr="00E33AF7">
        <w:rPr>
          <w:i/>
          <w:iCs/>
          <w:color w:val="000000"/>
          <w:sz w:val="24"/>
        </w:rPr>
        <w:t>.</w:t>
      </w:r>
      <w:r w:rsidRPr="00E33AF7">
        <w:rPr>
          <w:i/>
          <w:color w:val="000000"/>
          <w:sz w:val="24"/>
        </w:rPr>
        <w:t>,</w:t>
      </w:r>
      <w:r w:rsidRPr="002A2097">
        <w:rPr>
          <w:color w:val="000000"/>
          <w:sz w:val="24"/>
        </w:rPr>
        <w:t xml:space="preserve"> ophæves.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b/>
          <w:bCs/>
          <w:color w:val="000000"/>
          <w:sz w:val="24"/>
        </w:rPr>
        <w:t xml:space="preserve">3. </w:t>
      </w:r>
      <w:r w:rsidRPr="002A2097">
        <w:rPr>
          <w:color w:val="000000"/>
          <w:sz w:val="24"/>
        </w:rPr>
        <w:t xml:space="preserve">I </w:t>
      </w:r>
      <w:r w:rsidRPr="002A2097">
        <w:rPr>
          <w:i/>
          <w:iCs/>
          <w:color w:val="000000"/>
          <w:sz w:val="24"/>
        </w:rPr>
        <w:t>§ 42, stk. 2, 3. pk</w:t>
      </w:r>
      <w:r w:rsidRPr="00E33AF7">
        <w:rPr>
          <w:i/>
          <w:iCs/>
          <w:color w:val="000000"/>
          <w:sz w:val="24"/>
        </w:rPr>
        <w:t>t.,</w:t>
      </w:r>
      <w:r w:rsidRPr="002A2097">
        <w:rPr>
          <w:iCs/>
          <w:color w:val="000000"/>
          <w:sz w:val="24"/>
        </w:rPr>
        <w:t xml:space="preserve"> der bliver </w:t>
      </w:r>
      <w:r w:rsidRPr="00E33AF7">
        <w:rPr>
          <w:iCs/>
          <w:color w:val="000000"/>
          <w:sz w:val="24"/>
        </w:rPr>
        <w:t>stk. 2, 2. pkt.,</w:t>
      </w:r>
      <w:r w:rsidRPr="002A2097">
        <w:rPr>
          <w:i/>
          <w:iCs/>
          <w:color w:val="000000"/>
          <w:sz w:val="24"/>
        </w:rPr>
        <w:t xml:space="preserve"> </w:t>
      </w:r>
      <w:r w:rsidRPr="002A2097">
        <w:rPr>
          <w:color w:val="000000"/>
          <w:sz w:val="24"/>
        </w:rPr>
        <w:t>ændres »I begge tilfælde er det en forudsætning« til: »Det er en forudsætning«.</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b/>
          <w:bCs/>
          <w:color w:val="000000"/>
          <w:sz w:val="24"/>
        </w:rPr>
        <w:t xml:space="preserve">4. </w:t>
      </w:r>
      <w:r w:rsidRPr="002A2097">
        <w:rPr>
          <w:color w:val="000000"/>
          <w:sz w:val="24"/>
        </w:rPr>
        <w:t xml:space="preserve">I </w:t>
      </w:r>
      <w:r w:rsidRPr="002A2097">
        <w:rPr>
          <w:i/>
          <w:iCs/>
          <w:color w:val="000000"/>
          <w:sz w:val="24"/>
        </w:rPr>
        <w:t>§ 42, stk. 3</w:t>
      </w:r>
      <w:r w:rsidRPr="00E33AF7">
        <w:rPr>
          <w:i/>
          <w:color w:val="000000"/>
          <w:sz w:val="24"/>
        </w:rPr>
        <w:t>,</w:t>
      </w:r>
      <w:r w:rsidRPr="002A2097">
        <w:rPr>
          <w:color w:val="000000"/>
          <w:sz w:val="24"/>
        </w:rPr>
        <w:t xml:space="preserve"> udgår »og 75 pct. af afgift af indkøb m.v., som vedrører virksomhedens kursusdeltageres hotelovernatning,«.</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b/>
          <w:bCs/>
          <w:color w:val="000000"/>
          <w:sz w:val="24"/>
        </w:rPr>
        <w:t xml:space="preserve">5. </w:t>
      </w:r>
      <w:r w:rsidRPr="002A2097">
        <w:rPr>
          <w:color w:val="000000"/>
          <w:sz w:val="24"/>
        </w:rPr>
        <w:t xml:space="preserve">I </w:t>
      </w:r>
      <w:r w:rsidRPr="002A2097">
        <w:rPr>
          <w:i/>
          <w:iCs/>
          <w:color w:val="000000"/>
          <w:sz w:val="24"/>
        </w:rPr>
        <w:t>§ 42, stk. 4, 1. pkt., § 42, stk. 6</w:t>
      </w:r>
      <w:r w:rsidRPr="00E33AF7">
        <w:rPr>
          <w:i/>
          <w:iCs/>
          <w:color w:val="000000"/>
          <w:sz w:val="24"/>
        </w:rPr>
        <w:t>,</w:t>
      </w:r>
      <w:r w:rsidRPr="002A2097">
        <w:rPr>
          <w:i/>
          <w:iCs/>
          <w:color w:val="000000"/>
          <w:sz w:val="24"/>
        </w:rPr>
        <w:t xml:space="preserve"> </w:t>
      </w:r>
      <w:r w:rsidRPr="002A2097">
        <w:rPr>
          <w:color w:val="000000"/>
          <w:sz w:val="24"/>
        </w:rPr>
        <w:t xml:space="preserve">og </w:t>
      </w:r>
      <w:r w:rsidRPr="002A2097">
        <w:rPr>
          <w:i/>
          <w:iCs/>
          <w:color w:val="000000"/>
          <w:sz w:val="24"/>
        </w:rPr>
        <w:t>§ 42, stk. 7</w:t>
      </w:r>
      <w:r w:rsidRPr="00E33AF7">
        <w:rPr>
          <w:i/>
          <w:color w:val="000000"/>
          <w:sz w:val="24"/>
        </w:rPr>
        <w:t>,</w:t>
      </w:r>
      <w:r w:rsidRPr="002A2097">
        <w:rPr>
          <w:color w:val="000000"/>
          <w:sz w:val="24"/>
        </w:rPr>
        <w:t xml:space="preserve"> ændres »stk. 1, nr. 7« til: »stk. 1, nr. 6«. </w:t>
      </w:r>
    </w:p>
    <w:p w:rsidR="00C81EFA" w:rsidRPr="002A2097" w:rsidRDefault="00C81EFA" w:rsidP="00C81EFA">
      <w:pPr>
        <w:rPr>
          <w:color w:val="000000"/>
          <w:sz w:val="24"/>
        </w:rPr>
      </w:pPr>
    </w:p>
    <w:p w:rsidR="00C81EFA" w:rsidRPr="002A2097" w:rsidRDefault="00C81EFA" w:rsidP="00C81EFA">
      <w:pPr>
        <w:jc w:val="center"/>
        <w:rPr>
          <w:sz w:val="24"/>
        </w:rPr>
      </w:pPr>
    </w:p>
    <w:p w:rsidR="00C81EFA" w:rsidRPr="002A2097" w:rsidRDefault="00C81EFA" w:rsidP="00C81EFA">
      <w:pPr>
        <w:jc w:val="center"/>
        <w:rPr>
          <w:b/>
          <w:sz w:val="24"/>
        </w:rPr>
      </w:pPr>
      <w:r w:rsidRPr="002A2097">
        <w:rPr>
          <w:b/>
          <w:sz w:val="24"/>
        </w:rPr>
        <w:t>§ 2</w:t>
      </w:r>
    </w:p>
    <w:p w:rsidR="00C81EFA" w:rsidRPr="002A2097" w:rsidRDefault="00C81EFA" w:rsidP="00C81EFA">
      <w:pPr>
        <w:jc w:val="center"/>
        <w:rPr>
          <w:sz w:val="24"/>
        </w:rPr>
      </w:pPr>
    </w:p>
    <w:p w:rsidR="00C81EFA" w:rsidRPr="002A2097" w:rsidRDefault="00C81EFA" w:rsidP="00C81EFA">
      <w:pPr>
        <w:spacing w:line="288" w:lineRule="auto"/>
        <w:ind w:firstLine="720"/>
        <w:rPr>
          <w:sz w:val="24"/>
        </w:rPr>
      </w:pPr>
      <w:r w:rsidRPr="002A2097">
        <w:rPr>
          <w:rStyle w:val="Fodnotehenvisning"/>
          <w:sz w:val="24"/>
        </w:rPr>
        <w:t>I</w:t>
      </w:r>
      <w:r w:rsidRPr="002A2097">
        <w:rPr>
          <w:sz w:val="24"/>
        </w:rPr>
        <w:t xml:space="preserve"> registreringsafgiftsloven, jf. lovbekendtgørelse nr. 29 af 10. januar 2014, foretages følgende ændringer:</w:t>
      </w:r>
    </w:p>
    <w:p w:rsidR="00C81EFA" w:rsidRPr="002A2097" w:rsidRDefault="00C81EFA" w:rsidP="00C81EFA">
      <w:pPr>
        <w:spacing w:line="288" w:lineRule="auto"/>
        <w:rPr>
          <w:sz w:val="24"/>
        </w:rPr>
      </w:pPr>
    </w:p>
    <w:p w:rsidR="00C81EFA" w:rsidRPr="002A2097" w:rsidRDefault="00C81EFA" w:rsidP="00C81EFA">
      <w:pPr>
        <w:spacing w:line="288" w:lineRule="auto"/>
        <w:rPr>
          <w:sz w:val="24"/>
        </w:rPr>
      </w:pPr>
      <w:r w:rsidRPr="002A2097">
        <w:rPr>
          <w:b/>
          <w:sz w:val="24"/>
        </w:rPr>
        <w:t xml:space="preserve">1. </w:t>
      </w:r>
      <w:r>
        <w:rPr>
          <w:i/>
          <w:sz w:val="24"/>
        </w:rPr>
        <w:t xml:space="preserve">§ 2, stk.1, nr. </w:t>
      </w:r>
      <w:r w:rsidRPr="002A2097">
        <w:rPr>
          <w:i/>
          <w:sz w:val="24"/>
        </w:rPr>
        <w:t xml:space="preserve">6, </w:t>
      </w:r>
      <w:r w:rsidRPr="009F1CE1">
        <w:rPr>
          <w:sz w:val="24"/>
        </w:rPr>
        <w:t>a</w:t>
      </w:r>
      <w:r w:rsidRPr="002A2097">
        <w:rPr>
          <w:sz w:val="24"/>
        </w:rPr>
        <w:t>ffattes således:</w:t>
      </w:r>
    </w:p>
    <w:p w:rsidR="00C81EFA" w:rsidRPr="002A2097" w:rsidRDefault="00554C21" w:rsidP="00C81EFA">
      <w:pPr>
        <w:spacing w:line="288" w:lineRule="auto"/>
        <w:rPr>
          <w:sz w:val="24"/>
        </w:rPr>
      </w:pPr>
      <w:r w:rsidRPr="002A2097">
        <w:rPr>
          <w:color w:val="000000"/>
          <w:sz w:val="24"/>
        </w:rPr>
        <w:t>»</w:t>
      </w:r>
      <w:r w:rsidR="00C81EFA">
        <w:rPr>
          <w:sz w:val="24"/>
        </w:rPr>
        <w:t>6) p</w:t>
      </w:r>
      <w:r w:rsidR="00C81EFA" w:rsidRPr="002A2097">
        <w:rPr>
          <w:sz w:val="24"/>
        </w:rPr>
        <w:t>ersonbiler med tilladelse til erhvervsmæssig persontransport, som</w:t>
      </w:r>
      <w:r w:rsidR="00C81EFA">
        <w:rPr>
          <w:sz w:val="24"/>
        </w:rPr>
        <w:t xml:space="preserve"> udelukkende anvendes hertil,</w:t>
      </w:r>
      <w:r w:rsidRPr="002A2097">
        <w:rPr>
          <w:color w:val="000000"/>
          <w:sz w:val="24"/>
        </w:rPr>
        <w:t>«</w:t>
      </w:r>
    </w:p>
    <w:p w:rsidR="00C81EFA" w:rsidRPr="002A2097" w:rsidRDefault="00C81EFA" w:rsidP="00C81EFA">
      <w:pPr>
        <w:spacing w:line="288" w:lineRule="auto"/>
        <w:rPr>
          <w:i/>
          <w:sz w:val="24"/>
        </w:rPr>
      </w:pPr>
    </w:p>
    <w:p w:rsidR="00C81EFA" w:rsidRDefault="00C81EFA" w:rsidP="00C81EFA">
      <w:pPr>
        <w:spacing w:line="288" w:lineRule="auto"/>
        <w:rPr>
          <w:sz w:val="24"/>
        </w:rPr>
      </w:pPr>
      <w:r w:rsidRPr="002A2097">
        <w:rPr>
          <w:b/>
          <w:sz w:val="24"/>
        </w:rPr>
        <w:lastRenderedPageBreak/>
        <w:t>2.</w:t>
      </w:r>
      <w:r w:rsidRPr="002A2097">
        <w:rPr>
          <w:i/>
          <w:sz w:val="24"/>
        </w:rPr>
        <w:t xml:space="preserve"> </w:t>
      </w:r>
      <w:r>
        <w:rPr>
          <w:i/>
          <w:sz w:val="24"/>
        </w:rPr>
        <w:t xml:space="preserve">§ 2, stk. 1, nr. 7, litra c, </w:t>
      </w:r>
      <w:r>
        <w:rPr>
          <w:sz w:val="24"/>
        </w:rPr>
        <w:t xml:space="preserve">ophæves. </w:t>
      </w:r>
    </w:p>
    <w:p w:rsidR="00C81EFA" w:rsidRDefault="00C81EFA" w:rsidP="00C81EFA">
      <w:pPr>
        <w:spacing w:line="288" w:lineRule="auto"/>
        <w:rPr>
          <w:sz w:val="24"/>
        </w:rPr>
      </w:pPr>
      <w:r>
        <w:rPr>
          <w:sz w:val="24"/>
        </w:rPr>
        <w:t xml:space="preserve">Litra d og e bliver herefter litra c og d. </w:t>
      </w:r>
    </w:p>
    <w:p w:rsidR="00C81EFA" w:rsidRDefault="00C81EFA" w:rsidP="00C81EFA">
      <w:pPr>
        <w:spacing w:line="288" w:lineRule="auto"/>
        <w:rPr>
          <w:sz w:val="24"/>
        </w:rPr>
      </w:pPr>
    </w:p>
    <w:p w:rsidR="00C81EFA" w:rsidRDefault="00C81EFA" w:rsidP="00C81EFA">
      <w:pPr>
        <w:spacing w:line="288" w:lineRule="auto"/>
        <w:rPr>
          <w:sz w:val="24"/>
        </w:rPr>
      </w:pPr>
      <w:r w:rsidRPr="000A1676">
        <w:rPr>
          <w:b/>
          <w:sz w:val="24"/>
        </w:rPr>
        <w:t>3.</w:t>
      </w:r>
      <w:r>
        <w:rPr>
          <w:sz w:val="24"/>
        </w:rPr>
        <w:t xml:space="preserve"> </w:t>
      </w:r>
      <w:r w:rsidRPr="002A2097">
        <w:rPr>
          <w:i/>
          <w:sz w:val="24"/>
        </w:rPr>
        <w:t>§ 2, stk.1, nr.15,</w:t>
      </w:r>
      <w:r w:rsidRPr="002A2097">
        <w:rPr>
          <w:sz w:val="24"/>
        </w:rPr>
        <w:t xml:space="preserve"> ophæves. </w:t>
      </w:r>
    </w:p>
    <w:p w:rsidR="00C81EFA" w:rsidRPr="002A2097" w:rsidRDefault="00C81EFA" w:rsidP="00C81EFA">
      <w:pPr>
        <w:spacing w:line="288" w:lineRule="auto"/>
        <w:rPr>
          <w:b/>
          <w:sz w:val="24"/>
        </w:rPr>
      </w:pPr>
      <w:r>
        <w:rPr>
          <w:sz w:val="24"/>
        </w:rPr>
        <w:t>Nr. 16–21 bliver herefter nr. 15–</w:t>
      </w:r>
      <w:r w:rsidRPr="002A2097">
        <w:rPr>
          <w:sz w:val="24"/>
        </w:rPr>
        <w:t>20.</w:t>
      </w:r>
    </w:p>
    <w:p w:rsidR="00C81EFA" w:rsidRPr="002A2097" w:rsidRDefault="00C81EFA" w:rsidP="00C81EFA">
      <w:pPr>
        <w:tabs>
          <w:tab w:val="left" w:pos="360"/>
        </w:tabs>
        <w:spacing w:line="288" w:lineRule="auto"/>
        <w:rPr>
          <w:b/>
          <w:bCs/>
          <w:sz w:val="24"/>
        </w:rPr>
      </w:pPr>
      <w:r w:rsidRPr="002A2097">
        <w:rPr>
          <w:b/>
          <w:bCs/>
          <w:sz w:val="24"/>
        </w:rPr>
        <w:tab/>
      </w:r>
    </w:p>
    <w:p w:rsidR="00C81EFA" w:rsidRDefault="00C81EFA" w:rsidP="00C81EFA">
      <w:pPr>
        <w:spacing w:line="288" w:lineRule="auto"/>
        <w:rPr>
          <w:sz w:val="24"/>
        </w:rPr>
      </w:pPr>
      <w:r>
        <w:rPr>
          <w:b/>
          <w:sz w:val="24"/>
        </w:rPr>
        <w:t>4</w:t>
      </w:r>
      <w:r w:rsidRPr="002A2097">
        <w:rPr>
          <w:b/>
          <w:sz w:val="24"/>
        </w:rPr>
        <w:t xml:space="preserve">. </w:t>
      </w:r>
      <w:r>
        <w:rPr>
          <w:sz w:val="24"/>
        </w:rPr>
        <w:t xml:space="preserve">I </w:t>
      </w:r>
      <w:r>
        <w:rPr>
          <w:i/>
          <w:sz w:val="24"/>
        </w:rPr>
        <w:t xml:space="preserve">§ 2, stk. 4, </w:t>
      </w:r>
      <w:r>
        <w:rPr>
          <w:sz w:val="24"/>
        </w:rPr>
        <w:t xml:space="preserve">ændres </w:t>
      </w:r>
      <w:r w:rsidR="00554C21" w:rsidRPr="002A2097">
        <w:rPr>
          <w:color w:val="000000"/>
          <w:sz w:val="24"/>
        </w:rPr>
        <w:t>»</w:t>
      </w:r>
      <w:r>
        <w:rPr>
          <w:sz w:val="24"/>
        </w:rPr>
        <w:t>nr. 17 og 18</w:t>
      </w:r>
      <w:r w:rsidR="00554C21" w:rsidRPr="002A2097">
        <w:rPr>
          <w:color w:val="000000"/>
          <w:sz w:val="24"/>
        </w:rPr>
        <w:t>«</w:t>
      </w:r>
      <w:r>
        <w:rPr>
          <w:sz w:val="24"/>
        </w:rPr>
        <w:t xml:space="preserve"> til: </w:t>
      </w:r>
      <w:r w:rsidR="00554C21" w:rsidRPr="002A2097">
        <w:rPr>
          <w:color w:val="000000"/>
          <w:sz w:val="24"/>
        </w:rPr>
        <w:t>»</w:t>
      </w:r>
      <w:r>
        <w:rPr>
          <w:sz w:val="24"/>
        </w:rPr>
        <w:t>nr. 16 og 17</w:t>
      </w:r>
      <w:r w:rsidR="00554C21" w:rsidRPr="002A2097">
        <w:rPr>
          <w:color w:val="000000"/>
          <w:sz w:val="24"/>
        </w:rPr>
        <w:t>«</w:t>
      </w:r>
      <w:r>
        <w:rPr>
          <w:sz w:val="24"/>
        </w:rPr>
        <w:t xml:space="preserve">. </w:t>
      </w:r>
    </w:p>
    <w:p w:rsidR="00C81EFA" w:rsidRDefault="00C81EFA" w:rsidP="00C81EFA">
      <w:pPr>
        <w:spacing w:line="288" w:lineRule="auto"/>
        <w:rPr>
          <w:sz w:val="24"/>
        </w:rPr>
      </w:pPr>
    </w:p>
    <w:p w:rsidR="00C81EFA" w:rsidRPr="002A2097" w:rsidRDefault="00C81EFA" w:rsidP="00C81EFA">
      <w:pPr>
        <w:spacing w:line="288" w:lineRule="auto"/>
        <w:rPr>
          <w:b/>
          <w:sz w:val="24"/>
        </w:rPr>
      </w:pPr>
      <w:r>
        <w:rPr>
          <w:b/>
          <w:sz w:val="24"/>
        </w:rPr>
        <w:t>5</w:t>
      </w:r>
      <w:r>
        <w:rPr>
          <w:sz w:val="24"/>
        </w:rPr>
        <w:t xml:space="preserve">. </w:t>
      </w:r>
      <w:r w:rsidRPr="002A2097">
        <w:rPr>
          <w:i/>
          <w:sz w:val="24"/>
        </w:rPr>
        <w:t>§ 6, § 6</w:t>
      </w:r>
      <w:r>
        <w:rPr>
          <w:i/>
          <w:sz w:val="24"/>
        </w:rPr>
        <w:t xml:space="preserve"> </w:t>
      </w:r>
      <w:r w:rsidRPr="002A2097">
        <w:rPr>
          <w:i/>
          <w:sz w:val="24"/>
        </w:rPr>
        <w:t>a og § 6</w:t>
      </w:r>
      <w:r>
        <w:rPr>
          <w:i/>
          <w:sz w:val="24"/>
        </w:rPr>
        <w:t xml:space="preserve"> </w:t>
      </w:r>
      <w:r w:rsidRPr="002A2097">
        <w:rPr>
          <w:i/>
          <w:sz w:val="24"/>
        </w:rPr>
        <w:t>b</w:t>
      </w:r>
      <w:r w:rsidRPr="002A2097">
        <w:rPr>
          <w:sz w:val="24"/>
        </w:rPr>
        <w:t xml:space="preserve"> ophæves.</w:t>
      </w:r>
    </w:p>
    <w:p w:rsidR="00C81EFA" w:rsidRPr="002A2097" w:rsidRDefault="00C81EFA" w:rsidP="00C81EFA">
      <w:pPr>
        <w:tabs>
          <w:tab w:val="left" w:pos="360"/>
        </w:tabs>
        <w:spacing w:line="288" w:lineRule="auto"/>
        <w:rPr>
          <w:b/>
          <w:bCs/>
          <w:sz w:val="24"/>
        </w:rPr>
      </w:pPr>
      <w:r w:rsidRPr="002A2097">
        <w:rPr>
          <w:b/>
          <w:bCs/>
          <w:sz w:val="24"/>
        </w:rPr>
        <w:tab/>
      </w:r>
    </w:p>
    <w:p w:rsidR="00A026A3" w:rsidRDefault="00C81EFA" w:rsidP="00C81EFA">
      <w:pPr>
        <w:spacing w:line="288" w:lineRule="auto"/>
        <w:rPr>
          <w:sz w:val="24"/>
        </w:rPr>
      </w:pPr>
      <w:r>
        <w:rPr>
          <w:b/>
          <w:sz w:val="24"/>
        </w:rPr>
        <w:t>6</w:t>
      </w:r>
      <w:r w:rsidRPr="002A2097">
        <w:rPr>
          <w:b/>
          <w:sz w:val="24"/>
        </w:rPr>
        <w:t xml:space="preserve">. </w:t>
      </w:r>
      <w:r w:rsidRPr="002A2097">
        <w:rPr>
          <w:i/>
          <w:sz w:val="24"/>
        </w:rPr>
        <w:t>§ 7, stk.</w:t>
      </w:r>
      <w:r>
        <w:rPr>
          <w:i/>
          <w:sz w:val="24"/>
        </w:rPr>
        <w:t xml:space="preserve"> 1, 1. pkt.</w:t>
      </w:r>
      <w:r w:rsidRPr="002A2097">
        <w:rPr>
          <w:i/>
          <w:sz w:val="24"/>
        </w:rPr>
        <w:t>,</w:t>
      </w:r>
      <w:r w:rsidRPr="002A2097">
        <w:rPr>
          <w:sz w:val="24"/>
        </w:rPr>
        <w:t xml:space="preserve"> </w:t>
      </w:r>
      <w:r w:rsidR="00A026A3">
        <w:rPr>
          <w:sz w:val="24"/>
        </w:rPr>
        <w:t>affattes således:</w:t>
      </w:r>
    </w:p>
    <w:p w:rsidR="00C81EFA" w:rsidRPr="00554C21" w:rsidRDefault="00554C21" w:rsidP="00554C21">
      <w:pPr>
        <w:widowControl/>
        <w:spacing w:before="100" w:after="100"/>
        <w:rPr>
          <w:sz w:val="24"/>
        </w:rPr>
      </w:pPr>
      <w:r w:rsidRPr="002A2097">
        <w:rPr>
          <w:color w:val="000000"/>
          <w:sz w:val="24"/>
        </w:rPr>
        <w:t>»</w:t>
      </w:r>
      <w:r w:rsidR="00A026A3" w:rsidRPr="00A026A3">
        <w:rPr>
          <w:sz w:val="24"/>
        </w:rPr>
        <w:t xml:space="preserve">Der svares afgift af tidligere afgiftsberigtigede motorkøretøjer, medmindre disse er omfattet af § 10, stk. 4, der er genopbygget efter at have været ødelagt ved færdselsuheld, eksplosion, ildebrand m.m., såfremt disse er omfattet af en skadesforsikring, og såfremt udgiften indbefattet merværdiafgift til fuldstændig udbedring af de ved færdselsuheld mv. skete skader overstiger 75 pct. af handelsværdien før uheldet for køretøjer afgiftsberigtiget efter § 4, stk. 1, nr. 1, 65 pct. for køretøjer afgiftsberigtiget efter § 4, stk. 1, nr. 2, 80 pct. for køretøjer afgiftsberigtiget efter § 5, stk. 1, 90 pct. for køretøjer afgiftsberigtiget efter § 5, stk. 2, </w:t>
      </w:r>
      <w:r>
        <w:rPr>
          <w:sz w:val="24"/>
        </w:rPr>
        <w:t xml:space="preserve">og </w:t>
      </w:r>
      <w:r w:rsidR="00A026A3" w:rsidRPr="00A026A3">
        <w:rPr>
          <w:sz w:val="24"/>
        </w:rPr>
        <w:t>85 pct. for køretøjer afgiftsberigtiget efter § 5 a</w:t>
      </w:r>
      <w:r>
        <w:rPr>
          <w:sz w:val="24"/>
        </w:rPr>
        <w:t>.</w:t>
      </w:r>
      <w:r w:rsidRPr="002A2097">
        <w:rPr>
          <w:color w:val="000000"/>
          <w:sz w:val="24"/>
        </w:rPr>
        <w:t>«</w:t>
      </w:r>
    </w:p>
    <w:p w:rsidR="00C81EFA" w:rsidRPr="002A2097" w:rsidRDefault="00C81EFA" w:rsidP="00C81EFA">
      <w:pPr>
        <w:tabs>
          <w:tab w:val="left" w:pos="360"/>
        </w:tabs>
        <w:spacing w:line="288" w:lineRule="auto"/>
        <w:rPr>
          <w:b/>
          <w:bCs/>
          <w:sz w:val="24"/>
        </w:rPr>
      </w:pPr>
      <w:r w:rsidRPr="002A2097">
        <w:rPr>
          <w:b/>
          <w:bCs/>
          <w:sz w:val="24"/>
        </w:rPr>
        <w:tab/>
      </w:r>
    </w:p>
    <w:p w:rsidR="00C81EFA" w:rsidRPr="002A2097" w:rsidRDefault="00C81EFA" w:rsidP="00C81EFA">
      <w:pPr>
        <w:spacing w:line="288" w:lineRule="auto"/>
        <w:rPr>
          <w:b/>
          <w:sz w:val="24"/>
        </w:rPr>
      </w:pPr>
      <w:r>
        <w:rPr>
          <w:b/>
          <w:sz w:val="24"/>
        </w:rPr>
        <w:t>7</w:t>
      </w:r>
      <w:r w:rsidRPr="002A2097">
        <w:rPr>
          <w:b/>
          <w:sz w:val="24"/>
        </w:rPr>
        <w:t xml:space="preserve">. </w:t>
      </w:r>
      <w:r w:rsidRPr="002A2097">
        <w:rPr>
          <w:i/>
          <w:sz w:val="24"/>
        </w:rPr>
        <w:t>§ 7</w:t>
      </w:r>
      <w:r>
        <w:rPr>
          <w:i/>
          <w:sz w:val="24"/>
        </w:rPr>
        <w:t xml:space="preserve"> </w:t>
      </w:r>
      <w:r w:rsidRPr="002A2097">
        <w:rPr>
          <w:i/>
          <w:sz w:val="24"/>
        </w:rPr>
        <w:t>b, stk. 2, nr.</w:t>
      </w:r>
      <w:r>
        <w:rPr>
          <w:i/>
          <w:sz w:val="24"/>
        </w:rPr>
        <w:t xml:space="preserve"> </w:t>
      </w:r>
      <w:r w:rsidRPr="002A2097">
        <w:rPr>
          <w:i/>
          <w:sz w:val="24"/>
        </w:rPr>
        <w:t>5,</w:t>
      </w:r>
      <w:r w:rsidRPr="002A2097">
        <w:rPr>
          <w:sz w:val="24"/>
        </w:rPr>
        <w:t xml:space="preserve"> ophæves.</w:t>
      </w:r>
    </w:p>
    <w:p w:rsidR="00C81EFA" w:rsidRPr="002A2097" w:rsidRDefault="00C81EFA" w:rsidP="00C81EFA">
      <w:pPr>
        <w:tabs>
          <w:tab w:val="left" w:pos="360"/>
        </w:tabs>
        <w:spacing w:line="288" w:lineRule="auto"/>
        <w:rPr>
          <w:b/>
          <w:bCs/>
          <w:sz w:val="24"/>
        </w:rPr>
      </w:pPr>
      <w:r w:rsidRPr="002A2097">
        <w:rPr>
          <w:b/>
          <w:bCs/>
          <w:sz w:val="24"/>
        </w:rPr>
        <w:tab/>
      </w:r>
    </w:p>
    <w:p w:rsidR="00C81EFA" w:rsidRPr="002A2097" w:rsidRDefault="00C81EFA" w:rsidP="00C81EFA">
      <w:pPr>
        <w:spacing w:line="288" w:lineRule="auto"/>
        <w:rPr>
          <w:sz w:val="24"/>
        </w:rPr>
      </w:pPr>
      <w:r>
        <w:rPr>
          <w:b/>
          <w:sz w:val="24"/>
        </w:rPr>
        <w:t>8</w:t>
      </w:r>
      <w:r w:rsidRPr="002A2097">
        <w:rPr>
          <w:b/>
          <w:sz w:val="24"/>
        </w:rPr>
        <w:t xml:space="preserve">. </w:t>
      </w:r>
      <w:r w:rsidRPr="002A2097">
        <w:rPr>
          <w:i/>
          <w:sz w:val="24"/>
        </w:rPr>
        <w:t>§ 27, stk.</w:t>
      </w:r>
      <w:r>
        <w:rPr>
          <w:i/>
          <w:sz w:val="24"/>
        </w:rPr>
        <w:t xml:space="preserve"> </w:t>
      </w:r>
      <w:r w:rsidRPr="002A2097">
        <w:rPr>
          <w:i/>
          <w:sz w:val="24"/>
        </w:rPr>
        <w:t>1, nr.</w:t>
      </w:r>
      <w:r>
        <w:rPr>
          <w:i/>
          <w:sz w:val="24"/>
        </w:rPr>
        <w:t xml:space="preserve"> </w:t>
      </w:r>
      <w:r w:rsidRPr="002A2097">
        <w:rPr>
          <w:i/>
          <w:sz w:val="24"/>
        </w:rPr>
        <w:t xml:space="preserve">4, </w:t>
      </w:r>
      <w:r w:rsidRPr="002A2097">
        <w:t>a</w:t>
      </w:r>
      <w:r w:rsidRPr="002A2097">
        <w:rPr>
          <w:sz w:val="24"/>
        </w:rPr>
        <w:t>ffattes således:</w:t>
      </w:r>
    </w:p>
    <w:p w:rsidR="00C81EFA" w:rsidRPr="002A2097" w:rsidRDefault="00554C21" w:rsidP="00C81EFA">
      <w:pPr>
        <w:spacing w:line="288" w:lineRule="auto"/>
        <w:rPr>
          <w:sz w:val="24"/>
        </w:rPr>
      </w:pPr>
      <w:r w:rsidRPr="002A2097">
        <w:rPr>
          <w:color w:val="000000"/>
          <w:sz w:val="24"/>
        </w:rPr>
        <w:t>»</w:t>
      </w:r>
      <w:r w:rsidR="00C81EFA" w:rsidRPr="002A2097">
        <w:rPr>
          <w:sz w:val="24"/>
        </w:rPr>
        <w:t>4) anvender et afgiftspligtigt køretøj, der er fritaget for afgift, eller hvoraf der er betalt afgift efter bestemmelserne i § 5 eller § 5 a, stk. 1 og 2, i strid med de betingelser, der gælder for fritagelsen eller afgiftsberigtigelsen efter den pågældende bestemmelse,</w:t>
      </w:r>
      <w:r w:rsidRPr="002A2097">
        <w:rPr>
          <w:color w:val="000000"/>
          <w:sz w:val="24"/>
        </w:rPr>
        <w:t>«</w:t>
      </w:r>
    </w:p>
    <w:p w:rsidR="00C81EFA" w:rsidRPr="002A2097" w:rsidRDefault="00C81EFA" w:rsidP="00C81EFA">
      <w:pPr>
        <w:spacing w:line="288" w:lineRule="auto"/>
        <w:rPr>
          <w:i/>
          <w:sz w:val="24"/>
        </w:rPr>
      </w:pPr>
    </w:p>
    <w:p w:rsidR="00C81EFA" w:rsidRPr="002A2097" w:rsidRDefault="00C81EFA" w:rsidP="00C81EFA">
      <w:pPr>
        <w:tabs>
          <w:tab w:val="left" w:pos="360"/>
        </w:tabs>
        <w:spacing w:line="288" w:lineRule="auto"/>
        <w:rPr>
          <w:b/>
          <w:bCs/>
          <w:sz w:val="24"/>
        </w:rPr>
      </w:pPr>
    </w:p>
    <w:p w:rsidR="00C81EFA" w:rsidRPr="002A2097" w:rsidRDefault="00C81EFA" w:rsidP="00C81EFA">
      <w:pPr>
        <w:tabs>
          <w:tab w:val="left" w:pos="360"/>
        </w:tabs>
        <w:spacing w:line="288" w:lineRule="auto"/>
        <w:rPr>
          <w:b/>
          <w:bCs/>
          <w:sz w:val="24"/>
        </w:rPr>
      </w:pPr>
    </w:p>
    <w:p w:rsidR="00C81EFA" w:rsidRPr="002A2097" w:rsidRDefault="00C81EFA" w:rsidP="00C81EFA">
      <w:pPr>
        <w:tabs>
          <w:tab w:val="left" w:pos="360"/>
        </w:tabs>
        <w:spacing w:line="288" w:lineRule="auto"/>
        <w:rPr>
          <w:b/>
          <w:bCs/>
          <w:sz w:val="24"/>
        </w:rPr>
      </w:pPr>
      <w:r w:rsidRPr="002A2097">
        <w:rPr>
          <w:b/>
          <w:bCs/>
          <w:sz w:val="24"/>
        </w:rPr>
        <w:tab/>
      </w:r>
      <w:r w:rsidRPr="002A2097">
        <w:rPr>
          <w:b/>
          <w:bCs/>
          <w:sz w:val="24"/>
        </w:rPr>
        <w:tab/>
      </w:r>
      <w:r w:rsidRPr="002A2097">
        <w:rPr>
          <w:b/>
          <w:bCs/>
          <w:sz w:val="24"/>
        </w:rPr>
        <w:tab/>
      </w:r>
      <w:r w:rsidRPr="002A2097">
        <w:rPr>
          <w:b/>
          <w:bCs/>
          <w:sz w:val="24"/>
        </w:rPr>
        <w:tab/>
      </w:r>
      <w:r w:rsidRPr="002A2097">
        <w:rPr>
          <w:b/>
          <w:bCs/>
          <w:sz w:val="24"/>
        </w:rPr>
        <w:tab/>
      </w:r>
      <w:r w:rsidRPr="002A2097">
        <w:rPr>
          <w:b/>
          <w:bCs/>
          <w:sz w:val="24"/>
        </w:rPr>
        <w:tab/>
      </w:r>
      <w:r w:rsidRPr="002A2097">
        <w:rPr>
          <w:b/>
          <w:bCs/>
          <w:sz w:val="24"/>
        </w:rPr>
        <w:tab/>
        <w:t>§ 3</w:t>
      </w:r>
    </w:p>
    <w:p w:rsidR="00C81EFA" w:rsidRPr="002A2097" w:rsidRDefault="00C81EFA" w:rsidP="00C81EFA">
      <w:pPr>
        <w:tabs>
          <w:tab w:val="left" w:pos="360"/>
        </w:tabs>
        <w:spacing w:line="288" w:lineRule="auto"/>
        <w:rPr>
          <w:iCs/>
          <w:sz w:val="24"/>
        </w:rPr>
      </w:pPr>
      <w:r w:rsidRPr="002A2097">
        <w:rPr>
          <w:iCs/>
          <w:sz w:val="24"/>
        </w:rPr>
        <w:tab/>
      </w:r>
    </w:p>
    <w:p w:rsidR="00C81EFA" w:rsidRPr="002A2097" w:rsidRDefault="00C81EFA" w:rsidP="00C81EFA">
      <w:pPr>
        <w:spacing w:line="288" w:lineRule="auto"/>
        <w:ind w:firstLine="720"/>
        <w:rPr>
          <w:sz w:val="24"/>
        </w:rPr>
      </w:pPr>
      <w:r w:rsidRPr="002A2097">
        <w:rPr>
          <w:sz w:val="24"/>
        </w:rPr>
        <w:t>I brændstofforbrugsafgiftsloven, jf. lovbekendtgørelse nr. 40 af 16. januar 2014, foretages følgende ændring</w:t>
      </w:r>
      <w:r>
        <w:rPr>
          <w:sz w:val="24"/>
        </w:rPr>
        <w:t>er</w:t>
      </w:r>
      <w:r w:rsidRPr="002A2097">
        <w:rPr>
          <w:sz w:val="24"/>
        </w:rPr>
        <w:t>:</w:t>
      </w:r>
    </w:p>
    <w:p w:rsidR="00C81EFA" w:rsidRPr="002A2097" w:rsidRDefault="00C81EFA" w:rsidP="00C81EFA">
      <w:pPr>
        <w:spacing w:line="288" w:lineRule="auto"/>
        <w:rPr>
          <w:sz w:val="24"/>
        </w:rPr>
      </w:pPr>
    </w:p>
    <w:p w:rsidR="00C81EFA" w:rsidRPr="002A2097" w:rsidRDefault="00C81EFA" w:rsidP="00C81EFA">
      <w:pPr>
        <w:spacing w:line="288" w:lineRule="auto"/>
        <w:rPr>
          <w:sz w:val="24"/>
        </w:rPr>
      </w:pPr>
      <w:r w:rsidRPr="002A2097">
        <w:rPr>
          <w:b/>
          <w:sz w:val="24"/>
        </w:rPr>
        <w:t xml:space="preserve">1. </w:t>
      </w:r>
      <w:r w:rsidRPr="002A2097">
        <w:rPr>
          <w:i/>
          <w:sz w:val="24"/>
        </w:rPr>
        <w:t xml:space="preserve">§ 6, stk. 1, nr. 5, </w:t>
      </w:r>
      <w:r w:rsidRPr="002A2097">
        <w:rPr>
          <w:sz w:val="24"/>
        </w:rPr>
        <w:t>affattes således:</w:t>
      </w:r>
    </w:p>
    <w:p w:rsidR="00C81EFA" w:rsidRPr="002A2097" w:rsidRDefault="00554C21" w:rsidP="00C81EFA">
      <w:pPr>
        <w:spacing w:line="288" w:lineRule="auto"/>
        <w:rPr>
          <w:sz w:val="24"/>
        </w:rPr>
      </w:pPr>
      <w:r w:rsidRPr="002A2097">
        <w:rPr>
          <w:color w:val="000000"/>
          <w:sz w:val="24"/>
        </w:rPr>
        <w:t>»</w:t>
      </w:r>
      <w:r w:rsidR="00C81EFA" w:rsidRPr="002A2097">
        <w:rPr>
          <w:sz w:val="24"/>
        </w:rPr>
        <w:t>5) Benzindrevne personbiler med tilladelse til erhvervsmæssig persontransport.</w:t>
      </w:r>
      <w:r w:rsidRPr="002A2097">
        <w:rPr>
          <w:color w:val="000000"/>
          <w:sz w:val="24"/>
        </w:rPr>
        <w:t>«</w:t>
      </w:r>
    </w:p>
    <w:p w:rsidR="00C81EFA" w:rsidRPr="002A2097" w:rsidRDefault="00C81EFA" w:rsidP="00C81EFA">
      <w:pPr>
        <w:spacing w:line="288" w:lineRule="auto"/>
        <w:rPr>
          <w:sz w:val="24"/>
        </w:rPr>
      </w:pPr>
    </w:p>
    <w:p w:rsidR="00C81EFA" w:rsidRPr="002A2097" w:rsidRDefault="00C81EFA" w:rsidP="00C81EFA">
      <w:pPr>
        <w:spacing w:line="288" w:lineRule="auto"/>
        <w:rPr>
          <w:sz w:val="24"/>
        </w:rPr>
      </w:pPr>
      <w:r>
        <w:rPr>
          <w:b/>
          <w:sz w:val="24"/>
        </w:rPr>
        <w:t xml:space="preserve">2. </w:t>
      </w:r>
      <w:r w:rsidRPr="002A2097">
        <w:rPr>
          <w:i/>
          <w:sz w:val="24"/>
        </w:rPr>
        <w:t xml:space="preserve">§ 6, stk. 2, </w:t>
      </w:r>
      <w:r w:rsidRPr="002A2097">
        <w:rPr>
          <w:sz w:val="24"/>
        </w:rPr>
        <w:t xml:space="preserve">affattes således: </w:t>
      </w:r>
    </w:p>
    <w:p w:rsidR="00C81EFA" w:rsidRPr="002A2097" w:rsidRDefault="00554C21" w:rsidP="00C81EFA">
      <w:pPr>
        <w:spacing w:line="288" w:lineRule="auto"/>
        <w:rPr>
          <w:sz w:val="24"/>
        </w:rPr>
      </w:pPr>
      <w:r w:rsidRPr="002A2097">
        <w:rPr>
          <w:color w:val="000000"/>
          <w:sz w:val="24"/>
        </w:rPr>
        <w:t>»</w:t>
      </w:r>
      <w:r w:rsidR="00C81EFA" w:rsidRPr="002A2097">
        <w:rPr>
          <w:i/>
          <w:sz w:val="24"/>
        </w:rPr>
        <w:t>Stk. 2</w:t>
      </w:r>
      <w:r w:rsidR="00C81EFA" w:rsidRPr="002A2097">
        <w:rPr>
          <w:sz w:val="24"/>
        </w:rPr>
        <w:t>. Af dieseldrevne personbiler med tilladelse til erhvervsmæssig persontransport betales det dobbelte af de i § 3, stk. 1, under B fastsatte satser for udligningsafgift.</w:t>
      </w:r>
      <w:r w:rsidRPr="002A2097">
        <w:rPr>
          <w:color w:val="000000"/>
          <w:sz w:val="24"/>
        </w:rPr>
        <w:t>«</w:t>
      </w:r>
    </w:p>
    <w:p w:rsidR="00C81EFA" w:rsidRPr="002A2097" w:rsidRDefault="00C81EFA" w:rsidP="00C81EFA">
      <w:pPr>
        <w:spacing w:line="288" w:lineRule="auto"/>
        <w:rPr>
          <w:b/>
          <w:i/>
          <w:sz w:val="24"/>
        </w:rPr>
      </w:pPr>
    </w:p>
    <w:p w:rsidR="00C81EFA" w:rsidRPr="002A2097" w:rsidRDefault="00C81EFA" w:rsidP="00C81EFA">
      <w:pPr>
        <w:tabs>
          <w:tab w:val="left" w:pos="360"/>
        </w:tabs>
        <w:spacing w:line="288" w:lineRule="auto"/>
        <w:rPr>
          <w:b/>
          <w:bCs/>
          <w:sz w:val="24"/>
        </w:rPr>
      </w:pPr>
    </w:p>
    <w:p w:rsidR="00C81EFA" w:rsidRPr="002A2097" w:rsidRDefault="00C81EFA" w:rsidP="00C81EFA">
      <w:pPr>
        <w:tabs>
          <w:tab w:val="left" w:pos="360"/>
        </w:tabs>
        <w:spacing w:line="288" w:lineRule="auto"/>
        <w:rPr>
          <w:b/>
          <w:bCs/>
          <w:sz w:val="24"/>
        </w:rPr>
      </w:pPr>
      <w:r w:rsidRPr="002A2097">
        <w:rPr>
          <w:b/>
          <w:bCs/>
          <w:sz w:val="24"/>
        </w:rPr>
        <w:tab/>
      </w:r>
      <w:r w:rsidRPr="002A2097">
        <w:rPr>
          <w:b/>
          <w:bCs/>
          <w:sz w:val="24"/>
        </w:rPr>
        <w:tab/>
      </w:r>
      <w:r w:rsidRPr="002A2097">
        <w:rPr>
          <w:b/>
          <w:bCs/>
          <w:sz w:val="24"/>
        </w:rPr>
        <w:tab/>
      </w:r>
      <w:r w:rsidRPr="002A2097">
        <w:rPr>
          <w:b/>
          <w:bCs/>
          <w:sz w:val="24"/>
        </w:rPr>
        <w:tab/>
      </w:r>
      <w:r w:rsidRPr="002A2097">
        <w:rPr>
          <w:b/>
          <w:bCs/>
          <w:sz w:val="24"/>
        </w:rPr>
        <w:tab/>
      </w:r>
      <w:r w:rsidRPr="002A2097">
        <w:rPr>
          <w:b/>
          <w:bCs/>
          <w:sz w:val="24"/>
        </w:rPr>
        <w:tab/>
      </w:r>
      <w:r w:rsidRPr="002A2097">
        <w:rPr>
          <w:b/>
          <w:bCs/>
          <w:sz w:val="24"/>
        </w:rPr>
        <w:tab/>
        <w:t>§ 4</w:t>
      </w:r>
    </w:p>
    <w:p w:rsidR="00C81EFA" w:rsidRPr="002A2097" w:rsidRDefault="00C81EFA" w:rsidP="00C81EFA">
      <w:pPr>
        <w:tabs>
          <w:tab w:val="left" w:pos="360"/>
        </w:tabs>
        <w:spacing w:line="288" w:lineRule="auto"/>
        <w:rPr>
          <w:iCs/>
          <w:sz w:val="24"/>
        </w:rPr>
      </w:pPr>
      <w:r w:rsidRPr="002A2097">
        <w:rPr>
          <w:iCs/>
          <w:sz w:val="24"/>
        </w:rPr>
        <w:tab/>
      </w:r>
    </w:p>
    <w:p w:rsidR="00C81EFA" w:rsidRPr="002A2097" w:rsidRDefault="00C81EFA" w:rsidP="00C81EFA">
      <w:pPr>
        <w:spacing w:line="288" w:lineRule="auto"/>
        <w:ind w:firstLine="720"/>
        <w:rPr>
          <w:sz w:val="24"/>
        </w:rPr>
      </w:pPr>
      <w:r w:rsidRPr="002A2097">
        <w:rPr>
          <w:sz w:val="24"/>
        </w:rPr>
        <w:t xml:space="preserve">I </w:t>
      </w:r>
      <w:r>
        <w:rPr>
          <w:sz w:val="24"/>
        </w:rPr>
        <w:t xml:space="preserve">lov om vægtafgift af motorkøretøjer, </w:t>
      </w:r>
      <w:r w:rsidRPr="002A2097">
        <w:rPr>
          <w:sz w:val="24"/>
        </w:rPr>
        <w:t>jf. lovbekendtgørelse nr. 185 af 18. februar 2014, som ændret ved § 2 i lov nr. 745 af 25. juni 2014, foretages følgende ændring:</w:t>
      </w:r>
    </w:p>
    <w:p w:rsidR="00C81EFA" w:rsidRPr="002A2097" w:rsidRDefault="00C81EFA" w:rsidP="00C81EFA">
      <w:pPr>
        <w:spacing w:line="288" w:lineRule="auto"/>
        <w:rPr>
          <w:sz w:val="24"/>
        </w:rPr>
      </w:pPr>
    </w:p>
    <w:p w:rsidR="00C81EFA" w:rsidRPr="002A2097" w:rsidRDefault="00C81EFA" w:rsidP="00C81EFA">
      <w:pPr>
        <w:spacing w:line="288" w:lineRule="auto"/>
        <w:rPr>
          <w:sz w:val="24"/>
        </w:rPr>
      </w:pPr>
      <w:r w:rsidRPr="002A2097">
        <w:rPr>
          <w:b/>
          <w:sz w:val="24"/>
        </w:rPr>
        <w:t xml:space="preserve">1. </w:t>
      </w:r>
      <w:r w:rsidRPr="002A2097">
        <w:rPr>
          <w:sz w:val="24"/>
        </w:rPr>
        <w:t xml:space="preserve">I </w:t>
      </w:r>
      <w:r w:rsidRPr="002A2097">
        <w:rPr>
          <w:i/>
          <w:sz w:val="24"/>
        </w:rPr>
        <w:t xml:space="preserve">§ 3, stk. 1, tabelafsnit D, </w:t>
      </w:r>
      <w:r w:rsidRPr="002A2097">
        <w:rPr>
          <w:sz w:val="24"/>
        </w:rPr>
        <w:t xml:space="preserve">ændres </w:t>
      </w:r>
      <w:r w:rsidR="00554C21" w:rsidRPr="002A2097">
        <w:rPr>
          <w:color w:val="000000"/>
          <w:sz w:val="24"/>
        </w:rPr>
        <w:t>»</w:t>
      </w:r>
      <w:r w:rsidRPr="002A2097">
        <w:rPr>
          <w:sz w:val="24"/>
        </w:rPr>
        <w:t>D. Hyrevogne og sygetransportbiler.</w:t>
      </w:r>
      <w:r w:rsidR="00554C21" w:rsidRPr="002A2097">
        <w:rPr>
          <w:color w:val="000000"/>
          <w:sz w:val="24"/>
        </w:rPr>
        <w:t>«</w:t>
      </w:r>
      <w:r w:rsidRPr="002A2097">
        <w:rPr>
          <w:sz w:val="24"/>
        </w:rPr>
        <w:t xml:space="preserve"> til: </w:t>
      </w:r>
      <w:r w:rsidR="00554C21" w:rsidRPr="002A2097">
        <w:rPr>
          <w:color w:val="000000"/>
          <w:sz w:val="24"/>
        </w:rPr>
        <w:t>»</w:t>
      </w:r>
      <w:r w:rsidRPr="002A2097">
        <w:rPr>
          <w:sz w:val="24"/>
        </w:rPr>
        <w:t>D. Personbiler med tilladelse til e</w:t>
      </w:r>
      <w:r>
        <w:rPr>
          <w:sz w:val="24"/>
        </w:rPr>
        <w:t>rhvervsmæssig persontransport.</w:t>
      </w:r>
      <w:r w:rsidR="00554C21" w:rsidRPr="002A2097">
        <w:rPr>
          <w:color w:val="000000"/>
          <w:sz w:val="24"/>
        </w:rPr>
        <w:t>«</w:t>
      </w:r>
    </w:p>
    <w:p w:rsidR="00C81EFA" w:rsidRPr="002A2097" w:rsidRDefault="00C81EFA" w:rsidP="00C81EFA">
      <w:pPr>
        <w:spacing w:line="288" w:lineRule="auto"/>
        <w:rPr>
          <w:b/>
          <w:i/>
          <w:sz w:val="24"/>
        </w:rPr>
      </w:pPr>
    </w:p>
    <w:p w:rsidR="00C81EFA" w:rsidRPr="002A2097" w:rsidRDefault="00C81EFA" w:rsidP="00C81EFA">
      <w:pPr>
        <w:spacing w:line="288" w:lineRule="auto"/>
        <w:rPr>
          <w:b/>
          <w:i/>
          <w:sz w:val="24"/>
        </w:rPr>
      </w:pPr>
    </w:p>
    <w:p w:rsidR="00C81EFA" w:rsidRPr="002A2097" w:rsidRDefault="00C81EFA" w:rsidP="00C81EFA">
      <w:pPr>
        <w:rPr>
          <w:b/>
          <w:iCs/>
          <w:sz w:val="24"/>
        </w:rPr>
      </w:pPr>
      <w:r w:rsidRPr="002A2097">
        <w:rPr>
          <w:i/>
          <w:iCs/>
          <w:sz w:val="28"/>
        </w:rPr>
        <w:tab/>
      </w:r>
      <w:r w:rsidRPr="002A2097">
        <w:rPr>
          <w:i/>
          <w:iCs/>
          <w:sz w:val="28"/>
        </w:rPr>
        <w:tab/>
      </w:r>
      <w:r w:rsidRPr="002A2097">
        <w:rPr>
          <w:i/>
          <w:iCs/>
          <w:sz w:val="28"/>
        </w:rPr>
        <w:tab/>
      </w:r>
      <w:r w:rsidRPr="002A2097">
        <w:rPr>
          <w:i/>
          <w:iCs/>
          <w:sz w:val="28"/>
        </w:rPr>
        <w:tab/>
      </w:r>
      <w:r w:rsidRPr="002A2097">
        <w:rPr>
          <w:i/>
          <w:iCs/>
          <w:sz w:val="28"/>
        </w:rPr>
        <w:tab/>
      </w:r>
      <w:r w:rsidRPr="002A2097">
        <w:rPr>
          <w:i/>
          <w:iCs/>
          <w:sz w:val="28"/>
        </w:rPr>
        <w:tab/>
      </w:r>
      <w:r w:rsidRPr="002A2097">
        <w:rPr>
          <w:b/>
          <w:iCs/>
          <w:sz w:val="24"/>
        </w:rPr>
        <w:t>§ 5</w:t>
      </w:r>
    </w:p>
    <w:p w:rsidR="00C81EFA" w:rsidRPr="002A2097" w:rsidRDefault="00C81EFA" w:rsidP="00C81EFA">
      <w:pPr>
        <w:rPr>
          <w:i/>
          <w:iCs/>
          <w:sz w:val="24"/>
        </w:rPr>
      </w:pPr>
    </w:p>
    <w:p w:rsidR="00C81EFA" w:rsidRPr="002A2097" w:rsidRDefault="00C81EFA" w:rsidP="00C81EFA">
      <w:pPr>
        <w:rPr>
          <w:iCs/>
          <w:sz w:val="24"/>
        </w:rPr>
      </w:pPr>
      <w:r w:rsidRPr="002A2097">
        <w:rPr>
          <w:i/>
          <w:iCs/>
          <w:sz w:val="24"/>
        </w:rPr>
        <w:t xml:space="preserve">Stk. 1. </w:t>
      </w:r>
      <w:r w:rsidRPr="002A2097">
        <w:rPr>
          <w:iCs/>
          <w:sz w:val="24"/>
        </w:rPr>
        <w:t xml:space="preserve">Loven træder i kraft den 1. januar 2015. </w:t>
      </w:r>
    </w:p>
    <w:p w:rsidR="00C81EFA" w:rsidRPr="002A2097" w:rsidRDefault="00C81EFA" w:rsidP="00C81EFA">
      <w:pPr>
        <w:rPr>
          <w:iCs/>
          <w:sz w:val="24"/>
        </w:rPr>
      </w:pPr>
    </w:p>
    <w:p w:rsidR="00C81EFA" w:rsidRPr="002A2097" w:rsidRDefault="00C81EFA" w:rsidP="00C81EFA">
      <w:pPr>
        <w:rPr>
          <w:iCs/>
          <w:sz w:val="24"/>
        </w:rPr>
      </w:pPr>
      <w:r w:rsidRPr="002A2097">
        <w:rPr>
          <w:i/>
          <w:iCs/>
          <w:sz w:val="24"/>
        </w:rPr>
        <w:t xml:space="preserve">Stk. 2. </w:t>
      </w:r>
      <w:r w:rsidRPr="002A2097">
        <w:rPr>
          <w:iCs/>
          <w:sz w:val="24"/>
        </w:rPr>
        <w:t>For køretøjer afgiftsberigtiget efter de hidtidige bestemmelser i registreringsafgiftslovens § 6</w:t>
      </w:r>
      <w:r>
        <w:rPr>
          <w:iCs/>
          <w:sz w:val="24"/>
        </w:rPr>
        <w:t xml:space="preserve"> </w:t>
      </w:r>
      <w:r w:rsidRPr="002A2097">
        <w:rPr>
          <w:iCs/>
          <w:sz w:val="24"/>
        </w:rPr>
        <w:t>a, stk. 1</w:t>
      </w:r>
      <w:r w:rsidR="009F1CE1">
        <w:rPr>
          <w:iCs/>
          <w:sz w:val="24"/>
        </w:rPr>
        <w:t>,</w:t>
      </w:r>
      <w:r w:rsidRPr="002A2097">
        <w:rPr>
          <w:iCs/>
          <w:sz w:val="24"/>
        </w:rPr>
        <w:t xml:space="preserve"> og § 6</w:t>
      </w:r>
      <w:r>
        <w:rPr>
          <w:iCs/>
          <w:sz w:val="24"/>
        </w:rPr>
        <w:t xml:space="preserve"> </w:t>
      </w:r>
      <w:r w:rsidRPr="002A2097">
        <w:rPr>
          <w:iCs/>
          <w:sz w:val="24"/>
        </w:rPr>
        <w:t>b, stk. 1, jf. lovbekendtgørelse nr. 29 af 10. januar 2014, finder de hidtidige bestemmelser i registreringsafgiftslovens 6</w:t>
      </w:r>
      <w:r>
        <w:rPr>
          <w:iCs/>
          <w:sz w:val="24"/>
        </w:rPr>
        <w:t xml:space="preserve"> </w:t>
      </w:r>
      <w:r w:rsidRPr="002A2097">
        <w:rPr>
          <w:iCs/>
          <w:sz w:val="24"/>
        </w:rPr>
        <w:t>a, stk. 2-5</w:t>
      </w:r>
      <w:r w:rsidR="009F1CE1">
        <w:rPr>
          <w:iCs/>
          <w:sz w:val="24"/>
        </w:rPr>
        <w:t>,</w:t>
      </w:r>
      <w:r w:rsidRPr="002A2097">
        <w:rPr>
          <w:iCs/>
          <w:sz w:val="24"/>
        </w:rPr>
        <w:t xml:space="preserve"> og 6</w:t>
      </w:r>
      <w:r>
        <w:rPr>
          <w:iCs/>
          <w:sz w:val="24"/>
        </w:rPr>
        <w:t xml:space="preserve"> </w:t>
      </w:r>
      <w:r w:rsidRPr="002A2097">
        <w:rPr>
          <w:iCs/>
          <w:sz w:val="24"/>
        </w:rPr>
        <w:t>b, stk. 2-5 fortsat anvendelse.</w:t>
      </w:r>
    </w:p>
    <w:p w:rsidR="00C81EFA" w:rsidRPr="002A2097" w:rsidRDefault="00C81EFA" w:rsidP="00C81EFA">
      <w:pPr>
        <w:rPr>
          <w:iCs/>
          <w:sz w:val="24"/>
        </w:rPr>
      </w:pPr>
    </w:p>
    <w:p w:rsidR="00C81EFA" w:rsidRPr="002A2097" w:rsidRDefault="00C81EFA" w:rsidP="00C81EFA">
      <w:pPr>
        <w:rPr>
          <w:iCs/>
          <w:sz w:val="24"/>
        </w:rPr>
      </w:pPr>
      <w:r w:rsidRPr="002A2097">
        <w:rPr>
          <w:i/>
          <w:iCs/>
          <w:sz w:val="24"/>
        </w:rPr>
        <w:t>Stk. 3</w:t>
      </w:r>
      <w:r>
        <w:rPr>
          <w:i/>
          <w:iCs/>
          <w:sz w:val="24"/>
        </w:rPr>
        <w:t xml:space="preserve">. </w:t>
      </w:r>
      <w:r w:rsidRPr="002A2097">
        <w:rPr>
          <w:iCs/>
          <w:sz w:val="24"/>
        </w:rPr>
        <w:t>§§ 3 og 4 har virkning for det enkelte køretøj fra og med den første afgiftsperiode, der begynder den 1. januar 2015 eller senere.</w:t>
      </w: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jc w:val="center"/>
        <w:rPr>
          <w:i/>
          <w:iCs/>
          <w:sz w:val="28"/>
        </w:rPr>
      </w:pPr>
      <w:r w:rsidRPr="002A2097">
        <w:rPr>
          <w:i/>
          <w:iCs/>
          <w:sz w:val="28"/>
        </w:rPr>
        <w:t>Bemærkninger til lovforslaget</w:t>
      </w:r>
    </w:p>
    <w:p w:rsidR="00C81EFA" w:rsidRPr="002A2097" w:rsidRDefault="00C81EFA" w:rsidP="00C81EFA">
      <w:pPr>
        <w:pStyle w:val="Overskrift2"/>
        <w:spacing w:line="240" w:lineRule="auto"/>
        <w:jc w:val="center"/>
        <w:rPr>
          <w:rFonts w:ascii="Times New Roman" w:hAnsi="Times New Roman" w:cs="Times New Roman"/>
          <w:i/>
          <w:sz w:val="24"/>
        </w:rPr>
      </w:pPr>
      <w:bookmarkStart w:id="0" w:name="_Toc210026133"/>
      <w:bookmarkStart w:id="1" w:name="_Toc207684802"/>
      <w:bookmarkStart w:id="2" w:name="_Toc207591971"/>
    </w:p>
    <w:p w:rsidR="00C81EFA" w:rsidRPr="002A2097" w:rsidRDefault="00C81EFA" w:rsidP="00C81EFA">
      <w:pPr>
        <w:pStyle w:val="Overskrift2"/>
        <w:spacing w:line="240" w:lineRule="auto"/>
        <w:jc w:val="center"/>
        <w:rPr>
          <w:rFonts w:ascii="Times New Roman" w:hAnsi="Times New Roman" w:cs="Times New Roman"/>
          <w:i/>
          <w:sz w:val="24"/>
        </w:rPr>
      </w:pPr>
      <w:r w:rsidRPr="002A2097">
        <w:rPr>
          <w:rFonts w:ascii="Times New Roman" w:hAnsi="Times New Roman" w:cs="Times New Roman"/>
          <w:i/>
          <w:sz w:val="24"/>
        </w:rPr>
        <w:t>Almindelige bemærkninger</w:t>
      </w:r>
      <w:bookmarkEnd w:id="0"/>
      <w:bookmarkEnd w:id="1"/>
      <w:bookmarkEnd w:id="2"/>
    </w:p>
    <w:p w:rsidR="00C81EFA" w:rsidRPr="002A2097" w:rsidRDefault="00C81EFA" w:rsidP="00C81EFA">
      <w:pPr>
        <w:jc w:val="center"/>
        <w:rPr>
          <w:i/>
          <w:iCs/>
          <w:sz w:val="24"/>
        </w:rPr>
      </w:pPr>
    </w:p>
    <w:p w:rsidR="00C81EFA" w:rsidRPr="002A2097" w:rsidRDefault="00C81EFA" w:rsidP="00C81EFA">
      <w:pPr>
        <w:rPr>
          <w:b/>
          <w:iCs/>
          <w:sz w:val="24"/>
        </w:rPr>
      </w:pPr>
      <w:r w:rsidRPr="002A2097">
        <w:rPr>
          <w:i/>
          <w:iCs/>
          <w:sz w:val="24"/>
        </w:rPr>
        <w:t xml:space="preserve">Indholdsfortegnelse </w:t>
      </w:r>
    </w:p>
    <w:p w:rsidR="00C81EFA" w:rsidRPr="002A2097" w:rsidRDefault="00C81EFA" w:rsidP="00C81EFA">
      <w:pPr>
        <w:rPr>
          <w:sz w:val="24"/>
        </w:rPr>
      </w:pPr>
    </w:p>
    <w:p w:rsidR="00C81EFA" w:rsidRPr="002A2097" w:rsidRDefault="00C81EFA" w:rsidP="00C81EFA">
      <w:pPr>
        <w:rPr>
          <w:i/>
          <w:iCs/>
          <w:sz w:val="24"/>
        </w:rPr>
      </w:pPr>
      <w:r w:rsidRPr="002A2097">
        <w:rPr>
          <w:i/>
          <w:iCs/>
          <w:sz w:val="24"/>
        </w:rPr>
        <w:t>1. Indledning</w:t>
      </w:r>
    </w:p>
    <w:p w:rsidR="00C81EFA" w:rsidRPr="002A2097" w:rsidRDefault="00C81EFA" w:rsidP="00C81EFA">
      <w:pPr>
        <w:rPr>
          <w:sz w:val="24"/>
        </w:rPr>
      </w:pPr>
    </w:p>
    <w:p w:rsidR="00C81EFA" w:rsidRPr="002A2097" w:rsidRDefault="00C81EFA" w:rsidP="00C81EFA">
      <w:pPr>
        <w:rPr>
          <w:i/>
          <w:iCs/>
          <w:sz w:val="24"/>
        </w:rPr>
      </w:pPr>
      <w:r w:rsidRPr="002A2097">
        <w:rPr>
          <w:i/>
          <w:iCs/>
          <w:sz w:val="24"/>
        </w:rPr>
        <w:t xml:space="preserve">2. Lovforslagets formål og baggrund </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 Lovforslagets enkelte elementer</w:t>
      </w:r>
    </w:p>
    <w:p w:rsidR="00C81EFA" w:rsidRPr="002A2097" w:rsidRDefault="00C81EFA" w:rsidP="00C81EFA">
      <w:pPr>
        <w:rPr>
          <w:i/>
          <w:iCs/>
          <w:sz w:val="24"/>
        </w:rPr>
      </w:pPr>
    </w:p>
    <w:p w:rsidR="00C81EFA" w:rsidRPr="002A2097" w:rsidRDefault="00C81EFA" w:rsidP="00C81EFA">
      <w:pPr>
        <w:rPr>
          <w:i/>
          <w:color w:val="000000"/>
          <w:sz w:val="24"/>
        </w:rPr>
      </w:pPr>
      <w:r w:rsidRPr="002A2097">
        <w:rPr>
          <w:i/>
          <w:iCs/>
          <w:sz w:val="24"/>
        </w:rPr>
        <w:t xml:space="preserve">3.1. </w:t>
      </w:r>
      <w:r w:rsidRPr="002A2097">
        <w:rPr>
          <w:i/>
          <w:color w:val="000000"/>
          <w:sz w:val="24"/>
        </w:rPr>
        <w:t xml:space="preserve">Fuldt fradrag for moms på hotelovernatninger </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3.1.1. Gældende ret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3.1.2. Lovforslaget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3.2. Afgiftsharmonisering for taxier </w:t>
      </w:r>
      <w:r>
        <w:rPr>
          <w:i/>
          <w:iCs/>
          <w:sz w:val="24"/>
        </w:rPr>
        <w:t>m.v</w:t>
      </w:r>
      <w:r w:rsidRPr="002A2097">
        <w:rPr>
          <w:i/>
          <w:iCs/>
          <w:sz w:val="24"/>
        </w:rPr>
        <w: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3.2.1. Gældende ret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3.2.2. Lovforslaget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4. Økonomiske konsekvenser for det offentlige </w:t>
      </w:r>
    </w:p>
    <w:p w:rsidR="00C81EFA" w:rsidRPr="002A2097" w:rsidRDefault="00C81EFA" w:rsidP="00C81EFA">
      <w:pPr>
        <w:rPr>
          <w:i/>
          <w:iCs/>
          <w:sz w:val="24"/>
        </w:rPr>
      </w:pPr>
    </w:p>
    <w:p w:rsidR="00C81EFA" w:rsidRPr="002A2097" w:rsidRDefault="00C81EFA" w:rsidP="00C81EFA">
      <w:pPr>
        <w:rPr>
          <w:i/>
          <w:color w:val="000000"/>
          <w:sz w:val="24"/>
        </w:rPr>
      </w:pPr>
      <w:r w:rsidRPr="002A2097">
        <w:rPr>
          <w:i/>
          <w:iCs/>
          <w:sz w:val="24"/>
        </w:rPr>
        <w:t xml:space="preserve">4.1. </w:t>
      </w:r>
      <w:r w:rsidRPr="002A2097">
        <w:rPr>
          <w:i/>
          <w:color w:val="000000"/>
          <w:sz w:val="24"/>
        </w:rPr>
        <w:t>Fuldt fradrag for moms på hotelovernatninger</w:t>
      </w:r>
    </w:p>
    <w:p w:rsidR="00C81EFA" w:rsidRPr="002A2097" w:rsidRDefault="00C81EFA" w:rsidP="00C81EFA">
      <w:pPr>
        <w:rPr>
          <w:i/>
          <w:color w:val="000000"/>
          <w:sz w:val="24"/>
        </w:rPr>
      </w:pPr>
    </w:p>
    <w:p w:rsidR="00C81EFA" w:rsidRPr="002A2097" w:rsidRDefault="00C81EFA" w:rsidP="00C81EFA">
      <w:pPr>
        <w:rPr>
          <w:i/>
          <w:iCs/>
          <w:sz w:val="24"/>
        </w:rPr>
      </w:pPr>
      <w:r w:rsidRPr="002A2097">
        <w:rPr>
          <w:i/>
          <w:color w:val="000000"/>
          <w:sz w:val="24"/>
        </w:rPr>
        <w:t xml:space="preserve">4.2. </w:t>
      </w:r>
      <w:r w:rsidRPr="002A2097">
        <w:rPr>
          <w:i/>
          <w:iCs/>
          <w:sz w:val="24"/>
        </w:rPr>
        <w:t xml:space="preserve">Afgiftsharmonisering for taxier </w:t>
      </w:r>
      <w:r>
        <w:rPr>
          <w:i/>
          <w:iCs/>
          <w:sz w:val="24"/>
        </w:rPr>
        <w:t>m.v</w:t>
      </w:r>
      <w:r w:rsidRPr="002A2097">
        <w:rPr>
          <w:i/>
          <w:iCs/>
          <w:sz w:val="24"/>
        </w:rPr>
        <w:t>.</w:t>
      </w:r>
    </w:p>
    <w:p w:rsidR="00C81EFA" w:rsidRPr="002A2097" w:rsidRDefault="00C81EFA" w:rsidP="00C81EFA">
      <w:pPr>
        <w:rPr>
          <w:sz w:val="24"/>
        </w:rPr>
      </w:pPr>
    </w:p>
    <w:p w:rsidR="00C81EFA" w:rsidRDefault="00C81EFA" w:rsidP="00C81EFA">
      <w:pPr>
        <w:rPr>
          <w:i/>
          <w:iCs/>
          <w:sz w:val="24"/>
        </w:rPr>
      </w:pPr>
      <w:r w:rsidRPr="002A2097">
        <w:rPr>
          <w:i/>
          <w:iCs/>
          <w:sz w:val="24"/>
        </w:rPr>
        <w:t xml:space="preserve">5. Administrative konsekvenser for det offentlige </w:t>
      </w:r>
    </w:p>
    <w:p w:rsidR="00C6761E" w:rsidRDefault="00C6761E" w:rsidP="00C81EFA">
      <w:pPr>
        <w:rPr>
          <w:i/>
          <w:iCs/>
          <w:sz w:val="24"/>
        </w:rPr>
      </w:pPr>
    </w:p>
    <w:p w:rsidR="00C6761E" w:rsidRPr="002A2097" w:rsidRDefault="00C6761E" w:rsidP="00C6761E">
      <w:pPr>
        <w:rPr>
          <w:i/>
          <w:color w:val="000000"/>
          <w:sz w:val="24"/>
        </w:rPr>
      </w:pPr>
      <w:r>
        <w:rPr>
          <w:i/>
          <w:iCs/>
          <w:sz w:val="24"/>
        </w:rPr>
        <w:t>5</w:t>
      </w:r>
      <w:r w:rsidRPr="002A2097">
        <w:rPr>
          <w:i/>
          <w:iCs/>
          <w:sz w:val="24"/>
        </w:rPr>
        <w:t xml:space="preserve">.1. </w:t>
      </w:r>
      <w:r w:rsidRPr="002A2097">
        <w:rPr>
          <w:i/>
          <w:color w:val="000000"/>
          <w:sz w:val="24"/>
        </w:rPr>
        <w:t>Fuldt fradrag for moms på hotelovernatninger</w:t>
      </w:r>
    </w:p>
    <w:p w:rsidR="00C6761E" w:rsidRPr="002A2097" w:rsidRDefault="00C6761E" w:rsidP="00C6761E">
      <w:pPr>
        <w:rPr>
          <w:i/>
          <w:color w:val="000000"/>
          <w:sz w:val="24"/>
        </w:rPr>
      </w:pPr>
    </w:p>
    <w:p w:rsidR="00C6761E" w:rsidRPr="00C11702" w:rsidRDefault="00C6761E" w:rsidP="00C81EFA">
      <w:pPr>
        <w:rPr>
          <w:i/>
          <w:color w:val="000000"/>
          <w:sz w:val="24"/>
        </w:rPr>
      </w:pPr>
      <w:r>
        <w:rPr>
          <w:i/>
          <w:color w:val="000000"/>
          <w:sz w:val="24"/>
        </w:rPr>
        <w:t>5</w:t>
      </w:r>
      <w:r w:rsidRPr="002A2097">
        <w:rPr>
          <w:i/>
          <w:color w:val="000000"/>
          <w:sz w:val="24"/>
        </w:rPr>
        <w:t xml:space="preserve">.2. </w:t>
      </w:r>
      <w:r w:rsidRPr="002A2097">
        <w:rPr>
          <w:i/>
          <w:iCs/>
          <w:sz w:val="24"/>
        </w:rPr>
        <w:t xml:space="preserve">Afgiftsharmonisering for taxier </w:t>
      </w:r>
      <w:r>
        <w:rPr>
          <w:i/>
          <w:iCs/>
          <w:sz w:val="24"/>
        </w:rPr>
        <w:t>m.v</w:t>
      </w:r>
      <w:r w:rsidRPr="002A2097">
        <w:rPr>
          <w:i/>
          <w:iCs/>
          <w:sz w:val="24"/>
        </w:rPr>
        <w:t>.</w:t>
      </w:r>
    </w:p>
    <w:p w:rsidR="00C81EFA" w:rsidRPr="002A2097" w:rsidRDefault="00C81EFA" w:rsidP="00C81EFA">
      <w:pPr>
        <w:rPr>
          <w:sz w:val="24"/>
        </w:rPr>
      </w:pPr>
    </w:p>
    <w:p w:rsidR="00C81EFA" w:rsidRPr="002A2097" w:rsidRDefault="00C81EFA" w:rsidP="00C81EFA">
      <w:pPr>
        <w:rPr>
          <w:i/>
          <w:iCs/>
          <w:sz w:val="24"/>
        </w:rPr>
      </w:pPr>
      <w:r w:rsidRPr="002A2097">
        <w:rPr>
          <w:i/>
          <w:iCs/>
          <w:sz w:val="24"/>
        </w:rPr>
        <w:t xml:space="preserve">6. Økonomiske konsekvenser for erhvervslivet </w:t>
      </w:r>
    </w:p>
    <w:p w:rsidR="00C81EFA" w:rsidRPr="002A2097" w:rsidRDefault="00C81EFA" w:rsidP="00C81EFA">
      <w:pPr>
        <w:rPr>
          <w:i/>
          <w:iCs/>
          <w:sz w:val="24"/>
        </w:rPr>
      </w:pPr>
    </w:p>
    <w:p w:rsidR="00C81EFA" w:rsidRPr="002A2097" w:rsidRDefault="00C81EFA" w:rsidP="00C81EFA">
      <w:pPr>
        <w:rPr>
          <w:i/>
          <w:color w:val="000000"/>
          <w:sz w:val="24"/>
        </w:rPr>
      </w:pPr>
      <w:r w:rsidRPr="002A2097">
        <w:rPr>
          <w:i/>
          <w:iCs/>
          <w:sz w:val="24"/>
        </w:rPr>
        <w:t xml:space="preserve">6.1. </w:t>
      </w:r>
      <w:r w:rsidRPr="002A2097">
        <w:rPr>
          <w:i/>
          <w:color w:val="000000"/>
          <w:sz w:val="24"/>
        </w:rPr>
        <w:t>Fuldt fradrag for moms på hotelovernatninger</w:t>
      </w:r>
    </w:p>
    <w:p w:rsidR="00C81EFA" w:rsidRPr="002A2097" w:rsidRDefault="00C81EFA" w:rsidP="00C81EFA">
      <w:pPr>
        <w:rPr>
          <w:i/>
          <w:color w:val="000000"/>
          <w:sz w:val="24"/>
        </w:rPr>
      </w:pPr>
    </w:p>
    <w:p w:rsidR="00C81EFA" w:rsidRPr="002A2097" w:rsidRDefault="00C81EFA" w:rsidP="00C81EFA">
      <w:pPr>
        <w:rPr>
          <w:i/>
          <w:iCs/>
          <w:sz w:val="24"/>
        </w:rPr>
      </w:pPr>
      <w:r w:rsidRPr="002A2097">
        <w:rPr>
          <w:i/>
          <w:color w:val="000000"/>
          <w:sz w:val="24"/>
        </w:rPr>
        <w:t xml:space="preserve">6.2. </w:t>
      </w:r>
      <w:r w:rsidRPr="002A2097">
        <w:rPr>
          <w:i/>
          <w:iCs/>
          <w:sz w:val="24"/>
        </w:rPr>
        <w:t xml:space="preserve">Afgiftsharmonisering for taxier </w:t>
      </w:r>
      <w:r>
        <w:rPr>
          <w:i/>
          <w:iCs/>
          <w:sz w:val="24"/>
        </w:rPr>
        <w:t>m.v</w:t>
      </w:r>
      <w:r w:rsidRPr="002A2097">
        <w:rPr>
          <w:i/>
          <w:iCs/>
          <w:sz w:val="24"/>
        </w:rPr>
        <w:t>.</w:t>
      </w:r>
    </w:p>
    <w:p w:rsidR="00C81EFA" w:rsidRPr="002A2097" w:rsidRDefault="00C81EFA" w:rsidP="00C81EFA">
      <w:pPr>
        <w:rPr>
          <w:sz w:val="24"/>
        </w:rPr>
      </w:pPr>
    </w:p>
    <w:p w:rsidR="00C81EFA" w:rsidRPr="002A2097" w:rsidRDefault="00C81EFA" w:rsidP="00C81EFA">
      <w:pPr>
        <w:rPr>
          <w:i/>
          <w:iCs/>
          <w:sz w:val="24"/>
        </w:rPr>
      </w:pPr>
      <w:r w:rsidRPr="002A2097">
        <w:rPr>
          <w:i/>
          <w:iCs/>
          <w:sz w:val="24"/>
        </w:rPr>
        <w:t xml:space="preserve">7. Administrative konsekvenser for erhvervslivet </w:t>
      </w:r>
    </w:p>
    <w:p w:rsidR="00C81EFA" w:rsidRPr="002A2097" w:rsidRDefault="00C81EFA" w:rsidP="00C81EFA">
      <w:pPr>
        <w:rPr>
          <w:i/>
          <w:iCs/>
          <w:sz w:val="24"/>
        </w:rPr>
      </w:pPr>
    </w:p>
    <w:p w:rsidR="00C81EFA" w:rsidRPr="002A2097" w:rsidRDefault="00C81EFA" w:rsidP="00C81EFA">
      <w:pPr>
        <w:rPr>
          <w:i/>
          <w:color w:val="000000"/>
          <w:sz w:val="24"/>
        </w:rPr>
      </w:pPr>
      <w:r w:rsidRPr="002A2097">
        <w:rPr>
          <w:i/>
          <w:iCs/>
          <w:sz w:val="24"/>
        </w:rPr>
        <w:t xml:space="preserve">7.1. </w:t>
      </w:r>
      <w:r w:rsidRPr="002A2097">
        <w:rPr>
          <w:i/>
          <w:color w:val="000000"/>
          <w:sz w:val="24"/>
        </w:rPr>
        <w:t>Fuldt fradrag for moms på hotelovernatninger</w:t>
      </w:r>
    </w:p>
    <w:p w:rsidR="00C81EFA" w:rsidRPr="002A2097" w:rsidRDefault="00C81EFA" w:rsidP="00C81EFA">
      <w:pPr>
        <w:rPr>
          <w:i/>
          <w:color w:val="000000"/>
          <w:sz w:val="24"/>
        </w:rPr>
      </w:pPr>
    </w:p>
    <w:p w:rsidR="00C81EFA" w:rsidRPr="002A2097" w:rsidRDefault="00C81EFA" w:rsidP="00C81EFA">
      <w:pPr>
        <w:rPr>
          <w:i/>
          <w:iCs/>
          <w:sz w:val="24"/>
        </w:rPr>
      </w:pPr>
      <w:r w:rsidRPr="002A2097">
        <w:rPr>
          <w:i/>
          <w:color w:val="000000"/>
          <w:sz w:val="24"/>
        </w:rPr>
        <w:t xml:space="preserve">7.2. </w:t>
      </w:r>
      <w:r w:rsidRPr="002A2097">
        <w:rPr>
          <w:i/>
          <w:iCs/>
          <w:sz w:val="24"/>
        </w:rPr>
        <w:t xml:space="preserve">Afgiftsharmonisering for taxier </w:t>
      </w:r>
      <w:r>
        <w:rPr>
          <w:i/>
          <w:iCs/>
          <w:sz w:val="24"/>
        </w:rPr>
        <w:t>m.v</w:t>
      </w:r>
      <w:r w:rsidRPr="002A2097">
        <w:rPr>
          <w:i/>
          <w:iCs/>
          <w:sz w:val="24"/>
        </w:rPr>
        <w:t>.</w:t>
      </w:r>
    </w:p>
    <w:p w:rsidR="00C81EFA" w:rsidRPr="002A2097" w:rsidRDefault="00C81EFA" w:rsidP="00C81EFA">
      <w:pPr>
        <w:rPr>
          <w:sz w:val="24"/>
        </w:rPr>
      </w:pPr>
    </w:p>
    <w:p w:rsidR="00C81EFA" w:rsidRPr="002A2097" w:rsidRDefault="00C81EFA" w:rsidP="00C81EFA">
      <w:pPr>
        <w:rPr>
          <w:i/>
          <w:iCs/>
          <w:sz w:val="24"/>
        </w:rPr>
      </w:pPr>
      <w:r w:rsidRPr="002A2097">
        <w:rPr>
          <w:i/>
          <w:iCs/>
          <w:sz w:val="24"/>
        </w:rPr>
        <w:t xml:space="preserve">8. Administrative konsekvenser for borgerne  </w:t>
      </w:r>
    </w:p>
    <w:p w:rsidR="00C81EFA" w:rsidRPr="002A2097" w:rsidRDefault="00C81EFA" w:rsidP="00C81EFA">
      <w:pPr>
        <w:rPr>
          <w:sz w:val="24"/>
        </w:rPr>
      </w:pPr>
    </w:p>
    <w:p w:rsidR="00C81EFA" w:rsidRPr="002A2097" w:rsidRDefault="00C81EFA" w:rsidP="00C81EFA">
      <w:pPr>
        <w:rPr>
          <w:i/>
          <w:iCs/>
          <w:sz w:val="24"/>
        </w:rPr>
      </w:pPr>
      <w:r w:rsidRPr="002A2097">
        <w:rPr>
          <w:i/>
          <w:iCs/>
          <w:sz w:val="24"/>
        </w:rPr>
        <w:t>9. Miljømæssige konsekvenser</w:t>
      </w:r>
    </w:p>
    <w:p w:rsidR="00C81EFA" w:rsidRPr="002A2097" w:rsidRDefault="00C81EFA" w:rsidP="00C81EFA">
      <w:pPr>
        <w:rPr>
          <w:i/>
          <w:iCs/>
          <w:sz w:val="24"/>
        </w:rPr>
      </w:pPr>
    </w:p>
    <w:p w:rsidR="00C81EFA" w:rsidRPr="002A2097" w:rsidRDefault="00C81EFA" w:rsidP="00C81EFA">
      <w:pPr>
        <w:rPr>
          <w:i/>
          <w:color w:val="000000"/>
          <w:sz w:val="24"/>
        </w:rPr>
      </w:pPr>
      <w:r w:rsidRPr="002A2097">
        <w:rPr>
          <w:i/>
          <w:iCs/>
          <w:sz w:val="24"/>
        </w:rPr>
        <w:t xml:space="preserve">9.1. </w:t>
      </w:r>
      <w:r w:rsidRPr="002A2097">
        <w:rPr>
          <w:i/>
          <w:color w:val="000000"/>
          <w:sz w:val="24"/>
        </w:rPr>
        <w:t>Fuldt fradrag for moms på hotelovernatninger</w:t>
      </w:r>
    </w:p>
    <w:p w:rsidR="00C81EFA" w:rsidRPr="002A2097" w:rsidRDefault="00C81EFA" w:rsidP="00C81EFA">
      <w:pPr>
        <w:rPr>
          <w:i/>
          <w:color w:val="000000"/>
          <w:sz w:val="24"/>
        </w:rPr>
      </w:pPr>
    </w:p>
    <w:p w:rsidR="00C81EFA" w:rsidRPr="002A2097" w:rsidRDefault="00C81EFA" w:rsidP="00C81EFA">
      <w:pPr>
        <w:rPr>
          <w:i/>
          <w:iCs/>
          <w:sz w:val="24"/>
        </w:rPr>
      </w:pPr>
      <w:r w:rsidRPr="002A2097">
        <w:rPr>
          <w:i/>
          <w:color w:val="000000"/>
          <w:sz w:val="24"/>
        </w:rPr>
        <w:t xml:space="preserve">9.2. </w:t>
      </w:r>
      <w:r w:rsidRPr="002A2097">
        <w:rPr>
          <w:i/>
          <w:iCs/>
          <w:sz w:val="24"/>
        </w:rPr>
        <w:t xml:space="preserve">Afgiftsharmonisering for taxier </w:t>
      </w:r>
      <w:r>
        <w:rPr>
          <w:i/>
          <w:iCs/>
          <w:sz w:val="24"/>
        </w:rPr>
        <w:t>m.v</w:t>
      </w:r>
      <w:r w:rsidRPr="002A2097">
        <w:rPr>
          <w:i/>
          <w:iCs/>
          <w:sz w:val="24"/>
        </w:rPr>
        <w:t>.</w:t>
      </w:r>
    </w:p>
    <w:p w:rsidR="00C81EFA" w:rsidRPr="002A2097" w:rsidRDefault="00C81EFA" w:rsidP="00C81EFA">
      <w:pPr>
        <w:rPr>
          <w:sz w:val="24"/>
        </w:rPr>
      </w:pPr>
    </w:p>
    <w:p w:rsidR="00C81EFA" w:rsidRPr="002A2097" w:rsidRDefault="00C81EFA" w:rsidP="00C81EFA">
      <w:pPr>
        <w:rPr>
          <w:i/>
          <w:iCs/>
          <w:sz w:val="24"/>
        </w:rPr>
      </w:pPr>
      <w:r w:rsidRPr="002A2097">
        <w:rPr>
          <w:i/>
          <w:iCs/>
          <w:sz w:val="24"/>
        </w:rPr>
        <w:t>10. Forholdet til EU-retten</w:t>
      </w:r>
    </w:p>
    <w:p w:rsidR="00C81EFA" w:rsidRPr="002A2097" w:rsidRDefault="00C81EFA" w:rsidP="00C81EFA">
      <w:pPr>
        <w:rPr>
          <w:i/>
          <w:iCs/>
          <w:sz w:val="24"/>
        </w:rPr>
      </w:pPr>
    </w:p>
    <w:p w:rsidR="00C81EFA" w:rsidRPr="002A2097" w:rsidRDefault="00C81EFA" w:rsidP="00C81EFA">
      <w:pPr>
        <w:rPr>
          <w:i/>
          <w:color w:val="000000"/>
          <w:sz w:val="24"/>
        </w:rPr>
      </w:pPr>
      <w:r w:rsidRPr="002A2097">
        <w:rPr>
          <w:i/>
          <w:iCs/>
          <w:sz w:val="24"/>
        </w:rPr>
        <w:t xml:space="preserve">9.1. </w:t>
      </w:r>
      <w:r w:rsidRPr="002A2097">
        <w:rPr>
          <w:i/>
          <w:color w:val="000000"/>
          <w:sz w:val="24"/>
        </w:rPr>
        <w:t>Fuldt fradrag for moms på hotelovernatninger</w:t>
      </w:r>
    </w:p>
    <w:p w:rsidR="00C81EFA" w:rsidRPr="002A2097" w:rsidRDefault="00C81EFA" w:rsidP="00C81EFA">
      <w:pPr>
        <w:rPr>
          <w:i/>
          <w:color w:val="000000"/>
          <w:sz w:val="24"/>
        </w:rPr>
      </w:pPr>
    </w:p>
    <w:p w:rsidR="00C81EFA" w:rsidRPr="002A2097" w:rsidRDefault="00C81EFA" w:rsidP="00C81EFA">
      <w:pPr>
        <w:rPr>
          <w:i/>
          <w:iCs/>
          <w:sz w:val="24"/>
        </w:rPr>
      </w:pPr>
      <w:r w:rsidRPr="002A2097">
        <w:rPr>
          <w:i/>
          <w:color w:val="000000"/>
          <w:sz w:val="24"/>
        </w:rPr>
        <w:t xml:space="preserve">9.2. </w:t>
      </w:r>
      <w:r w:rsidRPr="002A2097">
        <w:rPr>
          <w:i/>
          <w:iCs/>
          <w:sz w:val="24"/>
        </w:rPr>
        <w:t xml:space="preserve">Afgiftsharmonisering for taxier </w:t>
      </w:r>
      <w:r>
        <w:rPr>
          <w:i/>
          <w:iCs/>
          <w:sz w:val="24"/>
        </w:rPr>
        <w:t>m.v</w:t>
      </w:r>
      <w:r w:rsidRPr="002A2097">
        <w:rPr>
          <w:i/>
          <w:iCs/>
          <w:sz w:val="24"/>
        </w:rPr>
        <w:t>.</w:t>
      </w:r>
    </w:p>
    <w:p w:rsidR="00C81EFA" w:rsidRPr="002A2097" w:rsidRDefault="00C81EFA" w:rsidP="00C81EFA">
      <w:pPr>
        <w:rPr>
          <w:sz w:val="24"/>
        </w:rPr>
      </w:pPr>
    </w:p>
    <w:p w:rsidR="00C81EFA" w:rsidRPr="002A2097" w:rsidRDefault="00C81EFA" w:rsidP="00C81EFA">
      <w:pPr>
        <w:spacing w:line="288" w:lineRule="auto"/>
        <w:rPr>
          <w:i/>
          <w:iCs/>
          <w:sz w:val="24"/>
        </w:rPr>
      </w:pPr>
      <w:r w:rsidRPr="002A2097">
        <w:rPr>
          <w:i/>
          <w:iCs/>
          <w:sz w:val="24"/>
        </w:rPr>
        <w:t xml:space="preserve">11. Hørte myndigheder og organisationer m.v.  </w:t>
      </w:r>
    </w:p>
    <w:p w:rsidR="00C81EFA" w:rsidRPr="002A2097" w:rsidRDefault="00C81EFA" w:rsidP="00C81EFA">
      <w:pPr>
        <w:rPr>
          <w:sz w:val="24"/>
        </w:rPr>
      </w:pPr>
    </w:p>
    <w:p w:rsidR="00C81EFA" w:rsidRPr="002A2097" w:rsidRDefault="00C81EFA" w:rsidP="00C81EFA">
      <w:pPr>
        <w:rPr>
          <w:i/>
          <w:iCs/>
          <w:sz w:val="24"/>
        </w:rPr>
      </w:pPr>
      <w:r w:rsidRPr="002A2097">
        <w:rPr>
          <w:i/>
          <w:iCs/>
          <w:sz w:val="24"/>
        </w:rPr>
        <w:t xml:space="preserve">12. Sammenfattende skema </w:t>
      </w:r>
    </w:p>
    <w:p w:rsidR="00C81EFA" w:rsidRPr="002A2097" w:rsidRDefault="00C81EFA" w:rsidP="00C81EFA">
      <w:pPr>
        <w:rPr>
          <w:i/>
          <w:iCs/>
          <w:sz w:val="24"/>
        </w:rPr>
      </w:pPr>
    </w:p>
    <w:p w:rsidR="00C81EFA" w:rsidRPr="002A2097" w:rsidRDefault="00C81EFA" w:rsidP="00C81EFA">
      <w:pPr>
        <w:rPr>
          <w:i/>
          <w:iCs/>
          <w:sz w:val="24"/>
        </w:rPr>
      </w:pPr>
    </w:p>
    <w:p w:rsidR="00C81EFA" w:rsidRPr="002A2097" w:rsidRDefault="00C81EFA" w:rsidP="00C81EFA">
      <w:pPr>
        <w:rPr>
          <w:i/>
          <w:iCs/>
          <w:sz w:val="24"/>
        </w:rPr>
      </w:pPr>
    </w:p>
    <w:p w:rsidR="00C81EFA" w:rsidRPr="002A2097" w:rsidRDefault="00C81EFA" w:rsidP="00C81EFA">
      <w:pPr>
        <w:rPr>
          <w:i/>
          <w:iCs/>
          <w:sz w:val="24"/>
        </w:rPr>
      </w:pP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1. Indledning</w:t>
      </w:r>
    </w:p>
    <w:p w:rsidR="00C81EFA" w:rsidRPr="002A2097" w:rsidRDefault="00C81EFA" w:rsidP="00C81EFA">
      <w:pPr>
        <w:rPr>
          <w:iCs/>
          <w:sz w:val="24"/>
        </w:rPr>
      </w:pPr>
      <w:r w:rsidRPr="002A2097">
        <w:rPr>
          <w:iCs/>
          <w:sz w:val="24"/>
        </w:rPr>
        <w:t>Regeri</w:t>
      </w:r>
      <w:r>
        <w:rPr>
          <w:iCs/>
          <w:sz w:val="24"/>
        </w:rPr>
        <w:t xml:space="preserve">ngen (Socialdemokraterne og </w:t>
      </w:r>
      <w:r w:rsidRPr="002A2097">
        <w:rPr>
          <w:iCs/>
          <w:sz w:val="24"/>
        </w:rPr>
        <w:t>Radikale Venstre), Venstre, Dansk Folkeparti, Socialistisk Folkeparti, Enhedslisten og Det Konservative Folkepa</w:t>
      </w:r>
      <w:r w:rsidR="009A0AC9">
        <w:rPr>
          <w:iCs/>
          <w:sz w:val="24"/>
        </w:rPr>
        <w:t>rti har i juni 2014 indgået A</w:t>
      </w:r>
      <w:r w:rsidRPr="002A2097">
        <w:rPr>
          <w:iCs/>
          <w:sz w:val="24"/>
        </w:rPr>
        <w:t xml:space="preserve">ftale om en vækstpakke indeholdende en række initiativer rettet mod bedre regulering, styrket virksomhedsservice, forskning og uddannelse samt bedre erhvervsbeskatning </w:t>
      </w:r>
      <w:r>
        <w:rPr>
          <w:iCs/>
          <w:sz w:val="24"/>
        </w:rPr>
        <w:t>m.v</w:t>
      </w:r>
      <w:r w:rsidRPr="002A2097">
        <w:rPr>
          <w:iCs/>
          <w:sz w:val="24"/>
        </w:rPr>
        <w:t>.</w:t>
      </w:r>
    </w:p>
    <w:p w:rsidR="00C81EFA" w:rsidRPr="002A2097" w:rsidRDefault="00C81EFA" w:rsidP="00C81EFA">
      <w:pPr>
        <w:rPr>
          <w:iCs/>
          <w:sz w:val="24"/>
        </w:rPr>
      </w:pPr>
    </w:p>
    <w:p w:rsidR="00C81EFA" w:rsidRPr="002A2097" w:rsidRDefault="00C81EFA" w:rsidP="00C81EFA">
      <w:pPr>
        <w:rPr>
          <w:iCs/>
          <w:sz w:val="24"/>
        </w:rPr>
      </w:pPr>
      <w:r w:rsidRPr="002A2097">
        <w:rPr>
          <w:iCs/>
          <w:sz w:val="24"/>
        </w:rPr>
        <w:t>De</w:t>
      </w:r>
      <w:r w:rsidR="009A0AC9">
        <w:rPr>
          <w:iCs/>
          <w:sz w:val="24"/>
        </w:rPr>
        <w:t xml:space="preserve"> enkelte dele af aftalen er indgået med tilslutning fra forskellige partier. Nærværende lovforslag vedrører</w:t>
      </w:r>
      <w:r w:rsidRPr="002A2097">
        <w:rPr>
          <w:iCs/>
          <w:sz w:val="24"/>
        </w:rPr>
        <w:t xml:space="preserve"> fuldt fradrag for</w:t>
      </w:r>
      <w:r w:rsidR="009A0AC9">
        <w:rPr>
          <w:iCs/>
          <w:sz w:val="24"/>
        </w:rPr>
        <w:t xml:space="preserve"> moms på hotelovernatninger og</w:t>
      </w:r>
      <w:r w:rsidRPr="002A2097">
        <w:rPr>
          <w:iCs/>
          <w:sz w:val="24"/>
        </w:rPr>
        <w:t xml:space="preserve"> afgiftsharmonisering for taxier </w:t>
      </w:r>
      <w:r>
        <w:rPr>
          <w:iCs/>
          <w:sz w:val="24"/>
        </w:rPr>
        <w:t>m.v</w:t>
      </w:r>
      <w:r w:rsidR="009F1CE1">
        <w:rPr>
          <w:iCs/>
          <w:sz w:val="24"/>
        </w:rPr>
        <w:t xml:space="preserve">. Alle ovennævnte partier </w:t>
      </w:r>
      <w:r w:rsidR="00EC0737">
        <w:rPr>
          <w:iCs/>
          <w:sz w:val="24"/>
        </w:rPr>
        <w:t>er enige om at gennemføre</w:t>
      </w:r>
      <w:r w:rsidR="009F1CE1">
        <w:rPr>
          <w:iCs/>
          <w:sz w:val="24"/>
        </w:rPr>
        <w:t xml:space="preserve"> disse initiativer. </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2. Lovforslagets formål og baggrund</w:t>
      </w:r>
    </w:p>
    <w:p w:rsidR="00C81EFA" w:rsidRPr="002A2097" w:rsidRDefault="00C81EFA" w:rsidP="00C81EFA">
      <w:pPr>
        <w:rPr>
          <w:iCs/>
          <w:sz w:val="24"/>
        </w:rPr>
      </w:pPr>
      <w:r w:rsidRPr="002A2097">
        <w:rPr>
          <w:iCs/>
          <w:sz w:val="24"/>
        </w:rPr>
        <w:t xml:space="preserve">Aftale om en vækstpakke udmøntes i lovgivning ved blandt andet nærværende lovforslag. </w:t>
      </w:r>
    </w:p>
    <w:p w:rsidR="00C81EFA" w:rsidRPr="002A2097" w:rsidRDefault="00C81EFA" w:rsidP="00C81EFA">
      <w:pPr>
        <w:rPr>
          <w:iCs/>
          <w:sz w:val="24"/>
        </w:rPr>
      </w:pPr>
    </w:p>
    <w:p w:rsidR="00C81EFA" w:rsidRPr="002A2097" w:rsidRDefault="00C81EFA" w:rsidP="00C81EFA">
      <w:pPr>
        <w:rPr>
          <w:iCs/>
          <w:sz w:val="24"/>
        </w:rPr>
      </w:pPr>
      <w:r w:rsidRPr="002A2097">
        <w:rPr>
          <w:iCs/>
          <w:sz w:val="24"/>
        </w:rPr>
        <w:t>Nærværende lovforslag indehold</w:t>
      </w:r>
      <w:r w:rsidR="00473A33">
        <w:rPr>
          <w:iCs/>
          <w:sz w:val="24"/>
        </w:rPr>
        <w:t>er følgende elementer fra aftalen</w:t>
      </w:r>
      <w:r w:rsidRPr="002A2097">
        <w:rPr>
          <w:iCs/>
          <w:sz w:val="24"/>
        </w:rPr>
        <w:t>:</w:t>
      </w:r>
    </w:p>
    <w:p w:rsidR="00C81EFA" w:rsidRPr="002A2097" w:rsidRDefault="00C81EFA" w:rsidP="00C81EFA">
      <w:pPr>
        <w:rPr>
          <w:b/>
          <w:iCs/>
          <w:sz w:val="24"/>
        </w:rPr>
      </w:pPr>
    </w:p>
    <w:p w:rsidR="00C81EFA" w:rsidRPr="002A2097" w:rsidRDefault="00C81EFA" w:rsidP="00C81EFA">
      <w:pPr>
        <w:widowControl/>
        <w:rPr>
          <w:b/>
          <w:iCs/>
          <w:sz w:val="24"/>
        </w:rPr>
      </w:pPr>
      <w:r w:rsidRPr="002A2097">
        <w:rPr>
          <w:b/>
          <w:iCs/>
          <w:sz w:val="24"/>
        </w:rPr>
        <w:t>”Fuld momsfradrag for hotelovernatninger</w:t>
      </w:r>
    </w:p>
    <w:p w:rsidR="00C81EFA" w:rsidRPr="002A2097" w:rsidRDefault="00C81EFA" w:rsidP="00C81EFA">
      <w:pPr>
        <w:widowControl/>
        <w:rPr>
          <w:iCs/>
          <w:sz w:val="24"/>
        </w:rPr>
      </w:pPr>
      <w:r w:rsidRPr="002A2097">
        <w:rPr>
          <w:iCs/>
          <w:sz w:val="24"/>
        </w:rPr>
        <w:t xml:space="preserve">Momsfradraget for hotelovernatninger forhøjes, således at danske og udenlandske virksomheder fra og med 2015 vil have fuld fradragsret for deres momsudgifter til hotelovernatninger i Danmark. </w:t>
      </w:r>
    </w:p>
    <w:p w:rsidR="00C81EFA" w:rsidRPr="002A2097" w:rsidRDefault="00C81EFA" w:rsidP="00C81EFA">
      <w:pPr>
        <w:widowControl/>
        <w:rPr>
          <w:iCs/>
          <w:sz w:val="24"/>
        </w:rPr>
      </w:pPr>
    </w:p>
    <w:p w:rsidR="00C81EFA" w:rsidRPr="002A2097" w:rsidRDefault="00C81EFA" w:rsidP="00C81EFA">
      <w:pPr>
        <w:widowControl/>
        <w:rPr>
          <w:iCs/>
          <w:sz w:val="24"/>
        </w:rPr>
      </w:pPr>
      <w:r w:rsidRPr="002A2097">
        <w:rPr>
          <w:iCs/>
          <w:sz w:val="24"/>
        </w:rPr>
        <w:t>Initiativet skønnes at medføre et årligt mindreprovenu på 105 mio. kr. efter tilbageløb og adfærd fra 2015 og frem.”</w:t>
      </w:r>
    </w:p>
    <w:p w:rsidR="00C81EFA" w:rsidRPr="002A2097" w:rsidRDefault="00C81EFA" w:rsidP="00C81EFA">
      <w:pPr>
        <w:rPr>
          <w:iCs/>
          <w:sz w:val="24"/>
        </w:rPr>
      </w:pPr>
    </w:p>
    <w:p w:rsidR="00C81EFA" w:rsidRPr="002A2097" w:rsidRDefault="00C81EFA" w:rsidP="00C81EFA">
      <w:pPr>
        <w:widowControl/>
        <w:rPr>
          <w:b/>
          <w:iCs/>
          <w:sz w:val="24"/>
        </w:rPr>
      </w:pPr>
      <w:r w:rsidRPr="002A2097">
        <w:rPr>
          <w:b/>
          <w:iCs/>
          <w:sz w:val="24"/>
        </w:rPr>
        <w:t xml:space="preserve">”Afgiftsharmonisering for taxier </w:t>
      </w:r>
      <w:r>
        <w:rPr>
          <w:b/>
          <w:iCs/>
          <w:sz w:val="24"/>
        </w:rPr>
        <w:t>m.v</w:t>
      </w:r>
      <w:r w:rsidRPr="002A2097">
        <w:rPr>
          <w:b/>
          <w:iCs/>
          <w:sz w:val="24"/>
        </w:rPr>
        <w:t>.</w:t>
      </w:r>
    </w:p>
    <w:p w:rsidR="00C81EFA" w:rsidRPr="002A2097" w:rsidRDefault="00C81EFA" w:rsidP="00C81EFA">
      <w:pPr>
        <w:widowControl/>
        <w:rPr>
          <w:iCs/>
          <w:sz w:val="24"/>
        </w:rPr>
      </w:pPr>
      <w:r w:rsidRPr="002A2097">
        <w:rPr>
          <w:iCs/>
          <w:sz w:val="24"/>
        </w:rPr>
        <w:lastRenderedPageBreak/>
        <w:t>Der gennemføres en harmonisering af afgifterne for taxiområdet i hele landet for at sikre lige beskatningsvilkår ved at gennemføre følgende tiltag:</w:t>
      </w:r>
    </w:p>
    <w:p w:rsidR="00C81EFA" w:rsidRPr="002A2097" w:rsidRDefault="00C81EFA" w:rsidP="00C81EFA">
      <w:pPr>
        <w:widowControl/>
        <w:rPr>
          <w:iCs/>
          <w:sz w:val="24"/>
        </w:rPr>
      </w:pPr>
    </w:p>
    <w:p w:rsidR="009F1CE1" w:rsidRPr="009F1CE1" w:rsidRDefault="00C81EFA" w:rsidP="009F1CE1">
      <w:pPr>
        <w:numPr>
          <w:ilvl w:val="0"/>
          <w:numId w:val="21"/>
        </w:numPr>
        <w:rPr>
          <w:sz w:val="24"/>
        </w:rPr>
      </w:pPr>
      <w:r w:rsidRPr="009F1CE1">
        <w:rPr>
          <w:sz w:val="24"/>
        </w:rPr>
        <w:t>Afskaffelse af registreringsafgift for taxier, limousiner og sygetransportbiler, så alle personbiler til erhvervsmæssig persontransport er fritaget for registreringsafgift.</w:t>
      </w:r>
    </w:p>
    <w:p w:rsidR="009F1CE1" w:rsidRPr="009F1CE1" w:rsidRDefault="009F1CE1" w:rsidP="009F1CE1">
      <w:pPr>
        <w:ind w:left="360"/>
        <w:rPr>
          <w:sz w:val="24"/>
        </w:rPr>
      </w:pPr>
    </w:p>
    <w:p w:rsidR="009F1CE1" w:rsidRPr="009F1CE1" w:rsidRDefault="00C81EFA" w:rsidP="009F1CE1">
      <w:pPr>
        <w:numPr>
          <w:ilvl w:val="0"/>
          <w:numId w:val="21"/>
        </w:numPr>
        <w:rPr>
          <w:sz w:val="24"/>
        </w:rPr>
      </w:pPr>
      <w:r w:rsidRPr="009F1CE1">
        <w:rPr>
          <w:sz w:val="24"/>
        </w:rPr>
        <w:t>Afskaffelse af reglerne om frikørsel af taxier og limousine</w:t>
      </w:r>
      <w:r w:rsidR="009F1CE1" w:rsidRPr="009F1CE1">
        <w:rPr>
          <w:sz w:val="24"/>
        </w:rPr>
        <w:t xml:space="preserve">r, så der fremover skal betales </w:t>
      </w:r>
      <w:r w:rsidRPr="009F1CE1">
        <w:rPr>
          <w:sz w:val="24"/>
        </w:rPr>
        <w:t>registreringsafgift ved videresalg af taxier og limousiner.</w:t>
      </w:r>
    </w:p>
    <w:p w:rsidR="009F1CE1" w:rsidRPr="009F1CE1" w:rsidRDefault="009F1CE1" w:rsidP="009F1CE1">
      <w:pPr>
        <w:pStyle w:val="Listeafsnit"/>
        <w:rPr>
          <w:sz w:val="24"/>
        </w:rPr>
      </w:pPr>
    </w:p>
    <w:p w:rsidR="00C81EFA" w:rsidRPr="009F1CE1" w:rsidRDefault="00C81EFA" w:rsidP="009F1CE1">
      <w:pPr>
        <w:numPr>
          <w:ilvl w:val="0"/>
          <w:numId w:val="21"/>
        </w:numPr>
        <w:rPr>
          <w:sz w:val="24"/>
        </w:rPr>
      </w:pPr>
      <w:r w:rsidRPr="009F1CE1">
        <w:rPr>
          <w:sz w:val="24"/>
        </w:rPr>
        <w:t>De løbende afgifter for biler til offentlig servicetrafik omlægges, så alle kørselstyper</w:t>
      </w:r>
    </w:p>
    <w:p w:rsidR="00C81EFA" w:rsidRPr="009F1CE1" w:rsidRDefault="00C81EFA" w:rsidP="009F1CE1">
      <w:pPr>
        <w:widowControl/>
        <w:ind w:left="360"/>
        <w:rPr>
          <w:iCs/>
          <w:sz w:val="24"/>
        </w:rPr>
      </w:pPr>
      <w:r w:rsidRPr="009F1CE1">
        <w:rPr>
          <w:iCs/>
          <w:sz w:val="24"/>
        </w:rPr>
        <w:t>er fritaget for vægt- og brændstofforbrugsafgift, og der betales dobbelt udligningsafgift for dieselbiler.</w:t>
      </w:r>
    </w:p>
    <w:p w:rsidR="00C81EFA" w:rsidRPr="002A2097" w:rsidRDefault="00C81EFA" w:rsidP="00C81EFA">
      <w:pPr>
        <w:widowControl/>
        <w:rPr>
          <w:iCs/>
          <w:sz w:val="24"/>
        </w:rPr>
      </w:pPr>
    </w:p>
    <w:p w:rsidR="00C81EFA" w:rsidRPr="002A2097" w:rsidRDefault="00C81EFA" w:rsidP="00C81EFA">
      <w:pPr>
        <w:widowControl/>
        <w:rPr>
          <w:iCs/>
          <w:sz w:val="24"/>
        </w:rPr>
      </w:pPr>
      <w:r w:rsidRPr="002A2097">
        <w:rPr>
          <w:iCs/>
          <w:sz w:val="24"/>
        </w:rPr>
        <w:t>Harmoniseringen af afgiftsreglerne skønnes samlet set at medføre et merprovenu på ca. 85 mio. kr. i 2017 stigende til ca. 135 mio. kr. i 2020 efter tilbageløb og adfærd.”</w:t>
      </w:r>
    </w:p>
    <w:p w:rsidR="00C81EFA" w:rsidRPr="002A2097" w:rsidRDefault="00C81EFA" w:rsidP="00C81EFA">
      <w:pPr>
        <w:rPr>
          <w:iCs/>
          <w:color w:val="FF0000"/>
          <w:sz w:val="24"/>
        </w:rPr>
      </w:pP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 Lovforslagets enkelte elementer</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3.1. </w:t>
      </w:r>
      <w:r w:rsidRPr="002A2097">
        <w:rPr>
          <w:i/>
          <w:color w:val="000000"/>
          <w:sz w:val="24"/>
        </w:rPr>
        <w:t>Fuldt fradrag for moms på hotelovernatninger</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3.1.1. Gældende ret</w:t>
      </w:r>
    </w:p>
    <w:p w:rsidR="00C81EFA" w:rsidRPr="002A2097" w:rsidRDefault="00C81EFA" w:rsidP="00C81EFA">
      <w:pPr>
        <w:rPr>
          <w:color w:val="000000"/>
          <w:sz w:val="24"/>
        </w:rPr>
      </w:pPr>
      <w:r w:rsidRPr="002A2097">
        <w:rPr>
          <w:color w:val="000000"/>
          <w:sz w:val="24"/>
        </w:rPr>
        <w:t xml:space="preserve">Som udgangspunkt er der efter momsloven ikke fradrag for moms på hotelophold. Loven giver imidlertid virksomheder ret til at fradrage en del af momsen på hotelovernatninger i det omfang, udgifterne hertil er af streng erhvervsmæssig karakter. Virksomheder med momspligtige aktiviteter kan efter gældende regler fradrage 75 pct. af momsudgiften.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color w:val="000000"/>
          <w:sz w:val="24"/>
        </w:rPr>
        <w:t xml:space="preserve">Virksomheder, som driver momsfri virksomhed, betaler ikke afgift af deres omsætning, men opnår til gengæld ikke fradrag for moms på indkøbte ydelser, herunder moms på hotelophold. Virksomheder med både momsfri og momspligtig aktivitet har ret til delvist momsfradrag. Der kan foretages 75 pct. fradrag for den del af afgiften, der forholdsmæssigt svarer til omsætningen i den momspligtige del af virksomheden.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color w:val="000000"/>
          <w:sz w:val="24"/>
        </w:rPr>
        <w:t xml:space="preserve">Den danske fradragssats er inden for de seneste år blevet forhøjet. Med virkning fra 1. januar 2011 blev satsen øget fra 25 til 50 pct., og med virkning fra 1. januar 2014 blev satsen øget fra 50 til 75 pct., hvilket udgør det nuværende niveau. </w:t>
      </w:r>
    </w:p>
    <w:p w:rsidR="00C81EFA" w:rsidRPr="002A2097" w:rsidRDefault="00C81EFA" w:rsidP="00C81EFA">
      <w:pPr>
        <w:rPr>
          <w:i/>
          <w:iCs/>
          <w:sz w:val="24"/>
        </w:rPr>
      </w:pPr>
    </w:p>
    <w:p w:rsidR="00C81EFA" w:rsidRPr="002A2097" w:rsidRDefault="00C81EFA" w:rsidP="00C81EFA">
      <w:pPr>
        <w:rPr>
          <w:i/>
          <w:iCs/>
          <w:color w:val="000000"/>
          <w:sz w:val="24"/>
        </w:rPr>
      </w:pPr>
      <w:r w:rsidRPr="002A2097">
        <w:rPr>
          <w:i/>
          <w:iCs/>
          <w:color w:val="000000"/>
          <w:sz w:val="24"/>
        </w:rPr>
        <w:t>3.1.2. Lovforslaget</w:t>
      </w:r>
    </w:p>
    <w:p w:rsidR="00C81EFA" w:rsidRPr="002A2097" w:rsidRDefault="00C81EFA" w:rsidP="00C81EFA">
      <w:pPr>
        <w:rPr>
          <w:color w:val="000000"/>
          <w:sz w:val="24"/>
        </w:rPr>
      </w:pPr>
      <w:r w:rsidRPr="002A2097">
        <w:rPr>
          <w:color w:val="000000"/>
          <w:sz w:val="24"/>
        </w:rPr>
        <w:t xml:space="preserve">Det foreslås, at fradragsbegrænsningen for moms på hotelophold ophæves. Forslaget vil betyde, at danske og udenlandske virksomheder opnår fuldt fradrag for momsudgifter afholdt i forbindelse med hotelovernatninger i Danmark, såfremt momsudgiften relaterer sig til virksomhedens momspligtige aktivitet.  </w:t>
      </w:r>
    </w:p>
    <w:p w:rsidR="00C81EFA" w:rsidRDefault="00C81EFA" w:rsidP="00C81EFA">
      <w:pPr>
        <w:rPr>
          <w:color w:val="000000"/>
          <w:sz w:val="24"/>
        </w:rPr>
      </w:pPr>
    </w:p>
    <w:p w:rsidR="00880C00" w:rsidRDefault="00880C00" w:rsidP="00C81EFA">
      <w:pPr>
        <w:rPr>
          <w:color w:val="000000"/>
          <w:sz w:val="24"/>
        </w:rPr>
      </w:pPr>
      <w:r>
        <w:rPr>
          <w:color w:val="000000"/>
          <w:sz w:val="24"/>
        </w:rPr>
        <w:t xml:space="preserve">Ændringen vil bidrage til en forbedring af danske hoteller og konferencecentres mulighed for at tiltrække danske og udenlandske erhvervskunder. Forslaget vil dermed bidrage til at skabe vækst og arbejdspladser i hotel- og restaurationsbranchen, ligesom der vil ske en generel forbedring af turisterhvervets konkurrencedygtighed.  </w:t>
      </w:r>
    </w:p>
    <w:p w:rsidR="00880C00" w:rsidRPr="002A2097" w:rsidRDefault="00880C00" w:rsidP="00C81EFA">
      <w:pPr>
        <w:rPr>
          <w:color w:val="000000"/>
          <w:sz w:val="24"/>
        </w:rPr>
      </w:pPr>
    </w:p>
    <w:p w:rsidR="00C81EFA" w:rsidRPr="002A2097" w:rsidRDefault="00C81EFA" w:rsidP="00C81EFA">
      <w:pPr>
        <w:rPr>
          <w:color w:val="000000"/>
          <w:sz w:val="24"/>
        </w:rPr>
      </w:pPr>
      <w:r w:rsidRPr="002A2097">
        <w:rPr>
          <w:color w:val="000000"/>
          <w:sz w:val="24"/>
        </w:rPr>
        <w:lastRenderedPageBreak/>
        <w:t xml:space="preserve">Som nævnt ovenfor i afsnit 3.1.1 er fradragsretten i Danmark begrænset efter gældende regler. Det er en fradragsbegrænsning, som Danmark kan opretholde med hjemmel i momssystemdirektivets artikel 176 (2) (direktiv nr. 2006/112/EF af 28. november om det fælles merværdiafgiftssystem), idet Danmark allerede før 6. momsdirektiv trådte i kraft i 1978 anvendte en fradragsbegrænsningsregel. Efter ophævelsen kan fradragsbegrænsningen ikke senere genindføres.   </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3.2. Afgiftsharmonisering for taxier </w:t>
      </w:r>
      <w:r>
        <w:rPr>
          <w:i/>
          <w:iCs/>
          <w:sz w:val="24"/>
        </w:rPr>
        <w:t>m.v</w:t>
      </w:r>
      <w:r w:rsidRPr="002A2097">
        <w:rPr>
          <w:i/>
          <w:iCs/>
          <w:sz w:val="24"/>
        </w:rPr>
        <w: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3.2.1. Gældende ret</w:t>
      </w:r>
    </w:p>
    <w:p w:rsidR="00C81EFA" w:rsidRPr="002A2097" w:rsidRDefault="00C81EFA" w:rsidP="00C81EFA">
      <w:pPr>
        <w:rPr>
          <w:iCs/>
          <w:sz w:val="24"/>
        </w:rPr>
      </w:pPr>
      <w:r w:rsidRPr="002A2097">
        <w:rPr>
          <w:iCs/>
          <w:sz w:val="24"/>
        </w:rPr>
        <w:t xml:space="preserve">Afgiften på personbiler til erhvervsmæssig persontransport afhænger i dag af, hvilken type tilladelse til persontransport det enkelte køretøj har. For taxier er der endvidere særlige afgiftsregler for køretøjer indrettet til kørestolsbrugere. </w:t>
      </w:r>
    </w:p>
    <w:p w:rsidR="00C81EFA" w:rsidRPr="002A2097" w:rsidRDefault="00C81EFA" w:rsidP="00C81EFA">
      <w:pPr>
        <w:rPr>
          <w:iCs/>
          <w:sz w:val="24"/>
        </w:rPr>
      </w:pPr>
    </w:p>
    <w:p w:rsidR="00C81EFA" w:rsidRPr="002A2097" w:rsidRDefault="00C81EFA" w:rsidP="00C81EFA">
      <w:pPr>
        <w:rPr>
          <w:iCs/>
          <w:sz w:val="24"/>
        </w:rPr>
      </w:pPr>
      <w:r w:rsidRPr="002A2097">
        <w:rPr>
          <w:iCs/>
          <w:sz w:val="24"/>
        </w:rPr>
        <w:t>Reglerne for registreringsafgift, vægtafgift, brændstofforbrugsafgift og udligningsafgift er således fors</w:t>
      </w:r>
      <w:r>
        <w:rPr>
          <w:iCs/>
          <w:sz w:val="24"/>
        </w:rPr>
        <w:t xml:space="preserve">kellige for henholdsvis taxier, </w:t>
      </w:r>
      <w:r w:rsidRPr="002A2097">
        <w:rPr>
          <w:iCs/>
          <w:sz w:val="24"/>
        </w:rPr>
        <w:t>kørestolstaxier, limousiner, sygetransportbiler og OST-biler (biler til offentlig servicetrafik). Registreringsafgiften for personbiler til erhvervsmæssig persontransport er i alle tilfælde betydeligt lavere end afgiften for almindelige personbiler.</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3.2.1.1. Taxier</w:t>
      </w:r>
    </w:p>
    <w:p w:rsidR="00C81EFA" w:rsidRPr="002A2097" w:rsidRDefault="00C81EFA" w:rsidP="00C81EFA">
      <w:pPr>
        <w:rPr>
          <w:iCs/>
          <w:sz w:val="24"/>
        </w:rPr>
      </w:pPr>
      <w:r w:rsidRPr="002A2097">
        <w:rPr>
          <w:iCs/>
          <w:sz w:val="24"/>
        </w:rPr>
        <w:t xml:space="preserve">For taxier betales 70 pct. i registreringsafgift af afgiftspligtige værdier over 230.000 kr. Der betales tillæg og gives fradrag for sikkerhedsudstyr </w:t>
      </w:r>
      <w:r>
        <w:rPr>
          <w:iCs/>
          <w:sz w:val="24"/>
        </w:rPr>
        <w:t>m.v</w:t>
      </w:r>
      <w:r w:rsidRPr="002A2097">
        <w:rPr>
          <w:iCs/>
          <w:sz w:val="24"/>
        </w:rPr>
        <w:t xml:space="preserve">. som for almindelige personbiler. Der er dog ingen fradrag eller tillæg for brændstofforbrug. </w:t>
      </w:r>
    </w:p>
    <w:p w:rsidR="00C81EFA" w:rsidRPr="002A2097" w:rsidRDefault="00C81EFA" w:rsidP="00C81EFA">
      <w:pPr>
        <w:rPr>
          <w:iCs/>
          <w:sz w:val="24"/>
        </w:rPr>
      </w:pPr>
    </w:p>
    <w:p w:rsidR="00C81EFA" w:rsidRPr="002A2097" w:rsidRDefault="00C81EFA" w:rsidP="00C81EFA">
      <w:pPr>
        <w:rPr>
          <w:iCs/>
          <w:sz w:val="24"/>
        </w:rPr>
      </w:pPr>
      <w:r w:rsidRPr="002A2097">
        <w:rPr>
          <w:iCs/>
          <w:sz w:val="24"/>
        </w:rPr>
        <w:t>Taxier kan herudover overgå til privat anvendelse uden yderligere betaling af registreringsafgift, hvis taxien har kørt mindst 3 år og mindst 210.000 km, heraf 97.000 besatte km</w:t>
      </w:r>
      <w:r>
        <w:rPr>
          <w:iCs/>
          <w:sz w:val="24"/>
        </w:rPr>
        <w:t xml:space="preserve"> (kørsel med eller for betalende passagerer)</w:t>
      </w:r>
      <w:r w:rsidRPr="002A2097">
        <w:rPr>
          <w:iCs/>
          <w:sz w:val="24"/>
        </w:rPr>
        <w:t xml:space="preserve">, eller mindst 2 år og 250.000 km, heraf mindst 115.000 besatte km. Disse regler benævnes frikørselsordningen. </w:t>
      </w:r>
    </w:p>
    <w:p w:rsidR="00C81EFA" w:rsidRPr="002A2097" w:rsidRDefault="00C81EFA" w:rsidP="00C81EFA">
      <w:pPr>
        <w:rPr>
          <w:iCs/>
          <w:sz w:val="24"/>
        </w:rPr>
      </w:pPr>
    </w:p>
    <w:p w:rsidR="00C81EFA" w:rsidRPr="002A2097" w:rsidRDefault="00C81EFA" w:rsidP="00C81EFA">
      <w:pPr>
        <w:rPr>
          <w:iCs/>
          <w:sz w:val="24"/>
        </w:rPr>
      </w:pPr>
      <w:r w:rsidRPr="002A2097">
        <w:rPr>
          <w:iCs/>
          <w:sz w:val="24"/>
        </w:rPr>
        <w:t>Taxier er frita</w:t>
      </w:r>
      <w:r>
        <w:rPr>
          <w:iCs/>
          <w:sz w:val="24"/>
        </w:rPr>
        <w:t>get for vægt- og brændstofforbrugs</w:t>
      </w:r>
      <w:r w:rsidRPr="002A2097">
        <w:rPr>
          <w:iCs/>
          <w:sz w:val="24"/>
        </w:rPr>
        <w:t xml:space="preserve">afgift. </w:t>
      </w:r>
    </w:p>
    <w:p w:rsidR="00C81EFA" w:rsidRPr="002A2097" w:rsidRDefault="00C81EFA" w:rsidP="00C81EFA">
      <w:pPr>
        <w:rPr>
          <w:iCs/>
          <w:sz w:val="24"/>
        </w:rPr>
      </w:pPr>
    </w:p>
    <w:p w:rsidR="00C81EFA" w:rsidRDefault="00C81EFA" w:rsidP="00C81EFA">
      <w:pPr>
        <w:rPr>
          <w:iCs/>
          <w:sz w:val="24"/>
        </w:rPr>
      </w:pPr>
      <w:r w:rsidRPr="002A2097">
        <w:rPr>
          <w:iCs/>
          <w:sz w:val="24"/>
        </w:rPr>
        <w:t>Udligningsafgiften er en løbende afgift, der skal udligne forskellen i brændstofafgiften fo</w:t>
      </w:r>
      <w:r>
        <w:rPr>
          <w:iCs/>
          <w:sz w:val="24"/>
        </w:rPr>
        <w:t xml:space="preserve">r henholdsvis benzin og diesel. Den almindelige udligningsafgift medfører, at det ved en årskørsel på ca. 22.000 km vil være afgiftsmæssig ligestilling mellem kørsel i henholdsvis en benzindrevet og en dieseldrevet personbil. </w:t>
      </w:r>
    </w:p>
    <w:p w:rsidR="00C81EFA" w:rsidRDefault="00C81EFA" w:rsidP="00C81EFA">
      <w:pPr>
        <w:rPr>
          <w:iCs/>
          <w:sz w:val="24"/>
        </w:rPr>
      </w:pPr>
    </w:p>
    <w:p w:rsidR="00C81EFA" w:rsidRPr="002A2097" w:rsidRDefault="00C81EFA" w:rsidP="00C81EFA">
      <w:pPr>
        <w:rPr>
          <w:iCs/>
          <w:sz w:val="24"/>
        </w:rPr>
      </w:pPr>
      <w:r w:rsidRPr="002A2097">
        <w:rPr>
          <w:iCs/>
          <w:sz w:val="24"/>
        </w:rPr>
        <w:t>For dieseldrevne taxier betales udligningsafgift med det dobbelte af satserne for almindelige personbiler, svarende til udligning ved en årskørsel på ca. 44.000 km.</w:t>
      </w:r>
      <w:r w:rsidR="00473A33">
        <w:rPr>
          <w:iCs/>
          <w:sz w:val="24"/>
        </w:rPr>
        <w:t xml:space="preserve"> Fordoblingen skyldes taxiers øgede kørselsbehov i forhold til almindelige personbiler. </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3.2.1.2. Kørestolstaxier</w:t>
      </w:r>
    </w:p>
    <w:p w:rsidR="00C81EFA" w:rsidRPr="002A2097" w:rsidRDefault="00C81EFA" w:rsidP="00C81EFA">
      <w:pPr>
        <w:rPr>
          <w:iCs/>
          <w:sz w:val="24"/>
        </w:rPr>
      </w:pPr>
      <w:r w:rsidRPr="002A2097">
        <w:rPr>
          <w:iCs/>
          <w:sz w:val="24"/>
        </w:rPr>
        <w:t xml:space="preserve">Kørestolstaxier er fritaget for registreringsafgift. Denne type af taxier kan ikke frikøres, og ved </w:t>
      </w:r>
      <w:r w:rsidR="002528C0">
        <w:rPr>
          <w:iCs/>
          <w:sz w:val="24"/>
        </w:rPr>
        <w:t>omregistrering</w:t>
      </w:r>
      <w:r w:rsidRPr="002A2097">
        <w:rPr>
          <w:iCs/>
          <w:sz w:val="24"/>
        </w:rPr>
        <w:t xml:space="preserve"> til anden anvendelse end erhvervsmæssig persontransport skal der således betales registreringsafgift i forhold til bilens afgiftspligtige værdi på salgstidspunktet. </w:t>
      </w:r>
    </w:p>
    <w:p w:rsidR="00C81EFA" w:rsidRPr="002A2097" w:rsidRDefault="00C81EFA" w:rsidP="00C81EFA">
      <w:pPr>
        <w:rPr>
          <w:iCs/>
          <w:sz w:val="24"/>
        </w:rPr>
      </w:pPr>
    </w:p>
    <w:p w:rsidR="00C81EFA" w:rsidRPr="002A2097" w:rsidRDefault="00C81EFA" w:rsidP="00C81EFA">
      <w:pPr>
        <w:rPr>
          <w:iCs/>
          <w:sz w:val="24"/>
        </w:rPr>
      </w:pPr>
      <w:r w:rsidRPr="002A2097">
        <w:rPr>
          <w:iCs/>
          <w:sz w:val="24"/>
        </w:rPr>
        <w:t>Kørestolstaxi</w:t>
      </w:r>
      <w:r>
        <w:rPr>
          <w:iCs/>
          <w:sz w:val="24"/>
        </w:rPr>
        <w:t>er er fritaget for vægt- og brændstofforbrugs</w:t>
      </w:r>
      <w:r w:rsidRPr="002A2097">
        <w:rPr>
          <w:iCs/>
          <w:sz w:val="24"/>
        </w:rPr>
        <w:t xml:space="preserve">afgift. </w:t>
      </w:r>
    </w:p>
    <w:p w:rsidR="00C81EFA" w:rsidRPr="002A2097" w:rsidRDefault="00C81EFA" w:rsidP="00C81EFA">
      <w:pPr>
        <w:rPr>
          <w:iCs/>
          <w:sz w:val="24"/>
        </w:rPr>
      </w:pPr>
    </w:p>
    <w:p w:rsidR="00C81EFA" w:rsidRPr="002A2097" w:rsidRDefault="00C81EFA" w:rsidP="00C81EFA">
      <w:pPr>
        <w:rPr>
          <w:iCs/>
          <w:sz w:val="24"/>
        </w:rPr>
      </w:pPr>
      <w:r w:rsidRPr="002A2097">
        <w:rPr>
          <w:iCs/>
          <w:sz w:val="24"/>
        </w:rPr>
        <w:lastRenderedPageBreak/>
        <w:t>For dieseldrevne kørestolstaxier betales udligningsafgift med det dobbelte af satserne for almindelige personbiler, svarende til udligning ved en årskørsel på ca. 44.000 km.</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3.2.1.3. Limousiner</w:t>
      </w:r>
    </w:p>
    <w:p w:rsidR="00C81EFA" w:rsidRPr="002A2097" w:rsidRDefault="00C81EFA" w:rsidP="00C81EFA">
      <w:pPr>
        <w:rPr>
          <w:iCs/>
          <w:sz w:val="24"/>
        </w:rPr>
      </w:pPr>
      <w:r w:rsidRPr="002A2097">
        <w:rPr>
          <w:iCs/>
          <w:sz w:val="24"/>
        </w:rPr>
        <w:t xml:space="preserve">For limousiner betales 20 pct. i registreringsafgift af afgiftspligtige værdier over 12.100 kr. Der betales tillæg og gives fradrag for sikkerhedsudstyr </w:t>
      </w:r>
      <w:r>
        <w:rPr>
          <w:iCs/>
          <w:sz w:val="24"/>
        </w:rPr>
        <w:t>m.v</w:t>
      </w:r>
      <w:r w:rsidRPr="002A2097">
        <w:rPr>
          <w:iCs/>
          <w:sz w:val="24"/>
        </w:rPr>
        <w:t xml:space="preserve">. som for almindelige personbiler. Der er dog ingen fradrag eller tillæg for brændstofforbrug. </w:t>
      </w:r>
    </w:p>
    <w:p w:rsidR="00C81EFA" w:rsidRPr="002A2097" w:rsidRDefault="00C81EFA" w:rsidP="00C81EFA">
      <w:pPr>
        <w:rPr>
          <w:iCs/>
          <w:sz w:val="24"/>
        </w:rPr>
      </w:pPr>
    </w:p>
    <w:p w:rsidR="00C81EFA" w:rsidRPr="002A2097" w:rsidRDefault="00C81EFA" w:rsidP="00C81EFA">
      <w:pPr>
        <w:rPr>
          <w:rFonts w:ascii="Calibri" w:hAnsi="Calibri" w:cs="Calibri"/>
          <w:color w:val="000000"/>
          <w:sz w:val="16"/>
          <w:szCs w:val="16"/>
        </w:rPr>
      </w:pPr>
      <w:r w:rsidRPr="002A2097">
        <w:rPr>
          <w:iCs/>
          <w:sz w:val="24"/>
        </w:rPr>
        <w:t>Limousiner kan frikøres og overgå til privat anvendelse uden yderligere betaling af registreringsafgift, hvis de har kørt mindst 3 år og mindst 125.000 km, heraf 112.000 besatte km, eller mindst 2 år og 150.000 km, heraf mindst 135.000 besatte km.</w:t>
      </w:r>
      <w:r w:rsidRPr="002A2097">
        <w:rPr>
          <w:rFonts w:ascii="Calibri" w:hAnsi="Calibri" w:cs="Calibri"/>
          <w:color w:val="000000"/>
          <w:sz w:val="16"/>
          <w:szCs w:val="16"/>
        </w:rPr>
        <w:t xml:space="preserve"> </w:t>
      </w:r>
    </w:p>
    <w:p w:rsidR="00C81EFA" w:rsidRPr="002A2097" w:rsidRDefault="00C81EFA" w:rsidP="00C81EFA">
      <w:pPr>
        <w:rPr>
          <w:rFonts w:ascii="Calibri" w:hAnsi="Calibri" w:cs="Calibri"/>
          <w:color w:val="000000"/>
          <w:sz w:val="16"/>
          <w:szCs w:val="16"/>
        </w:rPr>
      </w:pPr>
    </w:p>
    <w:p w:rsidR="00C81EFA" w:rsidRPr="002A2097" w:rsidRDefault="00C81EFA" w:rsidP="00C81EFA">
      <w:pPr>
        <w:rPr>
          <w:iCs/>
          <w:sz w:val="24"/>
        </w:rPr>
      </w:pPr>
      <w:r w:rsidRPr="002A2097">
        <w:rPr>
          <w:iCs/>
          <w:sz w:val="24"/>
        </w:rPr>
        <w:t>Limousin</w:t>
      </w:r>
      <w:r>
        <w:rPr>
          <w:iCs/>
          <w:sz w:val="24"/>
        </w:rPr>
        <w:t>er er fritaget for vægt- og brændstofforbrugs</w:t>
      </w:r>
      <w:r w:rsidRPr="002A2097">
        <w:rPr>
          <w:iCs/>
          <w:sz w:val="24"/>
        </w:rPr>
        <w:t xml:space="preserve">afgift. </w:t>
      </w:r>
    </w:p>
    <w:p w:rsidR="00C81EFA" w:rsidRPr="002A2097" w:rsidRDefault="00C81EFA" w:rsidP="00C81EFA">
      <w:pPr>
        <w:rPr>
          <w:iCs/>
          <w:sz w:val="24"/>
        </w:rPr>
      </w:pPr>
    </w:p>
    <w:p w:rsidR="00C81EFA" w:rsidRPr="002A2097" w:rsidRDefault="00C81EFA" w:rsidP="00C81EFA">
      <w:pPr>
        <w:rPr>
          <w:iCs/>
          <w:sz w:val="24"/>
        </w:rPr>
      </w:pPr>
      <w:r w:rsidRPr="002A2097">
        <w:rPr>
          <w:iCs/>
          <w:sz w:val="24"/>
        </w:rPr>
        <w:t>For dieseldrevne limousiner betales udligningsafgiften med det dobbelte af satserne for almindelige personbiler, svarende til udligning ved en årskørsel på ca. 44.000 km.</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3.2.1.4. Sygetransportbiler</w:t>
      </w:r>
    </w:p>
    <w:p w:rsidR="00C81EFA" w:rsidRPr="002A2097" w:rsidRDefault="00C81EFA" w:rsidP="00C81EFA">
      <w:pPr>
        <w:rPr>
          <w:iCs/>
          <w:sz w:val="24"/>
        </w:rPr>
      </w:pPr>
      <w:r w:rsidRPr="002A2097">
        <w:rPr>
          <w:iCs/>
          <w:sz w:val="24"/>
        </w:rPr>
        <w:t xml:space="preserve">For sygetransportbiler betales 20 pct. i registreringsafgift af afgiftspligtige værdier over 12.100 kr. Der betales tillæg og gives fradrag for sikkerhedsudstyr </w:t>
      </w:r>
      <w:r>
        <w:rPr>
          <w:iCs/>
          <w:sz w:val="24"/>
        </w:rPr>
        <w:t>m.v</w:t>
      </w:r>
      <w:r w:rsidRPr="002A2097">
        <w:rPr>
          <w:iCs/>
          <w:sz w:val="24"/>
        </w:rPr>
        <w:t xml:space="preserve">. som for almindelige personbiler. Der er dog ingen fradrag eller tillæg for brændstofforbrug. </w:t>
      </w:r>
    </w:p>
    <w:p w:rsidR="00C81EFA" w:rsidRPr="002A2097" w:rsidRDefault="00C81EFA" w:rsidP="00C81EFA">
      <w:pPr>
        <w:rPr>
          <w:iCs/>
          <w:sz w:val="24"/>
        </w:rPr>
      </w:pPr>
    </w:p>
    <w:p w:rsidR="00C81EFA" w:rsidRPr="002A2097" w:rsidRDefault="00C81EFA" w:rsidP="00C81EFA">
      <w:pPr>
        <w:rPr>
          <w:iCs/>
          <w:sz w:val="24"/>
        </w:rPr>
      </w:pPr>
      <w:r w:rsidRPr="002A2097">
        <w:rPr>
          <w:iCs/>
          <w:sz w:val="24"/>
        </w:rPr>
        <w:t xml:space="preserve">Sygetransportbiler kan ikke frikøres, og ved </w:t>
      </w:r>
      <w:r w:rsidR="002528C0">
        <w:rPr>
          <w:iCs/>
          <w:sz w:val="24"/>
        </w:rPr>
        <w:t>omregistrering</w:t>
      </w:r>
      <w:r w:rsidRPr="002A2097">
        <w:rPr>
          <w:iCs/>
          <w:sz w:val="24"/>
        </w:rPr>
        <w:t xml:space="preserve"> til anden anvendelse end erhvervsmæssig persontransport skal der således betales supplerende registreringsafgift i forhold til bilens afgiftspligtige værdi på salgstidspunktet. </w:t>
      </w:r>
    </w:p>
    <w:p w:rsidR="00C81EFA" w:rsidRPr="002A2097" w:rsidRDefault="00C81EFA" w:rsidP="00C81EFA">
      <w:pPr>
        <w:rPr>
          <w:iCs/>
          <w:sz w:val="24"/>
        </w:rPr>
      </w:pPr>
    </w:p>
    <w:p w:rsidR="00C81EFA" w:rsidRPr="002A2097" w:rsidRDefault="00C81EFA" w:rsidP="00C81EFA">
      <w:pPr>
        <w:rPr>
          <w:iCs/>
          <w:sz w:val="24"/>
        </w:rPr>
      </w:pPr>
      <w:r w:rsidRPr="002A2097">
        <w:rPr>
          <w:iCs/>
          <w:sz w:val="24"/>
        </w:rPr>
        <w:t xml:space="preserve">Sygetransportbiler </w:t>
      </w:r>
      <w:r>
        <w:rPr>
          <w:iCs/>
          <w:sz w:val="24"/>
        </w:rPr>
        <w:t>er fritaget for vægt- og brændstofforbrugs</w:t>
      </w:r>
      <w:r w:rsidRPr="002A2097">
        <w:rPr>
          <w:iCs/>
          <w:sz w:val="24"/>
        </w:rPr>
        <w:t xml:space="preserve">afgift. </w:t>
      </w:r>
    </w:p>
    <w:p w:rsidR="00C81EFA" w:rsidRPr="002A2097" w:rsidRDefault="00C81EFA" w:rsidP="00C81EFA">
      <w:pPr>
        <w:rPr>
          <w:iCs/>
          <w:sz w:val="24"/>
        </w:rPr>
      </w:pPr>
    </w:p>
    <w:p w:rsidR="00C81EFA" w:rsidRPr="002A2097" w:rsidRDefault="00C81EFA" w:rsidP="00C81EFA">
      <w:pPr>
        <w:rPr>
          <w:iCs/>
          <w:sz w:val="24"/>
        </w:rPr>
      </w:pPr>
      <w:r w:rsidRPr="002A2097">
        <w:rPr>
          <w:iCs/>
          <w:sz w:val="24"/>
        </w:rPr>
        <w:t>For dieseldrevne sygetransportbiler betales udligningsafgiften med det dobbelte af satserne for almindelige personbiler, svarende til udligning ved en årskørsel på ca. 44.000 km.</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3.2.1.5. OST-biler</w:t>
      </w:r>
    </w:p>
    <w:p w:rsidR="00C81EFA" w:rsidRPr="002A2097" w:rsidRDefault="00C81EFA" w:rsidP="00C81EFA">
      <w:pPr>
        <w:rPr>
          <w:iCs/>
          <w:sz w:val="24"/>
        </w:rPr>
      </w:pPr>
      <w:r w:rsidRPr="002A2097">
        <w:rPr>
          <w:iCs/>
          <w:sz w:val="24"/>
        </w:rPr>
        <w:t xml:space="preserve">OST-biler er fritaget for registreringsafgift. OST-biler kan ikke frikøres, og ved </w:t>
      </w:r>
      <w:r w:rsidR="002528C0">
        <w:rPr>
          <w:iCs/>
          <w:sz w:val="24"/>
        </w:rPr>
        <w:t>omregistrering</w:t>
      </w:r>
      <w:r w:rsidRPr="002A2097">
        <w:rPr>
          <w:iCs/>
          <w:sz w:val="24"/>
        </w:rPr>
        <w:t xml:space="preserve"> til anden anvendelse skal der således betales registreringsafgift i forhold til bilens afgiftspligtige værdi på salgstidspunktet. </w:t>
      </w:r>
    </w:p>
    <w:p w:rsidR="00C81EFA" w:rsidRPr="002A2097" w:rsidRDefault="00C81EFA" w:rsidP="00C81EFA">
      <w:pPr>
        <w:rPr>
          <w:iCs/>
          <w:sz w:val="24"/>
        </w:rPr>
      </w:pPr>
    </w:p>
    <w:p w:rsidR="00C81EFA" w:rsidRPr="002A2097" w:rsidRDefault="00C81EFA" w:rsidP="00C81EFA">
      <w:pPr>
        <w:rPr>
          <w:iCs/>
          <w:sz w:val="24"/>
        </w:rPr>
      </w:pPr>
      <w:r>
        <w:rPr>
          <w:iCs/>
          <w:sz w:val="24"/>
        </w:rPr>
        <w:t>OST-biler betaler vægt- og brændstofforbrugs</w:t>
      </w:r>
      <w:r w:rsidRPr="002A2097">
        <w:rPr>
          <w:iCs/>
          <w:sz w:val="24"/>
        </w:rPr>
        <w:t xml:space="preserve">afgift som almindelige personbiler. </w:t>
      </w:r>
    </w:p>
    <w:p w:rsidR="00C81EFA" w:rsidRPr="002A2097" w:rsidRDefault="00C81EFA" w:rsidP="00C81EFA">
      <w:pPr>
        <w:rPr>
          <w:iCs/>
          <w:sz w:val="24"/>
        </w:rPr>
      </w:pPr>
    </w:p>
    <w:p w:rsidR="00C81EFA" w:rsidRPr="002A2097" w:rsidRDefault="00C81EFA" w:rsidP="00C81EFA">
      <w:pPr>
        <w:rPr>
          <w:iCs/>
          <w:sz w:val="24"/>
        </w:rPr>
      </w:pPr>
      <w:r w:rsidRPr="002A2097">
        <w:rPr>
          <w:iCs/>
          <w:sz w:val="24"/>
        </w:rPr>
        <w:t xml:space="preserve">Tilladelserne til OST-kørsel erstatter de tidligere gældende tilladelser til erhvervsmæssig persontransport (EP-tilladelser), jf. </w:t>
      </w:r>
      <w:r>
        <w:rPr>
          <w:iCs/>
          <w:sz w:val="24"/>
        </w:rPr>
        <w:t xml:space="preserve">lov nr. 633 af 14. juni 2011. </w:t>
      </w:r>
      <w:r w:rsidRPr="002A2097">
        <w:rPr>
          <w:iCs/>
          <w:sz w:val="24"/>
        </w:rPr>
        <w:t xml:space="preserve">Reglerne for registreringsafgift, vægt- og </w:t>
      </w:r>
      <w:r>
        <w:rPr>
          <w:iCs/>
          <w:sz w:val="24"/>
        </w:rPr>
        <w:t>brændstofforbrugsafgift</w:t>
      </w:r>
      <w:r w:rsidRPr="002A2097">
        <w:rPr>
          <w:iCs/>
          <w:sz w:val="24"/>
        </w:rPr>
        <w:t xml:space="preserve"> samt udligningsafgift</w:t>
      </w:r>
      <w:r>
        <w:rPr>
          <w:iCs/>
          <w:sz w:val="24"/>
        </w:rPr>
        <w:t xml:space="preserve"> for biler med EP-</w:t>
      </w:r>
      <w:r w:rsidRPr="002A2097">
        <w:rPr>
          <w:iCs/>
          <w:sz w:val="24"/>
        </w:rPr>
        <w:t>tilladelse svarer til reglerne for OST-biler.</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3.2.2. Lovforslaget</w:t>
      </w:r>
    </w:p>
    <w:p w:rsidR="0075483F" w:rsidRDefault="00437CEB" w:rsidP="00C81EFA">
      <w:pPr>
        <w:rPr>
          <w:iCs/>
          <w:sz w:val="24"/>
        </w:rPr>
      </w:pPr>
      <w:r>
        <w:rPr>
          <w:iCs/>
          <w:sz w:val="24"/>
        </w:rPr>
        <w:t>For at sikre, at der fremover er lige beskatningsvilkår for alle personbiler til erhvervsmæssig persontransport, gennemføres</w:t>
      </w:r>
      <w:r w:rsidR="00C81EFA" w:rsidRPr="002A2097">
        <w:rPr>
          <w:iCs/>
          <w:sz w:val="24"/>
        </w:rPr>
        <w:t xml:space="preserve"> en harmonisering </w:t>
      </w:r>
      <w:r w:rsidR="0075483F">
        <w:rPr>
          <w:iCs/>
          <w:sz w:val="24"/>
        </w:rPr>
        <w:t xml:space="preserve">og forenkling </w:t>
      </w:r>
      <w:r w:rsidR="00C81EFA" w:rsidRPr="002A2097">
        <w:rPr>
          <w:iCs/>
          <w:sz w:val="24"/>
        </w:rPr>
        <w:t xml:space="preserve">af </w:t>
      </w:r>
      <w:r>
        <w:rPr>
          <w:iCs/>
          <w:sz w:val="24"/>
        </w:rPr>
        <w:t xml:space="preserve">afgifterne. </w:t>
      </w:r>
      <w:r w:rsidR="0075483F">
        <w:rPr>
          <w:iCs/>
          <w:sz w:val="24"/>
        </w:rPr>
        <w:t xml:space="preserve">Forslaget </w:t>
      </w:r>
      <w:r w:rsidR="00E141FD" w:rsidRPr="00E141FD">
        <w:rPr>
          <w:iCs/>
          <w:sz w:val="24"/>
        </w:rPr>
        <w:t>vil bidrage til lige og fair konkurrence i taxierhvervet, hvilket erfaringsmæssigt fører til en forbed</w:t>
      </w:r>
      <w:r w:rsidR="00E141FD">
        <w:rPr>
          <w:iCs/>
          <w:sz w:val="24"/>
        </w:rPr>
        <w:t xml:space="preserve">ret effektivitet og service. </w:t>
      </w:r>
    </w:p>
    <w:p w:rsidR="0075483F" w:rsidRDefault="0075483F" w:rsidP="00C81EFA">
      <w:pPr>
        <w:rPr>
          <w:iCs/>
          <w:sz w:val="24"/>
        </w:rPr>
      </w:pPr>
    </w:p>
    <w:p w:rsidR="00C81EFA" w:rsidRPr="002A2097" w:rsidRDefault="00E141FD" w:rsidP="00C81EFA">
      <w:pPr>
        <w:rPr>
          <w:iCs/>
          <w:sz w:val="24"/>
        </w:rPr>
      </w:pPr>
      <w:r>
        <w:rPr>
          <w:iCs/>
          <w:sz w:val="24"/>
        </w:rPr>
        <w:lastRenderedPageBreak/>
        <w:t>Forslaget indebærer, at r</w:t>
      </w:r>
      <w:r w:rsidR="00C81EFA" w:rsidRPr="002A2097">
        <w:rPr>
          <w:iCs/>
          <w:sz w:val="24"/>
        </w:rPr>
        <w:t xml:space="preserve">egistreringsafgiften afskaffes for taxier, limousiner og sygetransportbiler, så alle personbiler til erhvervsmæssig persontransport er fritaget for registreringsafgift. </w:t>
      </w:r>
    </w:p>
    <w:p w:rsidR="00C81EFA" w:rsidRPr="002A2097" w:rsidRDefault="00C81EFA" w:rsidP="00C81EFA">
      <w:pPr>
        <w:rPr>
          <w:iCs/>
          <w:sz w:val="24"/>
        </w:rPr>
      </w:pPr>
    </w:p>
    <w:p w:rsidR="00C81EFA" w:rsidRPr="002A2097" w:rsidRDefault="00DA4C87" w:rsidP="00C81EFA">
      <w:pPr>
        <w:rPr>
          <w:iCs/>
          <w:sz w:val="24"/>
        </w:rPr>
      </w:pPr>
      <w:r>
        <w:rPr>
          <w:iCs/>
          <w:sz w:val="24"/>
        </w:rPr>
        <w:t>Dernæst afskaffes r</w:t>
      </w:r>
      <w:r w:rsidR="00C81EFA" w:rsidRPr="002A2097">
        <w:rPr>
          <w:iCs/>
          <w:sz w:val="24"/>
        </w:rPr>
        <w:t xml:space="preserve">eglerne om frikørsel af taxier og limousiner. Ved </w:t>
      </w:r>
      <w:r w:rsidR="002528C0">
        <w:rPr>
          <w:iCs/>
          <w:sz w:val="24"/>
        </w:rPr>
        <w:t>omregistrering</w:t>
      </w:r>
      <w:r w:rsidR="00C81EFA" w:rsidRPr="002A2097">
        <w:rPr>
          <w:iCs/>
          <w:sz w:val="24"/>
        </w:rPr>
        <w:t xml:space="preserve"> til anden anvendelse end erhvervsmæssig persontransport skal der således fremover betales registreringsafgift i forhold til bilens afgiftspligtige værdi på salgstidspunktet af alle personbiler til erhvervsmæssig persontransport. </w:t>
      </w:r>
    </w:p>
    <w:p w:rsidR="00C81EFA" w:rsidRPr="002A2097" w:rsidRDefault="00C81EFA" w:rsidP="00C81EFA">
      <w:pPr>
        <w:rPr>
          <w:iCs/>
          <w:sz w:val="24"/>
        </w:rPr>
      </w:pPr>
    </w:p>
    <w:p w:rsidR="00C81EFA" w:rsidRPr="002A2097" w:rsidRDefault="00C81EFA" w:rsidP="00C81EFA">
      <w:pPr>
        <w:rPr>
          <w:iCs/>
          <w:sz w:val="24"/>
        </w:rPr>
      </w:pPr>
      <w:r w:rsidRPr="002A2097">
        <w:rPr>
          <w:iCs/>
          <w:sz w:val="24"/>
        </w:rPr>
        <w:t xml:space="preserve">De løbende afgifter for OST-biler omlægges, så alle køretøjer til erhvervsmæssig persontransport fremover er fritaget for vægt- og </w:t>
      </w:r>
      <w:r>
        <w:rPr>
          <w:iCs/>
          <w:sz w:val="24"/>
        </w:rPr>
        <w:t>brændstofforbrugsafgift</w:t>
      </w:r>
      <w:r w:rsidRPr="002A2097">
        <w:rPr>
          <w:iCs/>
          <w:sz w:val="24"/>
        </w:rPr>
        <w:t>, og der betales dobbelt udligningsafgift for dieselbiler.</w:t>
      </w:r>
    </w:p>
    <w:p w:rsidR="00C81EFA" w:rsidRPr="002A2097" w:rsidRDefault="00C81EFA" w:rsidP="00C81EFA">
      <w:pPr>
        <w:rPr>
          <w:iCs/>
          <w:sz w:val="24"/>
        </w:rPr>
      </w:pPr>
    </w:p>
    <w:p w:rsidR="00C81EFA" w:rsidRPr="002A2097" w:rsidRDefault="00C81EFA" w:rsidP="00C81EFA">
      <w:pPr>
        <w:rPr>
          <w:iCs/>
          <w:sz w:val="24"/>
        </w:rPr>
      </w:pPr>
      <w:r w:rsidRPr="002A2097">
        <w:rPr>
          <w:iCs/>
          <w:sz w:val="24"/>
        </w:rPr>
        <w:t>Ændringerne træder i kraft den 1. januar 2015. Taxier og limousiner indregistreret før denne dato vil fortsat kunne frikøres efter gældende regler.</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 xml:space="preserve">4. Økonomiske konsekvenser for det offentlige </w:t>
      </w:r>
    </w:p>
    <w:p w:rsidR="00C81EFA" w:rsidRPr="002A2097" w:rsidRDefault="00C81EFA" w:rsidP="00C81EFA">
      <w:pPr>
        <w:rPr>
          <w:i/>
          <w:iCs/>
          <w:sz w:val="24"/>
        </w:rPr>
      </w:pPr>
    </w:p>
    <w:p w:rsidR="00A03C41" w:rsidRPr="002A2097" w:rsidRDefault="00A03C41" w:rsidP="00A03C41">
      <w:pPr>
        <w:rPr>
          <w:i/>
          <w:sz w:val="24"/>
        </w:rPr>
      </w:pPr>
      <w:r w:rsidRPr="002A2097">
        <w:rPr>
          <w:i/>
          <w:sz w:val="24"/>
        </w:rPr>
        <w:t xml:space="preserve">4.1. </w:t>
      </w:r>
      <w:r w:rsidRPr="002A2097">
        <w:rPr>
          <w:i/>
          <w:iCs/>
          <w:color w:val="000000"/>
          <w:sz w:val="24"/>
        </w:rPr>
        <w:t>Fuldt fradrag for moms på hotelovernatninger</w:t>
      </w:r>
    </w:p>
    <w:p w:rsidR="00A03C41" w:rsidRPr="002A2097" w:rsidRDefault="00A03C41" w:rsidP="00A03C41">
      <w:pPr>
        <w:rPr>
          <w:sz w:val="24"/>
        </w:rPr>
      </w:pPr>
      <w:r w:rsidRPr="002A2097">
        <w:rPr>
          <w:sz w:val="24"/>
        </w:rPr>
        <w:t xml:space="preserve">På baggrund af talmateriale fra Danmarks Statistik skønnes det, at fuld momsfradragsret for hotelovernatninger af strengt erhvervsmæssig karakter medfører et umiddelbart mindreprovenu på 220 mio. kr. i 2015, </w:t>
      </w:r>
      <w:r w:rsidRPr="002A2097">
        <w:rPr>
          <w:i/>
          <w:sz w:val="24"/>
        </w:rPr>
        <w:t xml:space="preserve">jf. tabel </w:t>
      </w:r>
      <w:r>
        <w:rPr>
          <w:i/>
          <w:sz w:val="24"/>
        </w:rPr>
        <w:t>4.1</w:t>
      </w:r>
      <w:r w:rsidRPr="002A2097">
        <w:rPr>
          <w:sz w:val="24"/>
        </w:rPr>
        <w:t>.</w:t>
      </w:r>
    </w:p>
    <w:p w:rsidR="00A03C41" w:rsidRPr="002A2097" w:rsidRDefault="00A03C41" w:rsidP="00A03C41">
      <w:pPr>
        <w:rPr>
          <w:color w:val="FF0000"/>
          <w:sz w:val="24"/>
        </w:rPr>
      </w:pPr>
    </w:p>
    <w:tbl>
      <w:tblPr>
        <w:tblW w:w="5000" w:type="pct"/>
        <w:tblCellMar>
          <w:left w:w="70" w:type="dxa"/>
          <w:right w:w="70" w:type="dxa"/>
        </w:tblCellMar>
        <w:tblLook w:val="04A0" w:firstRow="1" w:lastRow="0" w:firstColumn="1" w:lastColumn="0" w:noHBand="0" w:noVBand="1"/>
      </w:tblPr>
      <w:tblGrid>
        <w:gridCol w:w="3910"/>
        <w:gridCol w:w="1057"/>
        <w:gridCol w:w="707"/>
        <w:gridCol w:w="707"/>
        <w:gridCol w:w="707"/>
        <w:gridCol w:w="707"/>
        <w:gridCol w:w="707"/>
        <w:gridCol w:w="707"/>
      </w:tblGrid>
      <w:tr w:rsidR="00A03C41" w:rsidRPr="002A2097" w:rsidTr="002528C0">
        <w:trPr>
          <w:trHeight w:val="300"/>
        </w:trPr>
        <w:tc>
          <w:tcPr>
            <w:tcW w:w="5000" w:type="pct"/>
            <w:gridSpan w:val="8"/>
            <w:tcBorders>
              <w:top w:val="single" w:sz="8" w:space="0" w:color="auto"/>
              <w:left w:val="nil"/>
              <w:bottom w:val="single" w:sz="4" w:space="0" w:color="auto"/>
              <w:right w:val="nil"/>
            </w:tcBorders>
            <w:shd w:val="clear" w:color="auto" w:fill="auto"/>
            <w:noWrap/>
            <w:vAlign w:val="bottom"/>
            <w:hideMark/>
          </w:tcPr>
          <w:p w:rsidR="00A03C41" w:rsidRPr="002A2097" w:rsidRDefault="00A03C41" w:rsidP="002528C0">
            <w:pPr>
              <w:rPr>
                <w:b/>
                <w:bCs/>
                <w:color w:val="000000"/>
                <w:szCs w:val="20"/>
              </w:rPr>
            </w:pPr>
            <w:r>
              <w:rPr>
                <w:b/>
                <w:bCs/>
                <w:color w:val="000000"/>
                <w:szCs w:val="20"/>
              </w:rPr>
              <w:t>Tabel 4.1</w:t>
            </w:r>
            <w:r w:rsidRPr="002A2097">
              <w:rPr>
                <w:b/>
                <w:bCs/>
                <w:color w:val="000000"/>
                <w:szCs w:val="20"/>
              </w:rPr>
              <w:t>. Provenuvirkning af fuldt fradrag for moms på hotelovernatninger</w:t>
            </w:r>
          </w:p>
        </w:tc>
      </w:tr>
      <w:tr w:rsidR="00A03C41" w:rsidRPr="002A2097" w:rsidTr="002528C0">
        <w:trPr>
          <w:trHeight w:val="525"/>
        </w:trPr>
        <w:tc>
          <w:tcPr>
            <w:tcW w:w="2512" w:type="pct"/>
            <w:tcBorders>
              <w:top w:val="nil"/>
              <w:left w:val="nil"/>
              <w:bottom w:val="single" w:sz="4" w:space="0" w:color="auto"/>
              <w:right w:val="nil"/>
            </w:tcBorders>
            <w:shd w:val="clear" w:color="auto" w:fill="auto"/>
            <w:noWrap/>
            <w:vAlign w:val="bottom"/>
            <w:hideMark/>
          </w:tcPr>
          <w:p w:rsidR="00A03C41" w:rsidRPr="002A2097" w:rsidRDefault="00A03C41" w:rsidP="002528C0">
            <w:pPr>
              <w:rPr>
                <w:color w:val="000000"/>
                <w:szCs w:val="20"/>
              </w:rPr>
            </w:pPr>
            <w:r w:rsidRPr="002A2097">
              <w:rPr>
                <w:color w:val="000000"/>
                <w:szCs w:val="20"/>
              </w:rPr>
              <w:t>Mio. kr. (2014-niveau)</w:t>
            </w:r>
          </w:p>
        </w:tc>
        <w:tc>
          <w:tcPr>
            <w:tcW w:w="492" w:type="pct"/>
            <w:tcBorders>
              <w:top w:val="nil"/>
              <w:left w:val="single" w:sz="4" w:space="0" w:color="auto"/>
              <w:bottom w:val="single" w:sz="4" w:space="0" w:color="auto"/>
              <w:right w:val="single" w:sz="4" w:space="0" w:color="auto"/>
            </w:tcBorders>
            <w:shd w:val="clear" w:color="auto" w:fill="auto"/>
            <w:vAlign w:val="bottom"/>
            <w:hideMark/>
          </w:tcPr>
          <w:p w:rsidR="00A03C41" w:rsidRPr="002A2097" w:rsidRDefault="00A03C41" w:rsidP="002528C0">
            <w:pPr>
              <w:jc w:val="center"/>
              <w:rPr>
                <w:color w:val="000000"/>
                <w:szCs w:val="20"/>
              </w:rPr>
            </w:pPr>
            <w:r w:rsidRPr="002A2097">
              <w:rPr>
                <w:color w:val="000000"/>
                <w:szCs w:val="20"/>
              </w:rPr>
              <w:t>Varig virkning</w:t>
            </w:r>
          </w:p>
        </w:tc>
        <w:tc>
          <w:tcPr>
            <w:tcW w:w="333" w:type="pct"/>
            <w:tcBorders>
              <w:top w:val="nil"/>
              <w:left w:val="nil"/>
              <w:bottom w:val="single" w:sz="4" w:space="0" w:color="auto"/>
              <w:right w:val="nil"/>
            </w:tcBorders>
            <w:shd w:val="clear" w:color="auto" w:fill="auto"/>
            <w:noWrap/>
            <w:vAlign w:val="bottom"/>
            <w:hideMark/>
          </w:tcPr>
          <w:p w:rsidR="00A03C41" w:rsidRPr="002A2097" w:rsidRDefault="00A03C41" w:rsidP="002528C0">
            <w:pPr>
              <w:jc w:val="center"/>
              <w:rPr>
                <w:color w:val="000000"/>
                <w:szCs w:val="20"/>
              </w:rPr>
            </w:pPr>
            <w:r w:rsidRPr="002A2097">
              <w:rPr>
                <w:color w:val="000000"/>
                <w:szCs w:val="20"/>
              </w:rPr>
              <w:t>2015</w:t>
            </w:r>
          </w:p>
        </w:tc>
        <w:tc>
          <w:tcPr>
            <w:tcW w:w="333" w:type="pct"/>
            <w:tcBorders>
              <w:top w:val="nil"/>
              <w:left w:val="nil"/>
              <w:bottom w:val="single" w:sz="4" w:space="0" w:color="auto"/>
              <w:right w:val="nil"/>
            </w:tcBorders>
            <w:shd w:val="clear" w:color="auto" w:fill="auto"/>
            <w:noWrap/>
            <w:vAlign w:val="bottom"/>
            <w:hideMark/>
          </w:tcPr>
          <w:p w:rsidR="00A03C41" w:rsidRPr="002A2097" w:rsidRDefault="00A03C41" w:rsidP="002528C0">
            <w:pPr>
              <w:jc w:val="center"/>
              <w:rPr>
                <w:color w:val="000000"/>
                <w:szCs w:val="20"/>
              </w:rPr>
            </w:pPr>
            <w:r w:rsidRPr="002A2097">
              <w:rPr>
                <w:color w:val="000000"/>
                <w:szCs w:val="20"/>
              </w:rPr>
              <w:t>2016</w:t>
            </w:r>
          </w:p>
        </w:tc>
        <w:tc>
          <w:tcPr>
            <w:tcW w:w="333" w:type="pct"/>
            <w:tcBorders>
              <w:top w:val="nil"/>
              <w:left w:val="nil"/>
              <w:bottom w:val="single" w:sz="4" w:space="0" w:color="auto"/>
              <w:right w:val="nil"/>
            </w:tcBorders>
            <w:shd w:val="clear" w:color="auto" w:fill="auto"/>
            <w:noWrap/>
            <w:vAlign w:val="bottom"/>
            <w:hideMark/>
          </w:tcPr>
          <w:p w:rsidR="00A03C41" w:rsidRPr="002A2097" w:rsidRDefault="00A03C41" w:rsidP="002528C0">
            <w:pPr>
              <w:jc w:val="center"/>
              <w:rPr>
                <w:color w:val="000000"/>
                <w:szCs w:val="20"/>
              </w:rPr>
            </w:pPr>
            <w:r w:rsidRPr="002A2097">
              <w:rPr>
                <w:color w:val="000000"/>
                <w:szCs w:val="20"/>
              </w:rPr>
              <w:t>2017</w:t>
            </w:r>
          </w:p>
        </w:tc>
        <w:tc>
          <w:tcPr>
            <w:tcW w:w="333" w:type="pct"/>
            <w:tcBorders>
              <w:top w:val="nil"/>
              <w:left w:val="nil"/>
              <w:bottom w:val="single" w:sz="4" w:space="0" w:color="auto"/>
              <w:right w:val="nil"/>
            </w:tcBorders>
            <w:shd w:val="clear" w:color="auto" w:fill="auto"/>
            <w:noWrap/>
            <w:vAlign w:val="bottom"/>
            <w:hideMark/>
          </w:tcPr>
          <w:p w:rsidR="00A03C41" w:rsidRPr="002A2097" w:rsidRDefault="00A03C41" w:rsidP="002528C0">
            <w:pPr>
              <w:jc w:val="center"/>
              <w:rPr>
                <w:color w:val="000000"/>
                <w:szCs w:val="20"/>
              </w:rPr>
            </w:pPr>
            <w:r w:rsidRPr="002A2097">
              <w:rPr>
                <w:color w:val="000000"/>
                <w:szCs w:val="20"/>
              </w:rPr>
              <w:t>2018</w:t>
            </w:r>
          </w:p>
        </w:tc>
        <w:tc>
          <w:tcPr>
            <w:tcW w:w="333" w:type="pct"/>
            <w:tcBorders>
              <w:top w:val="nil"/>
              <w:left w:val="nil"/>
              <w:bottom w:val="single" w:sz="4" w:space="0" w:color="auto"/>
              <w:right w:val="nil"/>
            </w:tcBorders>
            <w:shd w:val="clear" w:color="auto" w:fill="auto"/>
            <w:noWrap/>
            <w:vAlign w:val="bottom"/>
            <w:hideMark/>
          </w:tcPr>
          <w:p w:rsidR="00A03C41" w:rsidRPr="002A2097" w:rsidRDefault="00A03C41" w:rsidP="002528C0">
            <w:pPr>
              <w:jc w:val="center"/>
              <w:rPr>
                <w:color w:val="000000"/>
                <w:szCs w:val="20"/>
              </w:rPr>
            </w:pPr>
            <w:r w:rsidRPr="002A2097">
              <w:rPr>
                <w:color w:val="000000"/>
                <w:szCs w:val="20"/>
              </w:rPr>
              <w:t>2019</w:t>
            </w:r>
          </w:p>
        </w:tc>
        <w:tc>
          <w:tcPr>
            <w:tcW w:w="331" w:type="pct"/>
            <w:tcBorders>
              <w:top w:val="nil"/>
              <w:left w:val="nil"/>
              <w:bottom w:val="single" w:sz="4" w:space="0" w:color="auto"/>
              <w:right w:val="nil"/>
            </w:tcBorders>
            <w:shd w:val="clear" w:color="auto" w:fill="auto"/>
            <w:noWrap/>
            <w:vAlign w:val="bottom"/>
            <w:hideMark/>
          </w:tcPr>
          <w:p w:rsidR="00A03C41" w:rsidRPr="002A2097" w:rsidRDefault="00A03C41" w:rsidP="002528C0">
            <w:pPr>
              <w:jc w:val="center"/>
              <w:rPr>
                <w:color w:val="000000"/>
                <w:szCs w:val="20"/>
              </w:rPr>
            </w:pPr>
            <w:r w:rsidRPr="002A2097">
              <w:rPr>
                <w:color w:val="000000"/>
                <w:szCs w:val="20"/>
              </w:rPr>
              <w:t>2020</w:t>
            </w:r>
          </w:p>
        </w:tc>
      </w:tr>
      <w:tr w:rsidR="00A03C41" w:rsidRPr="002A2097" w:rsidTr="002528C0">
        <w:trPr>
          <w:trHeight w:val="300"/>
        </w:trPr>
        <w:tc>
          <w:tcPr>
            <w:tcW w:w="2512" w:type="pct"/>
            <w:tcBorders>
              <w:top w:val="single" w:sz="4" w:space="0" w:color="auto"/>
              <w:left w:val="nil"/>
              <w:bottom w:val="nil"/>
              <w:right w:val="nil"/>
            </w:tcBorders>
            <w:shd w:val="clear" w:color="auto" w:fill="auto"/>
            <w:noWrap/>
            <w:vAlign w:val="bottom"/>
            <w:hideMark/>
          </w:tcPr>
          <w:p w:rsidR="00A03C41" w:rsidRPr="002A2097" w:rsidRDefault="00A03C41" w:rsidP="002528C0">
            <w:pPr>
              <w:rPr>
                <w:color w:val="000000"/>
                <w:szCs w:val="20"/>
              </w:rPr>
            </w:pPr>
            <w:r w:rsidRPr="002A2097">
              <w:rPr>
                <w:color w:val="000000"/>
                <w:szCs w:val="20"/>
              </w:rPr>
              <w:t>Umiddelbar provenuvirkning</w:t>
            </w:r>
          </w:p>
        </w:tc>
        <w:tc>
          <w:tcPr>
            <w:tcW w:w="492" w:type="pct"/>
            <w:tcBorders>
              <w:top w:val="single" w:sz="4" w:space="0" w:color="auto"/>
              <w:left w:val="single" w:sz="4" w:space="0" w:color="auto"/>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-220 </w:t>
            </w:r>
          </w:p>
        </w:tc>
        <w:tc>
          <w:tcPr>
            <w:tcW w:w="333" w:type="pct"/>
            <w:tcBorders>
              <w:top w:val="single" w:sz="4" w:space="0" w:color="auto"/>
              <w:left w:val="single" w:sz="4" w:space="0" w:color="auto"/>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-220 </w:t>
            </w:r>
          </w:p>
        </w:tc>
        <w:tc>
          <w:tcPr>
            <w:tcW w:w="333" w:type="pct"/>
            <w:tcBorders>
              <w:top w:val="single" w:sz="4" w:space="0" w:color="auto"/>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-220 </w:t>
            </w:r>
          </w:p>
        </w:tc>
        <w:tc>
          <w:tcPr>
            <w:tcW w:w="333" w:type="pct"/>
            <w:tcBorders>
              <w:top w:val="single" w:sz="4" w:space="0" w:color="auto"/>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-220 </w:t>
            </w:r>
          </w:p>
        </w:tc>
        <w:tc>
          <w:tcPr>
            <w:tcW w:w="333" w:type="pct"/>
            <w:tcBorders>
              <w:top w:val="single" w:sz="4" w:space="0" w:color="auto"/>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-220 </w:t>
            </w:r>
          </w:p>
        </w:tc>
        <w:tc>
          <w:tcPr>
            <w:tcW w:w="333" w:type="pct"/>
            <w:tcBorders>
              <w:top w:val="single" w:sz="4" w:space="0" w:color="auto"/>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-220 </w:t>
            </w:r>
          </w:p>
        </w:tc>
        <w:tc>
          <w:tcPr>
            <w:tcW w:w="331" w:type="pct"/>
            <w:tcBorders>
              <w:top w:val="single" w:sz="4" w:space="0" w:color="auto"/>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-220 </w:t>
            </w:r>
          </w:p>
        </w:tc>
      </w:tr>
      <w:tr w:rsidR="00A03C41" w:rsidRPr="002A2097" w:rsidTr="002528C0">
        <w:trPr>
          <w:trHeight w:val="300"/>
        </w:trPr>
        <w:tc>
          <w:tcPr>
            <w:tcW w:w="2512" w:type="pct"/>
            <w:tcBorders>
              <w:top w:val="nil"/>
              <w:left w:val="nil"/>
              <w:bottom w:val="nil"/>
              <w:right w:val="nil"/>
            </w:tcBorders>
            <w:shd w:val="clear" w:color="auto" w:fill="auto"/>
            <w:noWrap/>
            <w:vAlign w:val="bottom"/>
            <w:hideMark/>
          </w:tcPr>
          <w:p w:rsidR="00A03C41" w:rsidRPr="002A2097" w:rsidRDefault="00A03C41" w:rsidP="002528C0">
            <w:pPr>
              <w:rPr>
                <w:color w:val="000000"/>
                <w:szCs w:val="20"/>
              </w:rPr>
            </w:pPr>
            <w:r w:rsidRPr="002A2097">
              <w:rPr>
                <w:color w:val="000000"/>
                <w:szCs w:val="20"/>
              </w:rPr>
              <w:t>Provenuvirkning efter automatisk tilbageløb</w:t>
            </w:r>
          </w:p>
        </w:tc>
        <w:tc>
          <w:tcPr>
            <w:tcW w:w="492" w:type="pct"/>
            <w:tcBorders>
              <w:top w:val="nil"/>
              <w:left w:val="single" w:sz="4" w:space="0" w:color="auto"/>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c>
          <w:tcPr>
            <w:tcW w:w="333" w:type="pct"/>
            <w:tcBorders>
              <w:top w:val="nil"/>
              <w:left w:val="single" w:sz="4" w:space="0" w:color="auto"/>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c>
          <w:tcPr>
            <w:tcW w:w="333" w:type="pct"/>
            <w:tcBorders>
              <w:top w:val="nil"/>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c>
          <w:tcPr>
            <w:tcW w:w="333" w:type="pct"/>
            <w:tcBorders>
              <w:top w:val="nil"/>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c>
          <w:tcPr>
            <w:tcW w:w="333" w:type="pct"/>
            <w:tcBorders>
              <w:top w:val="nil"/>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c>
          <w:tcPr>
            <w:tcW w:w="333" w:type="pct"/>
            <w:tcBorders>
              <w:top w:val="nil"/>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c>
          <w:tcPr>
            <w:tcW w:w="331" w:type="pct"/>
            <w:tcBorders>
              <w:top w:val="nil"/>
              <w:left w:val="nil"/>
              <w:bottom w:val="nil"/>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-130 </w:t>
            </w:r>
          </w:p>
        </w:tc>
      </w:tr>
      <w:tr w:rsidR="00A03C41" w:rsidRPr="002A2097" w:rsidTr="002528C0">
        <w:trPr>
          <w:trHeight w:val="315"/>
        </w:trPr>
        <w:tc>
          <w:tcPr>
            <w:tcW w:w="2512" w:type="pct"/>
            <w:tcBorders>
              <w:top w:val="nil"/>
              <w:left w:val="nil"/>
              <w:bottom w:val="single" w:sz="8" w:space="0" w:color="auto"/>
              <w:right w:val="nil"/>
            </w:tcBorders>
            <w:shd w:val="clear" w:color="auto" w:fill="auto"/>
            <w:noWrap/>
            <w:vAlign w:val="bottom"/>
            <w:hideMark/>
          </w:tcPr>
          <w:p w:rsidR="00A03C41" w:rsidRPr="002A2097" w:rsidRDefault="00A03C41" w:rsidP="002528C0">
            <w:pPr>
              <w:rPr>
                <w:color w:val="000000"/>
                <w:szCs w:val="20"/>
              </w:rPr>
            </w:pPr>
            <w:r w:rsidRPr="002A2097">
              <w:rPr>
                <w:color w:val="000000"/>
                <w:szCs w:val="20"/>
              </w:rPr>
              <w:t>Provenuvirkning efter tilbageløb og adfærd</w:t>
            </w:r>
          </w:p>
        </w:tc>
        <w:tc>
          <w:tcPr>
            <w:tcW w:w="492" w:type="pct"/>
            <w:tcBorders>
              <w:top w:val="nil"/>
              <w:left w:val="single" w:sz="4" w:space="0" w:color="auto"/>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-105 </w:t>
            </w:r>
          </w:p>
        </w:tc>
        <w:tc>
          <w:tcPr>
            <w:tcW w:w="333" w:type="pct"/>
            <w:tcBorders>
              <w:top w:val="nil"/>
              <w:left w:val="single" w:sz="4" w:space="0" w:color="auto"/>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-105 </w:t>
            </w:r>
          </w:p>
        </w:tc>
        <w:tc>
          <w:tcPr>
            <w:tcW w:w="333" w:type="pct"/>
            <w:tcBorders>
              <w:top w:val="nil"/>
              <w:left w:val="nil"/>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-105 </w:t>
            </w:r>
          </w:p>
        </w:tc>
        <w:tc>
          <w:tcPr>
            <w:tcW w:w="333" w:type="pct"/>
            <w:tcBorders>
              <w:top w:val="nil"/>
              <w:left w:val="nil"/>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-105 </w:t>
            </w:r>
          </w:p>
        </w:tc>
        <w:tc>
          <w:tcPr>
            <w:tcW w:w="333" w:type="pct"/>
            <w:tcBorders>
              <w:top w:val="nil"/>
              <w:left w:val="nil"/>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-105 </w:t>
            </w:r>
          </w:p>
        </w:tc>
        <w:tc>
          <w:tcPr>
            <w:tcW w:w="333" w:type="pct"/>
            <w:tcBorders>
              <w:top w:val="nil"/>
              <w:left w:val="nil"/>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-105 </w:t>
            </w:r>
          </w:p>
        </w:tc>
        <w:tc>
          <w:tcPr>
            <w:tcW w:w="331" w:type="pct"/>
            <w:tcBorders>
              <w:top w:val="nil"/>
              <w:left w:val="nil"/>
              <w:bottom w:val="single" w:sz="8" w:space="0" w:color="auto"/>
              <w:right w:val="nil"/>
            </w:tcBorders>
            <w:shd w:val="clear" w:color="auto" w:fill="auto"/>
            <w:noWrap/>
            <w:vAlign w:val="bottom"/>
            <w:hideMark/>
          </w:tcPr>
          <w:p w:rsidR="00A03C41" w:rsidRPr="002A2097" w:rsidRDefault="00A03C41" w:rsidP="002528C0">
            <w:pPr>
              <w:jc w:val="right"/>
              <w:rPr>
                <w:color w:val="000000"/>
                <w:szCs w:val="20"/>
              </w:rPr>
            </w:pPr>
            <w:r w:rsidRPr="002A2097">
              <w:rPr>
                <w:color w:val="000000"/>
                <w:szCs w:val="20"/>
              </w:rPr>
              <w:t xml:space="preserve">    -105 </w:t>
            </w:r>
          </w:p>
        </w:tc>
      </w:tr>
    </w:tbl>
    <w:p w:rsidR="00A03C41" w:rsidRPr="002A2097" w:rsidRDefault="00A03C41" w:rsidP="00A03C41">
      <w:pPr>
        <w:rPr>
          <w:color w:val="FF0000"/>
          <w:sz w:val="24"/>
        </w:rPr>
      </w:pPr>
    </w:p>
    <w:p w:rsidR="00A03C41" w:rsidRPr="002A2097" w:rsidRDefault="00A03C41" w:rsidP="00A03C41">
      <w:pPr>
        <w:rPr>
          <w:sz w:val="24"/>
        </w:rPr>
      </w:pPr>
      <w:r w:rsidRPr="002A2097">
        <w:rPr>
          <w:sz w:val="24"/>
        </w:rPr>
        <w:t>Hovedparten af hotelvirksomheder med et betydeligt antal erhvervsrelateret overnattende afregner moms på månedsbasis. Finansårsvirkningen skønnes på den baggrund til -190 mio. kr. i 2015.</w:t>
      </w:r>
    </w:p>
    <w:p w:rsidR="00A03C41" w:rsidRPr="002A2097" w:rsidRDefault="00A03C41" w:rsidP="00A03C41">
      <w:pPr>
        <w:rPr>
          <w:sz w:val="24"/>
        </w:rPr>
      </w:pPr>
    </w:p>
    <w:p w:rsidR="00A03C41" w:rsidRPr="002A2097" w:rsidRDefault="00A03C41" w:rsidP="00A03C41">
      <w:pPr>
        <w:rPr>
          <w:sz w:val="24"/>
        </w:rPr>
      </w:pPr>
      <w:r w:rsidRPr="002A2097">
        <w:rPr>
          <w:sz w:val="24"/>
        </w:rPr>
        <w:t xml:space="preserve">Tilbageløbet er beregnet med udgangspunkt i opgørelser foretaget af HORESTA, som peger på, at omkring 25 pct. af omsætningen kommer fra udenlandske kunder. </w:t>
      </w:r>
      <w:r>
        <w:rPr>
          <w:sz w:val="24"/>
        </w:rPr>
        <w:t>D</w:t>
      </w:r>
      <w:r w:rsidRPr="002A2097">
        <w:rPr>
          <w:sz w:val="24"/>
        </w:rPr>
        <w:t xml:space="preserve">anske </w:t>
      </w:r>
      <w:r>
        <w:rPr>
          <w:sz w:val="24"/>
        </w:rPr>
        <w:t>momsregistrede købere vil herved umiddelbart opnå</w:t>
      </w:r>
      <w:r w:rsidRPr="002A2097">
        <w:rPr>
          <w:sz w:val="24"/>
        </w:rPr>
        <w:t xml:space="preserve"> højere indkomst</w:t>
      </w:r>
      <w:r>
        <w:rPr>
          <w:sz w:val="24"/>
        </w:rPr>
        <w:t xml:space="preserve"> </w:t>
      </w:r>
      <w:r w:rsidRPr="002A2097">
        <w:rPr>
          <w:sz w:val="24"/>
        </w:rPr>
        <w:t xml:space="preserve">som følge af </w:t>
      </w:r>
      <w:r>
        <w:rPr>
          <w:sz w:val="24"/>
        </w:rPr>
        <w:t xml:space="preserve">det øgede </w:t>
      </w:r>
      <w:r w:rsidRPr="002A2097">
        <w:rPr>
          <w:sz w:val="24"/>
        </w:rPr>
        <w:t>momsfradrag</w:t>
      </w:r>
      <w:r>
        <w:rPr>
          <w:sz w:val="24"/>
        </w:rPr>
        <w:t>.</w:t>
      </w:r>
      <w:r w:rsidR="00437CEB">
        <w:rPr>
          <w:sz w:val="24"/>
        </w:rPr>
        <w:t xml:space="preserve"> </w:t>
      </w:r>
      <w:r>
        <w:rPr>
          <w:sz w:val="24"/>
        </w:rPr>
        <w:t xml:space="preserve">Det </w:t>
      </w:r>
      <w:r w:rsidRPr="002A2097">
        <w:rPr>
          <w:sz w:val="24"/>
        </w:rPr>
        <w:t>medfører et tilbageløb gennem blandt andet selskabs- og udbytteskat</w:t>
      </w:r>
      <w:r>
        <w:rPr>
          <w:sz w:val="24"/>
        </w:rPr>
        <w:t xml:space="preserve">ter, afgifter m.v. som </w:t>
      </w:r>
      <w:r w:rsidRPr="002A2097">
        <w:rPr>
          <w:sz w:val="24"/>
        </w:rPr>
        <w:t>skønnes at udgøre ca. 55 pct. svarende til 90 mio. kr. i 2014-niveau. For de udenlandske virksomheder er der ikke tilbageløb.</w:t>
      </w:r>
    </w:p>
    <w:p w:rsidR="00A03C41" w:rsidRPr="002A2097" w:rsidRDefault="00A03C41" w:rsidP="00A03C41">
      <w:pPr>
        <w:rPr>
          <w:sz w:val="24"/>
        </w:rPr>
      </w:pPr>
    </w:p>
    <w:p w:rsidR="00A03C41" w:rsidRPr="002A2097" w:rsidRDefault="00A03C41" w:rsidP="00A03C41">
      <w:pPr>
        <w:rPr>
          <w:sz w:val="24"/>
        </w:rPr>
      </w:pPr>
      <w:r w:rsidRPr="002A2097">
        <w:rPr>
          <w:sz w:val="24"/>
        </w:rPr>
        <w:t>Forhøjelsen af momsfradraget medfører alt andet lige, at den reelle omkostning, som danske og udenlandske virksomheder i praksis står over for ved køb af hotelovernatninger i Danmark i dag, falder. Det må forventes at medføre en øget omsætning i hotelbranchen</w:t>
      </w:r>
      <w:r>
        <w:rPr>
          <w:sz w:val="24"/>
        </w:rPr>
        <w:t>, som vil modsvares af lavere aktivitet og beskæftigelse i andre erhverv</w:t>
      </w:r>
      <w:r w:rsidRPr="002A2097">
        <w:rPr>
          <w:sz w:val="24"/>
        </w:rPr>
        <w:t xml:space="preserve">. Forslaget skønnes at medføre et varigt mindreprovenu efter tilbageløb og adfærd på 105 mio. kr.  </w:t>
      </w:r>
    </w:p>
    <w:p w:rsidR="00A03C41" w:rsidRPr="002A2097" w:rsidRDefault="00A03C41" w:rsidP="00A03C41">
      <w:pPr>
        <w:rPr>
          <w:sz w:val="24"/>
        </w:rPr>
      </w:pPr>
    </w:p>
    <w:p w:rsidR="00A03C41" w:rsidRPr="002A2097" w:rsidRDefault="00A03C41" w:rsidP="00A03C41">
      <w:pPr>
        <w:rPr>
          <w:sz w:val="24"/>
        </w:rPr>
      </w:pPr>
      <w:r w:rsidRPr="002A2097">
        <w:rPr>
          <w:sz w:val="24"/>
        </w:rPr>
        <w:t xml:space="preserve">Den begrænsede fradragsret for moms på hotelovernatninger udgør en </w:t>
      </w:r>
      <w:r>
        <w:rPr>
          <w:sz w:val="24"/>
        </w:rPr>
        <w:t xml:space="preserve">negativ </w:t>
      </w:r>
      <w:r w:rsidRPr="002A2097">
        <w:rPr>
          <w:sz w:val="24"/>
        </w:rPr>
        <w:t xml:space="preserve">skatteudgift, </w:t>
      </w:r>
      <w:r w:rsidRPr="002A2097">
        <w:rPr>
          <w:sz w:val="24"/>
        </w:rPr>
        <w:lastRenderedPageBreak/>
        <w:t>det vil sige en skattesanktion. Fuldt fradrag for moms på hotelovernatninger medfører, at den</w:t>
      </w:r>
      <w:r>
        <w:rPr>
          <w:sz w:val="24"/>
        </w:rPr>
        <w:t>ne</w:t>
      </w:r>
      <w:r w:rsidRPr="002A2097">
        <w:rPr>
          <w:sz w:val="24"/>
        </w:rPr>
        <w:t xml:space="preserve"> hidtidige skattesanktion ophører.</w:t>
      </w:r>
    </w:p>
    <w:p w:rsidR="00A03C41" w:rsidRPr="002A2097" w:rsidRDefault="00A03C41" w:rsidP="00A03C41">
      <w:pPr>
        <w:rPr>
          <w:sz w:val="24"/>
        </w:rPr>
      </w:pPr>
    </w:p>
    <w:p w:rsidR="00A03C41" w:rsidRPr="002A2097" w:rsidRDefault="00A03C41" w:rsidP="00A03C41">
      <w:pPr>
        <w:rPr>
          <w:sz w:val="24"/>
        </w:rPr>
      </w:pPr>
      <w:r w:rsidRPr="002A2097">
        <w:rPr>
          <w:sz w:val="24"/>
        </w:rPr>
        <w:t xml:space="preserve">Hertil kommer, at det danske momsgrundlag som følge af forslaget reduceres, hvilket medfører en varig besparelse i det danske bidrag til EU´s egne indtægter på ca. </w:t>
      </w:r>
      <w:r>
        <w:rPr>
          <w:sz w:val="24"/>
        </w:rPr>
        <w:t>3</w:t>
      </w:r>
      <w:r w:rsidRPr="002A2097">
        <w:rPr>
          <w:sz w:val="24"/>
        </w:rPr>
        <w:t xml:space="preserve"> mio. kr. om året.</w:t>
      </w:r>
    </w:p>
    <w:p w:rsidR="00C81EFA" w:rsidRPr="002A2097" w:rsidRDefault="00C81EFA" w:rsidP="00C81EFA">
      <w:pPr>
        <w:rPr>
          <w:i/>
          <w:color w:val="000000"/>
          <w:sz w:val="24"/>
        </w:rPr>
      </w:pPr>
    </w:p>
    <w:p w:rsidR="00C81EFA" w:rsidRPr="002A2097" w:rsidRDefault="00C81EFA" w:rsidP="00C81EFA">
      <w:pPr>
        <w:rPr>
          <w:i/>
          <w:color w:val="000000"/>
          <w:sz w:val="24"/>
        </w:rPr>
      </w:pPr>
      <w:r w:rsidRPr="002A2097">
        <w:rPr>
          <w:i/>
          <w:color w:val="000000"/>
          <w:sz w:val="24"/>
        </w:rPr>
        <w:t xml:space="preserve">4.2. </w:t>
      </w:r>
      <w:r w:rsidRPr="002A2097">
        <w:rPr>
          <w:i/>
          <w:iCs/>
          <w:sz w:val="24"/>
        </w:rPr>
        <w:t xml:space="preserve">Afgiftsharmonisering for taxier </w:t>
      </w:r>
      <w:r>
        <w:rPr>
          <w:i/>
          <w:iCs/>
          <w:sz w:val="24"/>
        </w:rPr>
        <w:t>m.v</w:t>
      </w:r>
      <w:r w:rsidRPr="002A2097">
        <w:rPr>
          <w:i/>
          <w:iCs/>
          <w:sz w:val="24"/>
        </w:rPr>
        <w:t>.</w:t>
      </w:r>
    </w:p>
    <w:p w:rsidR="00FA304E" w:rsidRPr="002A2097" w:rsidRDefault="00FA304E" w:rsidP="00FA304E">
      <w:pPr>
        <w:rPr>
          <w:iCs/>
          <w:sz w:val="24"/>
        </w:rPr>
      </w:pPr>
      <w:r w:rsidRPr="002A2097">
        <w:rPr>
          <w:iCs/>
          <w:sz w:val="24"/>
        </w:rPr>
        <w:t xml:space="preserve">Afskaffelse af registreringsafgiften for taxier, limousiner og sygetransportbiler forventes at resultere i et umiddelbart mindreprovenu til staten, mens afskaffelsen af frikørselsordningen omvendt forventes at resultere i et umiddelbart merprovenu fra registreringsafgift af brugte biler. Harmoniseringen af vægt-, ejer- og udligningsafgiften forventes ikke at have nogen nævneværdig umiddelbar provenuvirkning. Samlet set forventes lovforslaget at medføre et umiddelbart merprovenu på ca. 225 mio. kr. i varig virkning samt et merprovenu efter tilbageløb og adfærd på </w:t>
      </w:r>
      <w:r>
        <w:rPr>
          <w:iCs/>
          <w:sz w:val="24"/>
        </w:rPr>
        <w:t xml:space="preserve">ca. </w:t>
      </w:r>
      <w:r w:rsidRPr="002A2097">
        <w:rPr>
          <w:iCs/>
          <w:sz w:val="24"/>
        </w:rPr>
        <w:t xml:space="preserve">130 mio. kr. i varig virkning. </w:t>
      </w:r>
      <w:r>
        <w:rPr>
          <w:iCs/>
          <w:sz w:val="24"/>
        </w:rPr>
        <w:t xml:space="preserve">Med forslaget reduceres den nuværende skatteudgift vedrørende erhvervsmæssig personbefordring. </w:t>
      </w:r>
      <w:r w:rsidRPr="002A2097">
        <w:rPr>
          <w:iCs/>
          <w:sz w:val="24"/>
        </w:rPr>
        <w:t>Provenuvirkningerne fremgår af tab</w:t>
      </w:r>
      <w:r>
        <w:rPr>
          <w:iCs/>
          <w:sz w:val="24"/>
        </w:rPr>
        <w:t>el 4.2</w:t>
      </w:r>
      <w:r w:rsidRPr="002A2097">
        <w:rPr>
          <w:iCs/>
          <w:sz w:val="24"/>
        </w:rPr>
        <w:t xml:space="preserve"> nedenfor.</w:t>
      </w:r>
    </w:p>
    <w:p w:rsidR="00FA304E" w:rsidRPr="002A2097" w:rsidRDefault="00FA304E" w:rsidP="00FA304E">
      <w:pPr>
        <w:rPr>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8"/>
        <w:gridCol w:w="992"/>
        <w:gridCol w:w="709"/>
        <w:gridCol w:w="709"/>
        <w:gridCol w:w="708"/>
        <w:gridCol w:w="709"/>
        <w:gridCol w:w="992"/>
      </w:tblGrid>
      <w:tr w:rsidR="00FA304E" w:rsidRPr="002A2097" w:rsidTr="002528C0">
        <w:tc>
          <w:tcPr>
            <w:tcW w:w="9077" w:type="dxa"/>
            <w:gridSpan w:val="7"/>
            <w:tcBorders>
              <w:left w:val="nil"/>
              <w:right w:val="nil"/>
            </w:tcBorders>
            <w:shd w:val="clear" w:color="auto" w:fill="auto"/>
          </w:tcPr>
          <w:p w:rsidR="00FA304E" w:rsidRPr="002A2097" w:rsidRDefault="00FA304E" w:rsidP="002528C0">
            <w:pPr>
              <w:pStyle w:val="Tabel-Overskrift"/>
              <w:rPr>
                <w:rFonts w:ascii="Times New Roman" w:hAnsi="Times New Roman"/>
                <w:sz w:val="20"/>
                <w:szCs w:val="20"/>
              </w:rPr>
            </w:pPr>
            <w:r>
              <w:rPr>
                <w:rFonts w:ascii="Times New Roman" w:hAnsi="Times New Roman"/>
                <w:sz w:val="20"/>
                <w:szCs w:val="20"/>
              </w:rPr>
              <w:t>Tabel 4.2</w:t>
            </w:r>
            <w:r w:rsidRPr="002A2097">
              <w:rPr>
                <w:rFonts w:ascii="Times New Roman" w:hAnsi="Times New Roman"/>
                <w:sz w:val="20"/>
                <w:szCs w:val="20"/>
              </w:rPr>
              <w:t xml:space="preserve">. Provenuvirkning af afgiftsharmonisering af taxier </w:t>
            </w:r>
            <w:r>
              <w:rPr>
                <w:rFonts w:ascii="Times New Roman" w:hAnsi="Times New Roman"/>
                <w:sz w:val="20"/>
                <w:szCs w:val="20"/>
              </w:rPr>
              <w:t>m.v</w:t>
            </w:r>
            <w:r w:rsidRPr="002A2097">
              <w:rPr>
                <w:rFonts w:ascii="Times New Roman" w:hAnsi="Times New Roman"/>
                <w:sz w:val="20"/>
                <w:szCs w:val="20"/>
              </w:rPr>
              <w:t>.</w:t>
            </w:r>
          </w:p>
        </w:tc>
      </w:tr>
      <w:tr w:rsidR="00FA304E" w:rsidRPr="002A2097" w:rsidTr="002528C0">
        <w:tc>
          <w:tcPr>
            <w:tcW w:w="4258" w:type="dxa"/>
            <w:tcBorders>
              <w:left w:val="nil"/>
            </w:tcBorders>
            <w:shd w:val="clear" w:color="auto" w:fill="auto"/>
          </w:tcPr>
          <w:p w:rsidR="00FA304E" w:rsidRPr="002A2097" w:rsidRDefault="00FA304E" w:rsidP="002528C0">
            <w:pPr>
              <w:pStyle w:val="Tabel-Tekst"/>
              <w:rPr>
                <w:rFonts w:ascii="Times New Roman" w:hAnsi="Times New Roman"/>
                <w:sz w:val="20"/>
                <w:szCs w:val="20"/>
              </w:rPr>
            </w:pPr>
            <w:r w:rsidRPr="002A2097">
              <w:rPr>
                <w:rFonts w:ascii="Times New Roman" w:hAnsi="Times New Roman"/>
                <w:sz w:val="20"/>
                <w:szCs w:val="20"/>
              </w:rPr>
              <w:t>Mio. kr. (2014-niveau)</w:t>
            </w:r>
          </w:p>
        </w:tc>
        <w:tc>
          <w:tcPr>
            <w:tcW w:w="992" w:type="dxa"/>
            <w:tcBorders>
              <w:bottom w:val="single" w:sz="4" w:space="0" w:color="auto"/>
            </w:tcBorders>
            <w:shd w:val="clear" w:color="auto" w:fill="auto"/>
          </w:tcPr>
          <w:p w:rsidR="00FA304E" w:rsidRPr="002A2097" w:rsidRDefault="00FA304E" w:rsidP="002528C0">
            <w:pPr>
              <w:pStyle w:val="Tabel-Tekst"/>
              <w:jc w:val="center"/>
              <w:rPr>
                <w:rFonts w:ascii="Times New Roman" w:hAnsi="Times New Roman"/>
                <w:sz w:val="20"/>
                <w:szCs w:val="20"/>
              </w:rPr>
            </w:pPr>
            <w:r w:rsidRPr="002A2097">
              <w:rPr>
                <w:rFonts w:ascii="Times New Roman" w:hAnsi="Times New Roman"/>
                <w:sz w:val="20"/>
                <w:szCs w:val="20"/>
              </w:rPr>
              <w:t>Varig virkning</w:t>
            </w:r>
          </w:p>
        </w:tc>
        <w:tc>
          <w:tcPr>
            <w:tcW w:w="709" w:type="dxa"/>
            <w:tcBorders>
              <w:bottom w:val="single" w:sz="4" w:space="0" w:color="auto"/>
            </w:tcBorders>
            <w:shd w:val="clear" w:color="auto" w:fill="auto"/>
          </w:tcPr>
          <w:p w:rsidR="00FA304E" w:rsidRPr="002A2097" w:rsidRDefault="00FA304E" w:rsidP="002528C0">
            <w:pPr>
              <w:pStyle w:val="Tabel-Tekst"/>
              <w:jc w:val="center"/>
              <w:rPr>
                <w:rFonts w:ascii="Times New Roman" w:hAnsi="Times New Roman"/>
                <w:sz w:val="20"/>
                <w:szCs w:val="20"/>
              </w:rPr>
            </w:pPr>
            <w:r w:rsidRPr="002A2097">
              <w:rPr>
                <w:rFonts w:ascii="Times New Roman" w:hAnsi="Times New Roman"/>
                <w:sz w:val="20"/>
                <w:szCs w:val="20"/>
              </w:rPr>
              <w:t>2015</w:t>
            </w:r>
          </w:p>
        </w:tc>
        <w:tc>
          <w:tcPr>
            <w:tcW w:w="709" w:type="dxa"/>
            <w:tcBorders>
              <w:bottom w:val="single" w:sz="4" w:space="0" w:color="auto"/>
            </w:tcBorders>
            <w:shd w:val="clear" w:color="auto" w:fill="auto"/>
          </w:tcPr>
          <w:p w:rsidR="00FA304E" w:rsidRPr="002A2097" w:rsidRDefault="00FA304E" w:rsidP="002528C0">
            <w:pPr>
              <w:pStyle w:val="Tabel-Tekst"/>
              <w:jc w:val="center"/>
              <w:rPr>
                <w:rFonts w:ascii="Times New Roman" w:hAnsi="Times New Roman"/>
                <w:sz w:val="20"/>
                <w:szCs w:val="20"/>
              </w:rPr>
            </w:pPr>
            <w:r w:rsidRPr="002A2097">
              <w:rPr>
                <w:rFonts w:ascii="Times New Roman" w:hAnsi="Times New Roman"/>
                <w:sz w:val="20"/>
                <w:szCs w:val="20"/>
              </w:rPr>
              <w:t>2016</w:t>
            </w:r>
          </w:p>
        </w:tc>
        <w:tc>
          <w:tcPr>
            <w:tcW w:w="708" w:type="dxa"/>
            <w:tcBorders>
              <w:bottom w:val="single" w:sz="4" w:space="0" w:color="auto"/>
            </w:tcBorders>
            <w:shd w:val="clear" w:color="auto" w:fill="auto"/>
          </w:tcPr>
          <w:p w:rsidR="00FA304E" w:rsidRPr="002A2097" w:rsidRDefault="00FA304E" w:rsidP="002528C0">
            <w:pPr>
              <w:pStyle w:val="Tabel-Tekst"/>
              <w:jc w:val="center"/>
              <w:rPr>
                <w:rFonts w:ascii="Times New Roman" w:hAnsi="Times New Roman"/>
                <w:sz w:val="20"/>
                <w:szCs w:val="20"/>
              </w:rPr>
            </w:pPr>
            <w:r w:rsidRPr="002A2097">
              <w:rPr>
                <w:rFonts w:ascii="Times New Roman" w:hAnsi="Times New Roman"/>
                <w:sz w:val="20"/>
                <w:szCs w:val="20"/>
              </w:rPr>
              <w:t>2017</w:t>
            </w:r>
          </w:p>
        </w:tc>
        <w:tc>
          <w:tcPr>
            <w:tcW w:w="709" w:type="dxa"/>
            <w:tcBorders>
              <w:bottom w:val="single" w:sz="4" w:space="0" w:color="auto"/>
            </w:tcBorders>
            <w:shd w:val="clear" w:color="auto" w:fill="auto"/>
          </w:tcPr>
          <w:p w:rsidR="00FA304E" w:rsidRPr="002A2097" w:rsidRDefault="00FA304E" w:rsidP="002528C0">
            <w:pPr>
              <w:pStyle w:val="Tabel-Tekst"/>
              <w:jc w:val="center"/>
              <w:rPr>
                <w:rFonts w:ascii="Times New Roman" w:hAnsi="Times New Roman"/>
                <w:sz w:val="20"/>
                <w:szCs w:val="20"/>
              </w:rPr>
            </w:pPr>
            <w:r w:rsidRPr="002A2097">
              <w:rPr>
                <w:rFonts w:ascii="Times New Roman" w:hAnsi="Times New Roman"/>
                <w:sz w:val="20"/>
                <w:szCs w:val="20"/>
              </w:rPr>
              <w:t>2018</w:t>
            </w:r>
          </w:p>
        </w:tc>
        <w:tc>
          <w:tcPr>
            <w:tcW w:w="992" w:type="dxa"/>
            <w:tcBorders>
              <w:bottom w:val="single" w:sz="4" w:space="0" w:color="auto"/>
              <w:right w:val="nil"/>
            </w:tcBorders>
          </w:tcPr>
          <w:p w:rsidR="00FA304E" w:rsidRPr="002A2097" w:rsidRDefault="00FA304E" w:rsidP="002528C0">
            <w:pPr>
              <w:pStyle w:val="Tabel-Tekst"/>
              <w:jc w:val="center"/>
              <w:rPr>
                <w:rFonts w:ascii="Times New Roman" w:hAnsi="Times New Roman"/>
                <w:sz w:val="20"/>
                <w:szCs w:val="20"/>
              </w:rPr>
            </w:pPr>
            <w:r w:rsidRPr="002A2097">
              <w:rPr>
                <w:rFonts w:ascii="Times New Roman" w:hAnsi="Times New Roman"/>
                <w:sz w:val="20"/>
                <w:szCs w:val="20"/>
              </w:rPr>
              <w:t>Finansår</w:t>
            </w:r>
            <w:r w:rsidRPr="002A2097">
              <w:rPr>
                <w:rFonts w:ascii="Times New Roman" w:hAnsi="Times New Roman"/>
                <w:sz w:val="20"/>
                <w:szCs w:val="20"/>
              </w:rPr>
              <w:br/>
              <w:t>2015</w:t>
            </w:r>
          </w:p>
        </w:tc>
      </w:tr>
      <w:tr w:rsidR="00FA304E" w:rsidRPr="002A2097" w:rsidTr="002528C0">
        <w:tc>
          <w:tcPr>
            <w:tcW w:w="4258" w:type="dxa"/>
            <w:tcBorders>
              <w:left w:val="nil"/>
            </w:tcBorders>
            <w:shd w:val="clear" w:color="auto" w:fill="auto"/>
          </w:tcPr>
          <w:p w:rsidR="00FA304E" w:rsidRPr="002A2097" w:rsidRDefault="00FA304E" w:rsidP="002528C0">
            <w:pPr>
              <w:pStyle w:val="Tabel-Tekst"/>
              <w:rPr>
                <w:rFonts w:ascii="Times New Roman" w:hAnsi="Times New Roman"/>
                <w:sz w:val="20"/>
                <w:szCs w:val="20"/>
              </w:rPr>
            </w:pPr>
            <w:r w:rsidRPr="002A2097">
              <w:rPr>
                <w:rFonts w:ascii="Times New Roman" w:hAnsi="Times New Roman"/>
                <w:sz w:val="20"/>
                <w:szCs w:val="20"/>
              </w:rPr>
              <w:t>Afskaffelse af registreringsafgift</w:t>
            </w:r>
          </w:p>
        </w:tc>
        <w:tc>
          <w:tcPr>
            <w:tcW w:w="992" w:type="dxa"/>
            <w:tcBorders>
              <w:bottom w:val="nil"/>
              <w:right w:val="single" w:sz="4" w:space="0" w:color="auto"/>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709" w:type="dxa"/>
            <w:tcBorders>
              <w:top w:val="single" w:sz="4" w:space="0" w:color="auto"/>
              <w:left w:val="single" w:sz="4" w:space="0" w:color="auto"/>
              <w:bottom w:val="nil"/>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709" w:type="dxa"/>
            <w:tcBorders>
              <w:top w:val="single" w:sz="4" w:space="0" w:color="auto"/>
              <w:left w:val="nil"/>
              <w:bottom w:val="nil"/>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708" w:type="dxa"/>
            <w:tcBorders>
              <w:top w:val="single" w:sz="4" w:space="0" w:color="auto"/>
              <w:left w:val="nil"/>
              <w:bottom w:val="nil"/>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709" w:type="dxa"/>
            <w:tcBorders>
              <w:top w:val="single" w:sz="4" w:space="0" w:color="auto"/>
              <w:left w:val="nil"/>
              <w:bottom w:val="nil"/>
              <w:right w:val="single" w:sz="4" w:space="0" w:color="auto"/>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992" w:type="dxa"/>
            <w:tcBorders>
              <w:left w:val="single" w:sz="4" w:space="0" w:color="auto"/>
              <w:bottom w:val="nil"/>
              <w:right w:val="nil"/>
            </w:tcBorders>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-30</w:t>
            </w:r>
          </w:p>
        </w:tc>
      </w:tr>
      <w:tr w:rsidR="00FA304E" w:rsidRPr="002A2097" w:rsidTr="002528C0">
        <w:tc>
          <w:tcPr>
            <w:tcW w:w="4258" w:type="dxa"/>
            <w:tcBorders>
              <w:left w:val="nil"/>
            </w:tcBorders>
            <w:shd w:val="clear" w:color="auto" w:fill="auto"/>
          </w:tcPr>
          <w:p w:rsidR="00FA304E" w:rsidRPr="002A2097" w:rsidRDefault="00FA304E" w:rsidP="002528C0">
            <w:pPr>
              <w:pStyle w:val="Tabel-Tekst"/>
              <w:rPr>
                <w:rFonts w:ascii="Times New Roman" w:hAnsi="Times New Roman"/>
                <w:sz w:val="20"/>
                <w:szCs w:val="20"/>
              </w:rPr>
            </w:pPr>
            <w:r w:rsidRPr="002A2097">
              <w:rPr>
                <w:rFonts w:ascii="Times New Roman" w:hAnsi="Times New Roman"/>
                <w:sz w:val="20"/>
                <w:szCs w:val="20"/>
              </w:rPr>
              <w:t>Afskaffelse af frikørselsordning</w:t>
            </w:r>
          </w:p>
        </w:tc>
        <w:tc>
          <w:tcPr>
            <w:tcW w:w="992" w:type="dxa"/>
            <w:tcBorders>
              <w:top w:val="nil"/>
              <w:right w:val="single" w:sz="4" w:space="0" w:color="auto"/>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255</w:t>
            </w:r>
          </w:p>
        </w:tc>
        <w:tc>
          <w:tcPr>
            <w:tcW w:w="709" w:type="dxa"/>
            <w:tcBorders>
              <w:top w:val="nil"/>
              <w:left w:val="single" w:sz="4" w:space="0" w:color="auto"/>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0</w:t>
            </w:r>
          </w:p>
        </w:tc>
        <w:tc>
          <w:tcPr>
            <w:tcW w:w="709" w:type="dxa"/>
            <w:tcBorders>
              <w:top w:val="nil"/>
              <w:left w:val="nil"/>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0</w:t>
            </w:r>
          </w:p>
        </w:tc>
        <w:tc>
          <w:tcPr>
            <w:tcW w:w="708" w:type="dxa"/>
            <w:tcBorders>
              <w:top w:val="nil"/>
              <w:left w:val="nil"/>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185</w:t>
            </w:r>
          </w:p>
        </w:tc>
        <w:tc>
          <w:tcPr>
            <w:tcW w:w="709" w:type="dxa"/>
            <w:tcBorders>
              <w:top w:val="nil"/>
              <w:left w:val="nil"/>
              <w:bottom w:val="single" w:sz="4" w:space="0" w:color="auto"/>
              <w:right w:val="single" w:sz="4" w:space="0" w:color="auto"/>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265</w:t>
            </w:r>
          </w:p>
        </w:tc>
        <w:tc>
          <w:tcPr>
            <w:tcW w:w="992" w:type="dxa"/>
            <w:tcBorders>
              <w:top w:val="nil"/>
              <w:left w:val="single" w:sz="4" w:space="0" w:color="auto"/>
              <w:right w:val="nil"/>
            </w:tcBorders>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0</w:t>
            </w:r>
          </w:p>
        </w:tc>
      </w:tr>
      <w:tr w:rsidR="00FA304E" w:rsidRPr="002A2097" w:rsidTr="002528C0">
        <w:tc>
          <w:tcPr>
            <w:tcW w:w="4258" w:type="dxa"/>
            <w:tcBorders>
              <w:left w:val="nil"/>
            </w:tcBorders>
            <w:shd w:val="clear" w:color="auto" w:fill="auto"/>
          </w:tcPr>
          <w:p w:rsidR="00FA304E" w:rsidRPr="002A2097" w:rsidRDefault="00FA304E" w:rsidP="002528C0">
            <w:pPr>
              <w:pStyle w:val="Tabel-Tekst"/>
              <w:rPr>
                <w:rFonts w:ascii="Times New Roman" w:hAnsi="Times New Roman"/>
                <w:b/>
                <w:sz w:val="20"/>
                <w:szCs w:val="20"/>
              </w:rPr>
            </w:pPr>
            <w:r w:rsidRPr="002A2097">
              <w:rPr>
                <w:rFonts w:ascii="Times New Roman" w:hAnsi="Times New Roman"/>
                <w:b/>
                <w:sz w:val="20"/>
                <w:szCs w:val="20"/>
              </w:rPr>
              <w:t>I alt umiddelbar provenuvirkning</w:t>
            </w:r>
          </w:p>
        </w:tc>
        <w:tc>
          <w:tcPr>
            <w:tcW w:w="992" w:type="dxa"/>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225</w:t>
            </w:r>
          </w:p>
        </w:tc>
        <w:tc>
          <w:tcPr>
            <w:tcW w:w="709" w:type="dxa"/>
            <w:tcBorders>
              <w:top w:val="single" w:sz="4" w:space="0" w:color="auto"/>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709" w:type="dxa"/>
            <w:tcBorders>
              <w:top w:val="single" w:sz="4" w:space="0" w:color="auto"/>
              <w:left w:val="nil"/>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-35</w:t>
            </w:r>
          </w:p>
        </w:tc>
        <w:tc>
          <w:tcPr>
            <w:tcW w:w="708" w:type="dxa"/>
            <w:tcBorders>
              <w:top w:val="single" w:sz="4" w:space="0" w:color="auto"/>
              <w:left w:val="nil"/>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155</w:t>
            </w:r>
          </w:p>
        </w:tc>
        <w:tc>
          <w:tcPr>
            <w:tcW w:w="709" w:type="dxa"/>
            <w:tcBorders>
              <w:top w:val="single" w:sz="4" w:space="0" w:color="auto"/>
              <w:left w:val="nil"/>
              <w:bottom w:val="single" w:sz="4" w:space="0" w:color="auto"/>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235</w:t>
            </w:r>
          </w:p>
        </w:tc>
        <w:tc>
          <w:tcPr>
            <w:tcW w:w="992" w:type="dxa"/>
            <w:tcBorders>
              <w:right w:val="nil"/>
            </w:tcBorders>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-30</w:t>
            </w:r>
          </w:p>
        </w:tc>
      </w:tr>
      <w:tr w:rsidR="00FA304E" w:rsidRPr="002A2097" w:rsidTr="002528C0">
        <w:tc>
          <w:tcPr>
            <w:tcW w:w="4258" w:type="dxa"/>
            <w:tcBorders>
              <w:left w:val="nil"/>
            </w:tcBorders>
            <w:shd w:val="clear" w:color="auto" w:fill="auto"/>
          </w:tcPr>
          <w:p w:rsidR="00FA304E" w:rsidRPr="002A2097" w:rsidRDefault="00FA304E" w:rsidP="002528C0">
            <w:pPr>
              <w:pStyle w:val="Tabel-Tekst"/>
              <w:rPr>
                <w:rFonts w:ascii="Times New Roman" w:hAnsi="Times New Roman"/>
                <w:sz w:val="20"/>
                <w:szCs w:val="20"/>
              </w:rPr>
            </w:pPr>
            <w:r w:rsidRPr="002A2097">
              <w:rPr>
                <w:rFonts w:ascii="Times New Roman" w:hAnsi="Times New Roman"/>
                <w:sz w:val="20"/>
                <w:szCs w:val="20"/>
              </w:rPr>
              <w:t>I alt provenuvirkning efter tilbageløb</w:t>
            </w:r>
          </w:p>
        </w:tc>
        <w:tc>
          <w:tcPr>
            <w:tcW w:w="992" w:type="dxa"/>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160</w:t>
            </w:r>
          </w:p>
        </w:tc>
        <w:tc>
          <w:tcPr>
            <w:tcW w:w="709" w:type="dxa"/>
            <w:tcBorders>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-25</w:t>
            </w:r>
          </w:p>
        </w:tc>
        <w:tc>
          <w:tcPr>
            <w:tcW w:w="709" w:type="dxa"/>
            <w:tcBorders>
              <w:left w:val="nil"/>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-25</w:t>
            </w:r>
          </w:p>
        </w:tc>
        <w:tc>
          <w:tcPr>
            <w:tcW w:w="708" w:type="dxa"/>
            <w:tcBorders>
              <w:left w:val="nil"/>
              <w:bottom w:val="single" w:sz="4" w:space="0" w:color="auto"/>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110</w:t>
            </w:r>
          </w:p>
        </w:tc>
        <w:tc>
          <w:tcPr>
            <w:tcW w:w="709" w:type="dxa"/>
            <w:tcBorders>
              <w:left w:val="nil"/>
              <w:bottom w:val="single" w:sz="4" w:space="0" w:color="auto"/>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165</w:t>
            </w:r>
          </w:p>
        </w:tc>
        <w:tc>
          <w:tcPr>
            <w:tcW w:w="992" w:type="dxa"/>
            <w:tcBorders>
              <w:right w:val="nil"/>
            </w:tcBorders>
          </w:tcPr>
          <w:p w:rsidR="00FA304E" w:rsidRPr="002A2097" w:rsidRDefault="00FA304E" w:rsidP="002528C0">
            <w:pPr>
              <w:pStyle w:val="Tabel-Tekst"/>
              <w:jc w:val="right"/>
              <w:rPr>
                <w:rFonts w:ascii="Times New Roman" w:hAnsi="Times New Roman"/>
                <w:sz w:val="20"/>
                <w:szCs w:val="20"/>
              </w:rPr>
            </w:pPr>
          </w:p>
        </w:tc>
      </w:tr>
      <w:tr w:rsidR="00FA304E" w:rsidRPr="002A2097" w:rsidTr="002528C0">
        <w:tc>
          <w:tcPr>
            <w:tcW w:w="4258" w:type="dxa"/>
            <w:tcBorders>
              <w:left w:val="nil"/>
            </w:tcBorders>
            <w:shd w:val="clear" w:color="auto" w:fill="auto"/>
          </w:tcPr>
          <w:p w:rsidR="00FA304E" w:rsidRPr="002A2097" w:rsidRDefault="00FA304E" w:rsidP="002528C0">
            <w:pPr>
              <w:pStyle w:val="Tabel-Tekst"/>
              <w:rPr>
                <w:rFonts w:ascii="Times New Roman" w:hAnsi="Times New Roman"/>
                <w:sz w:val="20"/>
                <w:szCs w:val="20"/>
              </w:rPr>
            </w:pPr>
            <w:r w:rsidRPr="002A2097">
              <w:rPr>
                <w:rFonts w:ascii="Times New Roman" w:hAnsi="Times New Roman"/>
                <w:sz w:val="20"/>
                <w:szCs w:val="20"/>
              </w:rPr>
              <w:t>I alt provenuvirkning efter tilbageløb og adfærd</w:t>
            </w:r>
          </w:p>
        </w:tc>
        <w:tc>
          <w:tcPr>
            <w:tcW w:w="992" w:type="dxa"/>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130</w:t>
            </w:r>
          </w:p>
        </w:tc>
        <w:tc>
          <w:tcPr>
            <w:tcW w:w="709" w:type="dxa"/>
            <w:tcBorders>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-30</w:t>
            </w:r>
          </w:p>
        </w:tc>
        <w:tc>
          <w:tcPr>
            <w:tcW w:w="709" w:type="dxa"/>
            <w:tcBorders>
              <w:left w:val="nil"/>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-30</w:t>
            </w:r>
          </w:p>
        </w:tc>
        <w:tc>
          <w:tcPr>
            <w:tcW w:w="708" w:type="dxa"/>
            <w:tcBorders>
              <w:left w:val="nil"/>
              <w:righ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85</w:t>
            </w:r>
          </w:p>
        </w:tc>
        <w:tc>
          <w:tcPr>
            <w:tcW w:w="709" w:type="dxa"/>
            <w:tcBorders>
              <w:left w:val="nil"/>
            </w:tcBorders>
            <w:shd w:val="clear" w:color="auto" w:fill="auto"/>
          </w:tcPr>
          <w:p w:rsidR="00FA304E" w:rsidRPr="002A2097" w:rsidRDefault="00FA304E" w:rsidP="002528C0">
            <w:pPr>
              <w:pStyle w:val="Tabel-Tekst"/>
              <w:jc w:val="right"/>
              <w:rPr>
                <w:rFonts w:ascii="Times New Roman" w:hAnsi="Times New Roman"/>
                <w:sz w:val="20"/>
                <w:szCs w:val="20"/>
              </w:rPr>
            </w:pPr>
            <w:r w:rsidRPr="002A2097">
              <w:rPr>
                <w:rFonts w:ascii="Times New Roman" w:hAnsi="Times New Roman"/>
                <w:sz w:val="20"/>
                <w:szCs w:val="20"/>
              </w:rPr>
              <w:t>135</w:t>
            </w:r>
          </w:p>
        </w:tc>
        <w:tc>
          <w:tcPr>
            <w:tcW w:w="992" w:type="dxa"/>
            <w:tcBorders>
              <w:right w:val="nil"/>
            </w:tcBorders>
          </w:tcPr>
          <w:p w:rsidR="00FA304E" w:rsidRPr="002A2097" w:rsidRDefault="00FA304E" w:rsidP="002528C0">
            <w:pPr>
              <w:pStyle w:val="Tabel-Tekst"/>
              <w:jc w:val="right"/>
              <w:rPr>
                <w:rFonts w:ascii="Times New Roman" w:hAnsi="Times New Roman"/>
                <w:sz w:val="20"/>
                <w:szCs w:val="20"/>
              </w:rPr>
            </w:pPr>
          </w:p>
        </w:tc>
      </w:tr>
    </w:tbl>
    <w:p w:rsidR="00FA304E" w:rsidRPr="002A2097" w:rsidRDefault="00FA304E" w:rsidP="00FA304E">
      <w:pPr>
        <w:rPr>
          <w:iCs/>
          <w:sz w:val="24"/>
        </w:rPr>
      </w:pPr>
    </w:p>
    <w:p w:rsidR="00FA304E" w:rsidRDefault="00FA304E" w:rsidP="00FA304E">
      <w:pPr>
        <w:rPr>
          <w:iCs/>
          <w:sz w:val="24"/>
        </w:rPr>
      </w:pPr>
      <w:r w:rsidRPr="002A2097">
        <w:rPr>
          <w:iCs/>
          <w:sz w:val="24"/>
        </w:rPr>
        <w:t xml:space="preserve">Afskaffelsen af registreringsafgiften for taxier, limousiner og sygetransportbiler forventes at medføre et mindreprovenu på 35 mio. kr. såvel i de enkelte år som i varig virkning. Finansårseffekten i 2015 forventes at udgøre </w:t>
      </w:r>
      <w:r>
        <w:rPr>
          <w:iCs/>
          <w:sz w:val="24"/>
        </w:rPr>
        <w:t>-</w:t>
      </w:r>
      <w:r w:rsidRPr="002A2097">
        <w:rPr>
          <w:iCs/>
          <w:sz w:val="24"/>
        </w:rPr>
        <w:t xml:space="preserve">30 mio. kr., da der i starten af 2015 afregnes registreringsafgift efter gældende regler for biler indregistreret i slutningen af 2014. </w:t>
      </w:r>
    </w:p>
    <w:p w:rsidR="00FA304E" w:rsidRDefault="00FA304E" w:rsidP="00FA304E">
      <w:pPr>
        <w:rPr>
          <w:iCs/>
          <w:sz w:val="24"/>
        </w:rPr>
      </w:pPr>
    </w:p>
    <w:p w:rsidR="00FA304E" w:rsidRPr="002A2097" w:rsidRDefault="00FA304E" w:rsidP="00FA304E">
      <w:pPr>
        <w:rPr>
          <w:iCs/>
          <w:sz w:val="24"/>
        </w:rPr>
      </w:pPr>
      <w:r w:rsidRPr="002A2097">
        <w:rPr>
          <w:iCs/>
          <w:sz w:val="24"/>
        </w:rPr>
        <w:t>Kørestolstaxier og OST-biler betaler ikke registreringsafgift efter gældende regler, og der er ikke nogen provenuvirkning for disse biler fra denne del af lovforslaget.</w:t>
      </w:r>
    </w:p>
    <w:p w:rsidR="00FA304E" w:rsidRPr="002A2097" w:rsidRDefault="00FA304E" w:rsidP="00FA304E">
      <w:pPr>
        <w:rPr>
          <w:iCs/>
          <w:sz w:val="24"/>
        </w:rPr>
      </w:pPr>
    </w:p>
    <w:p w:rsidR="00FA304E" w:rsidRPr="002A2097" w:rsidRDefault="00FA304E" w:rsidP="00FA304E">
      <w:pPr>
        <w:rPr>
          <w:iCs/>
          <w:sz w:val="24"/>
        </w:rPr>
      </w:pPr>
      <w:r w:rsidRPr="002A2097">
        <w:rPr>
          <w:iCs/>
          <w:sz w:val="24"/>
        </w:rPr>
        <w:t>Afskaffelsen af frikørselsordningen for taxier og limousiner indføres for biler, der indregistreres fra 1. januar 2015 og senere. Denne del af lovforslaget har derfor først provenuvirkning fra 2017, hvor de første biler fra 2015 ellers ville være frikørt efter gældende regler. Provenuvirkningen i 2017 forventes at udgøre ca. 185 mio. kr. svarende til registreringsafgiften fra taxier og limousiner, der ellers ville frikørt efter 2 år. Den fulde provenuvirkning på 265 mio. kr. pr. år opnås i 2018. Dette provenu svarer til den skønnede årlige registreringsafgift for taxier og limousiner, der ellers ville være frikørt både efter 2 år og 3 år. Provenuvirkningen af afskaffelsen af frikørselsordningen udgør 255 mio. kr. i varig virkning. Kørestolstaxier, sygetransportbiler og OST-biler kan ikke frikøres efter gældende regler, og der er ikke nogen provenuvirkning for disse biler fra denne del af lovforslaget.</w:t>
      </w:r>
    </w:p>
    <w:p w:rsidR="00FA304E" w:rsidRPr="002A2097" w:rsidRDefault="00FA304E" w:rsidP="00FA304E">
      <w:pPr>
        <w:rPr>
          <w:iCs/>
          <w:sz w:val="24"/>
        </w:rPr>
      </w:pPr>
    </w:p>
    <w:p w:rsidR="00FA304E" w:rsidRPr="002A2097" w:rsidRDefault="00FA304E" w:rsidP="00FA304E">
      <w:pPr>
        <w:rPr>
          <w:iCs/>
          <w:sz w:val="24"/>
        </w:rPr>
      </w:pPr>
      <w:r w:rsidRPr="002A2097">
        <w:rPr>
          <w:iCs/>
          <w:sz w:val="24"/>
        </w:rPr>
        <w:t xml:space="preserve">Harmoniseringen af vægt-, ejer- og udligningsafgiften indebærer ændringer for OST-biler. </w:t>
      </w:r>
      <w:r w:rsidRPr="002A2097">
        <w:rPr>
          <w:iCs/>
          <w:sz w:val="24"/>
        </w:rPr>
        <w:lastRenderedPageBreak/>
        <w:t xml:space="preserve">Vægt-, ejer- og udligningsafgiften for disse køretøjer svarer efter gældende regler til de tilsvarende afgifter for almindelige personbiler. Ifølge lovforslaget skal disse biler fremover fritages for vægt- og </w:t>
      </w:r>
      <w:r>
        <w:rPr>
          <w:iCs/>
          <w:sz w:val="24"/>
        </w:rPr>
        <w:t>brændstofforbrugsafgift</w:t>
      </w:r>
      <w:r w:rsidRPr="002A2097">
        <w:rPr>
          <w:iCs/>
          <w:sz w:val="24"/>
        </w:rPr>
        <w:t>. Til gengæld betales udligningsafgift for dieselbiler med det dobbelte af satsen efter gældende regler for almindelige personbiler. Hermed bringes reglerne i overensstemmelse med de regler, der gælder for de øvrige typer af personbiler til erhvervsmæssig persontransport. Denne del af forslaget har ikke nævneværdige provenumæssige virkninger.</w:t>
      </w:r>
    </w:p>
    <w:p w:rsidR="00FA304E" w:rsidRPr="002A2097" w:rsidRDefault="00FA304E" w:rsidP="00FA304E">
      <w:pPr>
        <w:rPr>
          <w:iCs/>
          <w:sz w:val="24"/>
        </w:rPr>
      </w:pPr>
    </w:p>
    <w:p w:rsidR="00FA304E" w:rsidRDefault="00FA304E" w:rsidP="00FA304E">
      <w:pPr>
        <w:rPr>
          <w:iCs/>
          <w:sz w:val="24"/>
        </w:rPr>
      </w:pPr>
      <w:r w:rsidRPr="002A2097">
        <w:rPr>
          <w:iCs/>
          <w:sz w:val="24"/>
        </w:rPr>
        <w:t xml:space="preserve">Beregningen af provenuvirkninger er foretaget med udgangspunkt dels i registerdata for bestanden af køretøjer og betalt afgift pr. køretøj, dels </w:t>
      </w:r>
      <w:r w:rsidR="00437CEB">
        <w:rPr>
          <w:iCs/>
          <w:sz w:val="24"/>
        </w:rPr>
        <w:t xml:space="preserve">i </w:t>
      </w:r>
      <w:r w:rsidRPr="002A2097">
        <w:rPr>
          <w:iCs/>
          <w:sz w:val="24"/>
        </w:rPr>
        <w:t>antallet af udstedte tilladelser indenfor de enkelte tilladelseskategorier. Desuden er anvendt skøn for det aktuelle niveau for antallet af nyregistrerede og antal frikørte biler pr. år. For flere tilladelsestyper er der tale om en del variation i antallet af nyregistreringer fra år til år, og de anvendte skøn er baseret på vurderinger af bl.a. bestandens størrelse og det gennemsnitlige antal nyregistreringer</w:t>
      </w:r>
      <w:r>
        <w:rPr>
          <w:iCs/>
          <w:sz w:val="24"/>
        </w:rPr>
        <w:t xml:space="preserve"> over en flerårig</w:t>
      </w:r>
      <w:r w:rsidRPr="002A2097">
        <w:rPr>
          <w:iCs/>
          <w:sz w:val="24"/>
        </w:rPr>
        <w:t xml:space="preserve"> periode. I de kategorier, hvor bilerne kan frikøres, er der beregnet afgiftsværdier for de frikørte biler. Det antages, at antallet af frikørsler svarer til antallet af nyregistreringer. Afgiftsværdierne er opgjort med udgangspunkt i indsamlede priser på en række frikørte biler eller biler med ligne</w:t>
      </w:r>
      <w:r>
        <w:rPr>
          <w:iCs/>
          <w:sz w:val="24"/>
        </w:rPr>
        <w:t>n</w:t>
      </w:r>
      <w:r w:rsidRPr="002A2097">
        <w:rPr>
          <w:iCs/>
          <w:sz w:val="24"/>
        </w:rPr>
        <w:t>de alder og kilometertal. Da beregningerne i væsentligt omfang er baseret på vurderinger og skøn, er opgørelsen af provenuvirkningerne behæftet med usikkerhed.</w:t>
      </w:r>
    </w:p>
    <w:p w:rsidR="00FA304E" w:rsidRPr="002A2097" w:rsidRDefault="00FA304E" w:rsidP="00FA304E">
      <w:pPr>
        <w:rPr>
          <w:iCs/>
          <w:sz w:val="24"/>
        </w:rPr>
      </w:pPr>
    </w:p>
    <w:p w:rsidR="00FA304E" w:rsidRDefault="00FA304E" w:rsidP="00FA304E">
      <w:pPr>
        <w:rPr>
          <w:iCs/>
          <w:sz w:val="24"/>
        </w:rPr>
      </w:pPr>
      <w:r>
        <w:rPr>
          <w:iCs/>
          <w:sz w:val="24"/>
        </w:rPr>
        <w:t>Mindreprovenuet i 2015 og 2016 samt merprovenuet i 2017 og de efterfølgende år reduceres som følge af tilbageløb fra andre skatter og afgifter. Samlet set forventes den umiddelbare provenuvirkning på 225 mio. kr. årligt i varig virkning reduceret til 160 mio. kr. årligt i varig virkning efter tilbageløb.</w:t>
      </w:r>
    </w:p>
    <w:p w:rsidR="00FA304E" w:rsidRPr="002A2097" w:rsidRDefault="00FA304E" w:rsidP="00FA304E">
      <w:pPr>
        <w:rPr>
          <w:iCs/>
          <w:sz w:val="24"/>
        </w:rPr>
      </w:pPr>
    </w:p>
    <w:p w:rsidR="00FA304E" w:rsidRDefault="00FA304E" w:rsidP="00FA304E">
      <w:pPr>
        <w:rPr>
          <w:iCs/>
          <w:sz w:val="24"/>
        </w:rPr>
      </w:pPr>
      <w:r w:rsidRPr="002A2097">
        <w:rPr>
          <w:iCs/>
          <w:sz w:val="24"/>
        </w:rPr>
        <w:t>Adfærdseffekterne er opgjort under den forudsætning, at meromkostningerne for erhvervet, når forslaget er fuldt indfaset, overvæltes i priserne for erhvervets ydelser. Effekterne omfatter dels ændret arbejdsudbud, dels reduceret forbrugsmulighed og substitution fra køb af taxiydelser til køb af andre typer varer og tjenesteydelser. Det er usikkert, om meromkostningerne kan overvæltes, idet taximarkedet er et reguleret marked, hvor kommunerne fastsætter bl.a. maksimale takster for kørslen.</w:t>
      </w:r>
    </w:p>
    <w:p w:rsidR="00C81EFA" w:rsidRPr="002A2097" w:rsidRDefault="00C81EFA" w:rsidP="00C81EFA">
      <w:pPr>
        <w:rPr>
          <w:i/>
          <w:iCs/>
          <w:sz w:val="24"/>
        </w:rPr>
      </w:pPr>
    </w:p>
    <w:p w:rsidR="00C81EFA" w:rsidRDefault="00C81EFA" w:rsidP="00C81EFA">
      <w:pPr>
        <w:rPr>
          <w:i/>
          <w:iCs/>
          <w:sz w:val="24"/>
        </w:rPr>
      </w:pPr>
      <w:r w:rsidRPr="002A2097">
        <w:rPr>
          <w:i/>
          <w:iCs/>
          <w:sz w:val="24"/>
        </w:rPr>
        <w:t xml:space="preserve">5. Administrative konsekvenser for det offentlige </w:t>
      </w:r>
    </w:p>
    <w:p w:rsidR="00C6761E" w:rsidRPr="002A2097" w:rsidRDefault="00C6761E" w:rsidP="00C81EFA">
      <w:pPr>
        <w:rPr>
          <w:i/>
          <w:iCs/>
          <w:sz w:val="24"/>
        </w:rPr>
      </w:pPr>
    </w:p>
    <w:p w:rsidR="00C6761E" w:rsidRDefault="00C6761E" w:rsidP="00C81EFA">
      <w:pPr>
        <w:rPr>
          <w:i/>
          <w:iCs/>
          <w:color w:val="000000"/>
          <w:sz w:val="24"/>
        </w:rPr>
      </w:pPr>
      <w:r>
        <w:rPr>
          <w:i/>
          <w:iCs/>
          <w:color w:val="000000"/>
          <w:sz w:val="24"/>
        </w:rPr>
        <w:t>5</w:t>
      </w:r>
      <w:r w:rsidRPr="002A2097">
        <w:rPr>
          <w:i/>
          <w:iCs/>
          <w:color w:val="000000"/>
          <w:sz w:val="24"/>
        </w:rPr>
        <w:t>.1. Fuldt fradrag for moms på hotelovernatninger</w:t>
      </w:r>
    </w:p>
    <w:p w:rsidR="00C6761E" w:rsidRPr="00C6761E" w:rsidRDefault="00C6761E" w:rsidP="00C6761E">
      <w:pPr>
        <w:rPr>
          <w:i/>
          <w:iCs/>
          <w:color w:val="000000"/>
          <w:sz w:val="24"/>
        </w:rPr>
      </w:pPr>
      <w:r w:rsidRPr="002A2097">
        <w:rPr>
          <w:sz w:val="24"/>
        </w:rPr>
        <w:t>Forslaget skønnes ikke at medføre administrative konsekvenser for det offentlige.</w:t>
      </w:r>
    </w:p>
    <w:p w:rsidR="00C6761E" w:rsidRDefault="00C6761E" w:rsidP="00C81EFA">
      <w:pPr>
        <w:rPr>
          <w:i/>
          <w:iCs/>
          <w:color w:val="000000"/>
          <w:sz w:val="24"/>
        </w:rPr>
      </w:pPr>
    </w:p>
    <w:p w:rsidR="00C6761E" w:rsidRPr="002A2097" w:rsidRDefault="00C6761E" w:rsidP="00C6761E">
      <w:pPr>
        <w:rPr>
          <w:i/>
          <w:iCs/>
          <w:sz w:val="24"/>
        </w:rPr>
      </w:pPr>
      <w:r>
        <w:rPr>
          <w:i/>
          <w:iCs/>
          <w:sz w:val="24"/>
        </w:rPr>
        <w:t>5</w:t>
      </w:r>
      <w:r w:rsidRPr="002A2097">
        <w:rPr>
          <w:i/>
          <w:iCs/>
          <w:sz w:val="24"/>
        </w:rPr>
        <w:t xml:space="preserve">.2. Afgiftsharmonisering for taxier </w:t>
      </w:r>
      <w:r>
        <w:rPr>
          <w:i/>
          <w:iCs/>
          <w:sz w:val="24"/>
        </w:rPr>
        <w:t>m.v</w:t>
      </w:r>
      <w:r w:rsidRPr="002A2097">
        <w:rPr>
          <w:i/>
          <w:iCs/>
          <w:sz w:val="24"/>
        </w:rPr>
        <w:t>.</w:t>
      </w:r>
    </w:p>
    <w:p w:rsidR="00C81EFA" w:rsidRDefault="00437CEB" w:rsidP="00C81EFA">
      <w:pPr>
        <w:rPr>
          <w:iCs/>
          <w:color w:val="000000"/>
          <w:sz w:val="24"/>
        </w:rPr>
      </w:pPr>
      <w:r w:rsidRPr="00437CEB">
        <w:rPr>
          <w:iCs/>
          <w:color w:val="000000"/>
          <w:sz w:val="24"/>
        </w:rPr>
        <w:t>Det skønnes, at der vil være engangsomkostninger på 500.000 kr. til systemtilretninger.</w:t>
      </w:r>
    </w:p>
    <w:p w:rsidR="00437CEB" w:rsidRPr="00437CEB" w:rsidRDefault="00437CEB" w:rsidP="00C81EFA">
      <w:pPr>
        <w:rPr>
          <w:iCs/>
          <w:color w:val="000000"/>
          <w:sz w:val="24"/>
        </w:rPr>
      </w:pPr>
    </w:p>
    <w:p w:rsidR="00C81EFA" w:rsidRPr="002A2097" w:rsidRDefault="00C81EFA" w:rsidP="00C81EFA">
      <w:pPr>
        <w:rPr>
          <w:i/>
          <w:iCs/>
          <w:sz w:val="24"/>
        </w:rPr>
      </w:pPr>
      <w:r w:rsidRPr="002A2097">
        <w:rPr>
          <w:i/>
          <w:iCs/>
          <w:sz w:val="24"/>
        </w:rPr>
        <w:t xml:space="preserve">6. Økonomiske konsekvenser for erhvervslivet </w:t>
      </w:r>
    </w:p>
    <w:p w:rsidR="00C81EFA" w:rsidRPr="002A2097" w:rsidRDefault="00C81EFA" w:rsidP="00C81EFA">
      <w:pPr>
        <w:rPr>
          <w:i/>
          <w:iCs/>
          <w:sz w:val="24"/>
        </w:rPr>
      </w:pPr>
    </w:p>
    <w:p w:rsidR="00C81EFA" w:rsidRPr="002A2097" w:rsidRDefault="00C81EFA" w:rsidP="00C81EFA">
      <w:pPr>
        <w:rPr>
          <w:i/>
          <w:iCs/>
          <w:color w:val="000000"/>
          <w:sz w:val="24"/>
        </w:rPr>
      </w:pPr>
      <w:r w:rsidRPr="002A2097">
        <w:rPr>
          <w:i/>
          <w:iCs/>
          <w:color w:val="000000"/>
          <w:sz w:val="24"/>
        </w:rPr>
        <w:t>6.1. Fuldt fradrag for moms på hotelovernatninger</w:t>
      </w:r>
    </w:p>
    <w:p w:rsidR="00C81EFA" w:rsidRPr="002A2097" w:rsidRDefault="00C81EFA" w:rsidP="00C81EFA">
      <w:pPr>
        <w:rPr>
          <w:iCs/>
          <w:color w:val="000000"/>
          <w:sz w:val="24"/>
        </w:rPr>
      </w:pPr>
      <w:r w:rsidRPr="002A2097">
        <w:rPr>
          <w:iCs/>
          <w:color w:val="000000"/>
          <w:sz w:val="24"/>
        </w:rPr>
        <w:t xml:space="preserve">Det private erhvervsliv får en umiddelbar lempelse svarende til det umiddelbare mindreprovenu på 220 mio. kr.  </w:t>
      </w:r>
    </w:p>
    <w:p w:rsidR="00C81EFA" w:rsidRPr="002A2097" w:rsidRDefault="00C81EFA" w:rsidP="00C81EFA">
      <w:pPr>
        <w:rPr>
          <w:iCs/>
          <w:color w:val="000000"/>
          <w:sz w:val="24"/>
        </w:rPr>
      </w:pPr>
    </w:p>
    <w:p w:rsidR="00C81EFA" w:rsidRPr="002A2097" w:rsidRDefault="00C81EFA" w:rsidP="00C81EFA">
      <w:pPr>
        <w:rPr>
          <w:iCs/>
          <w:color w:val="000000"/>
          <w:sz w:val="24"/>
        </w:rPr>
      </w:pPr>
      <w:r w:rsidRPr="002A2097">
        <w:rPr>
          <w:iCs/>
          <w:color w:val="000000"/>
          <w:sz w:val="24"/>
        </w:rPr>
        <w:t xml:space="preserve">Hertil kommer, at forslaget styrker konkurrenceevnen for danske udbydere af </w:t>
      </w:r>
      <w:r w:rsidRPr="002A2097">
        <w:rPr>
          <w:iCs/>
          <w:color w:val="000000"/>
          <w:sz w:val="24"/>
        </w:rPr>
        <w:lastRenderedPageBreak/>
        <w:t>hotelovernatninger over for konkurrenter i udlandet. Denne effekt forventes at føre til</w:t>
      </w:r>
      <w:r w:rsidR="007947A1">
        <w:rPr>
          <w:iCs/>
          <w:color w:val="000000"/>
          <w:sz w:val="24"/>
        </w:rPr>
        <w:t>,</w:t>
      </w:r>
      <w:r w:rsidRPr="002A2097">
        <w:rPr>
          <w:iCs/>
          <w:color w:val="000000"/>
          <w:sz w:val="24"/>
        </w:rPr>
        <w:t xml:space="preserve"> at et antal danske og udenlandske virksomheder, der i dag lægger deres forbrug af hotelovernatninger i u</w:t>
      </w:r>
      <w:r w:rsidR="008A72FA">
        <w:rPr>
          <w:iCs/>
          <w:color w:val="000000"/>
          <w:sz w:val="24"/>
        </w:rPr>
        <w:t>dlandet, vil flytte en del af dette forbrug</w:t>
      </w:r>
      <w:r w:rsidRPr="002A2097">
        <w:rPr>
          <w:iCs/>
          <w:color w:val="000000"/>
          <w:sz w:val="24"/>
        </w:rPr>
        <w:t xml:space="preserve"> til Danmark. </w:t>
      </w:r>
    </w:p>
    <w:p w:rsidR="00C81EFA" w:rsidRPr="002A2097" w:rsidRDefault="00C81EFA" w:rsidP="00C81EFA">
      <w:pPr>
        <w:rPr>
          <w:iCs/>
          <w:sz w:val="24"/>
        </w:rPr>
      </w:pPr>
    </w:p>
    <w:p w:rsidR="00C81EFA" w:rsidRPr="002A2097" w:rsidRDefault="00C81EFA" w:rsidP="00C81EFA">
      <w:pPr>
        <w:rPr>
          <w:iCs/>
          <w:sz w:val="24"/>
        </w:rPr>
      </w:pPr>
    </w:p>
    <w:p w:rsidR="00C81EFA" w:rsidRPr="002A2097" w:rsidRDefault="00C81EFA" w:rsidP="00C81EFA">
      <w:pPr>
        <w:rPr>
          <w:i/>
          <w:iCs/>
          <w:sz w:val="24"/>
        </w:rPr>
      </w:pPr>
      <w:r w:rsidRPr="002A2097">
        <w:rPr>
          <w:i/>
          <w:iCs/>
          <w:sz w:val="24"/>
        </w:rPr>
        <w:t xml:space="preserve">6.2. Afgiftsharmonisering for taxier </w:t>
      </w:r>
      <w:r>
        <w:rPr>
          <w:i/>
          <w:iCs/>
          <w:sz w:val="24"/>
        </w:rPr>
        <w:t>m.v</w:t>
      </w:r>
      <w:r w:rsidRPr="002A2097">
        <w:rPr>
          <w:i/>
          <w:iCs/>
          <w:sz w:val="24"/>
        </w:rPr>
        <w:t>.</w:t>
      </w:r>
    </w:p>
    <w:p w:rsidR="00C81EFA" w:rsidRPr="002A2097" w:rsidRDefault="00C81EFA" w:rsidP="00C81EFA">
      <w:pPr>
        <w:rPr>
          <w:iCs/>
          <w:sz w:val="24"/>
        </w:rPr>
      </w:pPr>
      <w:r w:rsidRPr="002A2097">
        <w:rPr>
          <w:iCs/>
          <w:sz w:val="24"/>
        </w:rPr>
        <w:t xml:space="preserve">Omkostningerne i taxierhvervet vil blive forøget svarende til det umiddelbare merprovenu på ca. </w:t>
      </w:r>
      <w:r>
        <w:rPr>
          <w:iCs/>
          <w:sz w:val="24"/>
        </w:rPr>
        <w:t>235 mio. kr.</w:t>
      </w:r>
      <w:r w:rsidRPr="002A2097">
        <w:rPr>
          <w:iCs/>
          <w:sz w:val="24"/>
        </w:rPr>
        <w:t xml:space="preserve"> årligt, når ændringerne er fuldt indfaset</w:t>
      </w:r>
      <w:r>
        <w:rPr>
          <w:iCs/>
          <w:sz w:val="24"/>
        </w:rPr>
        <w:t>,</w:t>
      </w:r>
      <w:r w:rsidRPr="002A2097">
        <w:rPr>
          <w:iCs/>
          <w:sz w:val="24"/>
        </w:rPr>
        <w:t xml:space="preserve"> og ca. 225 mio. kr. årligt i varig virkning. Meromkostningen skyldes afskaffelsen af frikørselsordningen, mens omvendt afskaffelsen af registreringsafgiften isoleret set resulterer i reducerede omkostninger. Meromkostningerne bæres af de dele af erhvervet, der har biler, der er omfattet af frikørselsordningen efter gældende regler, dvs. taxier og limousiner. Omvendt reduceres omkostningerne i erhverv, der udøver sygetransport, idet registreringsafgiften afskaffes for biler til sygetransport samtidig med, at der ikke er mulighed for at frikøre disse biler, hverken efter gældende regler eller ifølge lovforslaget. For så vidt angår kørestolstaxier og OST-biler (biler til offentlig servicetrafik) er der ikke nævneværdige økonomiske konsekvenser for erhvervslivet.</w:t>
      </w:r>
    </w:p>
    <w:p w:rsidR="00C81EFA" w:rsidRPr="002A2097" w:rsidRDefault="00C81EFA" w:rsidP="00C81EFA">
      <w:pPr>
        <w:rPr>
          <w:iCs/>
          <w:sz w:val="24"/>
        </w:rPr>
      </w:pPr>
    </w:p>
    <w:p w:rsidR="00C81EFA" w:rsidRPr="002A2097" w:rsidRDefault="00C81EFA" w:rsidP="00C81EFA">
      <w:pPr>
        <w:rPr>
          <w:iCs/>
          <w:sz w:val="24"/>
        </w:rPr>
      </w:pPr>
      <w:r w:rsidRPr="002A2097">
        <w:rPr>
          <w:iCs/>
          <w:sz w:val="24"/>
        </w:rPr>
        <w:t xml:space="preserve">Det er usikkert, om meromkostningerne kan overvæltes i priserne for taxiydelser, idet taximarkedet er et reguleret marked, hvor kommunerne fastsætter bl.a. maksimale takster for kørslen. I den udstrækning, der er mulighed for hel eller delvis overvæltning, vil meromkostningerne blive båret af andre typer virksomheder samt af private. De samlede økonomiske konsekvenser for erhvervslivet </w:t>
      </w:r>
      <w:r w:rsidR="006559E2">
        <w:rPr>
          <w:iCs/>
          <w:sz w:val="24"/>
        </w:rPr>
        <w:t xml:space="preserve">kan således evt. blive reduceret </w:t>
      </w:r>
      <w:r w:rsidRPr="002A2097">
        <w:rPr>
          <w:iCs/>
          <w:sz w:val="24"/>
        </w:rPr>
        <w:t>gennem hel eller delvis overvæltning.</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7. Administrative konsekvenser for erhvervslivet </w:t>
      </w:r>
    </w:p>
    <w:p w:rsidR="00C81EFA" w:rsidRPr="002A2097" w:rsidRDefault="00C81EFA" w:rsidP="00C81EFA">
      <w:pPr>
        <w:rPr>
          <w:i/>
          <w:iCs/>
          <w:sz w:val="24"/>
        </w:rPr>
      </w:pPr>
    </w:p>
    <w:p w:rsidR="00C81EFA" w:rsidRPr="002A2097" w:rsidRDefault="00C81EFA" w:rsidP="00C81EFA">
      <w:pPr>
        <w:rPr>
          <w:i/>
          <w:iCs/>
          <w:color w:val="000000"/>
          <w:sz w:val="24"/>
        </w:rPr>
      </w:pPr>
      <w:r w:rsidRPr="002A2097">
        <w:rPr>
          <w:i/>
          <w:iCs/>
          <w:color w:val="000000"/>
          <w:sz w:val="24"/>
        </w:rPr>
        <w:t>7.1. Fuldt fradrag for moms på hotelovernatninger</w:t>
      </w:r>
    </w:p>
    <w:p w:rsidR="00AD267E" w:rsidRDefault="00A93BFC" w:rsidP="00C81EFA">
      <w:pPr>
        <w:rPr>
          <w:color w:val="000000"/>
          <w:sz w:val="24"/>
        </w:rPr>
      </w:pPr>
      <w:r>
        <w:rPr>
          <w:color w:val="000000"/>
          <w:sz w:val="24"/>
        </w:rPr>
        <w:t>Ændringen medfører, at der kan foretages fuldt fradrag for</w:t>
      </w:r>
      <w:r w:rsidR="00AD267E">
        <w:rPr>
          <w:color w:val="000000"/>
          <w:sz w:val="24"/>
        </w:rPr>
        <w:t xml:space="preserve"> mo</w:t>
      </w:r>
      <w:r>
        <w:rPr>
          <w:color w:val="000000"/>
          <w:sz w:val="24"/>
        </w:rPr>
        <w:t>ms på hotelovernatninger</w:t>
      </w:r>
      <w:r w:rsidR="00AD267E">
        <w:rPr>
          <w:color w:val="000000"/>
          <w:sz w:val="24"/>
        </w:rPr>
        <w:t>, mens</w:t>
      </w:r>
      <w:r>
        <w:rPr>
          <w:color w:val="000000"/>
          <w:sz w:val="24"/>
        </w:rPr>
        <w:t xml:space="preserve"> fradragsbegrænsningen i forhold til restaurationsydelser bevares</w:t>
      </w:r>
      <w:r w:rsidR="00AD267E">
        <w:rPr>
          <w:color w:val="000000"/>
          <w:sz w:val="24"/>
        </w:rPr>
        <w:t>.</w:t>
      </w:r>
      <w:r>
        <w:rPr>
          <w:color w:val="000000"/>
          <w:sz w:val="24"/>
        </w:rPr>
        <w:t xml:space="preserve"> Efter gældende regler kan der foretages fradrag for 25 pct. af afgiften, som er pålagt restaurationsydelser. </w:t>
      </w:r>
      <w:r w:rsidR="00AD267E">
        <w:rPr>
          <w:color w:val="000000"/>
          <w:sz w:val="24"/>
        </w:rPr>
        <w:t xml:space="preserve"> </w:t>
      </w:r>
    </w:p>
    <w:p w:rsidR="00AD267E" w:rsidRDefault="00AD267E" w:rsidP="00C81EFA">
      <w:pPr>
        <w:rPr>
          <w:color w:val="000000"/>
          <w:sz w:val="24"/>
        </w:rPr>
      </w:pPr>
    </w:p>
    <w:p w:rsidR="00C81EFA" w:rsidRPr="002A2097" w:rsidRDefault="00C81EFA" w:rsidP="00C81EFA">
      <w:pPr>
        <w:rPr>
          <w:color w:val="000000"/>
          <w:sz w:val="24"/>
        </w:rPr>
      </w:pPr>
      <w:r w:rsidRPr="002A2097">
        <w:rPr>
          <w:color w:val="000000"/>
          <w:sz w:val="24"/>
        </w:rPr>
        <w:t>En differentieret momsfradragssats på henholdsvis restaurations- og hotelydelser medfører administrative omkostninger for virksomheder, der tilbyder begge ydelser i pakkeform. En differentiering i momsfradragssatsen eksisterer dog allerede i dag, og det vurderes på denne baggrund</w:t>
      </w:r>
      <w:r w:rsidR="00473A33">
        <w:rPr>
          <w:color w:val="000000"/>
          <w:sz w:val="24"/>
        </w:rPr>
        <w:t>,</w:t>
      </w:r>
      <w:r w:rsidRPr="002A2097">
        <w:rPr>
          <w:color w:val="000000"/>
          <w:sz w:val="24"/>
        </w:rPr>
        <w:t xml:space="preserve"> at fuld fradragsret for virksomheders momsudgifter til hotelovernatninger ikke vil give øgede administrative konsekvenser for erhvervslivet.</w:t>
      </w:r>
    </w:p>
    <w:p w:rsidR="00C81EFA" w:rsidRPr="002A2097" w:rsidRDefault="00C81EFA" w:rsidP="00C81EFA">
      <w:pPr>
        <w:rPr>
          <w:color w:val="000000"/>
          <w:sz w:val="24"/>
        </w:rPr>
      </w:pPr>
    </w:p>
    <w:p w:rsidR="00C81EFA" w:rsidRPr="002A2097" w:rsidRDefault="00C81EFA" w:rsidP="00C81EFA">
      <w:pPr>
        <w:spacing w:before="60" w:after="60"/>
        <w:jc w:val="both"/>
        <w:rPr>
          <w:color w:val="000000"/>
          <w:sz w:val="24"/>
        </w:rPr>
      </w:pPr>
      <w:r w:rsidRPr="002A2097">
        <w:rPr>
          <w:color w:val="000000"/>
          <w:sz w:val="24"/>
        </w:rPr>
        <w:t>Lovforslaget sendes i høring hos Erhvervs- og Selskabsstyrelsens Center for Kvalitet i ErhvervsRegulering (CKR).</w:t>
      </w:r>
    </w:p>
    <w:p w:rsidR="00C81EFA" w:rsidRPr="002A2097" w:rsidRDefault="00C81EFA" w:rsidP="00C81EFA">
      <w:pPr>
        <w:rPr>
          <w:color w:val="000000"/>
          <w:sz w:val="24"/>
        </w:rPr>
      </w:pPr>
    </w:p>
    <w:p w:rsidR="00C81EFA" w:rsidRPr="002A2097" w:rsidRDefault="00C81EFA" w:rsidP="00C81EFA">
      <w:pPr>
        <w:rPr>
          <w:i/>
          <w:color w:val="000000"/>
          <w:sz w:val="24"/>
        </w:rPr>
      </w:pPr>
      <w:r w:rsidRPr="002A2097">
        <w:rPr>
          <w:i/>
          <w:color w:val="000000"/>
          <w:sz w:val="24"/>
        </w:rPr>
        <w:t xml:space="preserve">7.2. Afgiftsharmonisering for taxier </w:t>
      </w:r>
      <w:r>
        <w:rPr>
          <w:i/>
          <w:color w:val="000000"/>
          <w:sz w:val="24"/>
        </w:rPr>
        <w:t>m.v</w:t>
      </w:r>
      <w:r w:rsidRPr="002A2097">
        <w:rPr>
          <w:i/>
          <w:color w:val="000000"/>
          <w:sz w:val="24"/>
        </w:rPr>
        <w:t xml:space="preserve">. </w:t>
      </w:r>
    </w:p>
    <w:p w:rsidR="00C81EFA" w:rsidRPr="002A2097" w:rsidRDefault="00C81EFA" w:rsidP="00C81EFA">
      <w:pPr>
        <w:rPr>
          <w:color w:val="000000"/>
          <w:sz w:val="24"/>
        </w:rPr>
      </w:pPr>
      <w:r w:rsidRPr="002A2097">
        <w:rPr>
          <w:color w:val="000000"/>
          <w:sz w:val="24"/>
        </w:rPr>
        <w:t xml:space="preserve">Forslaget medfører en administrativ byrde i form af ændringer i proceduren for vurdering og afgiftsberigtigelse i forbindelse med de omhandlede personbilers </w:t>
      </w:r>
      <w:r w:rsidR="002528C0">
        <w:rPr>
          <w:color w:val="000000"/>
          <w:sz w:val="24"/>
        </w:rPr>
        <w:t>omregistrering</w:t>
      </w:r>
      <w:r w:rsidRPr="002A2097">
        <w:rPr>
          <w:color w:val="000000"/>
          <w:sz w:val="24"/>
        </w:rPr>
        <w:t xml:space="preserve"> til </w:t>
      </w:r>
      <w:r w:rsidR="006559E2">
        <w:rPr>
          <w:color w:val="000000"/>
          <w:sz w:val="24"/>
        </w:rPr>
        <w:t>anden anvendelse</w:t>
      </w:r>
      <w:r w:rsidRPr="002A2097">
        <w:rPr>
          <w:color w:val="000000"/>
          <w:sz w:val="24"/>
        </w:rPr>
        <w:t xml:space="preserve">.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color w:val="000000"/>
          <w:sz w:val="24"/>
        </w:rPr>
        <w:t>Samtidig medfører ophævelsen af frikørselsordningen for taxier og limousiner dog, at vognmænd</w:t>
      </w:r>
      <w:r w:rsidR="00E5393D">
        <w:rPr>
          <w:color w:val="000000"/>
          <w:sz w:val="24"/>
        </w:rPr>
        <w:t>ene fremover ikke skal</w:t>
      </w:r>
      <w:r w:rsidRPr="002A2097">
        <w:rPr>
          <w:color w:val="000000"/>
          <w:sz w:val="24"/>
        </w:rPr>
        <w:t xml:space="preserve"> </w:t>
      </w:r>
      <w:r w:rsidR="00437CEB">
        <w:rPr>
          <w:color w:val="000000"/>
          <w:sz w:val="24"/>
        </w:rPr>
        <w:t>dokumentere deres</w:t>
      </w:r>
      <w:r w:rsidR="002528C0">
        <w:rPr>
          <w:color w:val="000000"/>
          <w:sz w:val="24"/>
        </w:rPr>
        <w:t xml:space="preserve"> kørsel via elektroniske kørebøger </w:t>
      </w:r>
      <w:r>
        <w:rPr>
          <w:color w:val="000000"/>
          <w:sz w:val="24"/>
        </w:rPr>
        <w:t>m.v</w:t>
      </w:r>
      <w:r w:rsidRPr="002A2097">
        <w:rPr>
          <w:color w:val="000000"/>
          <w:sz w:val="24"/>
        </w:rPr>
        <w:t xml:space="preserve">. </w:t>
      </w:r>
      <w:r w:rsidRPr="002A2097">
        <w:rPr>
          <w:color w:val="000000"/>
          <w:sz w:val="24"/>
        </w:rPr>
        <w:lastRenderedPageBreak/>
        <w:t xml:space="preserve">for SKAT, hvilket vurderes som en administrativ lettelse.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color w:val="000000"/>
          <w:sz w:val="24"/>
        </w:rPr>
        <w:t>Forslaget vurderes samlet set ikke at have nævneværdige administrative konsekvenser for erhvervslivet.</w:t>
      </w:r>
    </w:p>
    <w:p w:rsidR="00C81EFA" w:rsidRPr="002A2097" w:rsidRDefault="00C81EFA" w:rsidP="00C81EFA">
      <w:pPr>
        <w:rPr>
          <w:color w:val="000000"/>
          <w:sz w:val="24"/>
        </w:rPr>
      </w:pPr>
    </w:p>
    <w:p w:rsidR="00C81EFA" w:rsidRPr="002A2097" w:rsidRDefault="00C81EFA" w:rsidP="00C81EFA">
      <w:pPr>
        <w:spacing w:before="60" w:after="60"/>
        <w:jc w:val="both"/>
        <w:rPr>
          <w:color w:val="000000"/>
          <w:sz w:val="24"/>
        </w:rPr>
      </w:pPr>
      <w:r w:rsidRPr="002A2097">
        <w:rPr>
          <w:color w:val="000000"/>
          <w:sz w:val="24"/>
        </w:rPr>
        <w:t>Lovforslaget sendes i høring hos Erhvervs- og Selskabsstyrelsens Center for Kvalitet i ErhvervsRegulering (CKR).</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8. Administrative konsekvenser for borgerne  </w:t>
      </w:r>
    </w:p>
    <w:p w:rsidR="00C81EFA" w:rsidRPr="002A2097" w:rsidRDefault="00C81EFA" w:rsidP="00C81EFA">
      <w:pPr>
        <w:rPr>
          <w:iCs/>
          <w:sz w:val="24"/>
        </w:rPr>
      </w:pPr>
      <w:r w:rsidRPr="002A2097">
        <w:rPr>
          <w:iCs/>
          <w:sz w:val="24"/>
        </w:rPr>
        <w:t>Lovforslaget har ikke administrative konsekvenser for borgerne.</w:t>
      </w:r>
    </w:p>
    <w:p w:rsidR="00C81EFA" w:rsidRPr="002A2097" w:rsidRDefault="00C81EFA" w:rsidP="00C81EFA">
      <w:pPr>
        <w:rPr>
          <w:iCs/>
          <w:sz w:val="24"/>
        </w:rPr>
      </w:pPr>
    </w:p>
    <w:p w:rsidR="00C81EFA" w:rsidRPr="002A2097" w:rsidRDefault="00C81EFA" w:rsidP="00C81EFA">
      <w:pPr>
        <w:rPr>
          <w:i/>
          <w:iCs/>
          <w:sz w:val="24"/>
        </w:rPr>
      </w:pPr>
      <w:r w:rsidRPr="002A2097">
        <w:rPr>
          <w:i/>
          <w:iCs/>
          <w:sz w:val="24"/>
        </w:rPr>
        <w:t>9. Miljømæssige konsekvenser</w:t>
      </w:r>
    </w:p>
    <w:p w:rsidR="00C81EFA" w:rsidRPr="002A2097" w:rsidRDefault="00C81EFA" w:rsidP="00C81EFA">
      <w:pPr>
        <w:rPr>
          <w:iCs/>
          <w:sz w:val="24"/>
        </w:rPr>
      </w:pPr>
    </w:p>
    <w:p w:rsidR="00C81EFA" w:rsidRPr="002A2097" w:rsidRDefault="00C81EFA" w:rsidP="00C81EFA">
      <w:pPr>
        <w:rPr>
          <w:i/>
          <w:iCs/>
          <w:color w:val="000000"/>
          <w:sz w:val="24"/>
        </w:rPr>
      </w:pPr>
      <w:r w:rsidRPr="002A2097">
        <w:rPr>
          <w:i/>
          <w:iCs/>
          <w:sz w:val="24"/>
        </w:rPr>
        <w:t xml:space="preserve">9.1. </w:t>
      </w:r>
      <w:r w:rsidRPr="002A2097">
        <w:rPr>
          <w:i/>
          <w:iCs/>
          <w:color w:val="000000"/>
          <w:sz w:val="24"/>
        </w:rPr>
        <w:t>Fuldt fradrag for moms på hotelovernatninger</w:t>
      </w:r>
    </w:p>
    <w:p w:rsidR="00C81EFA" w:rsidRPr="002A2097" w:rsidRDefault="00C81EFA" w:rsidP="00C81EFA">
      <w:pPr>
        <w:spacing w:before="60" w:after="60"/>
        <w:jc w:val="both"/>
        <w:rPr>
          <w:color w:val="000000"/>
          <w:sz w:val="24"/>
        </w:rPr>
      </w:pPr>
      <w:r w:rsidRPr="002A2097">
        <w:rPr>
          <w:color w:val="000000"/>
          <w:sz w:val="24"/>
        </w:rPr>
        <w:t>Lovforslaget har ingen miljømæssige konsekvenser.</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9.2. Afgiftsharmonisering for taxier </w:t>
      </w:r>
      <w:r>
        <w:rPr>
          <w:i/>
          <w:iCs/>
          <w:sz w:val="24"/>
        </w:rPr>
        <w:t>m.v</w:t>
      </w:r>
      <w:r w:rsidRPr="002A2097">
        <w:rPr>
          <w:i/>
          <w:iCs/>
          <w:sz w:val="24"/>
        </w:rPr>
        <w:t xml:space="preserve">. </w:t>
      </w:r>
    </w:p>
    <w:p w:rsidR="00C81EFA" w:rsidRPr="002A2097" w:rsidRDefault="00C81EFA" w:rsidP="00C81EFA">
      <w:pPr>
        <w:rPr>
          <w:iCs/>
          <w:sz w:val="24"/>
        </w:rPr>
      </w:pPr>
      <w:r w:rsidRPr="002A2097">
        <w:rPr>
          <w:iCs/>
          <w:sz w:val="24"/>
        </w:rPr>
        <w:t xml:space="preserve">Afgiftsændringerne for taxier </w:t>
      </w:r>
      <w:r>
        <w:rPr>
          <w:iCs/>
          <w:sz w:val="24"/>
        </w:rPr>
        <w:t>m.v</w:t>
      </w:r>
      <w:r w:rsidRPr="002A2097">
        <w:rPr>
          <w:iCs/>
          <w:sz w:val="24"/>
        </w:rPr>
        <w:t>. trækker på den ene side i retning af anskaffelse af billigere biler. Billigere biler har generelt en kortere levetid og kan køre færre kilometer over levetiden for den enkelte bil. På den anden side gør afgiftsændringerne det mere attraktivt at beholde en dyrere bil i længere tid. Det er vanskeligt at skønne over afgiftsændringernes samlede virkning på taxiernes type, alder, udskiftningshastighed samt antal kørte kilometer for taxivognparken.</w:t>
      </w:r>
    </w:p>
    <w:p w:rsidR="00C81EFA" w:rsidRPr="002A2097" w:rsidRDefault="00C81EFA" w:rsidP="00C81EFA">
      <w:pPr>
        <w:rPr>
          <w:iCs/>
          <w:sz w:val="24"/>
        </w:rPr>
      </w:pPr>
    </w:p>
    <w:p w:rsidR="00C81EFA" w:rsidRPr="002A2097" w:rsidRDefault="00C81EFA" w:rsidP="00C81EFA">
      <w:pPr>
        <w:rPr>
          <w:iCs/>
          <w:sz w:val="24"/>
        </w:rPr>
      </w:pPr>
      <w:r w:rsidRPr="002A2097">
        <w:rPr>
          <w:iCs/>
          <w:sz w:val="24"/>
        </w:rPr>
        <w:t>Hvis meromkostningerne for taxierhvervet kan overvæltes helt eller delvist i priserne, vil efterspørgslen efter taxiydelser blive reduceret og erstattet af efterspørgsel efter transport med andre transportmidler eller efter helt andre typer varer og tjenesteydelser. Det er vanskeligt at opgøre miljøeffekten ved en sådan ændring i efterspørgslen. Det er desuden usikkert, om meromkostningerne kan overvæltes i priserne, idet taximarkedet er et reguleret marked, hvor kommunerne fastsætter bl.a. maksimale takster for kørslen.</w:t>
      </w:r>
    </w:p>
    <w:p w:rsidR="00C81EFA" w:rsidRPr="002A2097" w:rsidRDefault="00C81EFA" w:rsidP="00C81EFA">
      <w:pPr>
        <w:rPr>
          <w:iCs/>
          <w:sz w:val="24"/>
        </w:rPr>
      </w:pPr>
    </w:p>
    <w:p w:rsidR="00C81EFA" w:rsidRPr="002A2097" w:rsidRDefault="00C81EFA" w:rsidP="00C81EFA">
      <w:pPr>
        <w:rPr>
          <w:iCs/>
          <w:sz w:val="24"/>
        </w:rPr>
      </w:pPr>
      <w:r w:rsidRPr="002A2097">
        <w:rPr>
          <w:iCs/>
          <w:sz w:val="24"/>
        </w:rPr>
        <w:t xml:space="preserve">Samlet set vurderes der </w:t>
      </w:r>
      <w:r>
        <w:rPr>
          <w:iCs/>
          <w:sz w:val="24"/>
        </w:rPr>
        <w:t xml:space="preserve">for så vidt angår afgiftsharmonisering af taxier m.v. </w:t>
      </w:r>
      <w:r w:rsidRPr="002A2097">
        <w:rPr>
          <w:iCs/>
          <w:sz w:val="24"/>
        </w:rPr>
        <w:t>ikke at være nævneværdige miljømæssige effekter ved lovforslaget.</w:t>
      </w: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10. Forholdet til EU-retten</w:t>
      </w:r>
    </w:p>
    <w:p w:rsidR="00C81EFA" w:rsidRPr="002A2097" w:rsidRDefault="00C81EFA" w:rsidP="00C81EFA">
      <w:pPr>
        <w:rPr>
          <w:i/>
          <w:iCs/>
          <w:sz w:val="24"/>
        </w:rPr>
      </w:pPr>
    </w:p>
    <w:p w:rsidR="00C81EFA" w:rsidRPr="002A2097" w:rsidRDefault="00C81EFA" w:rsidP="00C81EFA">
      <w:pPr>
        <w:rPr>
          <w:i/>
          <w:iCs/>
          <w:color w:val="000000"/>
          <w:sz w:val="24"/>
        </w:rPr>
      </w:pPr>
      <w:r w:rsidRPr="002A2097">
        <w:rPr>
          <w:i/>
          <w:iCs/>
          <w:color w:val="000000"/>
          <w:sz w:val="24"/>
        </w:rPr>
        <w:t>10.1 Fuldt fradrag for moms på hotelovernatninger</w:t>
      </w:r>
    </w:p>
    <w:p w:rsidR="00C81EFA" w:rsidRPr="002A2097" w:rsidRDefault="00C81EFA" w:rsidP="00C81EFA">
      <w:pPr>
        <w:rPr>
          <w:color w:val="000000"/>
          <w:sz w:val="24"/>
        </w:rPr>
      </w:pPr>
      <w:r w:rsidRPr="002A2097">
        <w:rPr>
          <w:color w:val="000000"/>
          <w:sz w:val="24"/>
        </w:rPr>
        <w:t>Den gældende fradragsbegrænsning for moms på hotelovernatninger har hjemmel i EU’s momssystemdirektivs artikel 176 (2), hvorefter Danmark kan opretholde begrænsningen på de betingelser, som var gældende</w:t>
      </w:r>
      <w:r w:rsidR="00473A33">
        <w:rPr>
          <w:color w:val="000000"/>
          <w:sz w:val="24"/>
        </w:rPr>
        <w:t>,</w:t>
      </w:r>
      <w:r w:rsidRPr="002A2097">
        <w:rPr>
          <w:color w:val="000000"/>
          <w:sz w:val="24"/>
        </w:rPr>
        <w:t xml:space="preserve"> da 6. momsdirektiv trådte i kraft i 1978. Ophæves fradragsbegrænsningen som foreslået, kan den ikke senere genindføres.    </w:t>
      </w:r>
    </w:p>
    <w:p w:rsidR="00C81EFA" w:rsidRPr="002A2097" w:rsidRDefault="00C81EFA" w:rsidP="00C81EFA">
      <w:pPr>
        <w:rPr>
          <w:color w:val="000000"/>
          <w:sz w:val="24"/>
        </w:rPr>
      </w:pPr>
    </w:p>
    <w:p w:rsidR="00C81EFA" w:rsidRPr="002A2097" w:rsidRDefault="00C81EFA" w:rsidP="00C81EFA">
      <w:pPr>
        <w:rPr>
          <w:i/>
          <w:color w:val="000000"/>
          <w:sz w:val="24"/>
        </w:rPr>
      </w:pPr>
      <w:r>
        <w:rPr>
          <w:i/>
          <w:color w:val="000000"/>
          <w:sz w:val="24"/>
        </w:rPr>
        <w:t>10.</w:t>
      </w:r>
      <w:r w:rsidRPr="002A2097">
        <w:rPr>
          <w:i/>
          <w:color w:val="000000"/>
          <w:sz w:val="24"/>
        </w:rPr>
        <w:t xml:space="preserve">2. Afgiftsharmonisering for taxier </w:t>
      </w:r>
      <w:r>
        <w:rPr>
          <w:i/>
          <w:color w:val="000000"/>
          <w:sz w:val="24"/>
        </w:rPr>
        <w:t>m.v</w:t>
      </w:r>
      <w:r w:rsidRPr="002A2097">
        <w:rPr>
          <w:i/>
          <w:color w:val="000000"/>
          <w:sz w:val="24"/>
        </w:rPr>
        <w:t xml:space="preserve">. </w:t>
      </w:r>
    </w:p>
    <w:p w:rsidR="00C81EFA" w:rsidRPr="002A2097" w:rsidRDefault="00C81EFA" w:rsidP="00C81EFA">
      <w:pPr>
        <w:widowControl/>
        <w:adjustRightInd/>
        <w:spacing w:line="288" w:lineRule="auto"/>
        <w:rPr>
          <w:color w:val="000000"/>
          <w:sz w:val="24"/>
        </w:rPr>
      </w:pPr>
      <w:r w:rsidRPr="002A2097">
        <w:rPr>
          <w:color w:val="000000"/>
          <w:sz w:val="24"/>
        </w:rPr>
        <w:t xml:space="preserve">Lovforslaget notificeres som udkast efter direktiv 98/34/EF (informationsproceduredirektivet) med senere ændringer. Der er tale om en skattemæssig foranstaltning, som ikke er omfattet af en stand still periode. </w:t>
      </w:r>
    </w:p>
    <w:p w:rsidR="00C81EFA" w:rsidRPr="002A2097" w:rsidRDefault="00C81EFA" w:rsidP="00C81EFA">
      <w:pPr>
        <w:rPr>
          <w:iCs/>
          <w:sz w:val="24"/>
        </w:rPr>
      </w:pPr>
    </w:p>
    <w:p w:rsidR="00C81EFA" w:rsidRPr="002A2097" w:rsidRDefault="00C81EFA" w:rsidP="00C81EFA">
      <w:pPr>
        <w:rPr>
          <w:color w:val="464646"/>
          <w:sz w:val="24"/>
        </w:rPr>
      </w:pPr>
    </w:p>
    <w:p w:rsidR="00C81EFA" w:rsidRPr="002A2097" w:rsidRDefault="00C81EFA" w:rsidP="00C81EFA">
      <w:pPr>
        <w:rPr>
          <w:i/>
          <w:iCs/>
          <w:color w:val="000000"/>
          <w:sz w:val="24"/>
        </w:rPr>
      </w:pPr>
      <w:r w:rsidRPr="002A2097">
        <w:rPr>
          <w:i/>
          <w:iCs/>
          <w:color w:val="000000"/>
          <w:sz w:val="24"/>
        </w:rPr>
        <w:t xml:space="preserve">11. Hørte myndigheder og organisationer m.v.  </w:t>
      </w:r>
    </w:p>
    <w:p w:rsidR="00A026A3" w:rsidRDefault="00C81EFA" w:rsidP="00A026A3">
      <w:r w:rsidRPr="0038265F">
        <w:rPr>
          <w:sz w:val="24"/>
        </w:rPr>
        <w:t xml:space="preserve">Et udkast til lovforslaget har i perioden </w:t>
      </w:r>
      <w:r w:rsidR="00E86D7D">
        <w:rPr>
          <w:sz w:val="24"/>
        </w:rPr>
        <w:t>fra den 5</w:t>
      </w:r>
      <w:r w:rsidR="00F2129C">
        <w:rPr>
          <w:sz w:val="24"/>
        </w:rPr>
        <w:t>. september 2014 til den 3</w:t>
      </w:r>
      <w:bookmarkStart w:id="3" w:name="_GoBack"/>
      <w:bookmarkEnd w:id="3"/>
      <w:r w:rsidR="00A77B3B">
        <w:rPr>
          <w:sz w:val="24"/>
        </w:rPr>
        <w:t xml:space="preserve">. oktober 2014 </w:t>
      </w:r>
      <w:r w:rsidRPr="0038265F">
        <w:rPr>
          <w:sz w:val="24"/>
        </w:rPr>
        <w:t>været sendt i høring hos følgende myndigheder og organisationer m.v.:</w:t>
      </w:r>
      <w:r w:rsidR="00A026A3" w:rsidRPr="00A026A3">
        <w:t xml:space="preserve"> </w:t>
      </w:r>
    </w:p>
    <w:p w:rsidR="00A026A3" w:rsidRPr="00A026A3" w:rsidRDefault="00A026A3" w:rsidP="00A026A3">
      <w:pPr>
        <w:rPr>
          <w:sz w:val="24"/>
        </w:rPr>
      </w:pPr>
      <w:r w:rsidRPr="00A026A3">
        <w:rPr>
          <w:sz w:val="24"/>
        </w:rPr>
        <w:t>3F, 3F Privat Service, Hotel og Restauration, Advo</w:t>
      </w:r>
      <w:r w:rsidR="00A07B23">
        <w:rPr>
          <w:sz w:val="24"/>
        </w:rPr>
        <w:t>katsamfundet</w:t>
      </w:r>
      <w:r w:rsidRPr="00A026A3">
        <w:rPr>
          <w:sz w:val="24"/>
        </w:rPr>
        <w:t>, Arbejderbevægelsens Erhvervsråd, Autobranchens Handels-</w:t>
      </w:r>
      <w:r w:rsidR="00A07B23">
        <w:rPr>
          <w:sz w:val="24"/>
        </w:rPr>
        <w:t xml:space="preserve"> og Industriforening i Danmark</w:t>
      </w:r>
      <w:r w:rsidRPr="00A026A3">
        <w:rPr>
          <w:sz w:val="24"/>
        </w:rPr>
        <w:t xml:space="preserve">, Borger- og retssikkerhedschefen i SKAT, Business Danmark, CAD, CEPOS, Cevea, Danish Operators, Danmarks Motor Union, Danmarks Naturfredningsforening, Danmarks Rejsebureau Forening, Danmarks Restauranter og Cafeer, Dansk Aktionærforening, Dansk Automat Brancheforening, Dansk Automobil Sports Union, Dansk Automobilforhandler Forening, Dansk Bilforhandler Union, Dansk Energi, Dansk Erhverv, Dansk Lokalsyn, Dansk Rejsebureau Forening, Dansk Told- og Skatteforbund, Dansk Ungdoms Fællesråd, Danske Advokater, Danske Maritime, Danske Speditører, Danske Synsvirksomheder, DANVA, Datatilsynet, De Samvirkende Købmænd, Den Danske Bilbranche, Den Danske Skatteborgerforening, </w:t>
      </w:r>
      <w:r w:rsidR="00A07B23">
        <w:rPr>
          <w:sz w:val="24"/>
        </w:rPr>
        <w:t>DI</w:t>
      </w:r>
      <w:r w:rsidRPr="00A026A3">
        <w:rPr>
          <w:sz w:val="24"/>
        </w:rPr>
        <w:t xml:space="preserve">, ERFAgruppen-Bilsyn, Erhvervsstyrelsen – Team Effektiv Regulering, FDM, Finans og Leasing, Finansrådet, Foreningen af Rådgivende Ingeniører, Foreningen Danske Revisorer, Forsikring &amp; Pension, Forsikringsmæglerforeningen, Frie Funktionærer, FSR - danske revisorer, Greenpeace Danmark, HORESTA, Håndværksrådet, International Transport Danmark, KL, Konkurrence- og Forbrugerstyrelsen, Kraka, Landbrug &amp; Fødevarer, Landsforeningen for Bæredygtigt Landbrug, Landsskatteretten, Ledernes Hovedorganisation, LO, Miljøstyrelsen, Mineralolie Brancheforeningen, Moderniseringsstyrelsen, Motorcykel Forhandler Foreningen, Motorhistorisk Samråd, Nationalt Center for Miljø og Energi, Naturstyrelsen, Noah, Rejsearrangører i Danmark, Restaurationsbranchen.dk, Sammenslutningen af Karosseribyggere og Autooprettere i Danmark, SKAT, Skatteankestyrelsen, SRF Skattefaglig Forening, Vedvarende Energi, </w:t>
      </w:r>
      <w:r w:rsidR="00A07B23">
        <w:rPr>
          <w:sz w:val="24"/>
        </w:rPr>
        <w:t xml:space="preserve">VisitDenmark og WWF. </w:t>
      </w:r>
    </w:p>
    <w:p w:rsidR="00C81EFA" w:rsidRPr="0038265F" w:rsidRDefault="00C81EFA" w:rsidP="00C81EFA">
      <w:pPr>
        <w:rPr>
          <w:sz w:val="24"/>
        </w:rPr>
      </w:pPr>
    </w:p>
    <w:p w:rsidR="00C81EFA" w:rsidRPr="002A2097" w:rsidRDefault="00C81EFA" w:rsidP="00C81EFA">
      <w:pPr>
        <w:rPr>
          <w:i/>
          <w:iCs/>
          <w:sz w:val="24"/>
        </w:rPr>
      </w:pPr>
    </w:p>
    <w:p w:rsidR="00C81EFA" w:rsidRPr="002A2097" w:rsidRDefault="00C81EFA" w:rsidP="00C81EFA">
      <w:pPr>
        <w:rPr>
          <w:i/>
          <w:iCs/>
          <w:sz w:val="24"/>
        </w:rPr>
      </w:pPr>
      <w:r w:rsidRPr="002A2097">
        <w:rPr>
          <w:i/>
          <w:iCs/>
          <w:sz w:val="24"/>
        </w:rPr>
        <w:t xml:space="preserve">12. Sammenfattende skema </w:t>
      </w:r>
    </w:p>
    <w:p w:rsidR="00C81EFA" w:rsidRPr="002A2097" w:rsidRDefault="00C81EFA" w:rsidP="00C81EFA">
      <w:pPr>
        <w:rPr>
          <w:i/>
          <w:iCs/>
          <w:sz w:val="24"/>
        </w:rPr>
      </w:pPr>
    </w:p>
    <w:p w:rsidR="00C81EFA" w:rsidRPr="002A2097" w:rsidRDefault="00C81EFA" w:rsidP="00C81EFA">
      <w:pPr>
        <w:ind w:right="1"/>
        <w:jc w:val="center"/>
        <w:rPr>
          <w:b/>
          <w:bCs/>
          <w:sz w:val="24"/>
        </w:rPr>
      </w:pPr>
      <w:r w:rsidRPr="002A2097">
        <w:rPr>
          <w:b/>
          <w:bCs/>
          <w:sz w:val="24"/>
        </w:rPr>
        <w:t>Samlet vurdering af konsekvenser af lovforslaget</w:t>
      </w:r>
    </w:p>
    <w:p w:rsidR="00C81EFA" w:rsidRPr="002A2097" w:rsidRDefault="00C81EFA" w:rsidP="00C81EFA">
      <w:pPr>
        <w:ind w:right="1"/>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p>
        </w:tc>
        <w:tc>
          <w:tcPr>
            <w:tcW w:w="1750"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Negative konsekvenser/merudgifter</w:t>
            </w:r>
          </w:p>
        </w:tc>
      </w:tr>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i/>
                <w:color w:val="000000"/>
                <w:sz w:val="24"/>
              </w:rPr>
            </w:pPr>
            <w:r w:rsidRPr="002A2097">
              <w:rPr>
                <w:i/>
                <w:color w:val="000000"/>
                <w:sz w:val="24"/>
              </w:rPr>
              <w:t>1. Hotelmoms</w:t>
            </w:r>
          </w:p>
          <w:p w:rsidR="00C81EFA" w:rsidRPr="002A2097" w:rsidRDefault="00C81EFA" w:rsidP="00C74069">
            <w:pPr>
              <w:rPr>
                <w:color w:val="000000"/>
                <w:sz w:val="24"/>
              </w:rPr>
            </w:pPr>
            <w:r w:rsidRPr="002A2097">
              <w:rPr>
                <w:color w:val="000000"/>
                <w:sz w:val="24"/>
              </w:rPr>
              <w:t>Ingen</w:t>
            </w:r>
          </w:p>
          <w:p w:rsidR="00C81EFA" w:rsidRPr="002A2097" w:rsidRDefault="00C81EFA" w:rsidP="00C74069">
            <w:pPr>
              <w:pStyle w:val="Sidefod"/>
              <w:tabs>
                <w:tab w:val="left" w:pos="1304"/>
              </w:tabs>
              <w:rPr>
                <w:sz w:val="24"/>
              </w:rPr>
            </w:pPr>
          </w:p>
          <w:p w:rsidR="00C81EFA" w:rsidRPr="002A2097" w:rsidRDefault="00C81EFA" w:rsidP="00C74069">
            <w:pPr>
              <w:pStyle w:val="Sidefod"/>
              <w:tabs>
                <w:tab w:val="left" w:pos="1304"/>
              </w:tabs>
              <w:rPr>
                <w:i/>
                <w:sz w:val="24"/>
              </w:rPr>
            </w:pPr>
            <w:r w:rsidRPr="002A2097">
              <w:rPr>
                <w:i/>
                <w:sz w:val="24"/>
              </w:rPr>
              <w:t xml:space="preserve">2. Taxier </w:t>
            </w:r>
            <w:r>
              <w:rPr>
                <w:i/>
                <w:sz w:val="24"/>
              </w:rPr>
              <w:t>m.v</w:t>
            </w:r>
            <w:r w:rsidRPr="002A2097">
              <w:rPr>
                <w:i/>
                <w:sz w:val="24"/>
              </w:rPr>
              <w:t xml:space="preserve">.   </w:t>
            </w:r>
          </w:p>
          <w:p w:rsidR="00C81EFA" w:rsidRPr="002A2097" w:rsidRDefault="00C81EFA" w:rsidP="00C74069">
            <w:pPr>
              <w:pStyle w:val="Sidefod"/>
              <w:tabs>
                <w:tab w:val="left" w:pos="1304"/>
              </w:tabs>
              <w:rPr>
                <w:sz w:val="24"/>
              </w:rPr>
            </w:pPr>
            <w:r w:rsidRPr="002A2097">
              <w:rPr>
                <w:sz w:val="24"/>
              </w:rPr>
              <w:t>Lovforslaget medfører samlet set et merprovenu, når det er fuldt indfaset i 2018, på ca. 135 mio. kr. efter tilbageløb og adfærd. Den varige virkning udgør ca. 130 mio. kr. årligt efter tilbageløb og adfærd.</w:t>
            </w:r>
          </w:p>
        </w:tc>
        <w:tc>
          <w:tcPr>
            <w:tcW w:w="1681"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i/>
                <w:color w:val="000000"/>
                <w:sz w:val="24"/>
              </w:rPr>
            </w:pPr>
            <w:r w:rsidRPr="002A2097">
              <w:rPr>
                <w:i/>
                <w:color w:val="000000"/>
                <w:sz w:val="24"/>
              </w:rPr>
              <w:t>1. Hotelmoms</w:t>
            </w:r>
          </w:p>
          <w:p w:rsidR="00C81EFA" w:rsidRPr="002A2097" w:rsidRDefault="00C81EFA" w:rsidP="00C74069">
            <w:pPr>
              <w:rPr>
                <w:color w:val="000000"/>
                <w:sz w:val="24"/>
              </w:rPr>
            </w:pPr>
            <w:r w:rsidRPr="002A2097">
              <w:rPr>
                <w:color w:val="000000"/>
                <w:sz w:val="24"/>
              </w:rPr>
              <w:t>Forslaget om hotelmoms skønnes at medføre et umiddelbart varigt mindreprovenu på ca. 220 mio. kr. svarende til et varigt mindreprovenu efter tilbageløb og adfærd på ca. 105 mio. kr. Hertil kommer, at forslaget skønnes at medføre en besparelse i det danske bidrag ti</w:t>
            </w:r>
            <w:r w:rsidR="00263A56">
              <w:rPr>
                <w:color w:val="000000"/>
                <w:sz w:val="24"/>
              </w:rPr>
              <w:t>l EU´s egne indtægter på ca. 3</w:t>
            </w:r>
            <w:r w:rsidRPr="002A2097">
              <w:rPr>
                <w:color w:val="000000"/>
                <w:sz w:val="24"/>
              </w:rPr>
              <w:t xml:space="preserve"> mio. kr. om året.</w:t>
            </w:r>
          </w:p>
          <w:p w:rsidR="00C81EFA" w:rsidRPr="002A2097" w:rsidRDefault="00C81EFA" w:rsidP="00C74069">
            <w:pPr>
              <w:rPr>
                <w:color w:val="000000"/>
                <w:sz w:val="24"/>
              </w:rPr>
            </w:pPr>
          </w:p>
          <w:p w:rsidR="00C81EFA" w:rsidRPr="002A2097" w:rsidRDefault="00C81EFA" w:rsidP="00C74069">
            <w:pPr>
              <w:rPr>
                <w:i/>
                <w:color w:val="000000"/>
                <w:sz w:val="24"/>
              </w:rPr>
            </w:pPr>
            <w:r w:rsidRPr="002A2097">
              <w:rPr>
                <w:i/>
                <w:color w:val="000000"/>
                <w:sz w:val="24"/>
              </w:rPr>
              <w:t xml:space="preserve">2. Taxier </w:t>
            </w:r>
            <w:r>
              <w:rPr>
                <w:i/>
                <w:color w:val="000000"/>
                <w:sz w:val="24"/>
              </w:rPr>
              <w:t>m.v</w:t>
            </w:r>
            <w:r w:rsidRPr="002A2097">
              <w:rPr>
                <w:i/>
                <w:color w:val="000000"/>
                <w:sz w:val="24"/>
              </w:rPr>
              <w:t xml:space="preserve">. </w:t>
            </w:r>
          </w:p>
          <w:p w:rsidR="00C81EFA" w:rsidRPr="002A2097" w:rsidRDefault="00C81EFA" w:rsidP="00C74069">
            <w:pPr>
              <w:rPr>
                <w:sz w:val="24"/>
              </w:rPr>
            </w:pPr>
            <w:r w:rsidRPr="002A2097">
              <w:rPr>
                <w:sz w:val="24"/>
              </w:rPr>
              <w:t xml:space="preserve">Afskaffelsen af registreringsafgiften for taxier </w:t>
            </w:r>
            <w:r>
              <w:rPr>
                <w:sz w:val="24"/>
              </w:rPr>
              <w:t>m.v</w:t>
            </w:r>
            <w:r w:rsidRPr="002A2097">
              <w:rPr>
                <w:sz w:val="24"/>
              </w:rPr>
              <w:t>. medfører isoleret set et umiddelbart mindreprovenu på ca. 35 mio. kr. årligt. I 2015 og 2016, hvor forslaget om afskaffelse af frikørselsordningen endnu ikke er indfaset, forventes således et mindreprovenu på ca. 30 mio. kr. efter tilbageløb og adfærd. Finansårseffekten i 2015 er et umiddelbart mindreprovenu på ca. 30 mio. kr.</w:t>
            </w:r>
          </w:p>
        </w:tc>
      </w:tr>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lastRenderedPageBreak/>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C81EFA" w:rsidRDefault="00C81EFA" w:rsidP="00C74069">
            <w:pPr>
              <w:rPr>
                <w:sz w:val="24"/>
              </w:rPr>
            </w:pPr>
            <w:r w:rsidRPr="0038265F">
              <w:rPr>
                <w:sz w:val="24"/>
              </w:rPr>
              <w:t>Ingen</w:t>
            </w:r>
          </w:p>
          <w:p w:rsidR="00C81EFA" w:rsidRPr="002D0191" w:rsidRDefault="00C81EFA" w:rsidP="002D0191">
            <w:pPr>
              <w:rPr>
                <w:iCs/>
                <w:color w:val="000000"/>
                <w:sz w:val="24"/>
              </w:rPr>
            </w:pPr>
          </w:p>
        </w:tc>
        <w:tc>
          <w:tcPr>
            <w:tcW w:w="1681"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numPr>
                <w:ilvl w:val="0"/>
                <w:numId w:val="11"/>
              </w:numPr>
              <w:rPr>
                <w:i/>
                <w:sz w:val="24"/>
              </w:rPr>
            </w:pPr>
            <w:r w:rsidRPr="002A2097">
              <w:rPr>
                <w:i/>
                <w:sz w:val="24"/>
              </w:rPr>
              <w:t>Hotelmoms</w:t>
            </w:r>
          </w:p>
          <w:p w:rsidR="00C81EFA" w:rsidRDefault="00C81EFA" w:rsidP="00C74069">
            <w:pPr>
              <w:rPr>
                <w:sz w:val="24"/>
              </w:rPr>
            </w:pPr>
            <w:r w:rsidRPr="0038265F">
              <w:rPr>
                <w:sz w:val="24"/>
              </w:rPr>
              <w:t>Ingen</w:t>
            </w:r>
          </w:p>
          <w:p w:rsidR="00473A33" w:rsidRDefault="00473A33" w:rsidP="00C74069">
            <w:pPr>
              <w:rPr>
                <w:sz w:val="24"/>
              </w:rPr>
            </w:pPr>
          </w:p>
          <w:p w:rsidR="00473A33" w:rsidRPr="00473A33" w:rsidRDefault="00473A33" w:rsidP="00473A33">
            <w:pPr>
              <w:numPr>
                <w:ilvl w:val="0"/>
                <w:numId w:val="11"/>
              </w:numPr>
              <w:rPr>
                <w:i/>
                <w:sz w:val="24"/>
              </w:rPr>
            </w:pPr>
            <w:r w:rsidRPr="00473A33">
              <w:rPr>
                <w:i/>
                <w:sz w:val="24"/>
              </w:rPr>
              <w:t>Taxier mv.</w:t>
            </w:r>
          </w:p>
          <w:p w:rsidR="00473A33" w:rsidRPr="00794683" w:rsidRDefault="00794683" w:rsidP="00E141FD">
            <w:pPr>
              <w:rPr>
                <w:iCs/>
                <w:color w:val="000000"/>
                <w:sz w:val="24"/>
              </w:rPr>
            </w:pPr>
            <w:r>
              <w:rPr>
                <w:iCs/>
                <w:color w:val="000000"/>
                <w:sz w:val="24"/>
              </w:rPr>
              <w:t xml:space="preserve">Systemtilretninger hos </w:t>
            </w:r>
            <w:r w:rsidR="00E141FD">
              <w:rPr>
                <w:iCs/>
                <w:color w:val="000000"/>
                <w:sz w:val="24"/>
              </w:rPr>
              <w:t xml:space="preserve">SKAT </w:t>
            </w:r>
            <w:r w:rsidR="00333E9F">
              <w:rPr>
                <w:iCs/>
                <w:color w:val="000000"/>
                <w:sz w:val="24"/>
              </w:rPr>
              <w:t xml:space="preserve">for ca. 500.000 kr. </w:t>
            </w:r>
          </w:p>
        </w:tc>
      </w:tr>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i/>
                <w:color w:val="000000"/>
                <w:sz w:val="24"/>
              </w:rPr>
            </w:pPr>
            <w:r w:rsidRPr="002A2097">
              <w:rPr>
                <w:i/>
                <w:color w:val="000000"/>
                <w:sz w:val="24"/>
              </w:rPr>
              <w:t>1. Hotelmoms</w:t>
            </w:r>
          </w:p>
          <w:p w:rsidR="00C81EFA" w:rsidRPr="002A2097" w:rsidRDefault="00C81EFA" w:rsidP="00C74069">
            <w:pPr>
              <w:rPr>
                <w:iCs/>
                <w:color w:val="000000"/>
                <w:sz w:val="24"/>
              </w:rPr>
            </w:pPr>
            <w:r w:rsidRPr="002A2097">
              <w:rPr>
                <w:color w:val="000000"/>
                <w:sz w:val="24"/>
              </w:rPr>
              <w:t xml:space="preserve">Forslaget om hotelmoms skønnes at give erhvervslivet en </w:t>
            </w:r>
            <w:r w:rsidRPr="002A2097">
              <w:rPr>
                <w:iCs/>
                <w:color w:val="000000"/>
                <w:sz w:val="24"/>
              </w:rPr>
              <w:t>umiddelbar lempelse på 220 mio. kr.</w:t>
            </w:r>
          </w:p>
          <w:p w:rsidR="00C81EFA" w:rsidRPr="002A2097" w:rsidRDefault="00C81EFA" w:rsidP="00C74069">
            <w:pPr>
              <w:rPr>
                <w:i/>
                <w:sz w:val="24"/>
              </w:rPr>
            </w:pPr>
          </w:p>
          <w:p w:rsidR="00C81EFA" w:rsidRPr="002A2097" w:rsidRDefault="00C81EFA" w:rsidP="00C74069">
            <w:pPr>
              <w:numPr>
                <w:ilvl w:val="0"/>
                <w:numId w:val="11"/>
              </w:numPr>
              <w:rPr>
                <w:sz w:val="24"/>
              </w:rPr>
            </w:pPr>
            <w:r w:rsidRPr="002A2097">
              <w:rPr>
                <w:i/>
                <w:sz w:val="24"/>
              </w:rPr>
              <w:t xml:space="preserve">Taxier </w:t>
            </w:r>
            <w:r>
              <w:rPr>
                <w:i/>
                <w:sz w:val="24"/>
              </w:rPr>
              <w:t>m.v</w:t>
            </w:r>
            <w:r w:rsidRPr="002A2097">
              <w:rPr>
                <w:i/>
                <w:sz w:val="24"/>
              </w:rPr>
              <w:t>.</w:t>
            </w:r>
            <w:r w:rsidRPr="002A2097">
              <w:rPr>
                <w:sz w:val="24"/>
              </w:rPr>
              <w:t xml:space="preserve"> </w:t>
            </w:r>
          </w:p>
          <w:p w:rsidR="00C81EFA" w:rsidRPr="002A2097" w:rsidRDefault="00C81EFA" w:rsidP="00C74069">
            <w:pPr>
              <w:rPr>
                <w:sz w:val="24"/>
              </w:rPr>
            </w:pPr>
            <w:r w:rsidRPr="002A2097">
              <w:rPr>
                <w:sz w:val="24"/>
              </w:rPr>
              <w:t>Ingen</w:t>
            </w:r>
          </w:p>
        </w:tc>
        <w:tc>
          <w:tcPr>
            <w:tcW w:w="1681"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numPr>
                <w:ilvl w:val="0"/>
                <w:numId w:val="12"/>
              </w:numPr>
              <w:rPr>
                <w:i/>
                <w:iCs/>
                <w:sz w:val="24"/>
              </w:rPr>
            </w:pPr>
            <w:r w:rsidRPr="002A2097">
              <w:rPr>
                <w:i/>
                <w:iCs/>
                <w:sz w:val="24"/>
              </w:rPr>
              <w:t>Hotelmoms</w:t>
            </w:r>
          </w:p>
          <w:p w:rsidR="00C81EFA" w:rsidRPr="002A2097" w:rsidRDefault="00C81EFA" w:rsidP="00C74069">
            <w:pPr>
              <w:rPr>
                <w:iCs/>
                <w:sz w:val="24"/>
              </w:rPr>
            </w:pPr>
            <w:r w:rsidRPr="002A2097">
              <w:rPr>
                <w:iCs/>
                <w:sz w:val="24"/>
              </w:rPr>
              <w:t>Ingen</w:t>
            </w:r>
          </w:p>
          <w:p w:rsidR="00C81EFA" w:rsidRPr="002A2097" w:rsidRDefault="00C81EFA" w:rsidP="00C74069">
            <w:pPr>
              <w:rPr>
                <w:iCs/>
                <w:sz w:val="24"/>
              </w:rPr>
            </w:pPr>
          </w:p>
          <w:p w:rsidR="00C81EFA" w:rsidRPr="002A2097" w:rsidRDefault="00C81EFA" w:rsidP="00C74069">
            <w:pPr>
              <w:numPr>
                <w:ilvl w:val="0"/>
                <w:numId w:val="12"/>
              </w:numPr>
              <w:rPr>
                <w:i/>
                <w:iCs/>
                <w:sz w:val="24"/>
              </w:rPr>
            </w:pPr>
            <w:r w:rsidRPr="002A2097">
              <w:rPr>
                <w:i/>
                <w:iCs/>
                <w:sz w:val="24"/>
              </w:rPr>
              <w:t xml:space="preserve">Taxier </w:t>
            </w:r>
            <w:r>
              <w:rPr>
                <w:i/>
                <w:iCs/>
                <w:sz w:val="24"/>
              </w:rPr>
              <w:t>m.v</w:t>
            </w:r>
            <w:r w:rsidRPr="002A2097">
              <w:rPr>
                <w:i/>
                <w:iCs/>
                <w:sz w:val="24"/>
              </w:rPr>
              <w:t xml:space="preserve">. </w:t>
            </w:r>
          </w:p>
          <w:p w:rsidR="00C81EFA" w:rsidRPr="002A2097" w:rsidRDefault="00C81EFA" w:rsidP="00C74069">
            <w:pPr>
              <w:rPr>
                <w:iCs/>
                <w:sz w:val="24"/>
              </w:rPr>
            </w:pPr>
            <w:r w:rsidRPr="002A2097">
              <w:rPr>
                <w:iCs/>
                <w:sz w:val="24"/>
              </w:rPr>
              <w:t>Omkostningerne i taxierhvervet vil blive forøget svarende til det umiddelbare merprovenu på 235 mio. kr., årligt, når ændringerne er fuldt indfaset</w:t>
            </w:r>
            <w:r w:rsidR="00333E9F">
              <w:rPr>
                <w:iCs/>
                <w:sz w:val="24"/>
              </w:rPr>
              <w:t>,</w:t>
            </w:r>
            <w:r w:rsidRPr="002A2097">
              <w:rPr>
                <w:iCs/>
                <w:sz w:val="24"/>
              </w:rPr>
              <w:t xml:space="preserve"> og 225 mio. kr. årligt i varig virkning.</w:t>
            </w:r>
          </w:p>
          <w:p w:rsidR="00C81EFA" w:rsidRPr="002A2097" w:rsidRDefault="00C81EFA" w:rsidP="00C74069">
            <w:pPr>
              <w:rPr>
                <w:sz w:val="24"/>
              </w:rPr>
            </w:pPr>
            <w:r w:rsidRPr="002A2097">
              <w:rPr>
                <w:iCs/>
                <w:sz w:val="24"/>
              </w:rPr>
              <w:t>Det er usikkert, om meromkostningerne kan overvæltes i priserne for taxiydelser, idet taximarkedet er et reguleret marked, hvor kommunerne fastsætter bl.a. maksimale takster for kørslen.</w:t>
            </w:r>
          </w:p>
        </w:tc>
      </w:tr>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spacing w:before="60" w:after="60"/>
              <w:jc w:val="both"/>
              <w:rPr>
                <w:color w:val="000000"/>
                <w:sz w:val="24"/>
              </w:rPr>
            </w:pPr>
            <w:r w:rsidRPr="002A2097">
              <w:rPr>
                <w:color w:val="000000"/>
                <w:sz w:val="24"/>
              </w:rPr>
              <w:t>Lovforslaget sendes i høring hos Erhvervs- og Selskabsstyrelsens Center for Kvalitet i ErhvervsRegulering (CKR).</w:t>
            </w:r>
          </w:p>
        </w:tc>
        <w:tc>
          <w:tcPr>
            <w:tcW w:w="1681"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p>
        </w:tc>
      </w:tr>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 xml:space="preserve">Administrative konsekvenser for borgerne  </w:t>
            </w:r>
          </w:p>
        </w:tc>
        <w:tc>
          <w:tcPr>
            <w:tcW w:w="3431" w:type="pct"/>
            <w:gridSpan w:val="2"/>
            <w:tcBorders>
              <w:top w:val="single" w:sz="4" w:space="0" w:color="auto"/>
              <w:left w:val="single" w:sz="4" w:space="0" w:color="auto"/>
              <w:bottom w:val="single" w:sz="4" w:space="0" w:color="auto"/>
              <w:right w:val="single" w:sz="4" w:space="0" w:color="auto"/>
            </w:tcBorders>
          </w:tcPr>
          <w:p w:rsidR="00C81EFA" w:rsidRPr="002A2097" w:rsidRDefault="00C81EFA" w:rsidP="00C74069">
            <w:pPr>
              <w:rPr>
                <w:iCs/>
                <w:sz w:val="24"/>
              </w:rPr>
            </w:pPr>
            <w:r w:rsidRPr="002A2097">
              <w:rPr>
                <w:iCs/>
                <w:sz w:val="24"/>
              </w:rPr>
              <w:t>Lovforslaget har ikke administrative konsekvenser for borgerne.</w:t>
            </w:r>
          </w:p>
        </w:tc>
      </w:tr>
      <w:tr w:rsidR="00C81EFA" w:rsidRPr="002A2097" w:rsidTr="00C74069">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lastRenderedPageBreak/>
              <w:t xml:space="preserve">Miljømæssige konsekvenser </w:t>
            </w:r>
          </w:p>
        </w:tc>
        <w:tc>
          <w:tcPr>
            <w:tcW w:w="3431" w:type="pct"/>
            <w:gridSpan w:val="2"/>
            <w:tcBorders>
              <w:top w:val="single" w:sz="4" w:space="0" w:color="auto"/>
              <w:left w:val="single" w:sz="4" w:space="0" w:color="auto"/>
              <w:bottom w:val="single" w:sz="4" w:space="0" w:color="auto"/>
              <w:right w:val="single" w:sz="4" w:space="0" w:color="auto"/>
            </w:tcBorders>
          </w:tcPr>
          <w:p w:rsidR="00C81EFA" w:rsidRPr="002A2097" w:rsidRDefault="00C81EFA" w:rsidP="00C74069">
            <w:pPr>
              <w:rPr>
                <w:iCs/>
                <w:sz w:val="24"/>
              </w:rPr>
            </w:pPr>
            <w:r w:rsidRPr="002A2097">
              <w:rPr>
                <w:iCs/>
                <w:sz w:val="24"/>
              </w:rPr>
              <w:t>Der vurderes ikke at være næ</w:t>
            </w:r>
            <w:r>
              <w:rPr>
                <w:iCs/>
                <w:sz w:val="24"/>
              </w:rPr>
              <w:t>vneværdige miljømæssige konsekvenser</w:t>
            </w:r>
            <w:r w:rsidRPr="002A2097">
              <w:rPr>
                <w:iCs/>
                <w:sz w:val="24"/>
              </w:rPr>
              <w:t xml:space="preserve"> ved lovforslaget.</w:t>
            </w:r>
          </w:p>
        </w:tc>
      </w:tr>
      <w:tr w:rsidR="00C81EFA" w:rsidRPr="002A2097" w:rsidTr="00C74069">
        <w:trPr>
          <w:cantSplit/>
        </w:trPr>
        <w:tc>
          <w:tcPr>
            <w:tcW w:w="1569" w:type="pct"/>
            <w:tcBorders>
              <w:top w:val="single" w:sz="4" w:space="0" w:color="auto"/>
              <w:left w:val="single" w:sz="4" w:space="0" w:color="auto"/>
              <w:bottom w:val="single" w:sz="4" w:space="0" w:color="auto"/>
              <w:right w:val="single" w:sz="4" w:space="0" w:color="auto"/>
            </w:tcBorders>
          </w:tcPr>
          <w:p w:rsidR="00C81EFA" w:rsidRPr="002A2097" w:rsidRDefault="00C81EFA" w:rsidP="00C74069">
            <w:pPr>
              <w:rPr>
                <w:sz w:val="24"/>
              </w:rPr>
            </w:pPr>
            <w:r w:rsidRPr="002A2097">
              <w:rPr>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C81EFA" w:rsidRPr="002A2097" w:rsidRDefault="00C81EFA" w:rsidP="00C74069">
            <w:pPr>
              <w:numPr>
                <w:ilvl w:val="0"/>
                <w:numId w:val="13"/>
              </w:numPr>
              <w:rPr>
                <w:iCs/>
                <w:sz w:val="24"/>
              </w:rPr>
            </w:pPr>
            <w:r w:rsidRPr="002A2097">
              <w:rPr>
                <w:i/>
                <w:iCs/>
                <w:sz w:val="24"/>
              </w:rPr>
              <w:t>Hotelmoms</w:t>
            </w:r>
          </w:p>
          <w:p w:rsidR="00C81EFA" w:rsidRPr="002A2097" w:rsidRDefault="00C81EFA" w:rsidP="00C74069">
            <w:pPr>
              <w:rPr>
                <w:color w:val="000000"/>
                <w:sz w:val="24"/>
              </w:rPr>
            </w:pPr>
            <w:r w:rsidRPr="002A2097">
              <w:rPr>
                <w:color w:val="000000"/>
                <w:sz w:val="24"/>
              </w:rPr>
              <w:t>Forslaget om at ophæve fradragsbegrænsningen på hotelovernatninger betyder, at der ikke senere kan indføres en begrænsning.</w:t>
            </w:r>
          </w:p>
          <w:p w:rsidR="00C81EFA" w:rsidRPr="002A2097" w:rsidRDefault="00C81EFA" w:rsidP="00C74069">
            <w:pPr>
              <w:rPr>
                <w:color w:val="000000"/>
                <w:sz w:val="24"/>
              </w:rPr>
            </w:pPr>
          </w:p>
          <w:p w:rsidR="00C81EFA" w:rsidRPr="002A2097" w:rsidRDefault="00C81EFA" w:rsidP="00C74069">
            <w:pPr>
              <w:numPr>
                <w:ilvl w:val="0"/>
                <w:numId w:val="13"/>
              </w:numPr>
              <w:rPr>
                <w:i/>
                <w:iCs/>
                <w:sz w:val="24"/>
              </w:rPr>
            </w:pPr>
            <w:r w:rsidRPr="002A2097">
              <w:rPr>
                <w:i/>
                <w:iCs/>
                <w:sz w:val="24"/>
              </w:rPr>
              <w:t xml:space="preserve">Taxier </w:t>
            </w:r>
            <w:r>
              <w:rPr>
                <w:i/>
                <w:iCs/>
                <w:sz w:val="24"/>
              </w:rPr>
              <w:t>m.v</w:t>
            </w:r>
            <w:r w:rsidRPr="002A2097">
              <w:rPr>
                <w:i/>
                <w:iCs/>
                <w:sz w:val="24"/>
              </w:rPr>
              <w:t xml:space="preserve">. </w:t>
            </w:r>
          </w:p>
          <w:p w:rsidR="00C81EFA" w:rsidRPr="002A2097" w:rsidRDefault="00C81EFA" w:rsidP="00C74069">
            <w:pPr>
              <w:rPr>
                <w:iCs/>
                <w:sz w:val="24"/>
              </w:rPr>
            </w:pPr>
            <w:r w:rsidRPr="002A2097">
              <w:rPr>
                <w:sz w:val="24"/>
              </w:rPr>
              <w:t xml:space="preserve">Lovforslaget notificeres som udkast efter direktiv 98/34/EF (informationsproceduredirektivet) med senere ændringer. </w:t>
            </w:r>
          </w:p>
        </w:tc>
      </w:tr>
    </w:tbl>
    <w:p w:rsidR="00C81EFA" w:rsidRPr="002A2097" w:rsidRDefault="00C81EFA" w:rsidP="00C81EFA">
      <w:pPr>
        <w:ind w:right="1"/>
        <w:rPr>
          <w:b/>
          <w:sz w:val="24"/>
        </w:rPr>
      </w:pPr>
      <w:r w:rsidRPr="002A2097">
        <w:rPr>
          <w:b/>
          <w:sz w:val="24"/>
        </w:rPr>
        <w:br w:type="page"/>
      </w:r>
    </w:p>
    <w:p w:rsidR="00C81EFA" w:rsidRPr="002A2097" w:rsidRDefault="00C81EFA" w:rsidP="00C81EFA">
      <w:pPr>
        <w:jc w:val="center"/>
        <w:rPr>
          <w:i/>
          <w:iCs/>
          <w:sz w:val="24"/>
        </w:rPr>
      </w:pPr>
      <w:r w:rsidRPr="002A2097">
        <w:rPr>
          <w:i/>
          <w:iCs/>
          <w:sz w:val="24"/>
        </w:rPr>
        <w:t>Bemærkninger til lovforslagets enkelte bestemmelser</w:t>
      </w:r>
    </w:p>
    <w:p w:rsidR="00C81EFA" w:rsidRPr="002A2097" w:rsidRDefault="00C81EFA" w:rsidP="00C81EFA">
      <w:pPr>
        <w:jc w:val="center"/>
        <w:rPr>
          <w:i/>
          <w:iCs/>
          <w:sz w:val="24"/>
        </w:rPr>
      </w:pPr>
    </w:p>
    <w:p w:rsidR="00C81EFA" w:rsidRPr="002A2097" w:rsidRDefault="00C81EFA" w:rsidP="00C81EFA">
      <w:pPr>
        <w:jc w:val="center"/>
        <w:rPr>
          <w:i/>
          <w:iCs/>
          <w:color w:val="000000"/>
          <w:sz w:val="24"/>
        </w:rPr>
      </w:pPr>
      <w:r w:rsidRPr="002A2097">
        <w:rPr>
          <w:i/>
          <w:iCs/>
          <w:color w:val="000000"/>
          <w:sz w:val="24"/>
        </w:rPr>
        <w:t>Til § 1</w:t>
      </w:r>
    </w:p>
    <w:p w:rsidR="00C81EFA" w:rsidRPr="002A2097" w:rsidRDefault="00C81EFA" w:rsidP="00C81EFA">
      <w:pPr>
        <w:rPr>
          <w:color w:val="000000"/>
          <w:sz w:val="24"/>
        </w:rPr>
      </w:pPr>
      <w:r w:rsidRPr="002A2097">
        <w:rPr>
          <w:color w:val="000000"/>
          <w:sz w:val="24"/>
        </w:rPr>
        <w:t>Til nr. 1</w:t>
      </w:r>
    </w:p>
    <w:p w:rsidR="00C81EFA" w:rsidRPr="002A2097" w:rsidRDefault="00C81EFA" w:rsidP="00C81EFA">
      <w:pPr>
        <w:rPr>
          <w:color w:val="000000"/>
          <w:sz w:val="24"/>
        </w:rPr>
      </w:pPr>
      <w:r w:rsidRPr="002A2097">
        <w:rPr>
          <w:color w:val="000000"/>
          <w:sz w:val="24"/>
        </w:rPr>
        <w:t xml:space="preserve">Forslaget om ophævelse af fradragsbegrænsningen for moms på hotelophold indebærer udelukkende en forøgelse af fradragssatsen fra 75 til 100 pct. Med forslaget bliver der ikke ændret ved afgiftsgrundlaget eller betingelserne for at kunne foretage fradrag for moms på hotelovernatninger, herunder at udgifterne skal være af streng erhvervsmæssig karakter.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color w:val="000000"/>
          <w:sz w:val="24"/>
        </w:rPr>
        <w:t>Til nr. 2, 3 og 5</w:t>
      </w:r>
    </w:p>
    <w:p w:rsidR="00C81EFA" w:rsidRPr="002A2097" w:rsidRDefault="00C81EFA" w:rsidP="00C81EFA">
      <w:pPr>
        <w:rPr>
          <w:color w:val="000000"/>
          <w:sz w:val="24"/>
        </w:rPr>
      </w:pPr>
      <w:r w:rsidRPr="002A2097">
        <w:rPr>
          <w:color w:val="000000"/>
          <w:sz w:val="24"/>
        </w:rPr>
        <w:t xml:space="preserve">Som følge af lovforslagets § 1, nr. 1, foretages konsekvensændringer. </w:t>
      </w:r>
    </w:p>
    <w:p w:rsidR="00C81EFA" w:rsidRPr="002A2097" w:rsidRDefault="00C81EFA" w:rsidP="00C81EFA">
      <w:pPr>
        <w:rPr>
          <w:color w:val="000000"/>
          <w:sz w:val="24"/>
        </w:rPr>
      </w:pPr>
    </w:p>
    <w:p w:rsidR="00C81EFA" w:rsidRPr="002A2097" w:rsidRDefault="00C81EFA" w:rsidP="00C81EFA">
      <w:pPr>
        <w:rPr>
          <w:color w:val="000000"/>
          <w:sz w:val="24"/>
        </w:rPr>
      </w:pPr>
      <w:r w:rsidRPr="002A2097">
        <w:rPr>
          <w:color w:val="000000"/>
          <w:sz w:val="24"/>
        </w:rPr>
        <w:t>Til nr. 4</w:t>
      </w:r>
    </w:p>
    <w:p w:rsidR="00C81EFA" w:rsidRPr="002A2097" w:rsidRDefault="00C81EFA" w:rsidP="00C81EFA">
      <w:pPr>
        <w:rPr>
          <w:color w:val="000000"/>
          <w:sz w:val="24"/>
        </w:rPr>
      </w:pPr>
      <w:r w:rsidRPr="002A2097">
        <w:rPr>
          <w:color w:val="000000"/>
          <w:sz w:val="24"/>
        </w:rPr>
        <w:t xml:space="preserve">Det forslås i lovforslagets § 1, nr. 1, at fradragsbegrænsningen for momsudgiften til hotelovernatninger ophæves. Af konkurrencemæssige hensyn har kursusvirksomheder samme ret til fradrag for momsudgifter til kursisters overnatninger, som almindelige virksomheder har for hotelovernatninger. Forslaget betyder, at der også fremover er ens fradragsmuligheder. </w:t>
      </w:r>
    </w:p>
    <w:p w:rsidR="00C81EFA" w:rsidRPr="002A2097" w:rsidRDefault="00C81EFA" w:rsidP="00C81EFA">
      <w:pPr>
        <w:rPr>
          <w:color w:val="000000"/>
          <w:sz w:val="24"/>
        </w:rPr>
      </w:pPr>
      <w:r w:rsidRPr="002A2097">
        <w:rPr>
          <w:color w:val="000000"/>
          <w:sz w:val="24"/>
        </w:rPr>
        <w:t xml:space="preserve"> </w:t>
      </w:r>
    </w:p>
    <w:p w:rsidR="00C81EFA" w:rsidRPr="002A2097" w:rsidRDefault="00C81EFA" w:rsidP="00C81EFA">
      <w:pPr>
        <w:rPr>
          <w:sz w:val="24"/>
        </w:rPr>
      </w:pPr>
    </w:p>
    <w:p w:rsidR="00C81EFA" w:rsidRPr="002A2097" w:rsidRDefault="00C81EFA" w:rsidP="00C81EFA">
      <w:pPr>
        <w:jc w:val="center"/>
        <w:rPr>
          <w:i/>
          <w:iCs/>
          <w:sz w:val="24"/>
        </w:rPr>
      </w:pPr>
      <w:r w:rsidRPr="002A2097">
        <w:rPr>
          <w:i/>
          <w:iCs/>
          <w:sz w:val="24"/>
        </w:rPr>
        <w:t>Til § 2</w:t>
      </w:r>
    </w:p>
    <w:p w:rsidR="00C81EFA" w:rsidRPr="002A2097" w:rsidRDefault="00C81EFA" w:rsidP="00C81EFA">
      <w:pPr>
        <w:rPr>
          <w:sz w:val="24"/>
        </w:rPr>
      </w:pPr>
    </w:p>
    <w:p w:rsidR="00C81EFA" w:rsidRPr="002A2097" w:rsidRDefault="00C81EFA" w:rsidP="00C81EFA">
      <w:pPr>
        <w:rPr>
          <w:sz w:val="24"/>
        </w:rPr>
      </w:pPr>
      <w:r w:rsidRPr="002A2097">
        <w:rPr>
          <w:sz w:val="24"/>
        </w:rPr>
        <w:t>Til nr. 1</w:t>
      </w:r>
    </w:p>
    <w:p w:rsidR="00C81EFA" w:rsidRPr="002A2097" w:rsidRDefault="00C81EFA" w:rsidP="00C81EFA">
      <w:pPr>
        <w:rPr>
          <w:color w:val="FF0000"/>
          <w:sz w:val="24"/>
        </w:rPr>
      </w:pPr>
      <w:r w:rsidRPr="002A2097">
        <w:rPr>
          <w:sz w:val="24"/>
        </w:rPr>
        <w:t xml:space="preserve">Køretøjer, der udfører offentlig servicetrafik, dvs. OST-biler, er fritaget for registreringsafgift efter registreringsafgiftslovens § 2, stk. 1, nr. 6. </w:t>
      </w:r>
    </w:p>
    <w:p w:rsidR="00C81EFA" w:rsidRPr="002A2097" w:rsidRDefault="00C81EFA" w:rsidP="00C81EFA">
      <w:pPr>
        <w:rPr>
          <w:color w:val="FF0000"/>
          <w:sz w:val="24"/>
        </w:rPr>
      </w:pPr>
    </w:p>
    <w:p w:rsidR="00C81EFA" w:rsidRPr="002A2097" w:rsidRDefault="00C81EFA" w:rsidP="00C81EFA">
      <w:pPr>
        <w:rPr>
          <w:color w:val="FF0000"/>
          <w:sz w:val="24"/>
        </w:rPr>
      </w:pPr>
      <w:r w:rsidRPr="002A2097">
        <w:rPr>
          <w:sz w:val="24"/>
        </w:rPr>
        <w:t>Det foreslås, at denne bestemmelse gøres generel, så alle personbiler med tilladelse til erhvervsmæssig persontransport, og som udelukkende anvendes til dette formål, bliver fritaget for registreringsafgift. Efter forslaget vil registreringsafgiftslovens § 2, stk. 1. nr. 6, således gælde for både taxier, herunder kørestolstaxier, samt limousiner, sygetransportbiler og OST-biler.</w:t>
      </w:r>
      <w:r w:rsidRPr="002A2097">
        <w:rPr>
          <w:color w:val="FF0000"/>
          <w:sz w:val="24"/>
        </w:rPr>
        <w:t xml:space="preserve"> </w:t>
      </w:r>
    </w:p>
    <w:p w:rsidR="00C81EFA" w:rsidRPr="002A2097" w:rsidRDefault="00C81EFA" w:rsidP="00C81EFA">
      <w:pPr>
        <w:rPr>
          <w:sz w:val="24"/>
        </w:rPr>
      </w:pPr>
    </w:p>
    <w:p w:rsidR="00C81EFA" w:rsidRPr="002A2097" w:rsidRDefault="00C81EFA" w:rsidP="00C81EFA">
      <w:pPr>
        <w:rPr>
          <w:sz w:val="24"/>
        </w:rPr>
      </w:pPr>
      <w:r w:rsidRPr="002A2097">
        <w:rPr>
          <w:sz w:val="24"/>
        </w:rPr>
        <w:t>Til nr. 2</w:t>
      </w:r>
    </w:p>
    <w:p w:rsidR="00C81EFA" w:rsidRDefault="00C81EFA" w:rsidP="00C81EFA">
      <w:pPr>
        <w:rPr>
          <w:sz w:val="24"/>
        </w:rPr>
      </w:pPr>
      <w:r>
        <w:rPr>
          <w:sz w:val="24"/>
        </w:rPr>
        <w:t xml:space="preserve">Sygetransportkøretøjer er fritaget for registreringsafgift efter registreringsafgiftslovens § 2, stk. 1, nr. 7, litra c. Denne fritagelsesbestemmelse </w:t>
      </w:r>
      <w:r w:rsidRPr="002A2097">
        <w:rPr>
          <w:sz w:val="24"/>
        </w:rPr>
        <w:t xml:space="preserve">vil efter forslaget være overflødig, fordi fritagelsen for registreringsafgift efter forslagets § 2, nr. 1, vil gælde alle køretøjer med tilladelse til erhvervsmæssig persontransport, herunder </w:t>
      </w:r>
      <w:r>
        <w:rPr>
          <w:sz w:val="24"/>
        </w:rPr>
        <w:t xml:space="preserve">sygetransportkøretøjer. </w:t>
      </w:r>
      <w:r w:rsidRPr="002A2097">
        <w:rPr>
          <w:sz w:val="24"/>
        </w:rPr>
        <w:t xml:space="preserve"> </w:t>
      </w:r>
      <w:r w:rsidR="00333E9F">
        <w:rPr>
          <w:sz w:val="24"/>
        </w:rPr>
        <w:t xml:space="preserve">Det foreslås derfor, at bestemmelsen ophæves. </w:t>
      </w:r>
    </w:p>
    <w:p w:rsidR="00C81EFA" w:rsidRDefault="00C81EFA" w:rsidP="00C81EFA">
      <w:pPr>
        <w:rPr>
          <w:sz w:val="24"/>
        </w:rPr>
      </w:pPr>
    </w:p>
    <w:p w:rsidR="00C81EFA" w:rsidRDefault="00C81EFA" w:rsidP="00C81EFA">
      <w:pPr>
        <w:rPr>
          <w:sz w:val="24"/>
        </w:rPr>
      </w:pPr>
      <w:r>
        <w:rPr>
          <w:sz w:val="24"/>
        </w:rPr>
        <w:t>Til nr. 3</w:t>
      </w:r>
    </w:p>
    <w:p w:rsidR="00C81EFA" w:rsidRPr="002A2097" w:rsidRDefault="00C81EFA" w:rsidP="00C81EFA">
      <w:pPr>
        <w:rPr>
          <w:sz w:val="24"/>
        </w:rPr>
      </w:pPr>
      <w:r w:rsidRPr="002A2097">
        <w:rPr>
          <w:sz w:val="24"/>
        </w:rPr>
        <w:t>Taxier, som er godkendt til persontransport af mindst én person siddende i kørestol</w:t>
      </w:r>
      <w:r w:rsidR="00473A33">
        <w:rPr>
          <w:sz w:val="24"/>
        </w:rPr>
        <w:t>,</w:t>
      </w:r>
      <w:r w:rsidRPr="002A2097">
        <w:rPr>
          <w:sz w:val="24"/>
        </w:rPr>
        <w:t xml:space="preserve"> er fritaget for registreringsafgift efter registreringsafgiftslovens § 2, stk. 1, nr. 15. Disse taxier kan ikke frikøres. </w:t>
      </w:r>
    </w:p>
    <w:p w:rsidR="00C81EFA" w:rsidRPr="002A2097" w:rsidRDefault="00C81EFA" w:rsidP="00C81EFA">
      <w:pPr>
        <w:rPr>
          <w:sz w:val="24"/>
        </w:rPr>
      </w:pPr>
    </w:p>
    <w:p w:rsidR="00C81EFA" w:rsidRPr="002A2097" w:rsidRDefault="00C81EFA" w:rsidP="00C81EFA">
      <w:pPr>
        <w:rPr>
          <w:sz w:val="24"/>
        </w:rPr>
      </w:pPr>
      <w:r w:rsidRPr="002A2097">
        <w:rPr>
          <w:sz w:val="24"/>
        </w:rPr>
        <w:t xml:space="preserve">Fritagelsesbestemmelsen i § 2, stk. 1, nr. 15, vil efter forslaget være overflødig, fordi fritagelsen for registreringsafgift efter forslagets § 2, nr. 1, vil gælde alle køretøjer med tilladelse til erhvervsmæssig persontransport, herunder kørestolstaxier. </w:t>
      </w:r>
      <w:r w:rsidR="00333E9F">
        <w:rPr>
          <w:sz w:val="24"/>
        </w:rPr>
        <w:t xml:space="preserve">Det foreslås derfor, at bestemmelsen ophæves. </w:t>
      </w:r>
    </w:p>
    <w:p w:rsidR="00C81EFA" w:rsidRPr="002A2097" w:rsidRDefault="00C81EFA" w:rsidP="00C81EFA">
      <w:pPr>
        <w:rPr>
          <w:sz w:val="24"/>
        </w:rPr>
      </w:pPr>
    </w:p>
    <w:p w:rsidR="00C81EFA" w:rsidRDefault="00C81EFA" w:rsidP="00C81EFA">
      <w:pPr>
        <w:rPr>
          <w:sz w:val="24"/>
        </w:rPr>
      </w:pPr>
      <w:r>
        <w:rPr>
          <w:sz w:val="24"/>
        </w:rPr>
        <w:t>Til nr. 4</w:t>
      </w:r>
    </w:p>
    <w:p w:rsidR="00C81EFA" w:rsidRDefault="00333E9F" w:rsidP="00C81EFA">
      <w:pPr>
        <w:rPr>
          <w:sz w:val="24"/>
        </w:rPr>
      </w:pPr>
      <w:r>
        <w:rPr>
          <w:sz w:val="24"/>
        </w:rPr>
        <w:t xml:space="preserve">Som følge af § 2, nr. 3, hvor det foreslås at ophæve registreringsafgiftslovens § 2, stk. 1, nr. 15, ændres nummereringen af de efterfølgende numre, således at nr. 17 og 18 fremover vil være nr. 16 og 17. Som konsekvens heraf tilrettes § 2, stk. 4. </w:t>
      </w:r>
    </w:p>
    <w:p w:rsidR="00333E9F" w:rsidRDefault="00333E9F" w:rsidP="00C81EFA">
      <w:pPr>
        <w:rPr>
          <w:sz w:val="24"/>
        </w:rPr>
      </w:pPr>
    </w:p>
    <w:p w:rsidR="00C81EFA" w:rsidRPr="002A2097" w:rsidRDefault="00C81EFA" w:rsidP="00C81EFA">
      <w:pPr>
        <w:rPr>
          <w:sz w:val="24"/>
        </w:rPr>
      </w:pPr>
      <w:r>
        <w:rPr>
          <w:sz w:val="24"/>
        </w:rPr>
        <w:t>Til nr. 5</w:t>
      </w:r>
    </w:p>
    <w:p w:rsidR="00C81EFA" w:rsidRPr="002A2097" w:rsidRDefault="00333E9F" w:rsidP="00C81EFA">
      <w:pPr>
        <w:rPr>
          <w:sz w:val="24"/>
        </w:rPr>
      </w:pPr>
      <w:r>
        <w:rPr>
          <w:sz w:val="24"/>
        </w:rPr>
        <w:t>Det foreslås, at b</w:t>
      </w:r>
      <w:r w:rsidR="00C81EFA" w:rsidRPr="002A2097">
        <w:rPr>
          <w:sz w:val="24"/>
        </w:rPr>
        <w:t xml:space="preserve">estemmelserne om registreringsafgift af taxier, limousiner og sygetransportbiler udgår. Disse køretøjskategorier vil efter forslaget være fritaget fra registreringsafgift efter § 2, stk. 1, nr. 6, jf. forslagets § 2, nr. 1.  </w:t>
      </w:r>
    </w:p>
    <w:p w:rsidR="00C81EFA" w:rsidRPr="002A2097" w:rsidRDefault="00C81EFA" w:rsidP="00C81EFA">
      <w:pPr>
        <w:rPr>
          <w:sz w:val="24"/>
        </w:rPr>
      </w:pPr>
    </w:p>
    <w:p w:rsidR="00C81EFA" w:rsidRPr="002A2097" w:rsidRDefault="00333E9F" w:rsidP="00C81EFA">
      <w:pPr>
        <w:rPr>
          <w:sz w:val="24"/>
        </w:rPr>
      </w:pPr>
      <w:r>
        <w:rPr>
          <w:sz w:val="24"/>
        </w:rPr>
        <w:t>Det foreslås videre, at f</w:t>
      </w:r>
      <w:r w:rsidR="00C81EFA" w:rsidRPr="002A2097">
        <w:rPr>
          <w:sz w:val="24"/>
        </w:rPr>
        <w:t>rikørselsordningerne fo</w:t>
      </w:r>
      <w:r w:rsidR="00473A33">
        <w:rPr>
          <w:sz w:val="24"/>
        </w:rPr>
        <w:t xml:space="preserve">r taxier og limousiner udgår. Det </w:t>
      </w:r>
      <w:r w:rsidR="00C81EFA" w:rsidRPr="002A2097">
        <w:rPr>
          <w:sz w:val="24"/>
        </w:rPr>
        <w:t>medføre</w:t>
      </w:r>
      <w:r w:rsidR="00A721A0">
        <w:rPr>
          <w:sz w:val="24"/>
        </w:rPr>
        <w:t xml:space="preserve">r således, at der ved </w:t>
      </w:r>
      <w:r w:rsidR="002528C0">
        <w:rPr>
          <w:sz w:val="24"/>
        </w:rPr>
        <w:t>omregistrering</w:t>
      </w:r>
      <w:r w:rsidR="00A721A0">
        <w:rPr>
          <w:sz w:val="24"/>
        </w:rPr>
        <w:t xml:space="preserve"> til andet formål end erhvervsmæssig persontransport fremover skal </w:t>
      </w:r>
      <w:r w:rsidR="00C81EFA" w:rsidRPr="002A2097">
        <w:rPr>
          <w:sz w:val="24"/>
        </w:rPr>
        <w:t xml:space="preserve">beregnes registreringsafgift efter </w:t>
      </w:r>
      <w:r w:rsidR="00C81EFA" w:rsidRPr="002A2097">
        <w:rPr>
          <w:iCs/>
          <w:sz w:val="24"/>
        </w:rPr>
        <w:t>bilens afgiftspligtige værdi på salgst</w:t>
      </w:r>
      <w:r w:rsidR="00A721A0">
        <w:rPr>
          <w:iCs/>
          <w:sz w:val="24"/>
        </w:rPr>
        <w:t xml:space="preserve">idspunktet. </w:t>
      </w:r>
      <w:r w:rsidR="00C81EFA" w:rsidRPr="002A2097">
        <w:rPr>
          <w:iCs/>
          <w:sz w:val="24"/>
        </w:rPr>
        <w:t xml:space="preserve"> </w:t>
      </w:r>
    </w:p>
    <w:p w:rsidR="00C81EFA" w:rsidRPr="002A2097" w:rsidRDefault="00C81EFA" w:rsidP="00C81EFA">
      <w:pPr>
        <w:rPr>
          <w:sz w:val="24"/>
        </w:rPr>
      </w:pPr>
    </w:p>
    <w:p w:rsidR="00C81EFA" w:rsidRPr="002A2097" w:rsidRDefault="00C81EFA" w:rsidP="00C81EFA">
      <w:pPr>
        <w:rPr>
          <w:sz w:val="24"/>
        </w:rPr>
      </w:pPr>
      <w:r>
        <w:rPr>
          <w:sz w:val="24"/>
        </w:rPr>
        <w:t>Til nr. 6</w:t>
      </w:r>
    </w:p>
    <w:p w:rsidR="00C81EFA" w:rsidRPr="002A2097" w:rsidRDefault="00C81EFA" w:rsidP="00C81EFA">
      <w:pPr>
        <w:rPr>
          <w:sz w:val="24"/>
        </w:rPr>
      </w:pPr>
      <w:r w:rsidRPr="002A2097">
        <w:rPr>
          <w:sz w:val="24"/>
        </w:rPr>
        <w:t>I registreringsafgiftslovens § 7, stk. 1, er fastsat grænser for, hvor omfattende en færdselsskade kan være</w:t>
      </w:r>
      <w:r w:rsidR="00473A33">
        <w:rPr>
          <w:sz w:val="24"/>
        </w:rPr>
        <w:t>,</w:t>
      </w:r>
      <w:r w:rsidRPr="002A2097">
        <w:rPr>
          <w:sz w:val="24"/>
        </w:rPr>
        <w:t xml:space="preserve"> uden at der skal betales registreringsafgift af den genopbyggede bil. Grænserne følger størrelsen af registreringsafgiften for de enkelte køretøjskategorier. </w:t>
      </w:r>
    </w:p>
    <w:p w:rsidR="00C81EFA" w:rsidRPr="002A2097" w:rsidRDefault="00C81EFA" w:rsidP="00C81EFA">
      <w:pPr>
        <w:rPr>
          <w:sz w:val="24"/>
        </w:rPr>
      </w:pPr>
    </w:p>
    <w:p w:rsidR="00C81EFA" w:rsidRPr="002A2097" w:rsidRDefault="00C81EFA" w:rsidP="00C81EFA">
      <w:pPr>
        <w:rPr>
          <w:sz w:val="24"/>
        </w:rPr>
      </w:pPr>
      <w:r w:rsidRPr="002A2097">
        <w:rPr>
          <w:sz w:val="24"/>
        </w:rPr>
        <w:t xml:space="preserve">Som konsekvens af, at det foreslås at fritage taxier </w:t>
      </w:r>
      <w:r>
        <w:rPr>
          <w:sz w:val="24"/>
        </w:rPr>
        <w:t>m.</w:t>
      </w:r>
      <w:r w:rsidRPr="002A2097">
        <w:rPr>
          <w:sz w:val="24"/>
        </w:rPr>
        <w:t xml:space="preserve"> fra registreringsafgift</w:t>
      </w:r>
      <w:r w:rsidR="00473A33">
        <w:rPr>
          <w:sz w:val="24"/>
        </w:rPr>
        <w:t>,</w:t>
      </w:r>
      <w:r w:rsidRPr="002A2097">
        <w:rPr>
          <w:sz w:val="24"/>
        </w:rPr>
        <w:t xml:space="preserve"> udgår grænsen for disse. </w:t>
      </w:r>
    </w:p>
    <w:p w:rsidR="00C81EFA" w:rsidRPr="002A2097" w:rsidRDefault="00C81EFA" w:rsidP="00C81EFA">
      <w:pPr>
        <w:rPr>
          <w:sz w:val="24"/>
        </w:rPr>
      </w:pPr>
    </w:p>
    <w:p w:rsidR="00C81EFA" w:rsidRPr="002A2097" w:rsidRDefault="00C81EFA" w:rsidP="00C81EFA">
      <w:pPr>
        <w:rPr>
          <w:sz w:val="24"/>
        </w:rPr>
      </w:pPr>
      <w:r>
        <w:rPr>
          <w:sz w:val="24"/>
        </w:rPr>
        <w:t>Til nr. 7</w:t>
      </w:r>
    </w:p>
    <w:p w:rsidR="00C81EFA" w:rsidRPr="002A2097" w:rsidRDefault="00C81EFA" w:rsidP="00C81EFA">
      <w:pPr>
        <w:rPr>
          <w:sz w:val="24"/>
        </w:rPr>
      </w:pPr>
      <w:r w:rsidRPr="002A2097">
        <w:rPr>
          <w:sz w:val="24"/>
        </w:rPr>
        <w:t xml:space="preserve">Registreringsafgiftslovens § 7 b, stk. 2, angiver beregningsgrundlaget for godtgørelse af registreringsafgift ved udførsel af biler og motorcykler. </w:t>
      </w:r>
    </w:p>
    <w:p w:rsidR="00C81EFA" w:rsidRPr="002A2097" w:rsidRDefault="00C81EFA" w:rsidP="00C81EFA">
      <w:pPr>
        <w:rPr>
          <w:sz w:val="24"/>
        </w:rPr>
      </w:pPr>
    </w:p>
    <w:p w:rsidR="00C81EFA" w:rsidRPr="002A2097" w:rsidRDefault="00C81EFA" w:rsidP="00C81EFA">
      <w:pPr>
        <w:rPr>
          <w:sz w:val="24"/>
        </w:rPr>
      </w:pPr>
      <w:r w:rsidRPr="002A2097">
        <w:rPr>
          <w:sz w:val="24"/>
        </w:rPr>
        <w:t xml:space="preserve">Som konsekvens af, at det foreslås at fritage taxier </w:t>
      </w:r>
      <w:r>
        <w:rPr>
          <w:sz w:val="24"/>
        </w:rPr>
        <w:t>m.v</w:t>
      </w:r>
      <w:r w:rsidRPr="002A2097">
        <w:rPr>
          <w:sz w:val="24"/>
        </w:rPr>
        <w:t>. fra registreringsafgift</w:t>
      </w:r>
      <w:r w:rsidR="00473A33">
        <w:rPr>
          <w:sz w:val="24"/>
        </w:rPr>
        <w:t>,</w:t>
      </w:r>
      <w:r w:rsidRPr="002A2097">
        <w:rPr>
          <w:sz w:val="24"/>
        </w:rPr>
        <w:t xml:space="preserve"> udgår reglerne for beregning af godtgørelse for disse. </w:t>
      </w:r>
    </w:p>
    <w:p w:rsidR="00C81EFA" w:rsidRPr="002A2097" w:rsidRDefault="00C81EFA" w:rsidP="00C81EFA">
      <w:pPr>
        <w:rPr>
          <w:sz w:val="24"/>
        </w:rPr>
      </w:pPr>
    </w:p>
    <w:p w:rsidR="00C81EFA" w:rsidRPr="002A2097" w:rsidRDefault="00C81EFA" w:rsidP="00C81EFA">
      <w:pPr>
        <w:rPr>
          <w:sz w:val="24"/>
        </w:rPr>
      </w:pPr>
      <w:r w:rsidRPr="002A2097">
        <w:rPr>
          <w:sz w:val="24"/>
        </w:rPr>
        <w:t xml:space="preserve">Til nr. </w:t>
      </w:r>
      <w:r>
        <w:rPr>
          <w:sz w:val="24"/>
        </w:rPr>
        <w:t>8</w:t>
      </w:r>
    </w:p>
    <w:p w:rsidR="00C81EFA" w:rsidRDefault="00333E9F" w:rsidP="00C81EFA">
      <w:pPr>
        <w:rPr>
          <w:sz w:val="24"/>
        </w:rPr>
      </w:pPr>
      <w:r>
        <w:rPr>
          <w:sz w:val="24"/>
        </w:rPr>
        <w:t xml:space="preserve">Da det foreslås, at registreringsafgiftslovens §§ 6, 6a og 6 b udgår, omformuleres </w:t>
      </w:r>
      <w:r w:rsidR="00C81EFA" w:rsidRPr="002A2097">
        <w:rPr>
          <w:sz w:val="24"/>
        </w:rPr>
        <w:t xml:space="preserve">§ 27, stk. 1, nr. 4, </w:t>
      </w:r>
      <w:r>
        <w:rPr>
          <w:sz w:val="24"/>
        </w:rPr>
        <w:t xml:space="preserve">så der ikke længere henvises til disse bestemmelser. </w:t>
      </w:r>
    </w:p>
    <w:p w:rsidR="00333E9F" w:rsidRPr="002A2097" w:rsidRDefault="00333E9F" w:rsidP="00C81EFA">
      <w:pPr>
        <w:rPr>
          <w:sz w:val="24"/>
        </w:rPr>
      </w:pPr>
    </w:p>
    <w:p w:rsidR="00C81EFA" w:rsidRPr="002A2097" w:rsidRDefault="00C81EFA" w:rsidP="00C81EFA">
      <w:pPr>
        <w:rPr>
          <w:sz w:val="24"/>
        </w:rPr>
      </w:pPr>
    </w:p>
    <w:p w:rsidR="00C81EFA" w:rsidRPr="002A2097" w:rsidRDefault="00C81EFA" w:rsidP="00C81EFA">
      <w:pPr>
        <w:jc w:val="center"/>
        <w:rPr>
          <w:i/>
          <w:iCs/>
          <w:sz w:val="24"/>
        </w:rPr>
      </w:pPr>
      <w:r w:rsidRPr="002A2097">
        <w:rPr>
          <w:i/>
          <w:iCs/>
          <w:sz w:val="24"/>
        </w:rPr>
        <w:t>Til § 3</w:t>
      </w:r>
    </w:p>
    <w:p w:rsidR="00C81EFA" w:rsidRPr="002A2097" w:rsidRDefault="00C81EFA" w:rsidP="00C81EFA">
      <w:pPr>
        <w:rPr>
          <w:bCs/>
          <w:sz w:val="24"/>
        </w:rPr>
      </w:pPr>
      <w:r w:rsidRPr="002A2097">
        <w:rPr>
          <w:bCs/>
          <w:sz w:val="24"/>
        </w:rPr>
        <w:t>Til nr. 1</w:t>
      </w:r>
    </w:p>
    <w:p w:rsidR="00C81EFA" w:rsidRPr="002A2097" w:rsidRDefault="00C81EFA" w:rsidP="00C81EFA">
      <w:pPr>
        <w:rPr>
          <w:bCs/>
          <w:sz w:val="24"/>
        </w:rPr>
      </w:pPr>
      <w:r>
        <w:rPr>
          <w:bCs/>
          <w:sz w:val="24"/>
        </w:rPr>
        <w:t>Benzindrevne t</w:t>
      </w:r>
      <w:r w:rsidRPr="002A2097">
        <w:rPr>
          <w:bCs/>
          <w:sz w:val="24"/>
        </w:rPr>
        <w:t>axier, herunder kørestolstaxier, samt limousiner</w:t>
      </w:r>
      <w:r>
        <w:rPr>
          <w:bCs/>
          <w:sz w:val="24"/>
        </w:rPr>
        <w:t xml:space="preserve"> og sygetransportbiler er </w:t>
      </w:r>
      <w:r w:rsidRPr="002A2097">
        <w:rPr>
          <w:bCs/>
          <w:sz w:val="24"/>
        </w:rPr>
        <w:t>fritaget for brændstofforbrugsafgift</w:t>
      </w:r>
      <w:r>
        <w:rPr>
          <w:bCs/>
          <w:sz w:val="24"/>
        </w:rPr>
        <w:t xml:space="preserve">, jf. brændstofforbrugsafgiftslovens § 6. stk. 1, nr. 5. Fritagelsen gælder ikke for OST-biler, som derfor afregner brændstofforbrugsafgift efter samme regler som almindelige personbiler. </w:t>
      </w:r>
    </w:p>
    <w:p w:rsidR="00C81EFA" w:rsidRPr="002A2097" w:rsidRDefault="00C81EFA" w:rsidP="00C81EFA">
      <w:pPr>
        <w:rPr>
          <w:bCs/>
          <w:sz w:val="24"/>
        </w:rPr>
      </w:pPr>
    </w:p>
    <w:p w:rsidR="00C81EFA" w:rsidRPr="002A2097" w:rsidRDefault="00C81EFA" w:rsidP="00C81EFA">
      <w:pPr>
        <w:rPr>
          <w:bCs/>
          <w:sz w:val="24"/>
        </w:rPr>
      </w:pPr>
      <w:r w:rsidRPr="002A2097">
        <w:rPr>
          <w:bCs/>
          <w:sz w:val="24"/>
        </w:rPr>
        <w:t>Da reglerne efter forslaget ensrettes for alle personbiler med tilladelse til erhvervsmæssig persontransport, fo</w:t>
      </w:r>
      <w:r>
        <w:rPr>
          <w:bCs/>
          <w:sz w:val="24"/>
        </w:rPr>
        <w:t>reslås det herefter</w:t>
      </w:r>
      <w:r w:rsidR="00473A33">
        <w:rPr>
          <w:bCs/>
          <w:sz w:val="24"/>
        </w:rPr>
        <w:t>,</w:t>
      </w:r>
      <w:r>
        <w:rPr>
          <w:bCs/>
          <w:sz w:val="24"/>
        </w:rPr>
        <w:t xml:space="preserve"> at fritagelsen </w:t>
      </w:r>
      <w:r w:rsidRPr="002A2097">
        <w:rPr>
          <w:bCs/>
          <w:sz w:val="24"/>
        </w:rPr>
        <w:t xml:space="preserve">udvides til også at gælde OST-biler.  </w:t>
      </w:r>
    </w:p>
    <w:p w:rsidR="00C81EFA" w:rsidRPr="002A2097" w:rsidRDefault="00C81EFA" w:rsidP="00C81EFA">
      <w:pPr>
        <w:rPr>
          <w:bCs/>
          <w:sz w:val="24"/>
        </w:rPr>
      </w:pPr>
    </w:p>
    <w:p w:rsidR="00C81EFA" w:rsidRPr="002A2097" w:rsidRDefault="00C81EFA" w:rsidP="00C81EFA">
      <w:pPr>
        <w:pStyle w:val="tekstgenerel"/>
        <w:rPr>
          <w:rFonts w:ascii="Times New Roman" w:hAnsi="Times New Roman" w:cs="Times New Roman"/>
          <w:color w:val="auto"/>
        </w:rPr>
      </w:pPr>
      <w:r w:rsidRPr="002A2097">
        <w:rPr>
          <w:rFonts w:ascii="Times New Roman" w:hAnsi="Times New Roman" w:cs="Times New Roman"/>
          <w:color w:val="auto"/>
        </w:rPr>
        <w:lastRenderedPageBreak/>
        <w:t>Reglerne om OST-biler blev vedtaget i 2011, jf. lov nr. 633 af 14. juni 2011. Indtil da fandtes et lignende regelsæt i lov om buskørsel, de såkaldte EP-t</w:t>
      </w:r>
      <w:r>
        <w:rPr>
          <w:rFonts w:ascii="Times New Roman" w:hAnsi="Times New Roman" w:cs="Times New Roman"/>
          <w:color w:val="auto"/>
        </w:rPr>
        <w:t>illadelser. Af forarbejderne</w:t>
      </w:r>
      <w:r w:rsidR="00333E9F">
        <w:rPr>
          <w:rFonts w:ascii="Times New Roman" w:hAnsi="Times New Roman" w:cs="Times New Roman"/>
          <w:color w:val="auto"/>
        </w:rPr>
        <w:t xml:space="preserve"> til</w:t>
      </w:r>
      <w:r>
        <w:rPr>
          <w:rFonts w:ascii="Times New Roman" w:hAnsi="Times New Roman" w:cs="Times New Roman"/>
          <w:color w:val="auto"/>
        </w:rPr>
        <w:t xml:space="preserve"> </w:t>
      </w:r>
      <w:r w:rsidRPr="002A2097">
        <w:rPr>
          <w:rFonts w:ascii="Times New Roman" w:hAnsi="Times New Roman" w:cs="Times New Roman"/>
          <w:color w:val="auto"/>
        </w:rPr>
        <w:t>lov nr. 633 af 14. juni 2011</w:t>
      </w:r>
      <w:r>
        <w:rPr>
          <w:rFonts w:ascii="Times New Roman" w:hAnsi="Times New Roman" w:cs="Times New Roman"/>
          <w:color w:val="auto"/>
        </w:rPr>
        <w:t xml:space="preserve"> § 2, stk. 4</w:t>
      </w:r>
      <w:r w:rsidR="00333E9F">
        <w:rPr>
          <w:rFonts w:ascii="Times New Roman" w:hAnsi="Times New Roman" w:cs="Times New Roman"/>
          <w:color w:val="auto"/>
        </w:rPr>
        <w:t>,</w:t>
      </w:r>
      <w:r w:rsidRPr="002A2097">
        <w:rPr>
          <w:rFonts w:ascii="Times New Roman" w:hAnsi="Times New Roman" w:cs="Times New Roman"/>
          <w:color w:val="auto"/>
        </w:rPr>
        <w:t xml:space="preserve"> fremgår følgende:</w:t>
      </w:r>
    </w:p>
    <w:p w:rsidR="00C81EFA" w:rsidRPr="002A2097" w:rsidRDefault="00C81EFA" w:rsidP="00C81EFA">
      <w:pPr>
        <w:pStyle w:val="tekstgenerel"/>
        <w:rPr>
          <w:rFonts w:ascii="Times New Roman" w:hAnsi="Times New Roman" w:cs="Times New Roman"/>
          <w:color w:val="auto"/>
        </w:rPr>
      </w:pPr>
    </w:p>
    <w:p w:rsidR="00C81EFA" w:rsidRDefault="00C81EFA" w:rsidP="00C81EFA">
      <w:pPr>
        <w:pStyle w:val="tekstgenerel"/>
        <w:rPr>
          <w:rFonts w:ascii="Times New Roman" w:hAnsi="Times New Roman" w:cs="Times New Roman"/>
          <w:color w:val="auto"/>
        </w:rPr>
      </w:pPr>
      <w:r w:rsidRPr="002A2097">
        <w:rPr>
          <w:rFonts w:ascii="Times New Roman" w:hAnsi="Times New Roman" w:cs="Times New Roman"/>
          <w:color w:val="auto"/>
        </w:rPr>
        <w:t>”</w:t>
      </w:r>
      <w:r w:rsidRPr="003B15F2">
        <w:rPr>
          <w:rFonts w:ascii="Times New Roman" w:hAnsi="Times New Roman" w:cs="Times New Roman"/>
          <w:color w:val="auto"/>
        </w:rPr>
        <w:t>Tidspunktet for udløbet af tilladelser efter lov om buskørsel beg</w:t>
      </w:r>
      <w:r>
        <w:rPr>
          <w:rFonts w:ascii="Times New Roman" w:hAnsi="Times New Roman" w:cs="Times New Roman"/>
          <w:color w:val="auto"/>
        </w:rPr>
        <w:t xml:space="preserve">rænset til kørsel i tilknytning </w:t>
      </w:r>
      <w:r w:rsidRPr="003B15F2">
        <w:rPr>
          <w:rFonts w:ascii="Times New Roman" w:hAnsi="Times New Roman" w:cs="Times New Roman"/>
          <w:color w:val="auto"/>
        </w:rPr>
        <w:t>til kontrakt med et trafikselskab om almindelig rutekørsel, de såka</w:t>
      </w:r>
      <w:r>
        <w:rPr>
          <w:rFonts w:ascii="Times New Roman" w:hAnsi="Times New Roman" w:cs="Times New Roman"/>
          <w:color w:val="auto"/>
        </w:rPr>
        <w:t xml:space="preserve">ldte EP-tilladelser, er fastsat </w:t>
      </w:r>
      <w:r w:rsidRPr="003B15F2">
        <w:rPr>
          <w:rFonts w:ascii="Times New Roman" w:hAnsi="Times New Roman" w:cs="Times New Roman"/>
          <w:color w:val="auto"/>
        </w:rPr>
        <w:t>efter tidspunktet for udløbet af vognmandens øvrige tilladelser efter busloven og således ikke efter udløbet af virksomhedens kontrakt med et trafikselskab om offentlig servicetrafik.</w:t>
      </w:r>
    </w:p>
    <w:p w:rsidR="00C81EFA" w:rsidRPr="003B15F2" w:rsidRDefault="00C81EFA" w:rsidP="00C81EFA">
      <w:pPr>
        <w:pStyle w:val="tekstgenerel"/>
        <w:rPr>
          <w:rFonts w:ascii="Times New Roman" w:hAnsi="Times New Roman" w:cs="Times New Roman"/>
          <w:color w:val="auto"/>
        </w:rPr>
      </w:pPr>
    </w:p>
    <w:p w:rsidR="00C81EFA" w:rsidRDefault="00C81EFA" w:rsidP="00C81EFA">
      <w:pPr>
        <w:pStyle w:val="tekstgenerel"/>
        <w:rPr>
          <w:rFonts w:ascii="Times New Roman" w:hAnsi="Times New Roman" w:cs="Times New Roman"/>
          <w:color w:val="auto"/>
        </w:rPr>
      </w:pPr>
      <w:r w:rsidRPr="003B15F2">
        <w:rPr>
          <w:rFonts w:ascii="Times New Roman" w:hAnsi="Times New Roman" w:cs="Times New Roman"/>
          <w:color w:val="auto"/>
        </w:rPr>
        <w:t xml:space="preserve">De vognmænd, hvis EP-tilladelser udløber før udløbet af virksomhedens kontrakt med et trafikselskab om offentlig servicekørsel, vil derfor kunne komme i klemme, hvis de ikke opfylder kravet om at have en taxitilladelse for at få udstedt en tilladelse til offentlig servicetrafik. </w:t>
      </w:r>
    </w:p>
    <w:p w:rsidR="00C81EFA" w:rsidRDefault="00C81EFA" w:rsidP="00C81EFA">
      <w:pPr>
        <w:pStyle w:val="tekstgenerel"/>
        <w:rPr>
          <w:rFonts w:ascii="Times New Roman" w:hAnsi="Times New Roman" w:cs="Times New Roman"/>
          <w:color w:val="auto"/>
        </w:rPr>
      </w:pPr>
    </w:p>
    <w:p w:rsidR="00C81EFA" w:rsidRPr="002A2097" w:rsidRDefault="00C81EFA" w:rsidP="00C81EFA">
      <w:pPr>
        <w:pStyle w:val="tekstgenerel"/>
        <w:rPr>
          <w:rFonts w:ascii="Times New Roman" w:hAnsi="Times New Roman" w:cs="Times New Roman"/>
          <w:color w:val="auto"/>
        </w:rPr>
      </w:pPr>
      <w:r w:rsidRPr="003B15F2">
        <w:rPr>
          <w:rFonts w:ascii="Times New Roman" w:hAnsi="Times New Roman" w:cs="Times New Roman"/>
          <w:color w:val="auto"/>
        </w:rPr>
        <w:t>For at afhjælpe denne særlige situation vil en virksomheds EP-tilladelser kunne forlænges indtil udløbet af den kontrakt, som virksomheden inden den 15. juni 2011 har indgået med et trafikselskab om offentlig servicetrafik.</w:t>
      </w:r>
      <w:r>
        <w:rPr>
          <w:rFonts w:ascii="Times New Roman" w:hAnsi="Times New Roman" w:cs="Times New Roman"/>
          <w:color w:val="auto"/>
        </w:rPr>
        <w:t xml:space="preserve"> </w:t>
      </w:r>
      <w:r w:rsidRPr="003B15F2">
        <w:rPr>
          <w:rFonts w:ascii="Times New Roman" w:hAnsi="Times New Roman" w:cs="Times New Roman"/>
          <w:color w:val="auto"/>
        </w:rPr>
        <w:t>Det samme gælder, hvis der er afgivet bindende bud om offentlig service trafik inden den 15. juni 2011, selv om der ikke er indgået endelig kontrakt herom. Her vil en eksisterende tilladelse kunne forlænges eller en ny tilladelse tildeles, såfremt der efterfølgende indgås kontrakt.</w:t>
      </w:r>
      <w:r w:rsidRPr="002A2097">
        <w:rPr>
          <w:rFonts w:ascii="Times New Roman" w:hAnsi="Times New Roman" w:cs="Times New Roman"/>
          <w:color w:val="auto"/>
        </w:rPr>
        <w:t>”</w:t>
      </w:r>
    </w:p>
    <w:p w:rsidR="00C81EFA" w:rsidRPr="002A2097" w:rsidRDefault="00C81EFA" w:rsidP="00C81EFA">
      <w:pPr>
        <w:pStyle w:val="tekstgenerel"/>
        <w:rPr>
          <w:rFonts w:ascii="Times New Roman" w:hAnsi="Times New Roman" w:cs="Times New Roman"/>
          <w:color w:val="auto"/>
        </w:rPr>
      </w:pPr>
    </w:p>
    <w:p w:rsidR="00C81EFA" w:rsidRDefault="00C81EFA" w:rsidP="00C81EFA">
      <w:pPr>
        <w:pStyle w:val="tekstgenerel"/>
        <w:rPr>
          <w:rFonts w:ascii="Times New Roman" w:hAnsi="Times New Roman" w:cs="Times New Roman"/>
          <w:color w:val="auto"/>
        </w:rPr>
      </w:pPr>
      <w:r>
        <w:rPr>
          <w:rFonts w:ascii="Times New Roman" w:hAnsi="Times New Roman" w:cs="Times New Roman"/>
          <w:color w:val="auto"/>
        </w:rPr>
        <w:t>Da brændstofforbrugsafgiften</w:t>
      </w:r>
      <w:r w:rsidRPr="002A2097">
        <w:rPr>
          <w:rFonts w:ascii="Times New Roman" w:hAnsi="Times New Roman" w:cs="Times New Roman"/>
          <w:color w:val="auto"/>
        </w:rPr>
        <w:t xml:space="preserve"> er en løbende afgift</w:t>
      </w:r>
      <w:r w:rsidR="00473A33">
        <w:rPr>
          <w:rFonts w:ascii="Times New Roman" w:hAnsi="Times New Roman" w:cs="Times New Roman"/>
          <w:color w:val="auto"/>
        </w:rPr>
        <w:t>,</w:t>
      </w:r>
      <w:r w:rsidRPr="002A2097">
        <w:rPr>
          <w:rFonts w:ascii="Times New Roman" w:hAnsi="Times New Roman" w:cs="Times New Roman"/>
          <w:color w:val="auto"/>
        </w:rPr>
        <w:t xml:space="preserve"> skal det understreges, at den foreslåede bestemmelse også omfatter de personbiler, som stadig anvendes til erhvervsmæssig persontransport på baggrund af en EP-tilladelse. </w:t>
      </w:r>
    </w:p>
    <w:p w:rsidR="00C81EFA" w:rsidRDefault="00C81EFA" w:rsidP="00C81EFA">
      <w:pPr>
        <w:pStyle w:val="tekstgenerel"/>
        <w:rPr>
          <w:rFonts w:ascii="Times New Roman" w:hAnsi="Times New Roman" w:cs="Times New Roman"/>
          <w:color w:val="auto"/>
        </w:rPr>
      </w:pPr>
    </w:p>
    <w:p w:rsidR="00C81EFA" w:rsidRDefault="00C81EFA" w:rsidP="00C81EFA">
      <w:pPr>
        <w:pStyle w:val="tekstgenerel"/>
        <w:rPr>
          <w:rFonts w:ascii="Times New Roman" w:hAnsi="Times New Roman" w:cs="Times New Roman"/>
          <w:color w:val="auto"/>
        </w:rPr>
      </w:pPr>
      <w:r>
        <w:rPr>
          <w:rFonts w:ascii="Times New Roman" w:hAnsi="Times New Roman" w:cs="Times New Roman"/>
          <w:color w:val="auto"/>
        </w:rPr>
        <w:t xml:space="preserve">Til nr. 2. </w:t>
      </w:r>
    </w:p>
    <w:p w:rsidR="00C81EFA" w:rsidRPr="002A2097" w:rsidRDefault="00C81EFA" w:rsidP="00C81EFA">
      <w:pPr>
        <w:rPr>
          <w:bCs/>
          <w:sz w:val="24"/>
        </w:rPr>
      </w:pPr>
      <w:r>
        <w:rPr>
          <w:bCs/>
          <w:sz w:val="24"/>
        </w:rPr>
        <w:t>Dieseldrevne t</w:t>
      </w:r>
      <w:r w:rsidRPr="002A2097">
        <w:rPr>
          <w:bCs/>
          <w:sz w:val="24"/>
        </w:rPr>
        <w:t>axier, herunder kørestolstaxier, samt limousiner</w:t>
      </w:r>
      <w:r>
        <w:rPr>
          <w:bCs/>
          <w:sz w:val="24"/>
        </w:rPr>
        <w:t xml:space="preserve"> og sygetransportbiler betaler det dobbelte i udligningsafgift i forhold til almindelige personbiler, jf. brændstofforbrugsafgiftslovens § 6, stk. 2. Denne bestemmelse gælder ikke for OST-biler.  </w:t>
      </w:r>
    </w:p>
    <w:p w:rsidR="00C81EFA" w:rsidRPr="002A2097" w:rsidRDefault="00C81EFA" w:rsidP="00C81EFA">
      <w:pPr>
        <w:rPr>
          <w:bCs/>
          <w:sz w:val="24"/>
        </w:rPr>
      </w:pPr>
    </w:p>
    <w:p w:rsidR="00C81EFA" w:rsidRPr="002A2097" w:rsidRDefault="00C81EFA" w:rsidP="00C81EFA">
      <w:pPr>
        <w:rPr>
          <w:bCs/>
          <w:sz w:val="24"/>
        </w:rPr>
      </w:pPr>
      <w:r w:rsidRPr="002A2097">
        <w:rPr>
          <w:bCs/>
          <w:sz w:val="24"/>
        </w:rPr>
        <w:t>Da reglerne efter forslaget ensrettes for alle personbiler med tilladelse til erhvervsmæssig persontransport, fo</w:t>
      </w:r>
      <w:r>
        <w:rPr>
          <w:bCs/>
          <w:sz w:val="24"/>
        </w:rPr>
        <w:t xml:space="preserve">reslås det således, at § 6, stk. 2, udvides til også at omfatte OST-biler. </w:t>
      </w:r>
    </w:p>
    <w:p w:rsidR="00C81EFA" w:rsidRDefault="00C81EFA" w:rsidP="00C81EFA">
      <w:pPr>
        <w:pStyle w:val="tekstgenerel"/>
        <w:rPr>
          <w:rFonts w:ascii="Times New Roman" w:hAnsi="Times New Roman" w:cs="Times New Roman"/>
          <w:color w:val="auto"/>
        </w:rPr>
      </w:pPr>
    </w:p>
    <w:p w:rsidR="00C81EFA" w:rsidRPr="00C252D4" w:rsidRDefault="00C81EFA" w:rsidP="00C81EFA">
      <w:pPr>
        <w:pStyle w:val="tekstgenerel"/>
        <w:rPr>
          <w:rFonts w:ascii="Times New Roman" w:hAnsi="Times New Roman" w:cs="Times New Roman"/>
          <w:color w:val="auto"/>
        </w:rPr>
      </w:pPr>
      <w:r w:rsidRPr="002A2097">
        <w:rPr>
          <w:rFonts w:ascii="Times New Roman" w:hAnsi="Times New Roman" w:cs="Times New Roman"/>
          <w:color w:val="auto"/>
        </w:rPr>
        <w:t xml:space="preserve">Da udligningsafgiften er </w:t>
      </w:r>
      <w:r>
        <w:rPr>
          <w:rFonts w:ascii="Times New Roman" w:hAnsi="Times New Roman" w:cs="Times New Roman"/>
          <w:color w:val="auto"/>
        </w:rPr>
        <w:t>en løbende afgift</w:t>
      </w:r>
      <w:r w:rsidR="00473A33">
        <w:rPr>
          <w:rFonts w:ascii="Times New Roman" w:hAnsi="Times New Roman" w:cs="Times New Roman"/>
          <w:color w:val="auto"/>
        </w:rPr>
        <w:t>,</w:t>
      </w:r>
      <w:r w:rsidRPr="002A2097">
        <w:rPr>
          <w:rFonts w:ascii="Times New Roman" w:hAnsi="Times New Roman" w:cs="Times New Roman"/>
          <w:color w:val="auto"/>
        </w:rPr>
        <w:t xml:space="preserve"> skal det understreges, at den foreslåede bestemmelse også omfatter de personbiler, som stadig anvendes til erhvervsmæssig persontransport på baggrund af en EP-tillad</w:t>
      </w:r>
      <w:r>
        <w:rPr>
          <w:rFonts w:ascii="Times New Roman" w:hAnsi="Times New Roman" w:cs="Times New Roman"/>
          <w:color w:val="auto"/>
        </w:rPr>
        <w:t>else, jf. bemærkningerne til nr. 1</w:t>
      </w:r>
      <w:r w:rsidRPr="002A2097">
        <w:rPr>
          <w:rFonts w:ascii="Times New Roman" w:hAnsi="Times New Roman" w:cs="Times New Roman"/>
          <w:color w:val="auto"/>
        </w:rPr>
        <w:t xml:space="preserve">. </w:t>
      </w:r>
    </w:p>
    <w:p w:rsidR="00C81EFA" w:rsidRPr="002A2097" w:rsidRDefault="00C81EFA" w:rsidP="00C81EFA">
      <w:pPr>
        <w:pStyle w:val="tekstgenerel"/>
        <w:rPr>
          <w:rFonts w:ascii="Times New Roman" w:hAnsi="Times New Roman" w:cs="Times New Roman"/>
          <w:color w:val="auto"/>
        </w:rPr>
      </w:pPr>
    </w:p>
    <w:p w:rsidR="00C81EFA" w:rsidRPr="002A2097" w:rsidRDefault="00C81EFA" w:rsidP="00C81EFA">
      <w:pPr>
        <w:rPr>
          <w:bCs/>
          <w:sz w:val="24"/>
        </w:rPr>
      </w:pPr>
    </w:p>
    <w:p w:rsidR="00C81EFA" w:rsidRPr="002A2097" w:rsidRDefault="00C81EFA" w:rsidP="00C81EFA">
      <w:pPr>
        <w:rPr>
          <w:bCs/>
          <w:sz w:val="24"/>
        </w:rPr>
      </w:pPr>
    </w:p>
    <w:p w:rsidR="00C81EFA" w:rsidRPr="002A2097" w:rsidRDefault="00C81EFA" w:rsidP="00C81EFA">
      <w:pPr>
        <w:jc w:val="center"/>
        <w:rPr>
          <w:sz w:val="24"/>
        </w:rPr>
      </w:pPr>
    </w:p>
    <w:p w:rsidR="00C81EFA" w:rsidRPr="002A2097" w:rsidRDefault="00C81EFA" w:rsidP="00C81EFA">
      <w:pPr>
        <w:jc w:val="center"/>
        <w:rPr>
          <w:i/>
          <w:iCs/>
          <w:sz w:val="24"/>
        </w:rPr>
      </w:pPr>
      <w:r w:rsidRPr="002A2097">
        <w:rPr>
          <w:i/>
          <w:iCs/>
          <w:sz w:val="24"/>
        </w:rPr>
        <w:t>Til § 4</w:t>
      </w:r>
    </w:p>
    <w:p w:rsidR="00C81EFA" w:rsidRPr="002A2097" w:rsidRDefault="00C81EFA" w:rsidP="00C81EFA">
      <w:pPr>
        <w:rPr>
          <w:bCs/>
          <w:sz w:val="24"/>
        </w:rPr>
      </w:pPr>
      <w:r w:rsidRPr="002A2097">
        <w:rPr>
          <w:bCs/>
          <w:sz w:val="24"/>
        </w:rPr>
        <w:t>Til nr. 1</w:t>
      </w:r>
    </w:p>
    <w:p w:rsidR="00C81EFA" w:rsidRPr="002A2097" w:rsidRDefault="00C81EFA" w:rsidP="00C81EFA">
      <w:pPr>
        <w:rPr>
          <w:bCs/>
          <w:sz w:val="24"/>
        </w:rPr>
      </w:pPr>
      <w:r w:rsidRPr="002A2097">
        <w:rPr>
          <w:bCs/>
          <w:sz w:val="24"/>
        </w:rPr>
        <w:t>Taxier, herunder kørestolstaxier, samt limousiner og</w:t>
      </w:r>
      <w:r>
        <w:rPr>
          <w:bCs/>
          <w:sz w:val="24"/>
        </w:rPr>
        <w:t xml:space="preserve"> sygetransportbiler </w:t>
      </w:r>
      <w:r w:rsidR="00794683">
        <w:rPr>
          <w:bCs/>
          <w:sz w:val="24"/>
        </w:rPr>
        <w:t xml:space="preserve">er </w:t>
      </w:r>
      <w:r>
        <w:rPr>
          <w:bCs/>
          <w:sz w:val="24"/>
        </w:rPr>
        <w:t xml:space="preserve">fritaget for vægtafgift, jf. vægtafgiftslovens § 3, stk. 1, tabelafsnit D. </w:t>
      </w:r>
      <w:r w:rsidRPr="002A2097">
        <w:rPr>
          <w:bCs/>
          <w:sz w:val="24"/>
        </w:rPr>
        <w:t xml:space="preserve">OST-biler betaler derimod vægtafgift efter de samme regler som almindelige personbiler. </w:t>
      </w:r>
    </w:p>
    <w:p w:rsidR="00C81EFA" w:rsidRPr="002A2097" w:rsidRDefault="00C81EFA" w:rsidP="00C81EFA">
      <w:pPr>
        <w:tabs>
          <w:tab w:val="left" w:pos="2262"/>
        </w:tabs>
        <w:rPr>
          <w:bCs/>
          <w:sz w:val="24"/>
        </w:rPr>
      </w:pPr>
      <w:r>
        <w:rPr>
          <w:bCs/>
          <w:sz w:val="24"/>
        </w:rPr>
        <w:tab/>
      </w:r>
    </w:p>
    <w:p w:rsidR="00C81EFA" w:rsidRDefault="00C81EFA" w:rsidP="00C81EFA">
      <w:pPr>
        <w:rPr>
          <w:bCs/>
          <w:sz w:val="24"/>
        </w:rPr>
      </w:pPr>
      <w:r w:rsidRPr="002A2097">
        <w:rPr>
          <w:bCs/>
          <w:sz w:val="24"/>
        </w:rPr>
        <w:t>Da reglerne efter forslaget ensrettes for alle personbiler med tilladelse til erhvervsmæssig persontransport</w:t>
      </w:r>
      <w:r w:rsidR="00473A33">
        <w:rPr>
          <w:bCs/>
          <w:sz w:val="24"/>
        </w:rPr>
        <w:t>,</w:t>
      </w:r>
      <w:r w:rsidRPr="002A2097">
        <w:rPr>
          <w:bCs/>
          <w:sz w:val="24"/>
        </w:rPr>
        <w:t xml:space="preserve"> foreslås det herefter, at fritagelsen for betaling af vægtafgift udvides til også </w:t>
      </w:r>
      <w:r w:rsidRPr="002A2097">
        <w:rPr>
          <w:bCs/>
          <w:sz w:val="24"/>
        </w:rPr>
        <w:lastRenderedPageBreak/>
        <w:t xml:space="preserve">at gælde OST-biler.  </w:t>
      </w:r>
    </w:p>
    <w:p w:rsidR="00C81EFA" w:rsidRDefault="00C81EFA" w:rsidP="00C81EFA">
      <w:pPr>
        <w:rPr>
          <w:bCs/>
          <w:sz w:val="24"/>
        </w:rPr>
      </w:pPr>
    </w:p>
    <w:p w:rsidR="00C81EFA" w:rsidRPr="00C252D4" w:rsidRDefault="00C81EFA" w:rsidP="00C81EFA">
      <w:pPr>
        <w:pStyle w:val="tekstgenerel"/>
        <w:rPr>
          <w:rFonts w:ascii="Times New Roman" w:hAnsi="Times New Roman" w:cs="Times New Roman"/>
          <w:color w:val="auto"/>
        </w:rPr>
      </w:pPr>
      <w:r w:rsidRPr="002A2097">
        <w:rPr>
          <w:rFonts w:ascii="Times New Roman" w:hAnsi="Times New Roman" w:cs="Times New Roman"/>
          <w:color w:val="auto"/>
        </w:rPr>
        <w:t xml:space="preserve">Da </w:t>
      </w:r>
      <w:r>
        <w:rPr>
          <w:rFonts w:ascii="Times New Roman" w:hAnsi="Times New Roman" w:cs="Times New Roman"/>
          <w:color w:val="auto"/>
        </w:rPr>
        <w:t xml:space="preserve">vægtafgiften </w:t>
      </w:r>
      <w:r w:rsidRPr="002A2097">
        <w:rPr>
          <w:rFonts w:ascii="Times New Roman" w:hAnsi="Times New Roman" w:cs="Times New Roman"/>
          <w:color w:val="auto"/>
        </w:rPr>
        <w:t xml:space="preserve">er </w:t>
      </w:r>
      <w:r>
        <w:rPr>
          <w:rFonts w:ascii="Times New Roman" w:hAnsi="Times New Roman" w:cs="Times New Roman"/>
          <w:color w:val="auto"/>
        </w:rPr>
        <w:t>en løbende afgift</w:t>
      </w:r>
      <w:r w:rsidR="00473A33">
        <w:rPr>
          <w:rFonts w:ascii="Times New Roman" w:hAnsi="Times New Roman" w:cs="Times New Roman"/>
          <w:color w:val="auto"/>
        </w:rPr>
        <w:t>,</w:t>
      </w:r>
      <w:r w:rsidRPr="002A2097">
        <w:rPr>
          <w:rFonts w:ascii="Times New Roman" w:hAnsi="Times New Roman" w:cs="Times New Roman"/>
          <w:color w:val="auto"/>
        </w:rPr>
        <w:t xml:space="preserve"> skal det understreges, at den foreslåede bestemmelse også omfatter de personbiler, som stadig anvendes til erhvervsmæssig persontransport på baggrund af en EP-tilladelse, jf. bemærkningerne til § 3. </w:t>
      </w:r>
    </w:p>
    <w:p w:rsidR="00C81EFA" w:rsidRPr="002A2097" w:rsidRDefault="00C81EFA" w:rsidP="00C81EFA">
      <w:pPr>
        <w:rPr>
          <w:bCs/>
          <w:sz w:val="24"/>
        </w:rPr>
      </w:pPr>
    </w:p>
    <w:p w:rsidR="00C81EFA" w:rsidRPr="002A2097" w:rsidRDefault="00C81EFA" w:rsidP="00C81EFA">
      <w:pPr>
        <w:rPr>
          <w:bCs/>
          <w:sz w:val="24"/>
        </w:rPr>
      </w:pPr>
    </w:p>
    <w:p w:rsidR="00C81EFA" w:rsidRPr="002A2097" w:rsidRDefault="00C81EFA" w:rsidP="00C81EFA">
      <w:pPr>
        <w:jc w:val="center"/>
        <w:rPr>
          <w:sz w:val="24"/>
        </w:rPr>
      </w:pPr>
    </w:p>
    <w:p w:rsidR="00C81EFA" w:rsidRPr="002A2097" w:rsidRDefault="00C81EFA" w:rsidP="00C81EFA">
      <w:pPr>
        <w:jc w:val="center"/>
        <w:rPr>
          <w:i/>
          <w:iCs/>
          <w:sz w:val="24"/>
        </w:rPr>
      </w:pPr>
      <w:r w:rsidRPr="002A2097">
        <w:rPr>
          <w:i/>
          <w:iCs/>
          <w:sz w:val="24"/>
        </w:rPr>
        <w:t>Til § 5</w:t>
      </w:r>
    </w:p>
    <w:p w:rsidR="00C81EFA" w:rsidRPr="002A2097" w:rsidRDefault="00C81EFA" w:rsidP="00C81EFA">
      <w:pPr>
        <w:rPr>
          <w:b/>
          <w:bCs/>
          <w:sz w:val="24"/>
        </w:rPr>
      </w:pPr>
    </w:p>
    <w:p w:rsidR="00C81EFA" w:rsidRPr="002A2097" w:rsidRDefault="00C81EFA" w:rsidP="00C81EFA">
      <w:pPr>
        <w:rPr>
          <w:sz w:val="24"/>
        </w:rPr>
      </w:pPr>
      <w:r w:rsidRPr="002A2097">
        <w:rPr>
          <w:sz w:val="24"/>
        </w:rPr>
        <w:t xml:space="preserve">Til stk. 1 </w:t>
      </w:r>
    </w:p>
    <w:p w:rsidR="00C81EFA" w:rsidRPr="002A2097" w:rsidRDefault="00C81EFA" w:rsidP="00C81EFA">
      <w:pPr>
        <w:rPr>
          <w:sz w:val="24"/>
        </w:rPr>
      </w:pPr>
      <w:r w:rsidRPr="002A2097">
        <w:rPr>
          <w:sz w:val="24"/>
        </w:rPr>
        <w:t>Det foreslås, at loven træder i kraft den 1. januar 2015.</w:t>
      </w:r>
    </w:p>
    <w:p w:rsidR="00C81EFA" w:rsidRPr="002A2097" w:rsidRDefault="00C81EFA" w:rsidP="00C81EFA">
      <w:pPr>
        <w:rPr>
          <w:sz w:val="24"/>
        </w:rPr>
      </w:pPr>
    </w:p>
    <w:p w:rsidR="00C81EFA" w:rsidRPr="002A2097" w:rsidRDefault="00C81EFA" w:rsidP="00C81EFA">
      <w:pPr>
        <w:rPr>
          <w:sz w:val="24"/>
        </w:rPr>
      </w:pPr>
      <w:r w:rsidRPr="002A2097">
        <w:rPr>
          <w:sz w:val="24"/>
        </w:rPr>
        <w:t>Til stk. 2</w:t>
      </w:r>
    </w:p>
    <w:p w:rsidR="00C81EFA" w:rsidRPr="002A2097" w:rsidRDefault="00C81EFA" w:rsidP="00C81EFA">
      <w:pPr>
        <w:ind w:right="1"/>
        <w:rPr>
          <w:sz w:val="24"/>
        </w:rPr>
      </w:pPr>
      <w:r w:rsidRPr="002A2097">
        <w:rPr>
          <w:sz w:val="24"/>
        </w:rPr>
        <w:t>Det foreslås, at taxier og limousiner, der er afgiftsberigtiget efter de hidtil gældende bestemmelser i registreringsafgiftsloven</w:t>
      </w:r>
      <w:r w:rsidR="00473A33">
        <w:rPr>
          <w:sz w:val="24"/>
        </w:rPr>
        <w:t>,</w:t>
      </w:r>
      <w:r w:rsidRPr="002A2097">
        <w:rPr>
          <w:sz w:val="24"/>
        </w:rPr>
        <w:t xml:space="preserve"> fortsat vil kunne frikøres efter de hidtil gældende bestemmelser herom.</w:t>
      </w:r>
    </w:p>
    <w:p w:rsidR="00C81EFA" w:rsidRPr="002A2097" w:rsidRDefault="00C81EFA" w:rsidP="00C81EFA">
      <w:pPr>
        <w:rPr>
          <w:b/>
          <w:bCs/>
          <w:sz w:val="24"/>
        </w:rPr>
      </w:pPr>
    </w:p>
    <w:p w:rsidR="00C81EFA" w:rsidRPr="002A2097" w:rsidRDefault="00C81EFA" w:rsidP="00C81EFA">
      <w:pPr>
        <w:rPr>
          <w:sz w:val="24"/>
        </w:rPr>
      </w:pPr>
      <w:r w:rsidRPr="002A2097">
        <w:rPr>
          <w:sz w:val="24"/>
        </w:rPr>
        <w:t>Til stk. 3</w:t>
      </w:r>
    </w:p>
    <w:p w:rsidR="00C81EFA" w:rsidRPr="002A2097" w:rsidRDefault="00C81EFA" w:rsidP="00C81EFA">
      <w:pPr>
        <w:ind w:right="1"/>
        <w:rPr>
          <w:sz w:val="24"/>
        </w:rPr>
      </w:pPr>
      <w:r w:rsidRPr="002A2097">
        <w:rPr>
          <w:sz w:val="24"/>
        </w:rPr>
        <w:t>Bestemmelsen præciserer, at ændringer</w:t>
      </w:r>
      <w:r>
        <w:rPr>
          <w:sz w:val="24"/>
        </w:rPr>
        <w:t>ne</w:t>
      </w:r>
      <w:r w:rsidRPr="002A2097">
        <w:rPr>
          <w:sz w:val="24"/>
        </w:rPr>
        <w:t xml:space="preserve"> sker ved en løbende overgang, idet ændringerne først får virkning for </w:t>
      </w:r>
      <w:r>
        <w:rPr>
          <w:sz w:val="24"/>
        </w:rPr>
        <w:t xml:space="preserve">det enkelte køretøj for </w:t>
      </w:r>
      <w:r w:rsidRPr="002A2097">
        <w:rPr>
          <w:sz w:val="24"/>
        </w:rPr>
        <w:t>den først kommende afgiftsperiode i 2015.</w:t>
      </w:r>
    </w:p>
    <w:p w:rsidR="00C81EFA" w:rsidRPr="002A2097" w:rsidRDefault="00C81EFA" w:rsidP="00C81EFA">
      <w:pPr>
        <w:ind w:right="1"/>
        <w:rPr>
          <w:sz w:val="24"/>
        </w:rPr>
      </w:pPr>
    </w:p>
    <w:p w:rsidR="00C81EFA" w:rsidRPr="002A2097" w:rsidRDefault="00C81EFA" w:rsidP="00C81EFA">
      <w:pPr>
        <w:ind w:right="1"/>
        <w:rPr>
          <w:sz w:val="24"/>
        </w:rPr>
      </w:pPr>
    </w:p>
    <w:p w:rsidR="00C81EFA" w:rsidRPr="002A2097" w:rsidRDefault="00C81EFA" w:rsidP="00C81EFA">
      <w:pPr>
        <w:rPr>
          <w:b/>
          <w:bCs/>
          <w:sz w:val="24"/>
        </w:rPr>
      </w:pPr>
    </w:p>
    <w:p w:rsidR="00C81EFA" w:rsidRPr="002A2097" w:rsidRDefault="00C81EFA" w:rsidP="00C81EFA">
      <w:pPr>
        <w:tabs>
          <w:tab w:val="left" w:pos="0"/>
          <w:tab w:val="left" w:pos="900"/>
        </w:tabs>
        <w:ind w:right="1"/>
        <w:jc w:val="right"/>
        <w:rPr>
          <w:sz w:val="24"/>
        </w:rPr>
      </w:pPr>
      <w:r w:rsidRPr="002A2097">
        <w:rPr>
          <w:sz w:val="24"/>
        </w:rPr>
        <w:tab/>
      </w:r>
    </w:p>
    <w:p w:rsidR="00C81EFA" w:rsidRPr="002A2097" w:rsidRDefault="00C81EFA" w:rsidP="00C81EFA">
      <w:pPr>
        <w:tabs>
          <w:tab w:val="left" w:pos="0"/>
          <w:tab w:val="left" w:pos="900"/>
        </w:tabs>
        <w:ind w:right="1"/>
        <w:jc w:val="right"/>
        <w:rPr>
          <w:b/>
          <w:bCs/>
          <w:sz w:val="24"/>
        </w:rPr>
      </w:pPr>
      <w:r w:rsidRPr="002A2097">
        <w:rPr>
          <w:sz w:val="24"/>
        </w:rPr>
        <w:br w:type="page"/>
      </w:r>
      <w:r w:rsidRPr="002A2097">
        <w:rPr>
          <w:sz w:val="24"/>
        </w:rPr>
        <w:lastRenderedPageBreak/>
        <w:tab/>
      </w:r>
      <w:r w:rsidRPr="002A2097">
        <w:rPr>
          <w:sz w:val="24"/>
        </w:rPr>
        <w:tab/>
      </w:r>
      <w:r w:rsidRPr="002A2097">
        <w:rPr>
          <w:sz w:val="24"/>
        </w:rPr>
        <w:tab/>
      </w:r>
      <w:r w:rsidRPr="002A2097">
        <w:rPr>
          <w:sz w:val="24"/>
        </w:rPr>
        <w:tab/>
      </w:r>
      <w:r w:rsidRPr="002A2097">
        <w:rPr>
          <w:sz w:val="24"/>
        </w:rPr>
        <w:tab/>
      </w:r>
      <w:r w:rsidRPr="002A2097">
        <w:rPr>
          <w:b/>
          <w:bCs/>
          <w:sz w:val="24"/>
        </w:rPr>
        <w:t>Bilag</w:t>
      </w:r>
    </w:p>
    <w:p w:rsidR="00C81EFA" w:rsidRPr="002A2097" w:rsidRDefault="00C81EFA" w:rsidP="00C81EFA">
      <w:pPr>
        <w:jc w:val="right"/>
        <w:rPr>
          <w:b/>
          <w:bCs/>
          <w:sz w:val="24"/>
        </w:rPr>
      </w:pPr>
    </w:p>
    <w:p w:rsidR="00C81EFA" w:rsidRPr="002A2097" w:rsidRDefault="00C81EFA" w:rsidP="00C81EFA">
      <w:pPr>
        <w:rPr>
          <w:sz w:val="24"/>
        </w:rPr>
      </w:pPr>
    </w:p>
    <w:p w:rsidR="00C81EFA" w:rsidRPr="002A2097" w:rsidRDefault="00C81EFA" w:rsidP="00C81EFA">
      <w:pPr>
        <w:tabs>
          <w:tab w:val="left" w:pos="900"/>
          <w:tab w:val="left" w:pos="1080"/>
        </w:tabs>
        <w:rPr>
          <w:sz w:val="24"/>
        </w:rPr>
      </w:pPr>
      <w:r w:rsidRPr="002A2097">
        <w:rPr>
          <w:b/>
          <w:bCs/>
          <w:sz w:val="24"/>
        </w:rPr>
        <w:t xml:space="preserve">Bilag 1 – </w:t>
      </w:r>
      <w:r w:rsidRPr="002A2097">
        <w:rPr>
          <w:sz w:val="24"/>
        </w:rPr>
        <w:t>Andre bilag (EU-direktiver, forordninger, tekniske redegørelser)</w:t>
      </w:r>
    </w:p>
    <w:p w:rsidR="00C81EFA" w:rsidRPr="002A2097" w:rsidRDefault="00C81EFA" w:rsidP="00C81EFA">
      <w:pPr>
        <w:tabs>
          <w:tab w:val="left" w:pos="0"/>
          <w:tab w:val="left" w:pos="1080"/>
        </w:tabs>
        <w:rPr>
          <w:b/>
          <w:bCs/>
          <w:sz w:val="24"/>
        </w:rPr>
      </w:pPr>
    </w:p>
    <w:p w:rsidR="00C81EFA" w:rsidRPr="002A2097" w:rsidRDefault="00C81EFA" w:rsidP="00C81EFA">
      <w:pPr>
        <w:tabs>
          <w:tab w:val="left" w:pos="0"/>
          <w:tab w:val="left" w:pos="1080"/>
        </w:tabs>
        <w:rPr>
          <w:sz w:val="24"/>
        </w:rPr>
      </w:pPr>
      <w:r w:rsidRPr="002A2097">
        <w:rPr>
          <w:b/>
          <w:bCs/>
          <w:sz w:val="24"/>
        </w:rPr>
        <w:t xml:space="preserve">Bilag 2 – </w:t>
      </w:r>
      <w:r w:rsidRPr="002A2097">
        <w:rPr>
          <w:bCs/>
          <w:sz w:val="24"/>
        </w:rPr>
        <w:t>Paralleltekster</w:t>
      </w:r>
      <w:r w:rsidRPr="002A2097">
        <w:rPr>
          <w:b/>
          <w:bCs/>
          <w:sz w:val="24"/>
        </w:rPr>
        <w:t xml:space="preserve"> </w:t>
      </w:r>
    </w:p>
    <w:p w:rsidR="00C81EFA" w:rsidRPr="002A2097" w:rsidRDefault="00C81EFA" w:rsidP="00C81EFA">
      <w:pPr>
        <w:ind w:right="1"/>
        <w:rPr>
          <w:sz w:val="24"/>
        </w:rPr>
      </w:pPr>
    </w:p>
    <w:p w:rsidR="00C81EFA" w:rsidRPr="002A2097" w:rsidRDefault="00C81EFA" w:rsidP="00C81EFA">
      <w:pPr>
        <w:ind w:right="1"/>
        <w:rPr>
          <w:sz w:val="24"/>
        </w:rPr>
      </w:pPr>
      <w:r w:rsidRPr="002A2097">
        <w:rPr>
          <w:b/>
          <w:bCs/>
          <w:sz w:val="24"/>
        </w:rPr>
        <w:br w:type="page"/>
      </w:r>
      <w:r w:rsidRPr="002A2097" w:rsidDel="00CF4AB4">
        <w:rPr>
          <w:b/>
          <w:bCs/>
          <w:sz w:val="24"/>
        </w:rPr>
        <w:lastRenderedPageBreak/>
        <w:t xml:space="preserve"> </w:t>
      </w:r>
    </w:p>
    <w:p w:rsidR="00C81EFA" w:rsidRPr="002A2097" w:rsidRDefault="00C81EFA" w:rsidP="00C81EFA">
      <w:pPr>
        <w:ind w:right="1"/>
        <w:rPr>
          <w:b/>
          <w:sz w:val="24"/>
        </w:rPr>
      </w:pPr>
      <w:r w:rsidRPr="002A2097">
        <w:rPr>
          <w:sz w:val="24"/>
        </w:rPr>
        <w:tab/>
      </w:r>
      <w:r w:rsidRPr="002A2097">
        <w:rPr>
          <w:sz w:val="24"/>
        </w:rPr>
        <w:tab/>
      </w:r>
      <w:r w:rsidRPr="002A2097">
        <w:rPr>
          <w:sz w:val="24"/>
        </w:rPr>
        <w:tab/>
      </w:r>
      <w:r w:rsidRPr="002A2097">
        <w:rPr>
          <w:sz w:val="24"/>
        </w:rPr>
        <w:tab/>
      </w:r>
      <w:r w:rsidRPr="002A2097">
        <w:rPr>
          <w:sz w:val="24"/>
        </w:rPr>
        <w:tab/>
      </w:r>
      <w:r w:rsidRPr="002A2097">
        <w:rPr>
          <w:sz w:val="24"/>
        </w:rPr>
        <w:tab/>
      </w:r>
      <w:r w:rsidRPr="002A2097">
        <w:rPr>
          <w:sz w:val="24"/>
        </w:rPr>
        <w:tab/>
      </w:r>
      <w:r w:rsidRPr="002A2097">
        <w:rPr>
          <w:sz w:val="24"/>
        </w:rPr>
        <w:tab/>
      </w:r>
      <w:r w:rsidRPr="002A2097">
        <w:rPr>
          <w:sz w:val="24"/>
        </w:rPr>
        <w:tab/>
      </w:r>
      <w:r w:rsidRPr="002A2097">
        <w:rPr>
          <w:sz w:val="24"/>
        </w:rPr>
        <w:tab/>
      </w:r>
      <w:r w:rsidRPr="002A2097">
        <w:rPr>
          <w:sz w:val="24"/>
        </w:rPr>
        <w:tab/>
      </w:r>
      <w:r w:rsidRPr="002A2097">
        <w:rPr>
          <w:b/>
          <w:sz w:val="24"/>
        </w:rPr>
        <w:t>Bilag 2</w:t>
      </w:r>
    </w:p>
    <w:p w:rsidR="00C81EFA" w:rsidRPr="002A2097" w:rsidRDefault="00C81EFA" w:rsidP="00C81EFA">
      <w:pPr>
        <w:ind w:left="720" w:firstLine="720"/>
        <w:rPr>
          <w:b/>
          <w:bCs/>
          <w:sz w:val="24"/>
        </w:rPr>
      </w:pPr>
    </w:p>
    <w:p w:rsidR="00C81EFA" w:rsidRPr="002A2097" w:rsidRDefault="00C81EFA" w:rsidP="00C81EFA">
      <w:pPr>
        <w:ind w:left="1440" w:firstLine="720"/>
        <w:rPr>
          <w:b/>
          <w:bCs/>
          <w:sz w:val="24"/>
        </w:rPr>
      </w:pPr>
      <w:r w:rsidRPr="002A2097">
        <w:rPr>
          <w:b/>
          <w:bCs/>
          <w:sz w:val="24"/>
        </w:rPr>
        <w:t>Lovforslaget sammenholdt med gældende lov</w:t>
      </w:r>
    </w:p>
    <w:p w:rsidR="00AF3575" w:rsidRDefault="00AF3575" w:rsidP="00AF3575">
      <w:pPr>
        <w:jc w:val="center"/>
        <w:rPr>
          <w:b/>
        </w:rPr>
      </w:pPr>
    </w:p>
    <w:tbl>
      <w:tblPr>
        <w:tblW w:w="0" w:type="auto"/>
        <w:tblLook w:val="04A0" w:firstRow="1" w:lastRow="0" w:firstColumn="1" w:lastColumn="0" w:noHBand="0" w:noVBand="1"/>
      </w:tblPr>
      <w:tblGrid>
        <w:gridCol w:w="4612"/>
        <w:gridCol w:w="4673"/>
      </w:tblGrid>
      <w:tr w:rsidR="00AF3575" w:rsidRPr="00223D6A" w:rsidTr="000D79F3">
        <w:tc>
          <w:tcPr>
            <w:tcW w:w="4889" w:type="dxa"/>
            <w:shd w:val="clear" w:color="auto" w:fill="auto"/>
          </w:tcPr>
          <w:p w:rsidR="00AF3575" w:rsidRPr="000D79F3" w:rsidRDefault="00AF3575" w:rsidP="00E33AF7">
            <w:pPr>
              <w:rPr>
                <w:rFonts w:eastAsia="Calibri"/>
                <w:i/>
                <w:sz w:val="22"/>
                <w:szCs w:val="22"/>
                <w:lang w:eastAsia="en-US"/>
              </w:rPr>
            </w:pPr>
            <w:r w:rsidRPr="000D79F3">
              <w:rPr>
                <w:rFonts w:eastAsia="Calibri"/>
                <w:i/>
                <w:sz w:val="22"/>
                <w:szCs w:val="22"/>
                <w:lang w:eastAsia="en-US"/>
              </w:rPr>
              <w:t>Gældende formulering</w:t>
            </w:r>
          </w:p>
          <w:p w:rsidR="00AF3575" w:rsidRPr="000D79F3" w:rsidRDefault="00AF3575" w:rsidP="00E33AF7">
            <w:pPr>
              <w:rPr>
                <w:rFonts w:eastAsia="Calibri"/>
                <w:i/>
                <w:sz w:val="22"/>
                <w:szCs w:val="22"/>
                <w:lang w:eastAsia="en-US"/>
              </w:rPr>
            </w:pPr>
          </w:p>
        </w:tc>
        <w:tc>
          <w:tcPr>
            <w:tcW w:w="4889" w:type="dxa"/>
            <w:shd w:val="clear" w:color="auto" w:fill="auto"/>
          </w:tcPr>
          <w:p w:rsidR="00AF3575" w:rsidRPr="000D79F3" w:rsidRDefault="00AF3575" w:rsidP="00E33AF7">
            <w:pPr>
              <w:rPr>
                <w:rFonts w:eastAsia="Calibri"/>
                <w:i/>
                <w:sz w:val="22"/>
                <w:szCs w:val="22"/>
                <w:lang w:eastAsia="en-US"/>
              </w:rPr>
            </w:pPr>
            <w:r w:rsidRPr="000D79F3">
              <w:rPr>
                <w:rFonts w:eastAsia="Calibri"/>
                <w:i/>
                <w:sz w:val="22"/>
                <w:szCs w:val="22"/>
                <w:lang w:eastAsia="en-US"/>
              </w:rPr>
              <w:t>Lovforslaget</w:t>
            </w:r>
          </w:p>
        </w:tc>
      </w:tr>
      <w:tr w:rsidR="00AF3575" w:rsidRPr="00223D6A" w:rsidTr="000D79F3">
        <w:tc>
          <w:tcPr>
            <w:tcW w:w="4889" w:type="dxa"/>
            <w:shd w:val="clear" w:color="auto" w:fill="auto"/>
          </w:tcPr>
          <w:p w:rsidR="00AF3575" w:rsidRPr="000D79F3" w:rsidRDefault="00AF3575" w:rsidP="00E33AF7">
            <w:pPr>
              <w:rPr>
                <w:rFonts w:eastAsia="Calibri"/>
                <w:i/>
                <w:sz w:val="22"/>
                <w:szCs w:val="22"/>
                <w:lang w:eastAsia="en-US"/>
              </w:rPr>
            </w:pPr>
          </w:p>
        </w:tc>
        <w:tc>
          <w:tcPr>
            <w:tcW w:w="4889" w:type="dxa"/>
            <w:shd w:val="clear" w:color="auto" w:fill="auto"/>
          </w:tcPr>
          <w:p w:rsidR="00AF3575" w:rsidRPr="000D79F3" w:rsidRDefault="00AF3575" w:rsidP="000D79F3">
            <w:pPr>
              <w:jc w:val="center"/>
              <w:rPr>
                <w:rFonts w:eastAsia="Calibri"/>
                <w:b/>
                <w:sz w:val="22"/>
                <w:szCs w:val="22"/>
                <w:lang w:eastAsia="en-US"/>
              </w:rPr>
            </w:pPr>
            <w:r w:rsidRPr="000D79F3">
              <w:rPr>
                <w:rFonts w:eastAsia="Calibri"/>
                <w:b/>
                <w:sz w:val="22"/>
                <w:szCs w:val="22"/>
                <w:lang w:eastAsia="en-US"/>
              </w:rPr>
              <w:t>§ 1</w:t>
            </w:r>
          </w:p>
        </w:tc>
      </w:tr>
      <w:tr w:rsidR="00AF3575" w:rsidRPr="00223D6A" w:rsidTr="000D79F3">
        <w:tc>
          <w:tcPr>
            <w:tcW w:w="4889" w:type="dxa"/>
            <w:shd w:val="clear" w:color="auto" w:fill="auto"/>
          </w:tcPr>
          <w:p w:rsidR="00AF3575" w:rsidRPr="000D79F3" w:rsidRDefault="00AF3575" w:rsidP="00E33AF7">
            <w:pPr>
              <w:rPr>
                <w:rFonts w:eastAsia="Calibri"/>
                <w:i/>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sz w:val="22"/>
                <w:szCs w:val="22"/>
                <w:lang w:eastAsia="en-US"/>
              </w:rPr>
              <w:t>I momsloven, jf. lovbekendtgørelse nr. 106 af 23. januar 2013, som ændret ved § 4 i lov nr. 789 af 28. juni 2013, § 7 i lov nr. 903 af 4. juli 2013, § 2 i lov nr. 1637 af 26. december 2013 og § 1 i lov nr. 554 af 2. juni 2014, foretages følgende ændringer:</w:t>
            </w:r>
          </w:p>
          <w:p w:rsidR="00AF3575" w:rsidRPr="000D79F3" w:rsidRDefault="00AF3575" w:rsidP="00E33AF7">
            <w:pPr>
              <w:rPr>
                <w:rFonts w:eastAsia="Calibri"/>
                <w:sz w:val="22"/>
                <w:szCs w:val="22"/>
                <w:lang w:eastAsia="en-US"/>
              </w:rPr>
            </w:pPr>
          </w:p>
        </w:tc>
      </w:tr>
      <w:tr w:rsidR="00AF3575" w:rsidRPr="00223D6A" w:rsidTr="000D79F3">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 42.</w:t>
            </w:r>
            <w:r w:rsidRPr="000D79F3">
              <w:rPr>
                <w:rFonts w:eastAsia="Calibri"/>
                <w:sz w:val="22"/>
                <w:szCs w:val="22"/>
                <w:lang w:eastAsia="en-US"/>
              </w:rPr>
              <w:t xml:space="preserve"> Virksomheder kan ikke fradrage afgift af indkøb mv., som vedrører</w:t>
            </w:r>
          </w:p>
          <w:p w:rsidR="00AF3575" w:rsidRPr="000D79F3" w:rsidRDefault="00AF3575" w:rsidP="00E33AF7">
            <w:pPr>
              <w:rPr>
                <w:rFonts w:eastAsia="Calibri"/>
                <w:sz w:val="22"/>
                <w:szCs w:val="22"/>
                <w:lang w:eastAsia="en-US"/>
              </w:rPr>
            </w:pPr>
            <w:r w:rsidRPr="000D79F3">
              <w:rPr>
                <w:rFonts w:eastAsia="Calibri"/>
                <w:sz w:val="22"/>
                <w:szCs w:val="22"/>
                <w:lang w:eastAsia="en-US"/>
              </w:rPr>
              <w:t>1) … 5) ---</w:t>
            </w:r>
          </w:p>
          <w:p w:rsidR="00AF3575" w:rsidRPr="000D79F3" w:rsidRDefault="00AF3575" w:rsidP="00E33AF7">
            <w:pPr>
              <w:rPr>
                <w:rFonts w:eastAsia="Calibri"/>
                <w:sz w:val="22"/>
                <w:szCs w:val="22"/>
                <w:lang w:eastAsia="en-US"/>
              </w:rPr>
            </w:pPr>
            <w:r w:rsidRPr="000D79F3">
              <w:rPr>
                <w:rFonts w:eastAsia="Calibri"/>
                <w:sz w:val="22"/>
                <w:szCs w:val="22"/>
                <w:lang w:eastAsia="en-US"/>
              </w:rPr>
              <w:t>6) hotelovernatning, jf. dog stk. 2,</w:t>
            </w:r>
          </w:p>
          <w:p w:rsidR="00AF3575" w:rsidRPr="000D79F3" w:rsidRDefault="00AF3575" w:rsidP="00E33AF7">
            <w:pPr>
              <w:rPr>
                <w:rFonts w:eastAsia="Calibri"/>
                <w:sz w:val="22"/>
                <w:szCs w:val="22"/>
                <w:lang w:eastAsia="en-US"/>
              </w:rPr>
            </w:pPr>
            <w:r w:rsidRPr="000D79F3">
              <w:rPr>
                <w:rFonts w:eastAsia="Calibri"/>
                <w:sz w:val="22"/>
                <w:szCs w:val="22"/>
                <w:lang w:eastAsia="en-US"/>
              </w:rPr>
              <w:t>7) ---</w:t>
            </w:r>
          </w:p>
          <w:p w:rsidR="00AF3575" w:rsidRPr="000D79F3" w:rsidRDefault="00AF3575" w:rsidP="00E33AF7">
            <w:pPr>
              <w:rPr>
                <w:rFonts w:eastAsia="Calibri"/>
                <w:sz w:val="22"/>
                <w:szCs w:val="22"/>
                <w:lang w:eastAsia="en-US"/>
              </w:rPr>
            </w:pPr>
            <w:r w:rsidRPr="000D79F3">
              <w:rPr>
                <w:rFonts w:eastAsia="Calibri"/>
                <w:i/>
                <w:sz w:val="22"/>
                <w:szCs w:val="22"/>
                <w:lang w:eastAsia="en-US"/>
              </w:rPr>
              <w:t>Stk. 2-7</w:t>
            </w:r>
            <w:r w:rsidRPr="000D79F3">
              <w:rPr>
                <w:rFonts w:eastAsia="Calibri"/>
                <w:sz w:val="22"/>
                <w:szCs w:val="22"/>
                <w:lang w:eastAsia="en-US"/>
              </w:rPr>
              <w:t xml:space="preserve"> ---</w:t>
            </w:r>
          </w:p>
          <w:p w:rsidR="00AF3575" w:rsidRPr="000D79F3" w:rsidRDefault="00AF3575" w:rsidP="00E33AF7">
            <w:pPr>
              <w:rPr>
                <w:rFonts w:eastAsia="Calibri"/>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1.</w:t>
            </w:r>
            <w:r w:rsidRPr="000D79F3">
              <w:rPr>
                <w:rFonts w:eastAsia="Calibri"/>
                <w:sz w:val="22"/>
                <w:szCs w:val="22"/>
                <w:lang w:eastAsia="en-US"/>
              </w:rPr>
              <w:t xml:space="preserve"> </w:t>
            </w:r>
            <w:r w:rsidRPr="000D79F3">
              <w:rPr>
                <w:rFonts w:eastAsia="Calibri"/>
                <w:i/>
                <w:sz w:val="22"/>
                <w:szCs w:val="22"/>
                <w:lang w:eastAsia="en-US"/>
              </w:rPr>
              <w:t>§ 42, stk. 1, nr. 6</w:t>
            </w:r>
            <w:r w:rsidRPr="000D79F3">
              <w:rPr>
                <w:rFonts w:eastAsia="Calibri"/>
                <w:sz w:val="22"/>
                <w:szCs w:val="22"/>
                <w:lang w:eastAsia="en-US"/>
              </w:rPr>
              <w:t xml:space="preserve">, ophæves.  </w:t>
            </w:r>
          </w:p>
          <w:p w:rsidR="00AF3575" w:rsidRPr="000D79F3" w:rsidRDefault="00AF3575" w:rsidP="00E33AF7">
            <w:pPr>
              <w:rPr>
                <w:rFonts w:eastAsia="Calibri"/>
                <w:sz w:val="22"/>
                <w:szCs w:val="22"/>
                <w:lang w:eastAsia="en-US"/>
              </w:rPr>
            </w:pPr>
            <w:r w:rsidRPr="000D79F3">
              <w:rPr>
                <w:rFonts w:eastAsia="Calibri"/>
                <w:sz w:val="22"/>
                <w:szCs w:val="22"/>
                <w:lang w:eastAsia="en-US"/>
              </w:rPr>
              <w:t>Nr. 7 bliver herefter nr. 6</w:t>
            </w:r>
            <w:r w:rsidR="0010736C">
              <w:rPr>
                <w:rFonts w:eastAsia="Calibri"/>
                <w:sz w:val="22"/>
                <w:szCs w:val="22"/>
                <w:lang w:eastAsia="en-US"/>
              </w:rPr>
              <w:t>.</w:t>
            </w:r>
            <w:r w:rsidRPr="000D79F3">
              <w:rPr>
                <w:rFonts w:eastAsia="Calibri"/>
                <w:sz w:val="22"/>
                <w:szCs w:val="22"/>
                <w:lang w:eastAsia="en-US"/>
              </w:rPr>
              <w:tab/>
            </w:r>
          </w:p>
          <w:p w:rsidR="00AF3575" w:rsidRPr="000D79F3" w:rsidRDefault="00AF3575" w:rsidP="00E33AF7">
            <w:pPr>
              <w:rPr>
                <w:rFonts w:eastAsia="Calibri"/>
                <w:sz w:val="22"/>
                <w:szCs w:val="22"/>
                <w:lang w:eastAsia="en-US"/>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42 ---</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Virksomheder kan uanset bestemmelsen i stk. 1, nr. 5, fradrage 25 pct. af afgift af restaurationsydelser. Virksomheder kan uanset bestemmelsen i stk. 1, nr. 6, fradrage 75 pct. af afgift af hotelovernatning. I begge tilfælde er det en forudsætning, at udgifterne hertil er af strengt erhvervsmæssig karakter.</w:t>
            </w:r>
          </w:p>
          <w:p w:rsidR="00AF3575" w:rsidRPr="000D79F3" w:rsidRDefault="00AF3575" w:rsidP="00E33AF7">
            <w:pPr>
              <w:rPr>
                <w:rFonts w:eastAsia="Calibri"/>
                <w:sz w:val="22"/>
                <w:szCs w:val="22"/>
                <w:lang w:eastAsia="en-US"/>
              </w:rPr>
            </w:pPr>
            <w:r w:rsidRPr="000D79F3">
              <w:rPr>
                <w:rFonts w:eastAsia="Calibri"/>
                <w:i/>
                <w:sz w:val="22"/>
                <w:szCs w:val="22"/>
                <w:lang w:eastAsia="en-US"/>
              </w:rPr>
              <w:t>Stk. 3-7</w:t>
            </w:r>
            <w:r w:rsidRPr="000D79F3">
              <w:rPr>
                <w:rFonts w:eastAsia="Calibri"/>
                <w:sz w:val="22"/>
                <w:szCs w:val="22"/>
                <w:lang w:eastAsia="en-US"/>
              </w:rPr>
              <w:t xml:space="preserve"> ---</w:t>
            </w:r>
          </w:p>
          <w:p w:rsidR="00AF3575" w:rsidRPr="000D79F3" w:rsidRDefault="00AF3575" w:rsidP="00E33AF7">
            <w:pPr>
              <w:rPr>
                <w:rFonts w:eastAsia="Calibri"/>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2.</w:t>
            </w:r>
            <w:r w:rsidRPr="000D79F3">
              <w:rPr>
                <w:rFonts w:eastAsia="Calibri"/>
                <w:sz w:val="22"/>
                <w:szCs w:val="22"/>
                <w:lang w:eastAsia="en-US"/>
              </w:rPr>
              <w:t xml:space="preserve"> </w:t>
            </w:r>
            <w:r w:rsidRPr="000D79F3">
              <w:rPr>
                <w:rFonts w:eastAsia="Calibri"/>
                <w:i/>
                <w:sz w:val="22"/>
                <w:szCs w:val="22"/>
                <w:lang w:eastAsia="en-US"/>
              </w:rPr>
              <w:t>§ 42, stk. 2, 2. pkt.</w:t>
            </w:r>
            <w:r w:rsidRPr="000D79F3">
              <w:rPr>
                <w:rFonts w:eastAsia="Calibri"/>
                <w:sz w:val="22"/>
                <w:szCs w:val="22"/>
                <w:lang w:eastAsia="en-US"/>
              </w:rPr>
              <w:t>, ophæves.</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42 ---</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Virksomheder kan uanset bestemmelsen i stk. 1, nr. 5, fradrage 25 pct. af afgift af restaurationsydelser. Virksomheder kan uanset bestemmelsen i stk. 1, nr. 6, fradrage 75 pct. af afgift af hotelovernatning. I begge tilfælde er det en forudsætning, at udgifterne hertil er af strengt erhvervsmæssig karakter.</w:t>
            </w:r>
          </w:p>
          <w:p w:rsidR="00AF3575" w:rsidRPr="000D79F3" w:rsidRDefault="00AF3575" w:rsidP="00E33AF7">
            <w:pPr>
              <w:rPr>
                <w:rFonts w:eastAsia="Calibri"/>
                <w:sz w:val="22"/>
                <w:szCs w:val="22"/>
                <w:lang w:eastAsia="en-US"/>
              </w:rPr>
            </w:pPr>
            <w:r w:rsidRPr="000D79F3">
              <w:rPr>
                <w:rFonts w:eastAsia="Calibri"/>
                <w:i/>
                <w:sz w:val="22"/>
                <w:szCs w:val="22"/>
                <w:lang w:eastAsia="en-US"/>
              </w:rPr>
              <w:t>Stk. 3-7</w:t>
            </w:r>
            <w:r w:rsidRPr="000D79F3">
              <w:rPr>
                <w:rFonts w:eastAsia="Calibri"/>
                <w:sz w:val="22"/>
                <w:szCs w:val="22"/>
                <w:lang w:eastAsia="en-US"/>
              </w:rPr>
              <w:t xml:space="preserve"> ---</w:t>
            </w:r>
          </w:p>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3.</w:t>
            </w:r>
            <w:r w:rsidRPr="000D79F3">
              <w:rPr>
                <w:rFonts w:eastAsia="Calibri"/>
                <w:sz w:val="22"/>
                <w:szCs w:val="22"/>
                <w:lang w:eastAsia="en-US"/>
              </w:rPr>
              <w:t xml:space="preserve"> I </w:t>
            </w:r>
            <w:r w:rsidRPr="000D79F3">
              <w:rPr>
                <w:rFonts w:eastAsia="Calibri"/>
                <w:i/>
                <w:sz w:val="22"/>
                <w:szCs w:val="22"/>
                <w:lang w:eastAsia="en-US"/>
              </w:rPr>
              <w:t>§ 42, stk. 2, 3. pkt.</w:t>
            </w:r>
            <w:r w:rsidRPr="000D79F3">
              <w:rPr>
                <w:rFonts w:eastAsia="Calibri"/>
                <w:sz w:val="22"/>
                <w:szCs w:val="22"/>
                <w:lang w:eastAsia="en-US"/>
              </w:rPr>
              <w:t xml:space="preserve">, der bliver </w:t>
            </w:r>
            <w:r w:rsidRPr="000D79F3">
              <w:rPr>
                <w:rFonts w:eastAsia="Calibri"/>
                <w:i/>
                <w:sz w:val="22"/>
                <w:szCs w:val="22"/>
                <w:lang w:eastAsia="en-US"/>
              </w:rPr>
              <w:t>stk. 2, 2. pkt.</w:t>
            </w:r>
            <w:r w:rsidRPr="000D79F3">
              <w:rPr>
                <w:rFonts w:eastAsia="Calibri"/>
                <w:sz w:val="22"/>
                <w:szCs w:val="22"/>
                <w:lang w:eastAsia="en-US"/>
              </w:rPr>
              <w:t>, ændres »I begge tilfælde er det en forudsætning« til: »Det er en forudsætning«.</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42 ---</w:t>
            </w:r>
          </w:p>
          <w:p w:rsidR="00AF3575" w:rsidRPr="000D79F3" w:rsidRDefault="00AF3575" w:rsidP="00E33AF7">
            <w:pPr>
              <w:rPr>
                <w:rFonts w:eastAsia="Calibri"/>
                <w:sz w:val="22"/>
                <w:szCs w:val="22"/>
                <w:lang w:eastAsia="en-US"/>
              </w:rPr>
            </w:pPr>
            <w:r w:rsidRPr="000D79F3">
              <w:rPr>
                <w:rFonts w:eastAsia="Calibri"/>
                <w:i/>
                <w:sz w:val="22"/>
                <w:szCs w:val="22"/>
                <w:lang w:eastAsia="en-US"/>
              </w:rPr>
              <w:t>Stk. 3.</w:t>
            </w:r>
            <w:r w:rsidRPr="000D79F3">
              <w:rPr>
                <w:rFonts w:eastAsia="Calibri"/>
                <w:sz w:val="22"/>
                <w:szCs w:val="22"/>
                <w:lang w:eastAsia="en-US"/>
              </w:rPr>
              <w:t xml:space="preserve"> Virksomheder, der driver kursusvirksomhed efter § 13, stk. 1, nr. 3, 2. pkt., kan fradrage 25 pct. af afgift af indkøb m.v., som vedrører bespisning af virksomhedens kursusdeltagere, og 75 pct. af afgift af indkøb m.v., som vedrører virksomhedens kursusdeltageres hotelovernatning, i det omfang indkøbet heraf står i rimeligt forhold til de afholdte kurser.</w:t>
            </w:r>
          </w:p>
          <w:p w:rsidR="00AF3575" w:rsidRPr="000D79F3" w:rsidRDefault="00AF3575" w:rsidP="00E33AF7">
            <w:pPr>
              <w:rPr>
                <w:rFonts w:eastAsia="Calibri"/>
                <w:sz w:val="22"/>
                <w:szCs w:val="22"/>
                <w:lang w:eastAsia="en-US"/>
              </w:rPr>
            </w:pPr>
            <w:r w:rsidRPr="000D79F3">
              <w:rPr>
                <w:rFonts w:eastAsia="Calibri"/>
                <w:i/>
                <w:sz w:val="22"/>
                <w:szCs w:val="22"/>
                <w:lang w:eastAsia="en-US"/>
              </w:rPr>
              <w:lastRenderedPageBreak/>
              <w:t>Stk. 4-7</w:t>
            </w:r>
            <w:r w:rsidRPr="000D79F3">
              <w:rPr>
                <w:rFonts w:eastAsia="Calibri"/>
                <w:sz w:val="22"/>
                <w:szCs w:val="22"/>
                <w:lang w:eastAsia="en-US"/>
              </w:rPr>
              <w:t xml:space="preserve"> ---</w:t>
            </w:r>
          </w:p>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lastRenderedPageBreak/>
              <w:t xml:space="preserve">4. </w:t>
            </w:r>
            <w:r w:rsidRPr="000D79F3">
              <w:rPr>
                <w:rFonts w:eastAsia="Calibri"/>
                <w:sz w:val="22"/>
                <w:szCs w:val="22"/>
                <w:lang w:eastAsia="en-US"/>
              </w:rPr>
              <w:t xml:space="preserve">I </w:t>
            </w:r>
            <w:r w:rsidRPr="000D79F3">
              <w:rPr>
                <w:rFonts w:eastAsia="Calibri"/>
                <w:i/>
                <w:sz w:val="22"/>
                <w:szCs w:val="22"/>
                <w:lang w:eastAsia="en-US"/>
              </w:rPr>
              <w:t>§ 42, stk. 3</w:t>
            </w:r>
            <w:r w:rsidRPr="000D79F3">
              <w:rPr>
                <w:rFonts w:eastAsia="Calibri"/>
                <w:sz w:val="22"/>
                <w:szCs w:val="22"/>
                <w:lang w:eastAsia="en-US"/>
              </w:rPr>
              <w:t>, udgår »og 75 pct. af afgift af indkøb m.v., som vedrører virksomhedens kursusdeltageres hotelovernatning,«.</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lastRenderedPageBreak/>
              <w:t>§ 42 ---</w:t>
            </w:r>
          </w:p>
          <w:p w:rsidR="00AF3575" w:rsidRPr="000D79F3" w:rsidRDefault="00AF3575" w:rsidP="00E33AF7">
            <w:pPr>
              <w:rPr>
                <w:rFonts w:eastAsia="Calibri"/>
                <w:sz w:val="22"/>
                <w:szCs w:val="22"/>
                <w:lang w:eastAsia="en-US"/>
              </w:rPr>
            </w:pPr>
            <w:r w:rsidRPr="000D79F3">
              <w:rPr>
                <w:rFonts w:eastAsia="Calibri"/>
                <w:i/>
                <w:sz w:val="22"/>
                <w:szCs w:val="22"/>
                <w:lang w:eastAsia="en-US"/>
              </w:rPr>
              <w:t>Stk. 4.</w:t>
            </w:r>
            <w:r w:rsidRPr="000D79F3">
              <w:rPr>
                <w:rFonts w:eastAsia="Calibri"/>
                <w:sz w:val="22"/>
                <w:szCs w:val="22"/>
                <w:lang w:eastAsia="en-US"/>
              </w:rPr>
              <w:t xml:space="preserve"> Virksomheder, der lejer personmotorkøretøjer i mere end 6 måneder i sammenhæng, kan uanset bestemmelsen i stk. 1, nr. 7, fradrage afgiften af lejen, dog højst med 25 pct. af fradragsgrundlaget efter stk. 5. Det er en betingelse, at mindst 10 pct. af den årlige kørsel med det lejede køretøj anvendes i forbindelse med virksomhedens fradragsberettigede levering af varer og ydelser.</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5 ---</w:t>
            </w:r>
          </w:p>
          <w:p w:rsidR="00AF3575" w:rsidRPr="000D79F3" w:rsidRDefault="00AF3575" w:rsidP="00E33AF7">
            <w:pPr>
              <w:rPr>
                <w:rFonts w:eastAsia="Calibri"/>
                <w:sz w:val="22"/>
                <w:szCs w:val="22"/>
                <w:lang w:eastAsia="en-US"/>
              </w:rPr>
            </w:pPr>
            <w:r w:rsidRPr="000D79F3">
              <w:rPr>
                <w:rFonts w:eastAsia="Calibri"/>
                <w:i/>
                <w:sz w:val="22"/>
                <w:szCs w:val="22"/>
                <w:lang w:eastAsia="en-US"/>
              </w:rPr>
              <w:t>Stk. 6.</w:t>
            </w:r>
            <w:r w:rsidRPr="000D79F3">
              <w:rPr>
                <w:rFonts w:eastAsia="Calibri"/>
                <w:sz w:val="22"/>
                <w:szCs w:val="22"/>
                <w:lang w:eastAsia="en-US"/>
              </w:rPr>
              <w:t xml:space="preserve"> Virksomheder, der forhandler eller udlejer motorkøretøjer, eller som driver køreskole, kan uanset bestemmelsen i stk. 1, nr. 7, fradrage afgiften af indkøb mv. til disse formål.</w:t>
            </w:r>
          </w:p>
          <w:p w:rsidR="00AF3575" w:rsidRPr="000D79F3" w:rsidRDefault="00AF3575" w:rsidP="00E33AF7">
            <w:pPr>
              <w:rPr>
                <w:rFonts w:eastAsia="Calibri"/>
                <w:sz w:val="22"/>
                <w:szCs w:val="22"/>
                <w:lang w:eastAsia="en-US"/>
              </w:rPr>
            </w:pPr>
            <w:r w:rsidRPr="000D79F3">
              <w:rPr>
                <w:rFonts w:eastAsia="Calibri"/>
                <w:i/>
                <w:sz w:val="22"/>
                <w:szCs w:val="22"/>
                <w:lang w:eastAsia="en-US"/>
              </w:rPr>
              <w:t>Stk. 7.</w:t>
            </w:r>
            <w:r w:rsidRPr="000D79F3">
              <w:rPr>
                <w:rFonts w:eastAsia="Calibri"/>
                <w:sz w:val="22"/>
                <w:szCs w:val="22"/>
                <w:lang w:eastAsia="en-US"/>
              </w:rPr>
              <w:t xml:space="preserve"> Virksomheder kan uanset bestemmelsen i stk. 1, nr. 7, fradrage merværdiafgiften på passagen af den faste forbindelse over Øresund.</w:t>
            </w:r>
          </w:p>
          <w:p w:rsidR="00AF3575" w:rsidRPr="000D79F3" w:rsidRDefault="00AF3575" w:rsidP="00E33AF7">
            <w:pPr>
              <w:rPr>
                <w:rFonts w:eastAsia="Calibri"/>
                <w:sz w:val="22"/>
                <w:szCs w:val="22"/>
                <w:lang w:eastAsia="en-US"/>
              </w:rPr>
            </w:pPr>
          </w:p>
        </w:tc>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xml:space="preserve">5. </w:t>
            </w:r>
            <w:r w:rsidRPr="000D79F3">
              <w:rPr>
                <w:rFonts w:eastAsia="Calibri"/>
                <w:sz w:val="22"/>
                <w:szCs w:val="22"/>
                <w:lang w:eastAsia="en-US"/>
              </w:rPr>
              <w:t xml:space="preserve">I </w:t>
            </w:r>
            <w:r w:rsidRPr="000D79F3">
              <w:rPr>
                <w:rFonts w:eastAsia="Calibri"/>
                <w:i/>
                <w:sz w:val="22"/>
                <w:szCs w:val="22"/>
                <w:lang w:eastAsia="en-US"/>
              </w:rPr>
              <w:t>§ 42, stk. 4, 1. pkt., § 42, stk. 6, og § 42, stk. 7</w:t>
            </w:r>
            <w:r w:rsidRPr="000D79F3">
              <w:rPr>
                <w:rFonts w:eastAsia="Calibri"/>
                <w:sz w:val="22"/>
                <w:szCs w:val="22"/>
                <w:lang w:eastAsia="en-US"/>
              </w:rPr>
              <w:t>, ændres »stk. 1, nr. 7« til: »stk. 1, nr. 6«.</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0D79F3">
            <w:pPr>
              <w:jc w:val="center"/>
              <w:rPr>
                <w:rFonts w:eastAsia="Calibri"/>
                <w:b/>
                <w:sz w:val="22"/>
                <w:szCs w:val="22"/>
                <w:lang w:eastAsia="en-US"/>
              </w:rPr>
            </w:pPr>
            <w:r w:rsidRPr="000D79F3">
              <w:rPr>
                <w:rFonts w:eastAsia="Calibri"/>
                <w:b/>
                <w:sz w:val="22"/>
                <w:szCs w:val="22"/>
                <w:lang w:eastAsia="en-US"/>
              </w:rPr>
              <w:t>§ 2</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sz w:val="22"/>
                <w:szCs w:val="22"/>
                <w:lang w:eastAsia="en-US"/>
              </w:rPr>
              <w:t>I registreringsafgiftsloven, jf. lovbekendtgørelse nr. 29 af 10. januar 2014, foretages følgende ændringer:</w:t>
            </w:r>
          </w:p>
          <w:p w:rsidR="00AF3575" w:rsidRPr="000D79F3" w:rsidRDefault="00AF3575" w:rsidP="00E33AF7">
            <w:pPr>
              <w:rPr>
                <w:rFonts w:eastAsia="Calibri"/>
                <w:sz w:val="22"/>
                <w:szCs w:val="22"/>
                <w:lang w:eastAsia="en-US"/>
              </w:rPr>
            </w:pPr>
          </w:p>
        </w:tc>
      </w:tr>
      <w:tr w:rsidR="00AF3575" w:rsidRPr="00223D6A" w:rsidTr="000D79F3">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 xml:space="preserve">§ 2. </w:t>
            </w:r>
            <w:r w:rsidRPr="000D79F3">
              <w:rPr>
                <w:rFonts w:eastAsia="Calibri"/>
                <w:sz w:val="22"/>
                <w:szCs w:val="22"/>
                <w:lang w:eastAsia="en-US"/>
              </w:rPr>
              <w:t>Fritaget for afgift er:</w:t>
            </w:r>
          </w:p>
          <w:p w:rsidR="00AF3575" w:rsidRPr="000D79F3" w:rsidRDefault="00AF3575" w:rsidP="00E33AF7">
            <w:pPr>
              <w:rPr>
                <w:rFonts w:eastAsia="Calibri"/>
                <w:sz w:val="22"/>
                <w:szCs w:val="22"/>
                <w:lang w:eastAsia="en-US"/>
              </w:rPr>
            </w:pPr>
            <w:r w:rsidRPr="000D79F3">
              <w:rPr>
                <w:rFonts w:eastAsia="Calibri"/>
                <w:sz w:val="22"/>
                <w:szCs w:val="22"/>
                <w:lang w:eastAsia="en-US"/>
              </w:rPr>
              <w:t>1) … 5) ---</w:t>
            </w:r>
          </w:p>
          <w:p w:rsidR="00AF3575" w:rsidRPr="000D79F3" w:rsidRDefault="00AF3575" w:rsidP="00E33AF7">
            <w:pPr>
              <w:rPr>
                <w:rFonts w:eastAsia="Calibri"/>
                <w:sz w:val="22"/>
                <w:szCs w:val="22"/>
                <w:lang w:eastAsia="en-US"/>
              </w:rPr>
            </w:pPr>
            <w:r w:rsidRPr="000D79F3">
              <w:rPr>
                <w:rFonts w:eastAsia="Calibri"/>
                <w:sz w:val="22"/>
                <w:szCs w:val="22"/>
                <w:lang w:eastAsia="en-US"/>
              </w:rPr>
              <w:t>6) køretøjer, der med tilladelse til offentlig servicetrafik efter lov om taxikørsel m.v. udelukkende benyttes til udførelse af almindelig rutekørsel for et trafikselskab omfattet af lov om trafikselskaber,</w:t>
            </w:r>
          </w:p>
          <w:p w:rsidR="00AF3575" w:rsidRPr="000D79F3" w:rsidRDefault="00AF3575" w:rsidP="00E33AF7">
            <w:pPr>
              <w:rPr>
                <w:rFonts w:eastAsia="Calibri"/>
                <w:sz w:val="22"/>
                <w:szCs w:val="22"/>
                <w:lang w:eastAsia="en-US"/>
              </w:rPr>
            </w:pPr>
            <w:r w:rsidRPr="000D79F3">
              <w:rPr>
                <w:rFonts w:eastAsia="Calibri"/>
                <w:sz w:val="22"/>
                <w:szCs w:val="22"/>
                <w:lang w:eastAsia="en-US"/>
              </w:rPr>
              <w:t>7) … 21) ---</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2-4 ---</w:t>
            </w:r>
          </w:p>
          <w:p w:rsidR="00AF3575" w:rsidRPr="000D79F3" w:rsidRDefault="00AF3575" w:rsidP="00E33AF7">
            <w:pPr>
              <w:rPr>
                <w:rFonts w:eastAsia="Calibri"/>
                <w:b/>
                <w:i/>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1.</w:t>
            </w:r>
            <w:r w:rsidRPr="000D79F3">
              <w:rPr>
                <w:rFonts w:eastAsia="Calibri"/>
                <w:sz w:val="22"/>
                <w:szCs w:val="22"/>
                <w:lang w:eastAsia="en-US"/>
              </w:rPr>
              <w:t xml:space="preserve"> </w:t>
            </w:r>
            <w:r w:rsidRPr="000D79F3">
              <w:rPr>
                <w:rFonts w:eastAsia="Calibri"/>
                <w:i/>
                <w:sz w:val="22"/>
                <w:szCs w:val="22"/>
                <w:lang w:eastAsia="en-US"/>
              </w:rPr>
              <w:t>§ 2, stk.1, nr. 6</w:t>
            </w:r>
            <w:r w:rsidRPr="000D79F3">
              <w:rPr>
                <w:rFonts w:eastAsia="Calibri"/>
                <w:sz w:val="22"/>
                <w:szCs w:val="22"/>
                <w:lang w:eastAsia="en-US"/>
              </w:rPr>
              <w:t>, affattes således:</w:t>
            </w:r>
          </w:p>
          <w:p w:rsidR="00AF3575" w:rsidRPr="000D79F3" w:rsidRDefault="00AF3575" w:rsidP="00E33AF7">
            <w:pPr>
              <w:rPr>
                <w:rFonts w:eastAsia="Calibri"/>
                <w:sz w:val="22"/>
                <w:szCs w:val="22"/>
                <w:lang w:eastAsia="en-US"/>
              </w:rPr>
            </w:pPr>
            <w:r w:rsidRPr="000D79F3">
              <w:rPr>
                <w:rFonts w:eastAsia="Calibri"/>
                <w:color w:val="000000"/>
                <w:sz w:val="24"/>
                <w:szCs w:val="22"/>
                <w:lang w:eastAsia="en-US"/>
              </w:rPr>
              <w:t>»</w:t>
            </w:r>
            <w:r w:rsidRPr="000D79F3">
              <w:rPr>
                <w:rFonts w:eastAsia="Calibri"/>
                <w:sz w:val="22"/>
                <w:szCs w:val="22"/>
                <w:lang w:eastAsia="en-US"/>
              </w:rPr>
              <w:t>6) personbiler med tilladelse til erhvervsmæssig persontransport, som udelukkende anvendes hertil,</w:t>
            </w:r>
            <w:r w:rsidRPr="000D79F3">
              <w:rPr>
                <w:rFonts w:eastAsia="Calibri"/>
                <w:color w:val="000000"/>
                <w:sz w:val="24"/>
                <w:szCs w:val="22"/>
                <w:lang w:eastAsia="en-US"/>
              </w:rPr>
              <w:t>«</w:t>
            </w:r>
          </w:p>
          <w:p w:rsidR="00AF3575" w:rsidRPr="000D79F3" w:rsidRDefault="00AF3575" w:rsidP="00E33AF7">
            <w:pPr>
              <w:rPr>
                <w:rFonts w:eastAsia="Calibri"/>
                <w:sz w:val="22"/>
                <w:szCs w:val="22"/>
                <w:lang w:eastAsia="en-US"/>
              </w:rPr>
            </w:pPr>
          </w:p>
        </w:tc>
      </w:tr>
      <w:tr w:rsidR="00AF3575" w:rsidRPr="00223D6A" w:rsidTr="000D79F3">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 xml:space="preserve">§ 2. </w:t>
            </w:r>
            <w:r w:rsidRPr="000D79F3">
              <w:rPr>
                <w:rFonts w:eastAsia="Calibri"/>
                <w:sz w:val="22"/>
                <w:szCs w:val="22"/>
                <w:lang w:eastAsia="en-US"/>
              </w:rPr>
              <w:t>Fritaget for afgift er:</w:t>
            </w:r>
          </w:p>
          <w:p w:rsidR="00AF3575" w:rsidRPr="000D79F3" w:rsidRDefault="00AF3575" w:rsidP="00E33AF7">
            <w:pPr>
              <w:rPr>
                <w:rFonts w:eastAsia="Calibri"/>
                <w:sz w:val="22"/>
                <w:szCs w:val="22"/>
                <w:lang w:eastAsia="en-US"/>
              </w:rPr>
            </w:pPr>
            <w:r w:rsidRPr="000D79F3">
              <w:rPr>
                <w:rFonts w:eastAsia="Calibri"/>
                <w:sz w:val="22"/>
                <w:szCs w:val="22"/>
                <w:lang w:eastAsia="en-US"/>
              </w:rPr>
              <w:t>1) … 6) ---</w:t>
            </w:r>
          </w:p>
          <w:p w:rsidR="00AF3575" w:rsidRPr="000D79F3" w:rsidRDefault="00AF3575" w:rsidP="00E33AF7">
            <w:pPr>
              <w:rPr>
                <w:rFonts w:eastAsia="Calibri"/>
                <w:sz w:val="22"/>
                <w:szCs w:val="22"/>
                <w:lang w:eastAsia="en-US"/>
              </w:rPr>
            </w:pPr>
            <w:r w:rsidRPr="000D79F3">
              <w:rPr>
                <w:rFonts w:eastAsia="Calibri"/>
                <w:sz w:val="22"/>
                <w:szCs w:val="22"/>
                <w:lang w:eastAsia="en-US"/>
              </w:rPr>
              <w:t>7) køretøjer, som omhandlet i § 5 a, stk. 1, der</w:t>
            </w:r>
          </w:p>
          <w:p w:rsidR="00AF3575" w:rsidRPr="000D79F3" w:rsidRDefault="00AF3575" w:rsidP="00E33AF7">
            <w:pPr>
              <w:rPr>
                <w:rFonts w:eastAsia="Calibri"/>
                <w:sz w:val="22"/>
                <w:szCs w:val="22"/>
                <w:lang w:eastAsia="en-US"/>
              </w:rPr>
            </w:pPr>
            <w:r w:rsidRPr="000D79F3">
              <w:rPr>
                <w:rFonts w:eastAsia="Calibri"/>
                <w:sz w:val="22"/>
                <w:szCs w:val="22"/>
                <w:lang w:eastAsia="en-US"/>
              </w:rPr>
              <w:t>a) … b) ---</w:t>
            </w:r>
          </w:p>
          <w:p w:rsidR="00AF3575" w:rsidRPr="000D79F3" w:rsidRDefault="00AF3575" w:rsidP="00E33AF7">
            <w:pPr>
              <w:rPr>
                <w:rFonts w:eastAsia="Calibri"/>
                <w:sz w:val="22"/>
                <w:szCs w:val="22"/>
                <w:lang w:eastAsia="en-US"/>
              </w:rPr>
            </w:pPr>
            <w:r w:rsidRPr="000D79F3">
              <w:rPr>
                <w:rFonts w:eastAsia="Calibri"/>
                <w:sz w:val="22"/>
                <w:szCs w:val="22"/>
                <w:lang w:eastAsia="en-US"/>
              </w:rPr>
              <w:t>c)eventuelt med reduceret sædeantal udelukkende benyttes til erhvervsmæssig befordring af patienter og donorer (sygetransportkøretøjer),</w:t>
            </w:r>
          </w:p>
          <w:p w:rsidR="00AF3575" w:rsidRPr="000D79F3" w:rsidRDefault="00AF3575" w:rsidP="00E33AF7">
            <w:pPr>
              <w:rPr>
                <w:rFonts w:eastAsia="Calibri"/>
                <w:sz w:val="22"/>
                <w:szCs w:val="22"/>
                <w:lang w:eastAsia="en-US"/>
              </w:rPr>
            </w:pPr>
            <w:r w:rsidRPr="000D79F3">
              <w:rPr>
                <w:rFonts w:eastAsia="Calibri"/>
                <w:sz w:val="22"/>
                <w:szCs w:val="22"/>
                <w:lang w:eastAsia="en-US"/>
              </w:rPr>
              <w:t>d) … e) ---</w:t>
            </w:r>
          </w:p>
          <w:p w:rsidR="00AF3575" w:rsidRPr="000D79F3" w:rsidRDefault="00AF3575" w:rsidP="00E33AF7">
            <w:pPr>
              <w:rPr>
                <w:rFonts w:eastAsia="Calibri"/>
                <w:sz w:val="22"/>
                <w:szCs w:val="22"/>
                <w:lang w:eastAsia="en-US"/>
              </w:rPr>
            </w:pPr>
            <w:r w:rsidRPr="000D79F3">
              <w:rPr>
                <w:rFonts w:eastAsia="Calibri"/>
                <w:sz w:val="22"/>
                <w:szCs w:val="22"/>
                <w:lang w:eastAsia="en-US"/>
              </w:rPr>
              <w:t>8) … 21) ---</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2-4 ---</w:t>
            </w:r>
          </w:p>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 xml:space="preserve">2. </w:t>
            </w:r>
            <w:r w:rsidRPr="000D79F3">
              <w:rPr>
                <w:rFonts w:eastAsia="Calibri"/>
                <w:i/>
                <w:sz w:val="22"/>
                <w:szCs w:val="22"/>
                <w:lang w:eastAsia="en-US"/>
              </w:rPr>
              <w:t>§ 2, stk. 1, nr. 7, litra c</w:t>
            </w:r>
            <w:r w:rsidRPr="000D79F3">
              <w:rPr>
                <w:rFonts w:eastAsia="Calibri"/>
                <w:sz w:val="22"/>
                <w:szCs w:val="22"/>
                <w:lang w:eastAsia="en-US"/>
              </w:rPr>
              <w:t xml:space="preserve">, ophæves. </w:t>
            </w:r>
          </w:p>
          <w:p w:rsidR="00AF3575" w:rsidRPr="000D79F3" w:rsidRDefault="00AF3575" w:rsidP="00E33AF7">
            <w:pPr>
              <w:rPr>
                <w:rFonts w:eastAsia="Calibri"/>
                <w:b/>
                <w:sz w:val="22"/>
                <w:szCs w:val="22"/>
                <w:lang w:eastAsia="en-US"/>
              </w:rPr>
            </w:pPr>
            <w:r w:rsidRPr="000D79F3">
              <w:rPr>
                <w:rFonts w:eastAsia="Calibri"/>
                <w:sz w:val="22"/>
                <w:szCs w:val="22"/>
                <w:lang w:eastAsia="en-US"/>
              </w:rPr>
              <w:t>Litra d og e bliver herefter litra c og d.</w:t>
            </w:r>
          </w:p>
        </w:tc>
      </w:tr>
      <w:tr w:rsidR="00AF3575" w:rsidRPr="00223D6A" w:rsidTr="000D79F3">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t xml:space="preserve">§ 2. </w:t>
            </w:r>
            <w:r w:rsidRPr="000D79F3">
              <w:rPr>
                <w:rFonts w:eastAsia="Calibri"/>
                <w:sz w:val="22"/>
                <w:szCs w:val="22"/>
                <w:lang w:eastAsia="en-US"/>
              </w:rPr>
              <w:t>Fritaget for afgift er:</w:t>
            </w:r>
          </w:p>
          <w:p w:rsidR="00AF3575" w:rsidRPr="000D79F3" w:rsidRDefault="00AF3575" w:rsidP="00E33AF7">
            <w:pPr>
              <w:rPr>
                <w:rFonts w:eastAsia="Calibri"/>
                <w:sz w:val="22"/>
                <w:szCs w:val="22"/>
                <w:lang w:eastAsia="en-US"/>
              </w:rPr>
            </w:pPr>
            <w:r w:rsidRPr="000D79F3">
              <w:rPr>
                <w:rFonts w:eastAsia="Calibri"/>
                <w:sz w:val="22"/>
                <w:szCs w:val="22"/>
                <w:lang w:eastAsia="en-US"/>
              </w:rPr>
              <w:t>1) … 14) ---</w:t>
            </w:r>
          </w:p>
          <w:p w:rsidR="00AF3575" w:rsidRPr="000D79F3" w:rsidRDefault="00AF3575" w:rsidP="00E33AF7">
            <w:pPr>
              <w:rPr>
                <w:rFonts w:eastAsia="Calibri"/>
                <w:sz w:val="22"/>
                <w:szCs w:val="22"/>
                <w:lang w:eastAsia="en-US"/>
              </w:rPr>
            </w:pPr>
            <w:r w:rsidRPr="000D79F3">
              <w:rPr>
                <w:rFonts w:eastAsia="Calibri"/>
                <w:sz w:val="22"/>
                <w:szCs w:val="22"/>
                <w:lang w:eastAsia="en-US"/>
              </w:rPr>
              <w:t>15) køretøjer som omhandlet i § 6 a, stk. 1, som er godkendt til befordring af mindst én person siddende i kørestol. Disse køretøjer kan ikke senere afgiftsberigtiges efter § 6 a,</w:t>
            </w:r>
          </w:p>
          <w:p w:rsidR="00AF3575" w:rsidRPr="000D79F3" w:rsidRDefault="00AF3575" w:rsidP="00E33AF7">
            <w:pPr>
              <w:rPr>
                <w:rFonts w:eastAsia="Calibri"/>
                <w:sz w:val="22"/>
                <w:szCs w:val="22"/>
                <w:lang w:eastAsia="en-US"/>
              </w:rPr>
            </w:pPr>
            <w:r w:rsidRPr="000D79F3">
              <w:rPr>
                <w:rFonts w:eastAsia="Calibri"/>
                <w:sz w:val="22"/>
                <w:szCs w:val="22"/>
                <w:lang w:eastAsia="en-US"/>
              </w:rPr>
              <w:lastRenderedPageBreak/>
              <w:t>16) … 21) ---</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2-4 ---</w:t>
            </w:r>
          </w:p>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lastRenderedPageBreak/>
              <w:t xml:space="preserve">3. </w:t>
            </w:r>
            <w:r w:rsidRPr="000D79F3">
              <w:rPr>
                <w:rFonts w:eastAsia="Calibri"/>
                <w:i/>
                <w:sz w:val="22"/>
                <w:szCs w:val="22"/>
                <w:lang w:eastAsia="en-US"/>
              </w:rPr>
              <w:t>§ 2, stk.1, nr.15,</w:t>
            </w:r>
            <w:r w:rsidRPr="000D79F3">
              <w:rPr>
                <w:rFonts w:eastAsia="Calibri"/>
                <w:sz w:val="22"/>
                <w:szCs w:val="22"/>
                <w:lang w:eastAsia="en-US"/>
              </w:rPr>
              <w:t xml:space="preserve"> ophæves. </w:t>
            </w:r>
          </w:p>
          <w:p w:rsidR="00AF3575" w:rsidRPr="000D79F3" w:rsidRDefault="00AF3575" w:rsidP="00E33AF7">
            <w:pPr>
              <w:rPr>
                <w:rFonts w:eastAsia="Calibri"/>
                <w:b/>
                <w:sz w:val="22"/>
                <w:szCs w:val="22"/>
                <w:lang w:eastAsia="en-US"/>
              </w:rPr>
            </w:pPr>
            <w:r w:rsidRPr="000D79F3">
              <w:rPr>
                <w:rFonts w:eastAsia="Calibri"/>
                <w:sz w:val="22"/>
                <w:szCs w:val="22"/>
                <w:lang w:eastAsia="en-US"/>
              </w:rPr>
              <w:t>Nr. 16–21 bliver herefter nr. 15–20.</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lastRenderedPageBreak/>
              <w:t>§ 2 ---</w:t>
            </w:r>
          </w:p>
          <w:p w:rsidR="00AF3575" w:rsidRPr="000D79F3" w:rsidRDefault="00AF3575" w:rsidP="00E33AF7">
            <w:pPr>
              <w:rPr>
                <w:rFonts w:eastAsia="Calibri"/>
                <w:sz w:val="22"/>
                <w:szCs w:val="22"/>
                <w:lang w:eastAsia="en-US"/>
              </w:rPr>
            </w:pPr>
            <w:r w:rsidRPr="000D79F3">
              <w:rPr>
                <w:rFonts w:eastAsia="Calibri"/>
                <w:i/>
                <w:sz w:val="22"/>
                <w:szCs w:val="22"/>
                <w:lang w:eastAsia="en-US"/>
              </w:rPr>
              <w:t>Stk. 4.</w:t>
            </w:r>
            <w:r w:rsidRPr="000D79F3">
              <w:rPr>
                <w:rFonts w:eastAsia="Calibri"/>
                <w:b/>
                <w:sz w:val="22"/>
                <w:szCs w:val="22"/>
                <w:lang w:eastAsia="en-US"/>
              </w:rPr>
              <w:t xml:space="preserve"> </w:t>
            </w:r>
            <w:r w:rsidRPr="000D79F3">
              <w:rPr>
                <w:rFonts w:eastAsia="Calibri"/>
                <w:sz w:val="22"/>
                <w:szCs w:val="22"/>
                <w:lang w:eastAsia="en-US"/>
              </w:rPr>
              <w:t>Skatteministeren fastsætter nærmere regler vedrørende afgørelser om afgiftsfritagelse efter stk. 1, nr. 17 og 18.</w:t>
            </w:r>
          </w:p>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0D79F3">
            <w:pPr>
              <w:spacing w:line="288" w:lineRule="auto"/>
              <w:rPr>
                <w:sz w:val="22"/>
                <w:szCs w:val="22"/>
              </w:rPr>
            </w:pPr>
            <w:r w:rsidRPr="000D79F3">
              <w:rPr>
                <w:b/>
                <w:sz w:val="22"/>
                <w:szCs w:val="22"/>
              </w:rPr>
              <w:t xml:space="preserve">4. </w:t>
            </w:r>
            <w:r w:rsidRPr="000D79F3">
              <w:rPr>
                <w:sz w:val="22"/>
                <w:szCs w:val="22"/>
              </w:rPr>
              <w:t xml:space="preserve">I </w:t>
            </w:r>
            <w:r w:rsidRPr="000D79F3">
              <w:rPr>
                <w:i/>
                <w:sz w:val="22"/>
                <w:szCs w:val="22"/>
              </w:rPr>
              <w:t xml:space="preserve">§ 2, stk. 4, </w:t>
            </w:r>
            <w:r w:rsidRPr="000D79F3">
              <w:rPr>
                <w:sz w:val="22"/>
                <w:szCs w:val="22"/>
              </w:rPr>
              <w:t xml:space="preserve">ændres </w:t>
            </w:r>
            <w:r w:rsidRPr="000D79F3">
              <w:rPr>
                <w:rFonts w:eastAsia="Calibri"/>
                <w:color w:val="000000"/>
                <w:sz w:val="24"/>
                <w:szCs w:val="22"/>
                <w:lang w:eastAsia="en-US"/>
              </w:rPr>
              <w:t>»</w:t>
            </w:r>
            <w:r w:rsidRPr="000D79F3">
              <w:rPr>
                <w:sz w:val="22"/>
                <w:szCs w:val="22"/>
              </w:rPr>
              <w:t xml:space="preserve">nr. 17 og 18” til: </w:t>
            </w:r>
            <w:r w:rsidRPr="000D79F3">
              <w:rPr>
                <w:rFonts w:eastAsia="Calibri"/>
                <w:color w:val="000000"/>
                <w:sz w:val="24"/>
                <w:szCs w:val="22"/>
                <w:lang w:eastAsia="en-US"/>
              </w:rPr>
              <w:t>»</w:t>
            </w:r>
            <w:r w:rsidRPr="000D79F3">
              <w:rPr>
                <w:sz w:val="22"/>
                <w:szCs w:val="22"/>
              </w:rPr>
              <w:t>nr. 16 og 17</w:t>
            </w:r>
            <w:r w:rsidRPr="000D79F3">
              <w:rPr>
                <w:rFonts w:eastAsia="Calibri"/>
                <w:color w:val="000000"/>
                <w:sz w:val="24"/>
                <w:szCs w:val="22"/>
                <w:lang w:eastAsia="en-US"/>
              </w:rPr>
              <w:t>«</w:t>
            </w:r>
            <w:r w:rsidRPr="000D79F3">
              <w:rPr>
                <w:sz w:val="22"/>
                <w:szCs w:val="22"/>
              </w:rPr>
              <w:t xml:space="preserve">. </w:t>
            </w:r>
          </w:p>
          <w:p w:rsidR="00AF3575" w:rsidRPr="000D79F3" w:rsidRDefault="00AF3575" w:rsidP="00E33AF7">
            <w:pPr>
              <w:rPr>
                <w:rFonts w:eastAsia="Calibri"/>
                <w:b/>
                <w:sz w:val="22"/>
                <w:szCs w:val="22"/>
                <w:lang w:eastAsia="en-US"/>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xml:space="preserve">§ 6. </w:t>
            </w:r>
            <w:r w:rsidRPr="000D79F3">
              <w:rPr>
                <w:rFonts w:eastAsia="Calibri"/>
                <w:sz w:val="22"/>
                <w:szCs w:val="22"/>
                <w:lang w:eastAsia="en-US"/>
              </w:rPr>
              <w:t>For køretøjer, som udelukkende benyttes til erhvervsmæssig befordring af patienter og donorer, udgør afgiften 0 pct. af de første 12.100 kr. af den afgiftspligtige værdi og 20 pct. af resten, jf. dog § 2, stk. 1, nr. 7, litra c..</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Køretøjets afgiftspligtige værdi forhøjes med 7.450 kr. for nye køretøjer, der ikke er forsynet med sikkerhedspude, og med 3.725 kr. for nye køretøjer, der kun er forsynet med én sikkerhedspude.</w:t>
            </w:r>
          </w:p>
          <w:p w:rsidR="00AF3575" w:rsidRPr="000D79F3" w:rsidRDefault="00AF3575" w:rsidP="00E33AF7">
            <w:pPr>
              <w:rPr>
                <w:rFonts w:eastAsia="Calibri"/>
                <w:sz w:val="22"/>
                <w:szCs w:val="22"/>
                <w:lang w:eastAsia="en-US"/>
              </w:rPr>
            </w:pPr>
            <w:r w:rsidRPr="000D79F3">
              <w:rPr>
                <w:rFonts w:eastAsia="Calibri"/>
                <w:i/>
                <w:sz w:val="22"/>
                <w:szCs w:val="22"/>
                <w:lang w:eastAsia="en-US"/>
              </w:rPr>
              <w:t>Stk. 3.</w:t>
            </w:r>
            <w:r w:rsidRPr="000D79F3">
              <w:rPr>
                <w:rFonts w:eastAsia="Calibri"/>
                <w:sz w:val="22"/>
                <w:szCs w:val="22"/>
                <w:lang w:eastAsia="en-US"/>
              </w:rPr>
              <w:t xml:space="preserve"> For brugte køretøjer beregnes afgiften på samme måde som for nye. Beløbene i stk. 1 og 2, § 3, stk. 2, og § 8, stk. 7, nedsættes med samme procentdele, som køretøjets værdi inklusive afgift er ændret, sammenholdt med tilsvarende køretøjer, der er afgiftsberigtiget som nye. Et brugt køretøjs alder bestemmes efter § 4, stk. 8.</w:t>
            </w:r>
          </w:p>
          <w:p w:rsidR="00AF3575" w:rsidRPr="000D79F3" w:rsidRDefault="00AF3575" w:rsidP="00E33AF7">
            <w:pPr>
              <w:rPr>
                <w:rFonts w:eastAsia="Calibri"/>
                <w:sz w:val="22"/>
                <w:szCs w:val="22"/>
                <w:lang w:eastAsia="en-US"/>
              </w:rPr>
            </w:pPr>
            <w:r w:rsidRPr="000D79F3">
              <w:rPr>
                <w:rFonts w:eastAsia="Calibri"/>
                <w:i/>
                <w:sz w:val="22"/>
                <w:szCs w:val="22"/>
                <w:lang w:eastAsia="en-US"/>
              </w:rPr>
              <w:t>Stk. 4.</w:t>
            </w:r>
            <w:r w:rsidRPr="000D79F3">
              <w:rPr>
                <w:rFonts w:eastAsia="Calibri"/>
                <w:sz w:val="22"/>
                <w:szCs w:val="22"/>
                <w:lang w:eastAsia="en-US"/>
              </w:rPr>
              <w:t xml:space="preserve"> Et køretøj, som er afgiftsberigtiget efter stk. 1, afgiftsberigtiges efter § 4, hvis betingelsen for den foretagne afgiftsberigtigelse ikke længere opfyldes. Afgiften nedsættes dog med 20 pct. af den del af køretøjets værdi, der overstiger 12.100 kr.</w:t>
            </w:r>
          </w:p>
          <w:p w:rsidR="00AF3575" w:rsidRPr="000D79F3" w:rsidRDefault="00AF3575" w:rsidP="00E33AF7">
            <w:pPr>
              <w:rPr>
                <w:rFonts w:eastAsia="Calibri"/>
                <w:sz w:val="22"/>
                <w:szCs w:val="22"/>
                <w:lang w:eastAsia="en-US"/>
              </w:rPr>
            </w:pPr>
          </w:p>
          <w:p w:rsidR="00AF3575" w:rsidRPr="000D79F3" w:rsidRDefault="00AF3575" w:rsidP="00E33AF7">
            <w:pPr>
              <w:rPr>
                <w:rFonts w:eastAsia="Calibri"/>
                <w:b/>
                <w:sz w:val="22"/>
                <w:szCs w:val="22"/>
                <w:lang w:eastAsia="en-US"/>
              </w:rPr>
            </w:pPr>
            <w:r w:rsidRPr="000D79F3">
              <w:rPr>
                <w:rFonts w:eastAsia="Calibri"/>
                <w:b/>
                <w:sz w:val="22"/>
                <w:szCs w:val="22"/>
                <w:lang w:eastAsia="en-US"/>
              </w:rPr>
              <w:t xml:space="preserve">§ 6 a. </w:t>
            </w:r>
            <w:r w:rsidRPr="000D79F3">
              <w:rPr>
                <w:rFonts w:eastAsia="Calibri"/>
                <w:sz w:val="22"/>
                <w:szCs w:val="22"/>
                <w:lang w:eastAsia="en-US"/>
              </w:rPr>
              <w:t>For køretøjer, som har tilladelse til taxikørsel efter § 1, stk. 1, i lov om taxikørsel, udgør afgiften 0 pct. af de første 230.000 kr. af den afgiftspligtige værdi og 70 pct. af resten, hvis køretøjet alene benyttes til erhvervsmæssig personbefordring og herudover alene</w:t>
            </w:r>
          </w:p>
          <w:p w:rsidR="00AF3575" w:rsidRPr="000D79F3" w:rsidRDefault="00AF3575" w:rsidP="00E33AF7">
            <w:pPr>
              <w:rPr>
                <w:rFonts w:eastAsia="Calibri"/>
                <w:sz w:val="22"/>
                <w:szCs w:val="22"/>
                <w:lang w:eastAsia="en-US"/>
              </w:rPr>
            </w:pPr>
            <w:r w:rsidRPr="000D79F3">
              <w:rPr>
                <w:rFonts w:eastAsia="Calibri"/>
                <w:sz w:val="22"/>
                <w:szCs w:val="22"/>
                <w:lang w:eastAsia="en-US"/>
              </w:rPr>
              <w:t xml:space="preserve">1) til lejlighedsvis kørsel med hastende småforsendelser uden ledsager, men efter taksten for passagertransport, eller </w:t>
            </w:r>
          </w:p>
          <w:p w:rsidR="00AF3575" w:rsidRPr="000D79F3" w:rsidRDefault="00AF3575" w:rsidP="00E33AF7">
            <w:pPr>
              <w:rPr>
                <w:rFonts w:eastAsia="Calibri"/>
                <w:sz w:val="22"/>
                <w:szCs w:val="22"/>
                <w:lang w:eastAsia="en-US"/>
              </w:rPr>
            </w:pPr>
            <w:r w:rsidRPr="000D79F3">
              <w:rPr>
                <w:rFonts w:eastAsia="Calibri"/>
                <w:sz w:val="22"/>
                <w:szCs w:val="22"/>
                <w:lang w:eastAsia="en-US"/>
              </w:rPr>
              <w:t>2) til kørsel af hastende karakter for de sociale myndigheder.</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Køretøjets afgiftspligtige værdi forhøjes med 7.450 kr. for nye køretøjer, der ikke er forsynet med sikkerhedspude, og med 3.725 kr. for nye køretøjer, der kun er forsynet med én sikkerhedspude.</w:t>
            </w:r>
          </w:p>
          <w:p w:rsidR="00AF3575" w:rsidRPr="000D79F3" w:rsidRDefault="00AF3575" w:rsidP="00E33AF7">
            <w:pPr>
              <w:rPr>
                <w:rFonts w:eastAsia="Calibri"/>
                <w:sz w:val="22"/>
                <w:szCs w:val="22"/>
                <w:lang w:eastAsia="en-US"/>
              </w:rPr>
            </w:pPr>
            <w:r w:rsidRPr="000D79F3">
              <w:rPr>
                <w:rFonts w:eastAsia="Calibri"/>
                <w:i/>
                <w:sz w:val="22"/>
                <w:szCs w:val="22"/>
                <w:lang w:eastAsia="en-US"/>
              </w:rPr>
              <w:t>Stk. 3.</w:t>
            </w:r>
            <w:r w:rsidRPr="000D79F3">
              <w:rPr>
                <w:rFonts w:eastAsia="Calibri"/>
                <w:sz w:val="22"/>
                <w:szCs w:val="22"/>
                <w:lang w:eastAsia="en-US"/>
              </w:rPr>
              <w:t xml:space="preserve"> For brugte køretøjer beregnes afgiften på samme måde som for nye. Beløbene i stk. 1 og 2, § 3, stk. 2, og § 8, stk. 7, nedsættes med samme procentdele, som køretøjets værdi inklusive afgift er ændret, sammenholdt med tilsvarende </w:t>
            </w:r>
            <w:r w:rsidRPr="000D79F3">
              <w:rPr>
                <w:rFonts w:eastAsia="Calibri"/>
                <w:sz w:val="22"/>
                <w:szCs w:val="22"/>
                <w:lang w:eastAsia="en-US"/>
              </w:rPr>
              <w:lastRenderedPageBreak/>
              <w:t>køretøjer, der er afgiftsberigtiget som nye. Et brugt køretøjs alder bestemmes efter § 4, stk. 8.</w:t>
            </w:r>
          </w:p>
          <w:p w:rsidR="00AF3575" w:rsidRPr="000D79F3" w:rsidRDefault="00AF3575" w:rsidP="00E33AF7">
            <w:pPr>
              <w:rPr>
                <w:rFonts w:eastAsia="Calibri"/>
                <w:sz w:val="22"/>
                <w:szCs w:val="22"/>
                <w:lang w:eastAsia="en-US"/>
              </w:rPr>
            </w:pPr>
            <w:r w:rsidRPr="000D79F3">
              <w:rPr>
                <w:rFonts w:eastAsia="Calibri"/>
                <w:i/>
                <w:sz w:val="22"/>
                <w:szCs w:val="22"/>
                <w:lang w:eastAsia="en-US"/>
              </w:rPr>
              <w:t>Stk. 4.</w:t>
            </w:r>
            <w:r w:rsidRPr="000D79F3">
              <w:rPr>
                <w:rFonts w:eastAsia="Calibri"/>
                <w:sz w:val="22"/>
                <w:szCs w:val="22"/>
                <w:lang w:eastAsia="en-US"/>
              </w:rPr>
              <w:t xml:space="preserve"> Et køretøj, som er afgiftsberigtiget efter stk. 1, afgiftsberigtiges efter § 4, hvis betingelsen for den foretagne afgiftsberigtigelse ikke længere opfyldes. Afgiften nedsættes dog med 70 pct. af den del af køretøjets afgiftspligtige værdi, der overstiger 230.000 kr. Afgiften bortfalder, hvis omregistrering sker, efter at køretøjet her i landet har kørt</w:t>
            </w:r>
          </w:p>
          <w:p w:rsidR="00AF3575" w:rsidRPr="000D79F3" w:rsidRDefault="00AF3575" w:rsidP="00E33AF7">
            <w:pPr>
              <w:rPr>
                <w:rFonts w:eastAsia="Calibri"/>
                <w:sz w:val="22"/>
                <w:szCs w:val="22"/>
                <w:lang w:eastAsia="en-US"/>
              </w:rPr>
            </w:pPr>
            <w:r w:rsidRPr="000D79F3">
              <w:rPr>
                <w:rFonts w:eastAsia="Calibri"/>
                <w:sz w:val="22"/>
                <w:szCs w:val="22"/>
                <w:lang w:eastAsia="en-US"/>
              </w:rPr>
              <w:t>1) mindst 3 år og mindst 210.000 km, heraf mindst 97.000 besatte kilometer, eller</w:t>
            </w:r>
          </w:p>
          <w:p w:rsidR="00AF3575" w:rsidRPr="000D79F3" w:rsidRDefault="00AF3575" w:rsidP="00E33AF7">
            <w:pPr>
              <w:rPr>
                <w:rFonts w:eastAsia="Calibri"/>
                <w:sz w:val="22"/>
                <w:szCs w:val="22"/>
                <w:lang w:eastAsia="en-US"/>
              </w:rPr>
            </w:pPr>
            <w:r w:rsidRPr="000D79F3">
              <w:rPr>
                <w:rFonts w:eastAsia="Calibri"/>
                <w:sz w:val="22"/>
                <w:szCs w:val="22"/>
                <w:lang w:eastAsia="en-US"/>
              </w:rPr>
              <w:t>2) mindst 2 år og mindst 250.000 km, heraf mindst 115.000 besatte kilometer.</w:t>
            </w:r>
          </w:p>
          <w:p w:rsidR="00AF3575" w:rsidRPr="000D79F3" w:rsidRDefault="00AF3575" w:rsidP="00E33AF7">
            <w:pPr>
              <w:rPr>
                <w:rFonts w:eastAsia="Calibri"/>
                <w:sz w:val="22"/>
                <w:szCs w:val="22"/>
                <w:lang w:eastAsia="en-US"/>
              </w:rPr>
            </w:pPr>
            <w:r w:rsidRPr="000D79F3">
              <w:rPr>
                <w:rFonts w:eastAsia="Calibri"/>
                <w:i/>
                <w:sz w:val="22"/>
                <w:szCs w:val="22"/>
                <w:lang w:eastAsia="en-US"/>
              </w:rPr>
              <w:t>Stk. 5.</w:t>
            </w:r>
            <w:r w:rsidRPr="000D79F3">
              <w:rPr>
                <w:rFonts w:eastAsia="Calibri"/>
                <w:sz w:val="22"/>
                <w:szCs w:val="22"/>
                <w:lang w:eastAsia="en-US"/>
              </w:rPr>
              <w:t xml:space="preserve"> Taxameterattest og trafikbog skal føres som dokumentation for, at de i stk. 4 og 5 nævnte betingelser er opfyldt. Skatteministeren kan fastsætte særlige kontrolregler som betingelse for afgiftsfritagelsen.</w:t>
            </w:r>
          </w:p>
          <w:p w:rsidR="00AF3575" w:rsidRPr="000D79F3" w:rsidRDefault="00AF3575" w:rsidP="00E33AF7">
            <w:pPr>
              <w:rPr>
                <w:rFonts w:eastAsia="Calibri"/>
                <w:sz w:val="22"/>
                <w:szCs w:val="22"/>
                <w:lang w:eastAsia="en-US"/>
              </w:rPr>
            </w:pPr>
          </w:p>
          <w:p w:rsidR="00AF3575" w:rsidRPr="000D79F3" w:rsidRDefault="00AF3575" w:rsidP="00E33AF7">
            <w:pPr>
              <w:rPr>
                <w:rFonts w:eastAsia="Calibri"/>
                <w:b/>
                <w:sz w:val="22"/>
                <w:szCs w:val="22"/>
                <w:lang w:eastAsia="en-US"/>
              </w:rPr>
            </w:pPr>
            <w:r w:rsidRPr="000D79F3">
              <w:rPr>
                <w:rFonts w:eastAsia="Calibri"/>
                <w:b/>
                <w:sz w:val="22"/>
                <w:szCs w:val="22"/>
                <w:lang w:eastAsia="en-US"/>
              </w:rPr>
              <w:t xml:space="preserve">§ 6 b. </w:t>
            </w:r>
            <w:r w:rsidRPr="000D79F3">
              <w:rPr>
                <w:rFonts w:eastAsia="Calibri"/>
                <w:sz w:val="22"/>
                <w:szCs w:val="22"/>
                <w:lang w:eastAsia="en-US"/>
              </w:rPr>
              <w:t>For køretøjer, som har tilladelse til limousinekørsel efter § 2, stk. 3, i lov om taxikørsel, udgør afgiften 0 pct. af de første 12.100 kr. af den afgiftspligtige værdi og 20 pct. af resten, hvis køretøjet alene benyttes til erhvervsmæssig befordring af personer i overensstemmelse med tilladelsen til limousinekørsel.</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Køretøjets afgiftspligtige værdi forhøjes med 7.450 kr. for nye køretøjer, der ikke er forsynet med sikkerhedspude, og med 3.725 kr. for nye køretøjer, der kun er forsynet med én sikkerhedspude.</w:t>
            </w:r>
          </w:p>
          <w:p w:rsidR="00AF3575" w:rsidRPr="000D79F3" w:rsidRDefault="00AF3575" w:rsidP="00E33AF7">
            <w:pPr>
              <w:rPr>
                <w:rFonts w:eastAsia="Calibri"/>
                <w:sz w:val="22"/>
                <w:szCs w:val="22"/>
                <w:lang w:eastAsia="en-US"/>
              </w:rPr>
            </w:pPr>
            <w:r w:rsidRPr="000D79F3">
              <w:rPr>
                <w:rFonts w:eastAsia="Calibri"/>
                <w:sz w:val="22"/>
                <w:szCs w:val="22"/>
                <w:lang w:eastAsia="en-US"/>
              </w:rPr>
              <w:t>Stk.3. For brugte køretøjer beregnes afgiften på samme måde som for nye. Beløbene i stk. 1 og 2, § 3, stk. 2, og § 8, stk. 7, nedsættes med samme procentdele, som køretøjets værdi inklusive afgift er ændret, sammenholdt med tilsvarende køretøjer, der er afgiftsberigtiget som nye. Et brugt køretøjs alder bestemmes efter § 4, stk. 8.</w:t>
            </w:r>
          </w:p>
          <w:p w:rsidR="00AF3575" w:rsidRPr="000D79F3" w:rsidRDefault="00AF3575" w:rsidP="00E33AF7">
            <w:pPr>
              <w:rPr>
                <w:rFonts w:eastAsia="Calibri"/>
                <w:sz w:val="22"/>
                <w:szCs w:val="22"/>
                <w:lang w:eastAsia="en-US"/>
              </w:rPr>
            </w:pPr>
            <w:r w:rsidRPr="000D79F3">
              <w:rPr>
                <w:rFonts w:eastAsia="Calibri"/>
                <w:i/>
                <w:sz w:val="22"/>
                <w:szCs w:val="22"/>
                <w:lang w:eastAsia="en-US"/>
              </w:rPr>
              <w:t>Stk. 4.</w:t>
            </w:r>
            <w:r w:rsidRPr="000D79F3">
              <w:rPr>
                <w:rFonts w:eastAsia="Calibri"/>
                <w:sz w:val="22"/>
                <w:szCs w:val="22"/>
                <w:lang w:eastAsia="en-US"/>
              </w:rPr>
              <w:t xml:space="preserve"> Et køretøj, som er afgiftsberigtiget efter stk. 1, afgiftsberigtiges efter § 4, hvis betingelsen for den foretagne afgiftsberigtigelse ikke længere opfyldes. Afgiften nedsættes dog med 20 pct. af den del af køretøjets afgiftspligtige værdi, der overstiger 12.100 kr. Afgiften bortfalder, hvis omregistreringen sker, efter at køretøjet her i landet har kørt</w:t>
            </w:r>
          </w:p>
          <w:p w:rsidR="00AF3575" w:rsidRPr="000D79F3" w:rsidRDefault="00AF3575" w:rsidP="00E33AF7">
            <w:pPr>
              <w:rPr>
                <w:rFonts w:eastAsia="Calibri"/>
                <w:sz w:val="22"/>
                <w:szCs w:val="22"/>
                <w:lang w:eastAsia="en-US"/>
              </w:rPr>
            </w:pPr>
            <w:r w:rsidRPr="000D79F3">
              <w:rPr>
                <w:rFonts w:eastAsia="Calibri"/>
                <w:sz w:val="22"/>
                <w:szCs w:val="22"/>
                <w:lang w:eastAsia="en-US"/>
              </w:rPr>
              <w:t>1) mindst 3 år og mindst 125.000 km, heraf mindst 112.000 besatte kilometer, eller</w:t>
            </w:r>
          </w:p>
          <w:p w:rsidR="00AF3575" w:rsidRPr="000D79F3" w:rsidRDefault="00AF3575" w:rsidP="00E33AF7">
            <w:pPr>
              <w:rPr>
                <w:rFonts w:eastAsia="Calibri"/>
                <w:sz w:val="22"/>
                <w:szCs w:val="22"/>
                <w:lang w:eastAsia="en-US"/>
              </w:rPr>
            </w:pPr>
            <w:r w:rsidRPr="000D79F3">
              <w:rPr>
                <w:rFonts w:eastAsia="Calibri"/>
                <w:sz w:val="22"/>
                <w:szCs w:val="22"/>
                <w:lang w:eastAsia="en-US"/>
              </w:rPr>
              <w:t>2) mindst 2 år og mindst 150.000 km, heraf mindst 135.000 besatte kilometer.</w:t>
            </w:r>
          </w:p>
          <w:p w:rsidR="00AF3575" w:rsidRPr="000D79F3" w:rsidRDefault="00AF3575" w:rsidP="00E33AF7">
            <w:pPr>
              <w:rPr>
                <w:rFonts w:eastAsia="Calibri"/>
                <w:sz w:val="22"/>
                <w:szCs w:val="22"/>
                <w:lang w:eastAsia="en-US"/>
              </w:rPr>
            </w:pPr>
            <w:r w:rsidRPr="000D79F3">
              <w:rPr>
                <w:rFonts w:eastAsia="Calibri"/>
                <w:i/>
                <w:sz w:val="22"/>
                <w:szCs w:val="22"/>
                <w:lang w:eastAsia="en-US"/>
              </w:rPr>
              <w:t>Stk. 5.</w:t>
            </w:r>
            <w:r w:rsidRPr="000D79F3">
              <w:rPr>
                <w:rFonts w:eastAsia="Calibri"/>
                <w:sz w:val="22"/>
                <w:szCs w:val="22"/>
                <w:lang w:eastAsia="en-US"/>
              </w:rPr>
              <w:t xml:space="preserve"> Taxameterattest og trafikbog skal føres </w:t>
            </w:r>
            <w:r w:rsidRPr="000D79F3">
              <w:rPr>
                <w:rFonts w:eastAsia="Calibri"/>
                <w:sz w:val="22"/>
                <w:szCs w:val="22"/>
                <w:lang w:eastAsia="en-US"/>
              </w:rPr>
              <w:lastRenderedPageBreak/>
              <w:t>som dokumentation for, at de i stk. 4 og 5 nævnte betingelser er opfyldt. Skatteministeren kan fastsætte særlige kontrolregler som betingelse for afgiftsfritagelsen.</w:t>
            </w:r>
          </w:p>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0D79F3">
            <w:pPr>
              <w:spacing w:line="288" w:lineRule="auto"/>
              <w:rPr>
                <w:b/>
                <w:sz w:val="22"/>
                <w:szCs w:val="22"/>
              </w:rPr>
            </w:pPr>
            <w:r w:rsidRPr="000D79F3">
              <w:rPr>
                <w:b/>
                <w:sz w:val="22"/>
                <w:szCs w:val="22"/>
              </w:rPr>
              <w:lastRenderedPageBreak/>
              <w:t>5</w:t>
            </w:r>
            <w:r w:rsidRPr="000D79F3">
              <w:rPr>
                <w:sz w:val="22"/>
                <w:szCs w:val="22"/>
              </w:rPr>
              <w:t xml:space="preserve">. </w:t>
            </w:r>
            <w:r w:rsidRPr="000D79F3">
              <w:rPr>
                <w:i/>
                <w:sz w:val="22"/>
                <w:szCs w:val="22"/>
              </w:rPr>
              <w:t>§ 6, § 6 a og § 6 b</w:t>
            </w:r>
            <w:r w:rsidRPr="000D79F3">
              <w:rPr>
                <w:sz w:val="22"/>
                <w:szCs w:val="22"/>
              </w:rPr>
              <w:t xml:space="preserve"> ophæves.</w:t>
            </w:r>
          </w:p>
          <w:p w:rsidR="00AF3575" w:rsidRPr="000D79F3" w:rsidRDefault="00AF3575" w:rsidP="000D79F3">
            <w:pPr>
              <w:spacing w:line="288" w:lineRule="auto"/>
              <w:rPr>
                <w:b/>
                <w:sz w:val="22"/>
                <w:szCs w:val="22"/>
              </w:rPr>
            </w:pPr>
          </w:p>
        </w:tc>
      </w:tr>
      <w:tr w:rsidR="00AF3575" w:rsidRPr="00223D6A" w:rsidTr="000D79F3">
        <w:tc>
          <w:tcPr>
            <w:tcW w:w="4889" w:type="dxa"/>
            <w:shd w:val="clear" w:color="auto" w:fill="auto"/>
          </w:tcPr>
          <w:p w:rsidR="00AF3575" w:rsidRPr="000D79F3" w:rsidRDefault="00AF3575" w:rsidP="00E33AF7">
            <w:pPr>
              <w:rPr>
                <w:rFonts w:eastAsia="Calibri"/>
                <w:sz w:val="22"/>
                <w:szCs w:val="22"/>
                <w:lang w:eastAsia="en-US"/>
              </w:rPr>
            </w:pPr>
            <w:r w:rsidRPr="000D79F3">
              <w:rPr>
                <w:rFonts w:eastAsia="Calibri"/>
                <w:b/>
                <w:sz w:val="22"/>
                <w:szCs w:val="22"/>
                <w:lang w:eastAsia="en-US"/>
              </w:rPr>
              <w:lastRenderedPageBreak/>
              <w:t xml:space="preserve">§ 7. </w:t>
            </w:r>
            <w:r w:rsidRPr="000D79F3">
              <w:rPr>
                <w:rFonts w:eastAsia="Calibri"/>
                <w:sz w:val="22"/>
                <w:szCs w:val="22"/>
                <w:lang w:eastAsia="en-US"/>
              </w:rPr>
              <w:t>Der svares afgift af tidligere afgiftsberigtigede motorkøretøjer, medmindre disse er omfattet af § 10, stk. 4, der er genopbygget efter at have været ødelagt ved færdselsuheld, eksplosion, ildebrand m.m., såfremt disse er omfattet af en skadesforsikring, og såfremt udgiften indbefattet merværdiafgift til fuldstændig udbedring af de ved færdselsuheld m.v. skete skader overstiger 75 pct. af handelsværdien før uheldet for køretøjer afgiftsberigtiget efter § 4, stk. 1, nr. 1, 65 pct. for køretøjer afgiftsberigtiget efter § 4, stk. 1, nr. 2, 80 pct. for køretøjer afgiftsberigtiget efter § 5, stk. 1, 90 pct. for køretøjer afgiftsberigtiget efter § 5, stk. 2, 85 pct. for køretøjer afgiftsberigtiget efter § 5 a og 90 pct. for køretøjer afgiftsberigtiget efter § 6. Der beregnes dog ikke afgift i tilfælde, hvor udgiften til skadens udbedring er under 25.000 kr. indbefattet merværdiafgift. Afgiften beregnes som for nye køretøjer, dog uden tillæg eller fradrag for eventuelt manglende sikkerhedspuder.</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2-9 ---</w:t>
            </w:r>
          </w:p>
          <w:p w:rsidR="00AF3575" w:rsidRPr="000D79F3" w:rsidRDefault="00AF3575" w:rsidP="00E33AF7">
            <w:pPr>
              <w:rPr>
                <w:rFonts w:eastAsia="Calibri"/>
                <w:b/>
                <w:i/>
                <w:sz w:val="22"/>
                <w:szCs w:val="22"/>
                <w:lang w:eastAsia="en-US"/>
              </w:rPr>
            </w:pPr>
          </w:p>
        </w:tc>
        <w:tc>
          <w:tcPr>
            <w:tcW w:w="4889" w:type="dxa"/>
            <w:shd w:val="clear" w:color="auto" w:fill="auto"/>
          </w:tcPr>
          <w:p w:rsidR="00AF3575" w:rsidRPr="0010736C" w:rsidRDefault="00AF3575" w:rsidP="000D79F3">
            <w:pPr>
              <w:spacing w:line="288" w:lineRule="auto"/>
              <w:rPr>
                <w:rFonts w:eastAsia="Calibri"/>
                <w:sz w:val="22"/>
                <w:szCs w:val="22"/>
                <w:lang w:eastAsia="en-US"/>
              </w:rPr>
            </w:pPr>
            <w:r w:rsidRPr="0010736C">
              <w:rPr>
                <w:b/>
                <w:sz w:val="22"/>
                <w:szCs w:val="22"/>
              </w:rPr>
              <w:t xml:space="preserve">6. </w:t>
            </w:r>
            <w:r w:rsidRPr="0010736C">
              <w:rPr>
                <w:rFonts w:eastAsia="Calibri"/>
                <w:i/>
                <w:sz w:val="22"/>
                <w:szCs w:val="22"/>
                <w:lang w:eastAsia="en-US"/>
              </w:rPr>
              <w:t>§ 7, stk. 1, 1. pkt.,</w:t>
            </w:r>
            <w:r w:rsidRPr="0010736C">
              <w:rPr>
                <w:rFonts w:eastAsia="Calibri"/>
                <w:sz w:val="22"/>
                <w:szCs w:val="22"/>
                <w:lang w:eastAsia="en-US"/>
              </w:rPr>
              <w:t xml:space="preserve"> affattes således:</w:t>
            </w:r>
          </w:p>
          <w:p w:rsidR="00AF3575" w:rsidRPr="0010736C" w:rsidRDefault="00AF3575" w:rsidP="000D79F3">
            <w:pPr>
              <w:widowControl/>
              <w:spacing w:before="100" w:after="100"/>
              <w:rPr>
                <w:rFonts w:eastAsia="Calibri"/>
                <w:sz w:val="22"/>
                <w:szCs w:val="22"/>
                <w:lang w:eastAsia="en-US"/>
              </w:rPr>
            </w:pPr>
            <w:r w:rsidRPr="0010736C">
              <w:rPr>
                <w:rFonts w:eastAsia="Calibri"/>
                <w:color w:val="000000"/>
                <w:sz w:val="22"/>
                <w:szCs w:val="22"/>
                <w:lang w:eastAsia="en-US"/>
              </w:rPr>
              <w:t>»</w:t>
            </w:r>
            <w:r w:rsidRPr="0010736C">
              <w:rPr>
                <w:rFonts w:eastAsia="Calibri"/>
                <w:sz w:val="22"/>
                <w:szCs w:val="22"/>
                <w:lang w:eastAsia="en-US"/>
              </w:rPr>
              <w:t>Der svares afgift af tidligere afgiftsberigtigede motorkøretøjer, medmindre disse er omfattet af § 10, stk. 4, der er genopbygget efter at have været ødelagt ved færdselsuheld, eksplosion, ildebrand m.m., såfremt disse er omfattet af en skadesforsikring, og såfremt udgiften indbefattet merværdiafgift til fuldstændig udbedring af de ved færdselsuheld mv. skete skader overstiger 75 pct. af handelsværdien før uheldet for køretøjer afgiftsberigtiget efter § 4, stk. 1, nr. 1, 65 pct. for køretøjer afgiftsberigtiget efter § 4, stk. 1, nr. 2, 80 pct. for køretøjer afgiftsberigtiget efter § 5, stk. 1, 90 pct. for køretøjer afgiftsberigtiget efter § 5, stk. 2, og 85 pct. for køretøjer afgiftsberigtiget efter § 5 a.</w:t>
            </w:r>
            <w:r w:rsidRPr="0010736C">
              <w:rPr>
                <w:rFonts w:eastAsia="Calibri"/>
                <w:color w:val="000000"/>
                <w:sz w:val="22"/>
                <w:szCs w:val="22"/>
                <w:lang w:eastAsia="en-US"/>
              </w:rPr>
              <w:t>«</w:t>
            </w:r>
          </w:p>
          <w:p w:rsidR="00AF3575" w:rsidRPr="0010736C" w:rsidRDefault="00AF3575" w:rsidP="00E33AF7">
            <w:pPr>
              <w:rPr>
                <w:b/>
                <w:sz w:val="22"/>
                <w:szCs w:val="22"/>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7 b ---</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Godtgørelsesbeløbet fastsættes i medfør af § 10 således:</w:t>
            </w:r>
          </w:p>
          <w:p w:rsidR="00AF3575" w:rsidRPr="000D79F3" w:rsidRDefault="00AF3575" w:rsidP="00E33AF7">
            <w:pPr>
              <w:rPr>
                <w:rFonts w:eastAsia="Calibri"/>
                <w:sz w:val="22"/>
                <w:szCs w:val="22"/>
                <w:lang w:eastAsia="en-US"/>
              </w:rPr>
            </w:pPr>
            <w:r w:rsidRPr="000D79F3">
              <w:rPr>
                <w:rFonts w:eastAsia="Calibri"/>
                <w:sz w:val="22"/>
                <w:szCs w:val="22"/>
                <w:lang w:eastAsia="en-US"/>
              </w:rPr>
              <w:t>1) … 4) ---</w:t>
            </w:r>
          </w:p>
          <w:p w:rsidR="00AF3575" w:rsidRPr="000D79F3" w:rsidRDefault="00AF3575" w:rsidP="00E33AF7">
            <w:pPr>
              <w:rPr>
                <w:rFonts w:eastAsia="Calibri"/>
                <w:sz w:val="22"/>
                <w:szCs w:val="22"/>
                <w:lang w:eastAsia="en-US"/>
              </w:rPr>
            </w:pPr>
            <w:r w:rsidRPr="000D79F3">
              <w:rPr>
                <w:rFonts w:eastAsia="Calibri"/>
                <w:sz w:val="22"/>
                <w:szCs w:val="22"/>
                <w:lang w:eastAsia="en-US"/>
              </w:rPr>
              <w:t>5) For hyrevogne og sygetransportkøretøjer afgiftsberigtiget efter § 6, stk. 1, som afgiften efter § 6, stk. 1.</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3-7 ---</w:t>
            </w:r>
          </w:p>
          <w:p w:rsidR="00AF3575" w:rsidRPr="000D79F3" w:rsidRDefault="00AF3575" w:rsidP="00E33AF7">
            <w:pPr>
              <w:rPr>
                <w:rFonts w:eastAsia="Calibri"/>
                <w:i/>
                <w:sz w:val="22"/>
                <w:szCs w:val="22"/>
                <w:lang w:eastAsia="en-US"/>
              </w:rPr>
            </w:pPr>
          </w:p>
        </w:tc>
        <w:tc>
          <w:tcPr>
            <w:tcW w:w="4889" w:type="dxa"/>
            <w:shd w:val="clear" w:color="auto" w:fill="auto"/>
          </w:tcPr>
          <w:p w:rsidR="00AF3575" w:rsidRPr="000D79F3" w:rsidRDefault="00AF3575" w:rsidP="00E33AF7">
            <w:pPr>
              <w:rPr>
                <w:b/>
                <w:sz w:val="22"/>
                <w:szCs w:val="22"/>
              </w:rPr>
            </w:pPr>
            <w:r w:rsidRPr="000D79F3">
              <w:rPr>
                <w:b/>
                <w:sz w:val="22"/>
                <w:szCs w:val="22"/>
              </w:rPr>
              <w:t xml:space="preserve">7. </w:t>
            </w:r>
            <w:r w:rsidRPr="000D79F3">
              <w:rPr>
                <w:i/>
                <w:sz w:val="22"/>
                <w:szCs w:val="22"/>
              </w:rPr>
              <w:t>§ 7 b, stk. 2, nr. 5,</w:t>
            </w:r>
            <w:r w:rsidRPr="000D79F3">
              <w:rPr>
                <w:sz w:val="22"/>
                <w:szCs w:val="22"/>
              </w:rPr>
              <w:t xml:space="preserve"> ophæves.</w:t>
            </w:r>
          </w:p>
          <w:p w:rsidR="00AF3575" w:rsidRPr="000D79F3" w:rsidRDefault="00AF3575" w:rsidP="00E33AF7">
            <w:pPr>
              <w:rPr>
                <w:b/>
                <w:sz w:val="22"/>
                <w:szCs w:val="22"/>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xml:space="preserve">§ 27. </w:t>
            </w:r>
            <w:r w:rsidRPr="000D79F3">
              <w:rPr>
                <w:rFonts w:eastAsia="Calibri"/>
                <w:sz w:val="22"/>
                <w:szCs w:val="22"/>
                <w:lang w:eastAsia="en-US"/>
              </w:rPr>
              <w:t>Med bøde straffes den, der forsætligt eller groft uagtsomt</w:t>
            </w:r>
          </w:p>
          <w:p w:rsidR="00AF3575" w:rsidRPr="000D79F3" w:rsidRDefault="00AF3575" w:rsidP="00E33AF7">
            <w:pPr>
              <w:rPr>
                <w:rFonts w:eastAsia="Calibri"/>
                <w:sz w:val="22"/>
                <w:szCs w:val="22"/>
                <w:lang w:eastAsia="en-US"/>
              </w:rPr>
            </w:pPr>
            <w:r w:rsidRPr="000D79F3">
              <w:rPr>
                <w:rFonts w:eastAsia="Calibri"/>
                <w:sz w:val="22"/>
                <w:szCs w:val="22"/>
                <w:lang w:eastAsia="en-US"/>
              </w:rPr>
              <w:t>1) … 3) ---</w:t>
            </w:r>
          </w:p>
          <w:p w:rsidR="00AF3575" w:rsidRPr="000D79F3" w:rsidRDefault="00AF3575" w:rsidP="00E33AF7">
            <w:pPr>
              <w:rPr>
                <w:rFonts w:eastAsia="Calibri"/>
                <w:sz w:val="22"/>
                <w:szCs w:val="22"/>
                <w:lang w:eastAsia="en-US"/>
              </w:rPr>
            </w:pPr>
            <w:r w:rsidRPr="000D79F3">
              <w:rPr>
                <w:rFonts w:eastAsia="Calibri"/>
                <w:sz w:val="22"/>
                <w:szCs w:val="22"/>
                <w:lang w:eastAsia="en-US"/>
              </w:rPr>
              <w:t>4) anvender et afgiftspligtigt køretøj, der er fritaget for afgift, eller hvoraf der er betalt afgift efter bestemmelserne i § 5, § 5 a, stk. 1 og 2, § 6, stk. 1, § 6 a, stk. 1, eller § 6 b, stk. 1, i strid med de betingelser, der gælder for fritagelsen eller afgiftsberigtigelsen efter den pågældende bestemmelse,</w:t>
            </w:r>
          </w:p>
          <w:p w:rsidR="00AF3575" w:rsidRPr="000D79F3" w:rsidRDefault="00AF3575" w:rsidP="00E33AF7">
            <w:pPr>
              <w:rPr>
                <w:rFonts w:eastAsia="Calibri"/>
                <w:sz w:val="22"/>
                <w:szCs w:val="22"/>
                <w:lang w:eastAsia="en-US"/>
              </w:rPr>
            </w:pPr>
            <w:r w:rsidRPr="000D79F3">
              <w:rPr>
                <w:rFonts w:eastAsia="Calibri"/>
                <w:sz w:val="22"/>
                <w:szCs w:val="22"/>
                <w:lang w:eastAsia="en-US"/>
              </w:rPr>
              <w:t>5) … 6) ---</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2-5 ---</w:t>
            </w:r>
          </w:p>
          <w:p w:rsidR="00AF3575" w:rsidRPr="000D79F3" w:rsidRDefault="00AF3575" w:rsidP="00E33AF7">
            <w:pPr>
              <w:rPr>
                <w:rFonts w:eastAsia="Calibri"/>
                <w:sz w:val="22"/>
                <w:szCs w:val="22"/>
                <w:lang w:eastAsia="en-US"/>
              </w:rPr>
            </w:pPr>
          </w:p>
        </w:tc>
        <w:tc>
          <w:tcPr>
            <w:tcW w:w="4889" w:type="dxa"/>
            <w:shd w:val="clear" w:color="auto" w:fill="auto"/>
          </w:tcPr>
          <w:p w:rsidR="00AF3575" w:rsidRPr="000D79F3" w:rsidRDefault="00AF3575" w:rsidP="00E33AF7">
            <w:pPr>
              <w:rPr>
                <w:sz w:val="22"/>
                <w:szCs w:val="22"/>
              </w:rPr>
            </w:pPr>
            <w:r w:rsidRPr="000D79F3">
              <w:rPr>
                <w:b/>
                <w:sz w:val="22"/>
                <w:szCs w:val="22"/>
              </w:rPr>
              <w:t xml:space="preserve">8. </w:t>
            </w:r>
            <w:r w:rsidRPr="000D79F3">
              <w:rPr>
                <w:i/>
                <w:sz w:val="22"/>
                <w:szCs w:val="22"/>
              </w:rPr>
              <w:t xml:space="preserve">§ 27, stk. 1, nr. 4, </w:t>
            </w:r>
            <w:r w:rsidRPr="000D79F3">
              <w:rPr>
                <w:sz w:val="22"/>
                <w:szCs w:val="22"/>
              </w:rPr>
              <w:t>affattes således:</w:t>
            </w:r>
          </w:p>
          <w:p w:rsidR="00AF3575" w:rsidRPr="000D79F3" w:rsidRDefault="00AF3575" w:rsidP="00E33AF7">
            <w:pPr>
              <w:rPr>
                <w:sz w:val="22"/>
                <w:szCs w:val="22"/>
              </w:rPr>
            </w:pPr>
            <w:r w:rsidRPr="000D79F3">
              <w:rPr>
                <w:rFonts w:eastAsia="Calibri"/>
                <w:color w:val="000000"/>
                <w:sz w:val="24"/>
                <w:szCs w:val="22"/>
                <w:lang w:eastAsia="en-US"/>
              </w:rPr>
              <w:t>»</w:t>
            </w:r>
            <w:r w:rsidRPr="000D79F3">
              <w:rPr>
                <w:sz w:val="22"/>
                <w:szCs w:val="22"/>
              </w:rPr>
              <w:t>4) anvender et afgiftspligtigt køretøj, der er fritaget for afgift, eller hvoraf der er betalt afgift efter bestemmelserne i § 5 eller § 5 a, stk. 1 og 2, i strid med de betingelser, der gælder for fritagelsen eller afgiftsberigtigelsen efter den pågældende bestemmelse,</w:t>
            </w:r>
            <w:r w:rsidRPr="000D79F3">
              <w:rPr>
                <w:rFonts w:eastAsia="Calibri"/>
                <w:color w:val="000000"/>
                <w:sz w:val="24"/>
                <w:szCs w:val="22"/>
                <w:lang w:eastAsia="en-US"/>
              </w:rPr>
              <w:t>«</w:t>
            </w:r>
          </w:p>
          <w:p w:rsidR="00AF3575" w:rsidRPr="000D79F3" w:rsidRDefault="00AF3575" w:rsidP="00E33AF7">
            <w:pPr>
              <w:rPr>
                <w:b/>
                <w:sz w:val="22"/>
                <w:szCs w:val="22"/>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0D79F3">
            <w:pPr>
              <w:jc w:val="center"/>
              <w:rPr>
                <w:b/>
                <w:sz w:val="22"/>
                <w:szCs w:val="22"/>
              </w:rPr>
            </w:pPr>
            <w:r w:rsidRPr="000D79F3">
              <w:rPr>
                <w:b/>
                <w:sz w:val="22"/>
                <w:szCs w:val="22"/>
              </w:rPr>
              <w:t>§ 3</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sz w:val="22"/>
                <w:szCs w:val="22"/>
              </w:rPr>
            </w:pPr>
            <w:r w:rsidRPr="000D79F3">
              <w:rPr>
                <w:sz w:val="22"/>
                <w:szCs w:val="22"/>
              </w:rPr>
              <w:t xml:space="preserve">I brændstofforbrugsafgiftsloven, jf. </w:t>
            </w:r>
            <w:r w:rsidRPr="000D79F3">
              <w:rPr>
                <w:sz w:val="22"/>
                <w:szCs w:val="22"/>
              </w:rPr>
              <w:lastRenderedPageBreak/>
              <w:t>lovbekendtgørelse nr. 40 af 16. januar 2014, foretages følgende ændringer:</w:t>
            </w:r>
          </w:p>
          <w:p w:rsidR="00AF3575" w:rsidRPr="000D79F3" w:rsidRDefault="00AF3575" w:rsidP="00E33AF7">
            <w:pPr>
              <w:rPr>
                <w:sz w:val="22"/>
                <w:szCs w:val="22"/>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lastRenderedPageBreak/>
              <w:t xml:space="preserve">§ 6. </w:t>
            </w:r>
            <w:r w:rsidRPr="000D79F3">
              <w:rPr>
                <w:rFonts w:eastAsia="Calibri"/>
                <w:sz w:val="22"/>
                <w:szCs w:val="22"/>
                <w:lang w:eastAsia="en-US"/>
              </w:rPr>
              <w:t>Fritaget for afgiften er:</w:t>
            </w:r>
          </w:p>
          <w:p w:rsidR="00AF3575" w:rsidRPr="000D79F3" w:rsidRDefault="00AF3575" w:rsidP="00E33AF7">
            <w:pPr>
              <w:rPr>
                <w:rFonts w:eastAsia="Calibri"/>
                <w:sz w:val="22"/>
                <w:szCs w:val="22"/>
                <w:lang w:eastAsia="en-US"/>
              </w:rPr>
            </w:pPr>
            <w:r w:rsidRPr="000D79F3">
              <w:rPr>
                <w:rFonts w:eastAsia="Calibri"/>
                <w:sz w:val="22"/>
                <w:szCs w:val="22"/>
                <w:lang w:eastAsia="en-US"/>
              </w:rPr>
              <w:t>1) … 4) ---</w:t>
            </w:r>
          </w:p>
          <w:p w:rsidR="00AF3575" w:rsidRPr="000D79F3" w:rsidRDefault="00AF3575" w:rsidP="00E33AF7">
            <w:pPr>
              <w:rPr>
                <w:rFonts w:eastAsia="Calibri"/>
                <w:sz w:val="22"/>
                <w:szCs w:val="22"/>
                <w:lang w:eastAsia="en-US"/>
              </w:rPr>
            </w:pPr>
            <w:r w:rsidRPr="000D79F3">
              <w:rPr>
                <w:rFonts w:eastAsia="Calibri"/>
                <w:sz w:val="22"/>
                <w:szCs w:val="22"/>
                <w:lang w:eastAsia="en-US"/>
              </w:rPr>
              <w:t>5) Benzindrevne hyrevogne og sygetransportbiler, som udelukkende benyttes til erhvervsmæssig befordring af siddende patienter.</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2-4 ---</w:t>
            </w:r>
          </w:p>
          <w:p w:rsidR="00AF3575" w:rsidRPr="000D79F3" w:rsidRDefault="00AF3575" w:rsidP="00E33AF7">
            <w:pPr>
              <w:rPr>
                <w:rFonts w:eastAsia="Calibri"/>
                <w:i/>
                <w:sz w:val="22"/>
                <w:szCs w:val="22"/>
                <w:lang w:eastAsia="en-US"/>
              </w:rPr>
            </w:pPr>
          </w:p>
        </w:tc>
        <w:tc>
          <w:tcPr>
            <w:tcW w:w="4889" w:type="dxa"/>
            <w:shd w:val="clear" w:color="auto" w:fill="auto"/>
          </w:tcPr>
          <w:p w:rsidR="00AF3575" w:rsidRPr="000D79F3" w:rsidRDefault="00AF3575" w:rsidP="00E33AF7">
            <w:pPr>
              <w:rPr>
                <w:sz w:val="22"/>
                <w:szCs w:val="22"/>
              </w:rPr>
            </w:pPr>
            <w:r w:rsidRPr="000D79F3">
              <w:rPr>
                <w:b/>
                <w:sz w:val="22"/>
                <w:szCs w:val="22"/>
              </w:rPr>
              <w:t>1.</w:t>
            </w:r>
            <w:r w:rsidRPr="000D79F3">
              <w:rPr>
                <w:sz w:val="22"/>
                <w:szCs w:val="22"/>
              </w:rPr>
              <w:t xml:space="preserve"> </w:t>
            </w:r>
            <w:r w:rsidRPr="000D79F3">
              <w:rPr>
                <w:i/>
                <w:sz w:val="22"/>
                <w:szCs w:val="22"/>
              </w:rPr>
              <w:t>§ 6, stk. 1, nr. 5</w:t>
            </w:r>
            <w:r w:rsidRPr="000D79F3">
              <w:rPr>
                <w:sz w:val="22"/>
                <w:szCs w:val="22"/>
              </w:rPr>
              <w:t>, affattes således:</w:t>
            </w:r>
          </w:p>
          <w:p w:rsidR="00AF3575" w:rsidRPr="000D79F3" w:rsidRDefault="00AF3575" w:rsidP="00E33AF7">
            <w:pPr>
              <w:rPr>
                <w:sz w:val="22"/>
                <w:szCs w:val="22"/>
              </w:rPr>
            </w:pPr>
            <w:r w:rsidRPr="000D79F3">
              <w:rPr>
                <w:rFonts w:eastAsia="Calibri"/>
                <w:color w:val="000000"/>
                <w:sz w:val="24"/>
                <w:szCs w:val="22"/>
                <w:lang w:eastAsia="en-US"/>
              </w:rPr>
              <w:t>»</w:t>
            </w:r>
            <w:r w:rsidRPr="000D79F3">
              <w:rPr>
                <w:sz w:val="22"/>
                <w:szCs w:val="22"/>
              </w:rPr>
              <w:t xml:space="preserve">5) Benzindrevne personbiler med tilladelse til erhvervsmæssig persontransport. </w:t>
            </w:r>
            <w:r w:rsidRPr="000D79F3">
              <w:rPr>
                <w:rFonts w:eastAsia="Calibri"/>
                <w:color w:val="000000"/>
                <w:sz w:val="24"/>
                <w:szCs w:val="22"/>
                <w:lang w:eastAsia="en-US"/>
              </w:rPr>
              <w:t>«</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r w:rsidRPr="000D79F3">
              <w:rPr>
                <w:rFonts w:eastAsia="Calibri"/>
                <w:b/>
                <w:sz w:val="22"/>
                <w:szCs w:val="22"/>
                <w:lang w:eastAsia="en-US"/>
              </w:rPr>
              <w:t>§ 6 ---</w:t>
            </w:r>
          </w:p>
          <w:p w:rsidR="00AF3575" w:rsidRPr="000D79F3" w:rsidRDefault="00AF3575" w:rsidP="00E33AF7">
            <w:pPr>
              <w:rPr>
                <w:rFonts w:eastAsia="Calibri"/>
                <w:sz w:val="22"/>
                <w:szCs w:val="22"/>
                <w:lang w:eastAsia="en-US"/>
              </w:rPr>
            </w:pPr>
            <w:r w:rsidRPr="000D79F3">
              <w:rPr>
                <w:rFonts w:eastAsia="Calibri"/>
                <w:i/>
                <w:sz w:val="22"/>
                <w:szCs w:val="22"/>
                <w:lang w:eastAsia="en-US"/>
              </w:rPr>
              <w:t>Stk. 2.</w:t>
            </w:r>
            <w:r w:rsidRPr="000D79F3">
              <w:rPr>
                <w:rFonts w:eastAsia="Calibri"/>
                <w:sz w:val="22"/>
                <w:szCs w:val="22"/>
                <w:lang w:eastAsia="en-US"/>
              </w:rPr>
              <w:t xml:space="preserve"> Af dieseldrevne hyrevogne og dieseldrevne sygetransportbiler, som udelukkende benyttes til erhvervsmæssig befordring af siddende patienter, betales det dobbelte af de i § 3, stk. 1, under B fastsatte satser for udligningsafgift.</w:t>
            </w:r>
          </w:p>
          <w:p w:rsidR="00AF3575" w:rsidRPr="000D79F3" w:rsidRDefault="00AF3575" w:rsidP="00E33AF7">
            <w:pPr>
              <w:rPr>
                <w:rFonts w:eastAsia="Calibri"/>
                <w:i/>
                <w:sz w:val="22"/>
                <w:szCs w:val="22"/>
                <w:lang w:eastAsia="en-US"/>
              </w:rPr>
            </w:pPr>
            <w:r w:rsidRPr="000D79F3">
              <w:rPr>
                <w:rFonts w:eastAsia="Calibri"/>
                <w:i/>
                <w:sz w:val="22"/>
                <w:szCs w:val="22"/>
                <w:lang w:eastAsia="en-US"/>
              </w:rPr>
              <w:t>Stk. 3-4 ---</w:t>
            </w:r>
          </w:p>
          <w:p w:rsidR="00AF3575" w:rsidRPr="000D79F3" w:rsidRDefault="00AF3575" w:rsidP="00E33AF7">
            <w:pPr>
              <w:rPr>
                <w:rFonts w:eastAsia="Calibri"/>
                <w:sz w:val="22"/>
                <w:szCs w:val="22"/>
                <w:lang w:eastAsia="en-US"/>
              </w:rPr>
            </w:pPr>
          </w:p>
        </w:tc>
        <w:tc>
          <w:tcPr>
            <w:tcW w:w="4889" w:type="dxa"/>
            <w:shd w:val="clear" w:color="auto" w:fill="auto"/>
          </w:tcPr>
          <w:p w:rsidR="00AF3575" w:rsidRPr="000D79F3" w:rsidRDefault="00AF3575" w:rsidP="00E33AF7">
            <w:pPr>
              <w:rPr>
                <w:sz w:val="22"/>
                <w:szCs w:val="22"/>
              </w:rPr>
            </w:pPr>
            <w:r w:rsidRPr="000D79F3">
              <w:rPr>
                <w:b/>
                <w:sz w:val="22"/>
                <w:szCs w:val="22"/>
              </w:rPr>
              <w:t xml:space="preserve">2. </w:t>
            </w:r>
            <w:r w:rsidRPr="000D79F3">
              <w:rPr>
                <w:i/>
                <w:sz w:val="22"/>
                <w:szCs w:val="22"/>
              </w:rPr>
              <w:t>§ 6, stk. 2</w:t>
            </w:r>
            <w:r w:rsidRPr="000D79F3">
              <w:rPr>
                <w:sz w:val="22"/>
                <w:szCs w:val="22"/>
              </w:rPr>
              <w:t xml:space="preserve">, affattes således: </w:t>
            </w:r>
          </w:p>
          <w:p w:rsidR="00AF3575" w:rsidRPr="000D79F3" w:rsidRDefault="00AF3575" w:rsidP="00E33AF7">
            <w:pPr>
              <w:rPr>
                <w:b/>
                <w:sz w:val="22"/>
                <w:szCs w:val="22"/>
              </w:rPr>
            </w:pPr>
            <w:r w:rsidRPr="000D79F3">
              <w:rPr>
                <w:rFonts w:eastAsia="Calibri"/>
                <w:color w:val="000000"/>
                <w:sz w:val="24"/>
                <w:szCs w:val="22"/>
                <w:lang w:eastAsia="en-US"/>
              </w:rPr>
              <w:t>»</w:t>
            </w:r>
            <w:r w:rsidRPr="000D79F3">
              <w:rPr>
                <w:sz w:val="22"/>
                <w:szCs w:val="22"/>
              </w:rPr>
              <w:t>Stk. 2. Af dieseldrevne personbiler med tilladelse til erhvervsmæssig persontransport betales det dobbelte af de i § 3, stk. 1, under B fastsatte satser for udligningsafgift.</w:t>
            </w:r>
            <w:r w:rsidRPr="000D79F3">
              <w:rPr>
                <w:rFonts w:eastAsia="Calibri"/>
                <w:color w:val="000000"/>
                <w:sz w:val="24"/>
                <w:szCs w:val="22"/>
                <w:lang w:eastAsia="en-US"/>
              </w:rPr>
              <w:t>«</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0D79F3">
            <w:pPr>
              <w:jc w:val="center"/>
              <w:rPr>
                <w:b/>
                <w:sz w:val="22"/>
                <w:szCs w:val="22"/>
              </w:rPr>
            </w:pPr>
            <w:r w:rsidRPr="000D79F3">
              <w:rPr>
                <w:b/>
                <w:sz w:val="22"/>
                <w:szCs w:val="22"/>
              </w:rPr>
              <w:t>§ 4</w:t>
            </w: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sz w:val="22"/>
                <w:szCs w:val="22"/>
              </w:rPr>
            </w:pPr>
            <w:r w:rsidRPr="000D79F3">
              <w:rPr>
                <w:sz w:val="22"/>
                <w:szCs w:val="22"/>
              </w:rPr>
              <w:t>I lov om vægtafgift af motorkøretøjer, jf. lovbekendtgørelse nr. 185 af 18. februar 2014, som ændret ved § 2 i lov nr. 745 af 25. juni 2014, foretages følgende ændring:</w:t>
            </w:r>
          </w:p>
          <w:p w:rsidR="00AF3575" w:rsidRPr="000D79F3" w:rsidRDefault="00AF3575" w:rsidP="00E33AF7">
            <w:pPr>
              <w:rPr>
                <w:sz w:val="22"/>
                <w:szCs w:val="22"/>
              </w:rPr>
            </w:pPr>
          </w:p>
        </w:tc>
      </w:tr>
      <w:tr w:rsidR="00AF3575" w:rsidRPr="00223D6A" w:rsidTr="000D79F3">
        <w:tc>
          <w:tcPr>
            <w:tcW w:w="4889" w:type="dxa"/>
            <w:shd w:val="clear" w:color="auto" w:fill="auto"/>
          </w:tcPr>
          <w:p w:rsidR="00AF3575" w:rsidRPr="000D79F3" w:rsidRDefault="00AF3575" w:rsidP="00E33AF7">
            <w:pPr>
              <w:rPr>
                <w:rFonts w:eastAsia="Calibri"/>
                <w:b/>
                <w:sz w:val="22"/>
                <w:szCs w:val="22"/>
                <w:lang w:eastAsia="en-US"/>
              </w:rPr>
            </w:pPr>
          </w:p>
        </w:tc>
        <w:tc>
          <w:tcPr>
            <w:tcW w:w="4889" w:type="dxa"/>
            <w:shd w:val="clear" w:color="auto" w:fill="auto"/>
          </w:tcPr>
          <w:p w:rsidR="00AF3575" w:rsidRPr="000D79F3" w:rsidRDefault="00AF3575" w:rsidP="00E33AF7">
            <w:pPr>
              <w:rPr>
                <w:sz w:val="22"/>
                <w:szCs w:val="22"/>
              </w:rPr>
            </w:pPr>
            <w:r w:rsidRPr="000D79F3">
              <w:rPr>
                <w:b/>
                <w:sz w:val="22"/>
                <w:szCs w:val="22"/>
              </w:rPr>
              <w:t>1.</w:t>
            </w:r>
            <w:r w:rsidRPr="000D79F3">
              <w:rPr>
                <w:sz w:val="22"/>
                <w:szCs w:val="22"/>
              </w:rPr>
              <w:t xml:space="preserve"> I </w:t>
            </w:r>
            <w:r w:rsidRPr="000D79F3">
              <w:rPr>
                <w:i/>
                <w:sz w:val="22"/>
                <w:szCs w:val="22"/>
              </w:rPr>
              <w:t>§ 3, stk. 1, tabelafsnit D</w:t>
            </w:r>
            <w:r w:rsidRPr="000D79F3">
              <w:rPr>
                <w:sz w:val="22"/>
                <w:szCs w:val="22"/>
              </w:rPr>
              <w:t xml:space="preserve">, ændres </w:t>
            </w:r>
            <w:r w:rsidRPr="000D79F3">
              <w:rPr>
                <w:rFonts w:eastAsia="Calibri"/>
                <w:color w:val="000000"/>
                <w:sz w:val="24"/>
                <w:szCs w:val="22"/>
                <w:lang w:eastAsia="en-US"/>
              </w:rPr>
              <w:t>»</w:t>
            </w:r>
            <w:r w:rsidRPr="000D79F3">
              <w:rPr>
                <w:sz w:val="22"/>
                <w:szCs w:val="22"/>
              </w:rPr>
              <w:t>D. Hyrevogne og sygetransportbiler.</w:t>
            </w:r>
            <w:r w:rsidRPr="000D79F3">
              <w:rPr>
                <w:rFonts w:eastAsia="Calibri"/>
                <w:color w:val="000000"/>
                <w:sz w:val="24"/>
                <w:szCs w:val="22"/>
                <w:lang w:eastAsia="en-US"/>
              </w:rPr>
              <w:t xml:space="preserve">« </w:t>
            </w:r>
            <w:r w:rsidRPr="000D79F3">
              <w:rPr>
                <w:sz w:val="22"/>
                <w:szCs w:val="22"/>
              </w:rPr>
              <w:t xml:space="preserve">til: </w:t>
            </w:r>
            <w:r w:rsidRPr="000D79F3">
              <w:rPr>
                <w:rFonts w:eastAsia="Calibri"/>
                <w:color w:val="000000"/>
                <w:sz w:val="24"/>
                <w:szCs w:val="22"/>
                <w:lang w:eastAsia="en-US"/>
              </w:rPr>
              <w:t>»</w:t>
            </w:r>
            <w:r w:rsidRPr="000D79F3">
              <w:rPr>
                <w:sz w:val="22"/>
                <w:szCs w:val="22"/>
              </w:rPr>
              <w:t>D. Personbiler med tilladelse til erhvervsmæssig persontransport.</w:t>
            </w:r>
            <w:r w:rsidRPr="000D79F3">
              <w:rPr>
                <w:rFonts w:eastAsia="Calibri"/>
                <w:color w:val="000000"/>
                <w:sz w:val="24"/>
                <w:szCs w:val="22"/>
                <w:lang w:eastAsia="en-US"/>
              </w:rPr>
              <w:t>«</w:t>
            </w:r>
          </w:p>
          <w:p w:rsidR="00AF3575" w:rsidRPr="000D79F3" w:rsidRDefault="00AF3575" w:rsidP="00E33AF7">
            <w:pPr>
              <w:rPr>
                <w:sz w:val="22"/>
                <w:szCs w:val="22"/>
              </w:rPr>
            </w:pPr>
          </w:p>
        </w:tc>
      </w:tr>
    </w:tbl>
    <w:p w:rsidR="00AF3575" w:rsidRPr="00223D6A" w:rsidRDefault="00AF3575" w:rsidP="00AF3575"/>
    <w:p w:rsidR="00AF3575" w:rsidRPr="00223D6A" w:rsidRDefault="00AF3575" w:rsidP="00AF3575"/>
    <w:p w:rsidR="00AF3575" w:rsidRPr="00223D6A" w:rsidRDefault="00AF3575" w:rsidP="00AF3575"/>
    <w:p w:rsidR="00AF3575" w:rsidRPr="00223D6A" w:rsidRDefault="00AF3575" w:rsidP="00AF3575"/>
    <w:p w:rsidR="00AF3575" w:rsidRPr="00223D6A" w:rsidRDefault="00AF3575" w:rsidP="00AF3575"/>
    <w:p w:rsidR="00912739" w:rsidRPr="00223D6A" w:rsidRDefault="00912739" w:rsidP="00C81EFA"/>
    <w:sectPr w:rsidR="00912739" w:rsidRPr="00223D6A"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54" w:rsidRPr="008C7957" w:rsidRDefault="00A46B54">
      <w:pPr>
        <w:rPr>
          <w:sz w:val="16"/>
        </w:rPr>
      </w:pPr>
      <w:r>
        <w:separator/>
      </w:r>
    </w:p>
  </w:endnote>
  <w:endnote w:type="continuationSeparator" w:id="0">
    <w:p w:rsidR="00A46B54" w:rsidRPr="008C7957" w:rsidRDefault="00A46B5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Republic Light">
    <w:panose1 w:val="0200030600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54" w:rsidRPr="008C7957" w:rsidRDefault="00A46B54">
      <w:pPr>
        <w:rPr>
          <w:sz w:val="16"/>
        </w:rPr>
      </w:pPr>
      <w:r>
        <w:separator/>
      </w:r>
    </w:p>
  </w:footnote>
  <w:footnote w:type="continuationSeparator" w:id="0">
    <w:p w:rsidR="00A46B54" w:rsidRPr="008C7957" w:rsidRDefault="00A46B54">
      <w:pPr>
        <w:rPr>
          <w:sz w:val="16"/>
        </w:rPr>
      </w:pPr>
      <w:r>
        <w:continuationSeparator/>
      </w:r>
    </w:p>
  </w:footnote>
  <w:footnote w:id="1">
    <w:p w:rsidR="00A46B54" w:rsidRDefault="00A46B54" w:rsidP="009A0AC9">
      <w:r>
        <w:rPr>
          <w:rStyle w:val="Fodnotehenvisning"/>
        </w:rPr>
        <w:footnoteRef/>
      </w:r>
      <w:r>
        <w:t>) Loven har som udkast været notificeret i overensstemmelse med Europa-Parlamentets og Rådets direktiv 98/34/EF (informationsproceduredirektivet), som ændret ved direktiv 98/48/EF.</w:t>
      </w:r>
    </w:p>
    <w:p w:rsidR="00A46B54" w:rsidRDefault="00A46B54">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54" w:rsidRDefault="00A46B54">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E86D7D">
      <w:rPr>
        <w:rStyle w:val="Sidetal"/>
        <w:noProof/>
        <w:sz w:val="24"/>
      </w:rPr>
      <w:t>14</w:t>
    </w:r>
    <w:r>
      <w:rPr>
        <w:rStyle w:val="Sidetal"/>
        <w:sz w:val="24"/>
      </w:rPr>
      <w:fldChar w:fldCharType="end"/>
    </w:r>
    <w:r>
      <w:rPr>
        <w:rStyle w:val="Sidetal"/>
        <w:sz w:val="24"/>
      </w:rPr>
      <w:t xml:space="preserve"> -</w:t>
    </w:r>
  </w:p>
  <w:p w:rsidR="00A46B54" w:rsidRDefault="00A46B54">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9AB2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6D5CEC"/>
    <w:multiLevelType w:val="hybridMultilevel"/>
    <w:tmpl w:val="B52ABC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7E7DC7"/>
    <w:multiLevelType w:val="multilevel"/>
    <w:tmpl w:val="EAFC55B2"/>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4EF5334"/>
    <w:multiLevelType w:val="hybridMultilevel"/>
    <w:tmpl w:val="46C0806A"/>
    <w:lvl w:ilvl="0" w:tplc="FF3EB3D0">
      <w:start w:val="1"/>
      <w:numFmt w:val="decimal"/>
      <w:lvlText w:val="%1."/>
      <w:lvlJc w:val="left"/>
      <w:pPr>
        <w:ind w:left="360" w:hanging="360"/>
      </w:pPr>
      <w:rPr>
        <w:rFonts w:hint="default"/>
        <w: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5BC512B"/>
    <w:multiLevelType w:val="hybridMultilevel"/>
    <w:tmpl w:val="9F46EBD2"/>
    <w:lvl w:ilvl="0" w:tplc="8B7EEFBC">
      <w:start w:val="1"/>
      <w:numFmt w:val="decimal"/>
      <w:lvlText w:val="%1."/>
      <w:lvlJc w:val="left"/>
      <w:pPr>
        <w:ind w:left="360" w:hanging="360"/>
      </w:pPr>
      <w:rPr>
        <w:rFonts w:hint="default"/>
        <w: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39547850"/>
    <w:multiLevelType w:val="multilevel"/>
    <w:tmpl w:val="220CA892"/>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44DD1A07"/>
    <w:multiLevelType w:val="hybridMultilevel"/>
    <w:tmpl w:val="0DCEDB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469A4DAB"/>
    <w:multiLevelType w:val="multilevel"/>
    <w:tmpl w:val="CEB6B96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27096D"/>
    <w:multiLevelType w:val="hybridMultilevel"/>
    <w:tmpl w:val="1A6CE32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590C5798"/>
    <w:multiLevelType w:val="multilevel"/>
    <w:tmpl w:val="866204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9763A15"/>
    <w:multiLevelType w:val="multilevel"/>
    <w:tmpl w:val="77C64FD2"/>
    <w:lvl w:ilvl="0">
      <w:start w:val="1"/>
      <w:numFmt w:val="bullet"/>
      <w:lvlRestart w:val="0"/>
      <w:lvlText w:val=""/>
      <w:lvlJc w:val="left"/>
      <w:pPr>
        <w:tabs>
          <w:tab w:val="num" w:pos="1800"/>
        </w:tabs>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DAB465C"/>
    <w:multiLevelType w:val="multilevel"/>
    <w:tmpl w:val="C37E47A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2726CB1"/>
    <w:multiLevelType w:val="hybridMultilevel"/>
    <w:tmpl w:val="AEC652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3A20024"/>
    <w:multiLevelType w:val="multilevel"/>
    <w:tmpl w:val="A5B0E7F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2625C77"/>
    <w:multiLevelType w:val="hybridMultilevel"/>
    <w:tmpl w:val="46B2A7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EAB2E0E"/>
    <w:multiLevelType w:val="hybridMultilevel"/>
    <w:tmpl w:val="F5B85A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17"/>
  </w:num>
  <w:num w:numId="3">
    <w:abstractNumId w:val="13"/>
  </w:num>
  <w:num w:numId="4">
    <w:abstractNumId w:val="11"/>
  </w:num>
  <w:num w:numId="5">
    <w:abstractNumId w:val="14"/>
  </w:num>
  <w:num w:numId="6">
    <w:abstractNumId w:val="20"/>
  </w:num>
  <w:num w:numId="7">
    <w:abstractNumId w:val="15"/>
  </w:num>
  <w:num w:numId="8">
    <w:abstractNumId w:val="1"/>
  </w:num>
  <w:num w:numId="9">
    <w:abstractNumId w:val="18"/>
  </w:num>
  <w:num w:numId="10">
    <w:abstractNumId w:val="6"/>
  </w:num>
  <w:num w:numId="11">
    <w:abstractNumId w:val="4"/>
  </w:num>
  <w:num w:numId="12">
    <w:abstractNumId w:val="8"/>
  </w:num>
  <w:num w:numId="13">
    <w:abstractNumId w:val="3"/>
  </w:num>
  <w:num w:numId="14">
    <w:abstractNumId w:val="0"/>
  </w:num>
  <w:num w:numId="15">
    <w:abstractNumId w:val="16"/>
  </w:num>
  <w:num w:numId="16">
    <w:abstractNumId w:val="12"/>
  </w:num>
  <w:num w:numId="17">
    <w:abstractNumId w:val="10"/>
  </w:num>
  <w:num w:numId="18">
    <w:abstractNumId w:val="9"/>
  </w:num>
  <w:num w:numId="19">
    <w:abstractNumId w:val="5"/>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062B4"/>
    <w:rsid w:val="00007BAA"/>
    <w:rsid w:val="00022AC4"/>
    <w:rsid w:val="00032DFC"/>
    <w:rsid w:val="000334AB"/>
    <w:rsid w:val="00037A44"/>
    <w:rsid w:val="00047430"/>
    <w:rsid w:val="00052EFE"/>
    <w:rsid w:val="00055E47"/>
    <w:rsid w:val="0005700F"/>
    <w:rsid w:val="00066DC3"/>
    <w:rsid w:val="00071782"/>
    <w:rsid w:val="000747ED"/>
    <w:rsid w:val="00091FC1"/>
    <w:rsid w:val="00092637"/>
    <w:rsid w:val="000A06DE"/>
    <w:rsid w:val="000A1676"/>
    <w:rsid w:val="000A51E6"/>
    <w:rsid w:val="000B283C"/>
    <w:rsid w:val="000C7B3E"/>
    <w:rsid w:val="000D1AA5"/>
    <w:rsid w:val="000D79F3"/>
    <w:rsid w:val="000D7DE1"/>
    <w:rsid w:val="000E0375"/>
    <w:rsid w:val="000F3595"/>
    <w:rsid w:val="000F683E"/>
    <w:rsid w:val="000F687F"/>
    <w:rsid w:val="00105E9E"/>
    <w:rsid w:val="0010736C"/>
    <w:rsid w:val="00112474"/>
    <w:rsid w:val="00116EFD"/>
    <w:rsid w:val="00127BE1"/>
    <w:rsid w:val="0013225B"/>
    <w:rsid w:val="001421A5"/>
    <w:rsid w:val="0015075E"/>
    <w:rsid w:val="00161136"/>
    <w:rsid w:val="00162CBB"/>
    <w:rsid w:val="0016477A"/>
    <w:rsid w:val="00172BBE"/>
    <w:rsid w:val="001743F6"/>
    <w:rsid w:val="00174EB4"/>
    <w:rsid w:val="001A5E58"/>
    <w:rsid w:val="001B6DA3"/>
    <w:rsid w:val="001B78AD"/>
    <w:rsid w:val="00203BC6"/>
    <w:rsid w:val="00210CC3"/>
    <w:rsid w:val="002111A7"/>
    <w:rsid w:val="002239D1"/>
    <w:rsid w:val="00223D6A"/>
    <w:rsid w:val="002340FC"/>
    <w:rsid w:val="00244AE7"/>
    <w:rsid w:val="002528C0"/>
    <w:rsid w:val="00263A56"/>
    <w:rsid w:val="00264887"/>
    <w:rsid w:val="00267B52"/>
    <w:rsid w:val="00274181"/>
    <w:rsid w:val="002918CF"/>
    <w:rsid w:val="002A2097"/>
    <w:rsid w:val="002C43FE"/>
    <w:rsid w:val="002C4AB7"/>
    <w:rsid w:val="002D0191"/>
    <w:rsid w:val="002D5E6C"/>
    <w:rsid w:val="002D67DC"/>
    <w:rsid w:val="002F1829"/>
    <w:rsid w:val="00301A57"/>
    <w:rsid w:val="003126E5"/>
    <w:rsid w:val="00333E9F"/>
    <w:rsid w:val="00350361"/>
    <w:rsid w:val="00354700"/>
    <w:rsid w:val="003556CC"/>
    <w:rsid w:val="00357F5E"/>
    <w:rsid w:val="00376142"/>
    <w:rsid w:val="00376FD2"/>
    <w:rsid w:val="00380A89"/>
    <w:rsid w:val="0038265F"/>
    <w:rsid w:val="00384081"/>
    <w:rsid w:val="00397134"/>
    <w:rsid w:val="003A0AEB"/>
    <w:rsid w:val="003A5A45"/>
    <w:rsid w:val="003B15F2"/>
    <w:rsid w:val="003B5AF5"/>
    <w:rsid w:val="003C1BC9"/>
    <w:rsid w:val="003C40DE"/>
    <w:rsid w:val="003C469B"/>
    <w:rsid w:val="003D5B60"/>
    <w:rsid w:val="003E2059"/>
    <w:rsid w:val="003E4B28"/>
    <w:rsid w:val="003E5128"/>
    <w:rsid w:val="003F0F85"/>
    <w:rsid w:val="00416A88"/>
    <w:rsid w:val="0042706C"/>
    <w:rsid w:val="00437CEB"/>
    <w:rsid w:val="004414D3"/>
    <w:rsid w:val="00441802"/>
    <w:rsid w:val="00446574"/>
    <w:rsid w:val="00446F91"/>
    <w:rsid w:val="00452378"/>
    <w:rsid w:val="00460FC4"/>
    <w:rsid w:val="00471910"/>
    <w:rsid w:val="00473A33"/>
    <w:rsid w:val="004775D7"/>
    <w:rsid w:val="00477C21"/>
    <w:rsid w:val="004854C3"/>
    <w:rsid w:val="00485F36"/>
    <w:rsid w:val="004B11E8"/>
    <w:rsid w:val="004B22F3"/>
    <w:rsid w:val="004B3B8A"/>
    <w:rsid w:val="004B49E3"/>
    <w:rsid w:val="004B559C"/>
    <w:rsid w:val="004C1BD0"/>
    <w:rsid w:val="004C2A2D"/>
    <w:rsid w:val="004D31B0"/>
    <w:rsid w:val="004D3C28"/>
    <w:rsid w:val="00500BFF"/>
    <w:rsid w:val="00503014"/>
    <w:rsid w:val="00511125"/>
    <w:rsid w:val="00513EB5"/>
    <w:rsid w:val="00523A14"/>
    <w:rsid w:val="00525952"/>
    <w:rsid w:val="00526869"/>
    <w:rsid w:val="00545F48"/>
    <w:rsid w:val="00546AE9"/>
    <w:rsid w:val="00554C21"/>
    <w:rsid w:val="0056116F"/>
    <w:rsid w:val="00580362"/>
    <w:rsid w:val="005837BD"/>
    <w:rsid w:val="0059254B"/>
    <w:rsid w:val="005950B7"/>
    <w:rsid w:val="00595A23"/>
    <w:rsid w:val="005A1799"/>
    <w:rsid w:val="005A4853"/>
    <w:rsid w:val="005B1991"/>
    <w:rsid w:val="005D1A9F"/>
    <w:rsid w:val="005D2D0D"/>
    <w:rsid w:val="005F1312"/>
    <w:rsid w:val="00612C3C"/>
    <w:rsid w:val="0061413A"/>
    <w:rsid w:val="00626F60"/>
    <w:rsid w:val="00650364"/>
    <w:rsid w:val="006559E2"/>
    <w:rsid w:val="006E18F2"/>
    <w:rsid w:val="006E499C"/>
    <w:rsid w:val="00730440"/>
    <w:rsid w:val="007312B9"/>
    <w:rsid w:val="00734D28"/>
    <w:rsid w:val="00736350"/>
    <w:rsid w:val="00740D1B"/>
    <w:rsid w:val="00753B25"/>
    <w:rsid w:val="0075483F"/>
    <w:rsid w:val="007659AF"/>
    <w:rsid w:val="0076640A"/>
    <w:rsid w:val="00772A9E"/>
    <w:rsid w:val="00774445"/>
    <w:rsid w:val="007815EA"/>
    <w:rsid w:val="00790860"/>
    <w:rsid w:val="00793D91"/>
    <w:rsid w:val="00794683"/>
    <w:rsid w:val="007947A1"/>
    <w:rsid w:val="007A2993"/>
    <w:rsid w:val="007B477D"/>
    <w:rsid w:val="007C4A9F"/>
    <w:rsid w:val="007D36B1"/>
    <w:rsid w:val="007D4600"/>
    <w:rsid w:val="007D7BAF"/>
    <w:rsid w:val="007E4AF4"/>
    <w:rsid w:val="007F1B81"/>
    <w:rsid w:val="007F1CB8"/>
    <w:rsid w:val="00801DE7"/>
    <w:rsid w:val="00803879"/>
    <w:rsid w:val="008040F9"/>
    <w:rsid w:val="00804589"/>
    <w:rsid w:val="00811BAA"/>
    <w:rsid w:val="008274BD"/>
    <w:rsid w:val="00831D9B"/>
    <w:rsid w:val="00846F84"/>
    <w:rsid w:val="00860237"/>
    <w:rsid w:val="00861DD7"/>
    <w:rsid w:val="008677D7"/>
    <w:rsid w:val="0088088B"/>
    <w:rsid w:val="00880C00"/>
    <w:rsid w:val="008824A1"/>
    <w:rsid w:val="00885976"/>
    <w:rsid w:val="008A2C7B"/>
    <w:rsid w:val="008A72FA"/>
    <w:rsid w:val="008B0622"/>
    <w:rsid w:val="008B5928"/>
    <w:rsid w:val="008C553A"/>
    <w:rsid w:val="008F520F"/>
    <w:rsid w:val="00902395"/>
    <w:rsid w:val="00903230"/>
    <w:rsid w:val="00906979"/>
    <w:rsid w:val="00912739"/>
    <w:rsid w:val="00920DDE"/>
    <w:rsid w:val="00967C70"/>
    <w:rsid w:val="00971B1B"/>
    <w:rsid w:val="00991515"/>
    <w:rsid w:val="00996011"/>
    <w:rsid w:val="009A0AC9"/>
    <w:rsid w:val="009B4417"/>
    <w:rsid w:val="009C5EA6"/>
    <w:rsid w:val="009D3D2A"/>
    <w:rsid w:val="009D4AF3"/>
    <w:rsid w:val="009D69F9"/>
    <w:rsid w:val="009E45B9"/>
    <w:rsid w:val="009F1CE1"/>
    <w:rsid w:val="009F364C"/>
    <w:rsid w:val="00A00226"/>
    <w:rsid w:val="00A026A3"/>
    <w:rsid w:val="00A03C41"/>
    <w:rsid w:val="00A07B23"/>
    <w:rsid w:val="00A2519A"/>
    <w:rsid w:val="00A43008"/>
    <w:rsid w:val="00A46B54"/>
    <w:rsid w:val="00A5191E"/>
    <w:rsid w:val="00A55100"/>
    <w:rsid w:val="00A5701D"/>
    <w:rsid w:val="00A721A0"/>
    <w:rsid w:val="00A74F9F"/>
    <w:rsid w:val="00A77B3B"/>
    <w:rsid w:val="00A90E9B"/>
    <w:rsid w:val="00A9167F"/>
    <w:rsid w:val="00A93BFC"/>
    <w:rsid w:val="00A962EC"/>
    <w:rsid w:val="00AA0D69"/>
    <w:rsid w:val="00AC1BDD"/>
    <w:rsid w:val="00AD267E"/>
    <w:rsid w:val="00AF3575"/>
    <w:rsid w:val="00B133FE"/>
    <w:rsid w:val="00B205E3"/>
    <w:rsid w:val="00B21D5C"/>
    <w:rsid w:val="00B22BB5"/>
    <w:rsid w:val="00B35A47"/>
    <w:rsid w:val="00B415C3"/>
    <w:rsid w:val="00B51C2E"/>
    <w:rsid w:val="00B64036"/>
    <w:rsid w:val="00B81222"/>
    <w:rsid w:val="00BC0C5C"/>
    <w:rsid w:val="00BC172D"/>
    <w:rsid w:val="00C11702"/>
    <w:rsid w:val="00C1599B"/>
    <w:rsid w:val="00C17A5C"/>
    <w:rsid w:val="00C21C8E"/>
    <w:rsid w:val="00C252D4"/>
    <w:rsid w:val="00C6512E"/>
    <w:rsid w:val="00C6761E"/>
    <w:rsid w:val="00C725E0"/>
    <w:rsid w:val="00C74069"/>
    <w:rsid w:val="00C81EFA"/>
    <w:rsid w:val="00C82834"/>
    <w:rsid w:val="00C8671F"/>
    <w:rsid w:val="00C97B34"/>
    <w:rsid w:val="00CA2DF1"/>
    <w:rsid w:val="00CB6589"/>
    <w:rsid w:val="00CB74B7"/>
    <w:rsid w:val="00CD225F"/>
    <w:rsid w:val="00CD6F9A"/>
    <w:rsid w:val="00CE5DC4"/>
    <w:rsid w:val="00CE6C14"/>
    <w:rsid w:val="00CF0519"/>
    <w:rsid w:val="00CF4289"/>
    <w:rsid w:val="00D05004"/>
    <w:rsid w:val="00D12D16"/>
    <w:rsid w:val="00D31B09"/>
    <w:rsid w:val="00D37749"/>
    <w:rsid w:val="00D37896"/>
    <w:rsid w:val="00D5100D"/>
    <w:rsid w:val="00D5348A"/>
    <w:rsid w:val="00D57935"/>
    <w:rsid w:val="00D73984"/>
    <w:rsid w:val="00D95318"/>
    <w:rsid w:val="00DA3D79"/>
    <w:rsid w:val="00DA4C87"/>
    <w:rsid w:val="00DB4C29"/>
    <w:rsid w:val="00DB770D"/>
    <w:rsid w:val="00DC6AC6"/>
    <w:rsid w:val="00DE4E11"/>
    <w:rsid w:val="00E0392B"/>
    <w:rsid w:val="00E141FD"/>
    <w:rsid w:val="00E33AF7"/>
    <w:rsid w:val="00E3479C"/>
    <w:rsid w:val="00E372F3"/>
    <w:rsid w:val="00E44450"/>
    <w:rsid w:val="00E4744B"/>
    <w:rsid w:val="00E52A9B"/>
    <w:rsid w:val="00E5393D"/>
    <w:rsid w:val="00E6026B"/>
    <w:rsid w:val="00E62BAE"/>
    <w:rsid w:val="00E66F1A"/>
    <w:rsid w:val="00E82FE8"/>
    <w:rsid w:val="00E843DE"/>
    <w:rsid w:val="00E86D7D"/>
    <w:rsid w:val="00E95262"/>
    <w:rsid w:val="00E9768C"/>
    <w:rsid w:val="00EA581B"/>
    <w:rsid w:val="00EB4CA5"/>
    <w:rsid w:val="00EC0737"/>
    <w:rsid w:val="00ED251C"/>
    <w:rsid w:val="00EE0825"/>
    <w:rsid w:val="00EE1EAA"/>
    <w:rsid w:val="00EE4B2A"/>
    <w:rsid w:val="00EF4D76"/>
    <w:rsid w:val="00F01A57"/>
    <w:rsid w:val="00F03000"/>
    <w:rsid w:val="00F11A58"/>
    <w:rsid w:val="00F2129C"/>
    <w:rsid w:val="00F25125"/>
    <w:rsid w:val="00F31731"/>
    <w:rsid w:val="00F635B8"/>
    <w:rsid w:val="00F674A0"/>
    <w:rsid w:val="00F7014F"/>
    <w:rsid w:val="00F72BC1"/>
    <w:rsid w:val="00F87B1A"/>
    <w:rsid w:val="00F92F44"/>
    <w:rsid w:val="00F967E4"/>
    <w:rsid w:val="00F97258"/>
    <w:rsid w:val="00FA304E"/>
    <w:rsid w:val="00FC4681"/>
    <w:rsid w:val="00FC6F24"/>
    <w:rsid w:val="00FE0E14"/>
    <w:rsid w:val="00FF39E0"/>
    <w:rsid w:val="00FF4E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2A"/>
    <w:pPr>
      <w:widowControl w:val="0"/>
      <w:autoSpaceDE w:val="0"/>
      <w:autoSpaceDN w:val="0"/>
      <w:adjustRightInd w:val="0"/>
    </w:pPr>
    <w:rPr>
      <w:szCs w:val="24"/>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rsid w:val="007D36B1"/>
    <w:pPr>
      <w:tabs>
        <w:tab w:val="center" w:pos="4819"/>
        <w:tab w:val="right" w:pos="9638"/>
      </w:tabs>
    </w:pPr>
  </w:style>
  <w:style w:type="paragraph" w:styleId="Sidefod">
    <w:name w:val="footer"/>
    <w:basedOn w:val="Normal"/>
    <w:link w:val="SidefodTegn"/>
    <w:uiPriority w:val="99"/>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paragraph" w:styleId="Billedtekst">
    <w:name w:val="caption"/>
    <w:basedOn w:val="Normal"/>
    <w:next w:val="Normal"/>
    <w:uiPriority w:val="3"/>
    <w:rsid w:val="005D1A9F"/>
    <w:pPr>
      <w:widowControl/>
      <w:autoSpaceDE/>
      <w:autoSpaceDN/>
      <w:adjustRightInd/>
      <w:spacing w:after="40" w:line="260" w:lineRule="atLeast"/>
      <w:ind w:left="57" w:right="57"/>
    </w:pPr>
    <w:rPr>
      <w:rFonts w:ascii="Arial" w:eastAsia="Calibri" w:hAnsi="Arial"/>
      <w:b/>
      <w:bCs/>
      <w:sz w:val="17"/>
      <w:szCs w:val="22"/>
      <w:lang w:eastAsia="en-US"/>
    </w:rPr>
  </w:style>
  <w:style w:type="table" w:customStyle="1" w:styleId="SKM-Tabel-Bl">
    <w:name w:val="SKM - Tabel - Blå"/>
    <w:basedOn w:val="Tabel-Normal"/>
    <w:uiPriority w:val="99"/>
    <w:rsid w:val="005D1A9F"/>
    <w:rPr>
      <w:rFonts w:ascii="Garamond" w:eastAsia="Calibri" w:hAnsi="Garamond"/>
      <w:sz w:val="22"/>
      <w:szCs w:val="22"/>
      <w:lang w:eastAsia="en-US"/>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4F81BD"/>
      </w:tcPr>
    </w:tblStylePr>
  </w:style>
  <w:style w:type="paragraph" w:customStyle="1" w:styleId="Billedtekstnedre">
    <w:name w:val="Billedtekst nedre"/>
    <w:basedOn w:val="Normal"/>
    <w:next w:val="Normal"/>
    <w:uiPriority w:val="3"/>
    <w:qFormat/>
    <w:rsid w:val="005D1A9F"/>
    <w:pPr>
      <w:widowControl/>
      <w:autoSpaceDE/>
      <w:autoSpaceDN/>
      <w:adjustRightInd/>
      <w:spacing w:before="57" w:line="150" w:lineRule="atLeast"/>
    </w:pPr>
    <w:rPr>
      <w:rFonts w:ascii="Arial" w:eastAsia="Calibri" w:hAnsi="Arial"/>
      <w:color w:val="000000"/>
      <w:sz w:val="12"/>
      <w:szCs w:val="22"/>
      <w:lang w:eastAsia="en-US"/>
    </w:rPr>
  </w:style>
  <w:style w:type="paragraph" w:customStyle="1" w:styleId="Bokstekst">
    <w:name w:val="Boks tekst"/>
    <w:basedOn w:val="Normal"/>
    <w:uiPriority w:val="4"/>
    <w:qFormat/>
    <w:rsid w:val="005D1A9F"/>
    <w:pPr>
      <w:widowControl/>
      <w:autoSpaceDE/>
      <w:autoSpaceDN/>
      <w:adjustRightInd/>
      <w:spacing w:line="280" w:lineRule="atLeast"/>
      <w:ind w:left="284" w:right="284"/>
    </w:pPr>
    <w:rPr>
      <w:rFonts w:ascii="Arial" w:eastAsia="Calibri" w:hAnsi="Arial"/>
      <w:spacing w:val="5"/>
      <w:sz w:val="16"/>
      <w:szCs w:val="22"/>
      <w:lang w:eastAsia="en-US"/>
    </w:rPr>
  </w:style>
  <w:style w:type="table" w:styleId="Tabel-Gitter">
    <w:name w:val="Table Grid"/>
    <w:basedOn w:val="Tabel-Normal"/>
    <w:uiPriority w:val="59"/>
    <w:rsid w:val="005D1A9F"/>
    <w:rPr>
      <w:rFonts w:ascii="Garamond" w:eastAsia="Calibri" w:hAnsi="Garamond"/>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Tabel-Tekst">
    <w:name w:val="Tabel - Tekst"/>
    <w:basedOn w:val="Normal"/>
    <w:uiPriority w:val="4"/>
    <w:qFormat/>
    <w:rsid w:val="005D1A9F"/>
    <w:pPr>
      <w:widowControl/>
      <w:autoSpaceDE/>
      <w:autoSpaceDN/>
      <w:adjustRightInd/>
      <w:spacing w:before="40" w:after="40" w:line="240" w:lineRule="atLeast"/>
      <w:ind w:left="113" w:right="113"/>
    </w:pPr>
    <w:rPr>
      <w:rFonts w:ascii="Arial" w:eastAsia="Calibri" w:hAnsi="Arial"/>
      <w:sz w:val="16"/>
      <w:szCs w:val="22"/>
      <w:lang w:eastAsia="en-US"/>
    </w:rPr>
  </w:style>
  <w:style w:type="paragraph" w:customStyle="1" w:styleId="Tabel-Overskrift">
    <w:name w:val="Tabel - Overskrift"/>
    <w:basedOn w:val="Tabel-Tekst"/>
    <w:uiPriority w:val="4"/>
    <w:qFormat/>
    <w:rsid w:val="005D1A9F"/>
    <w:rPr>
      <w:b/>
    </w:rPr>
  </w:style>
  <w:style w:type="paragraph" w:customStyle="1" w:styleId="Tabel-KolonneOverskrift">
    <w:name w:val="Tabel - Kolonne Overskrift"/>
    <w:basedOn w:val="Normal"/>
    <w:uiPriority w:val="4"/>
    <w:rsid w:val="005D1A9F"/>
    <w:pPr>
      <w:widowControl/>
      <w:autoSpaceDE/>
      <w:autoSpaceDN/>
      <w:adjustRightInd/>
      <w:spacing w:before="40" w:after="40" w:line="240" w:lineRule="atLeast"/>
      <w:ind w:left="227" w:right="227"/>
    </w:pPr>
    <w:rPr>
      <w:rFonts w:ascii="Arial" w:eastAsia="Calibri" w:hAnsi="Arial"/>
      <w:sz w:val="16"/>
      <w:szCs w:val="22"/>
      <w:lang w:eastAsia="en-US"/>
    </w:rPr>
  </w:style>
  <w:style w:type="paragraph" w:customStyle="1" w:styleId="Tabel-KolonneOverskriftHvid">
    <w:name w:val="Tabel - Kolonne Overskrift Hvid"/>
    <w:basedOn w:val="Tabel-KolonneOverskrift"/>
    <w:uiPriority w:val="10"/>
    <w:qFormat/>
    <w:rsid w:val="005D1A9F"/>
    <w:rPr>
      <w:color w:val="FFFFFF"/>
    </w:rPr>
  </w:style>
  <w:style w:type="paragraph" w:customStyle="1" w:styleId="Tabel-Tal">
    <w:name w:val="Tabel - Tal"/>
    <w:basedOn w:val="Normal"/>
    <w:uiPriority w:val="14"/>
    <w:rsid w:val="005D1A9F"/>
    <w:pPr>
      <w:widowControl/>
      <w:autoSpaceDE/>
      <w:autoSpaceDN/>
      <w:adjustRightInd/>
      <w:spacing w:before="40" w:after="40" w:line="240" w:lineRule="atLeast"/>
      <w:ind w:left="227" w:right="227"/>
      <w:jc w:val="right"/>
    </w:pPr>
    <w:rPr>
      <w:rFonts w:ascii="Arial" w:eastAsia="Calibri" w:hAnsi="Arial"/>
      <w:sz w:val="16"/>
      <w:szCs w:val="22"/>
      <w:lang w:eastAsia="en-US"/>
    </w:rPr>
  </w:style>
  <w:style w:type="paragraph" w:customStyle="1" w:styleId="Tabel-Brdtekst">
    <w:name w:val="Tabel - Brødtekst"/>
    <w:basedOn w:val="Normal"/>
    <w:uiPriority w:val="4"/>
    <w:rsid w:val="005D1A9F"/>
    <w:pPr>
      <w:widowControl/>
      <w:autoSpaceDE/>
      <w:autoSpaceDN/>
      <w:adjustRightInd/>
      <w:spacing w:before="40" w:after="40" w:line="240" w:lineRule="atLeast"/>
      <w:ind w:left="227" w:right="227"/>
      <w:contextualSpacing/>
    </w:pPr>
    <w:rPr>
      <w:rFonts w:ascii="Republic Light" w:eastAsia="Calibri" w:hAnsi="Republic Light"/>
      <w:sz w:val="16"/>
      <w:szCs w:val="22"/>
      <w:lang w:eastAsia="en-US"/>
    </w:rPr>
  </w:style>
  <w:style w:type="character" w:styleId="Kommentarhenvisning">
    <w:name w:val="annotation reference"/>
    <w:rsid w:val="00116EFD"/>
    <w:rPr>
      <w:sz w:val="16"/>
      <w:szCs w:val="16"/>
    </w:rPr>
  </w:style>
  <w:style w:type="paragraph" w:styleId="Kommentartekst">
    <w:name w:val="annotation text"/>
    <w:basedOn w:val="Normal"/>
    <w:link w:val="KommentartekstTegn"/>
    <w:rsid w:val="00116EFD"/>
    <w:rPr>
      <w:szCs w:val="20"/>
    </w:rPr>
  </w:style>
  <w:style w:type="character" w:customStyle="1" w:styleId="KommentartekstTegn">
    <w:name w:val="Kommentartekst Tegn"/>
    <w:basedOn w:val="Standardskrifttypeiafsnit"/>
    <w:link w:val="Kommentartekst"/>
    <w:rsid w:val="00116EFD"/>
  </w:style>
  <w:style w:type="paragraph" w:styleId="Kommentaremne">
    <w:name w:val="annotation subject"/>
    <w:basedOn w:val="Kommentartekst"/>
    <w:next w:val="Kommentartekst"/>
    <w:link w:val="KommentaremneTegn"/>
    <w:rsid w:val="00116EFD"/>
    <w:rPr>
      <w:b/>
      <w:bCs/>
    </w:rPr>
  </w:style>
  <w:style w:type="character" w:customStyle="1" w:styleId="KommentaremneTegn">
    <w:name w:val="Kommentaremne Tegn"/>
    <w:link w:val="Kommentaremne"/>
    <w:rsid w:val="00116EFD"/>
    <w:rPr>
      <w:b/>
      <w:bCs/>
    </w:rPr>
  </w:style>
  <w:style w:type="paragraph" w:customStyle="1" w:styleId="tekstgenerel">
    <w:name w:val="tekstgenerel"/>
    <w:basedOn w:val="Normal"/>
    <w:rsid w:val="003C1BC9"/>
    <w:pPr>
      <w:widowControl/>
      <w:autoSpaceDE/>
      <w:autoSpaceDN/>
      <w:adjustRightInd/>
    </w:pPr>
    <w:rPr>
      <w:rFonts w:ascii="Tahoma" w:hAnsi="Tahoma" w:cs="Tahoma"/>
      <w:color w:val="000000"/>
      <w:sz w:val="24"/>
    </w:rPr>
  </w:style>
  <w:style w:type="character" w:customStyle="1" w:styleId="SidefodTegn">
    <w:name w:val="Sidefod Tegn"/>
    <w:link w:val="Sidefod"/>
    <w:uiPriority w:val="99"/>
    <w:rsid w:val="009F364C"/>
    <w:rPr>
      <w:szCs w:val="24"/>
    </w:rPr>
  </w:style>
  <w:style w:type="paragraph" w:styleId="Opstilling-punkttegn">
    <w:name w:val="List Bullet"/>
    <w:basedOn w:val="Normal"/>
    <w:rsid w:val="009F1CE1"/>
    <w:pPr>
      <w:numPr>
        <w:numId w:val="14"/>
      </w:numPr>
      <w:contextualSpacing/>
    </w:pPr>
  </w:style>
  <w:style w:type="paragraph" w:styleId="Listeafsnit">
    <w:name w:val="List Paragraph"/>
    <w:basedOn w:val="Normal"/>
    <w:uiPriority w:val="34"/>
    <w:qFormat/>
    <w:rsid w:val="009F1CE1"/>
    <w:pPr>
      <w:ind w:left="1304"/>
    </w:pPr>
  </w:style>
  <w:style w:type="paragraph" w:customStyle="1" w:styleId="Default">
    <w:name w:val="Default"/>
    <w:rsid w:val="00E141FD"/>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265">
      <w:bodyDiv w:val="1"/>
      <w:marLeft w:val="0"/>
      <w:marRight w:val="0"/>
      <w:marTop w:val="0"/>
      <w:marBottom w:val="0"/>
      <w:divBdr>
        <w:top w:val="none" w:sz="0" w:space="0" w:color="auto"/>
        <w:left w:val="none" w:sz="0" w:space="0" w:color="auto"/>
        <w:bottom w:val="none" w:sz="0" w:space="0" w:color="auto"/>
        <w:right w:val="none" w:sz="0" w:space="0" w:color="auto"/>
      </w:divBdr>
      <w:divsChild>
        <w:div w:id="1061170877">
          <w:marLeft w:val="0"/>
          <w:marRight w:val="0"/>
          <w:marTop w:val="0"/>
          <w:marBottom w:val="300"/>
          <w:divBdr>
            <w:top w:val="none" w:sz="0" w:space="0" w:color="auto"/>
            <w:left w:val="none" w:sz="0" w:space="0" w:color="auto"/>
            <w:bottom w:val="none" w:sz="0" w:space="0" w:color="auto"/>
            <w:right w:val="none" w:sz="0" w:space="0" w:color="auto"/>
          </w:divBdr>
          <w:divsChild>
            <w:div w:id="1086152769">
              <w:marLeft w:val="0"/>
              <w:marRight w:val="0"/>
              <w:marTop w:val="0"/>
              <w:marBottom w:val="0"/>
              <w:divBdr>
                <w:top w:val="none" w:sz="0" w:space="0" w:color="auto"/>
                <w:left w:val="single" w:sz="6" w:space="1" w:color="FFFFFF"/>
                <w:bottom w:val="none" w:sz="0" w:space="0" w:color="auto"/>
                <w:right w:val="single" w:sz="6" w:space="1" w:color="FFFFFF"/>
              </w:divBdr>
              <w:divsChild>
                <w:div w:id="1684164635">
                  <w:marLeft w:val="0"/>
                  <w:marRight w:val="0"/>
                  <w:marTop w:val="0"/>
                  <w:marBottom w:val="0"/>
                  <w:divBdr>
                    <w:top w:val="none" w:sz="0" w:space="0" w:color="auto"/>
                    <w:left w:val="none" w:sz="0" w:space="0" w:color="auto"/>
                    <w:bottom w:val="none" w:sz="0" w:space="0" w:color="auto"/>
                    <w:right w:val="none" w:sz="0" w:space="0" w:color="auto"/>
                  </w:divBdr>
                  <w:divsChild>
                    <w:div w:id="1500317108">
                      <w:marLeft w:val="0"/>
                      <w:marRight w:val="0"/>
                      <w:marTop w:val="0"/>
                      <w:marBottom w:val="0"/>
                      <w:divBdr>
                        <w:top w:val="none" w:sz="0" w:space="0" w:color="auto"/>
                        <w:left w:val="none" w:sz="0" w:space="0" w:color="auto"/>
                        <w:bottom w:val="none" w:sz="0" w:space="0" w:color="auto"/>
                        <w:right w:val="none" w:sz="0" w:space="0" w:color="auto"/>
                      </w:divBdr>
                      <w:divsChild>
                        <w:div w:id="2118939381">
                          <w:marLeft w:val="0"/>
                          <w:marRight w:val="0"/>
                          <w:marTop w:val="0"/>
                          <w:marBottom w:val="0"/>
                          <w:divBdr>
                            <w:top w:val="none" w:sz="0" w:space="0" w:color="auto"/>
                            <w:left w:val="none" w:sz="0" w:space="0" w:color="auto"/>
                            <w:bottom w:val="none" w:sz="0" w:space="0" w:color="auto"/>
                            <w:right w:val="none" w:sz="0" w:space="0" w:color="auto"/>
                          </w:divBdr>
                          <w:divsChild>
                            <w:div w:id="946733990">
                              <w:marLeft w:val="0"/>
                              <w:marRight w:val="0"/>
                              <w:marTop w:val="0"/>
                              <w:marBottom w:val="0"/>
                              <w:divBdr>
                                <w:top w:val="none" w:sz="0" w:space="0" w:color="auto"/>
                                <w:left w:val="none" w:sz="0" w:space="0" w:color="auto"/>
                                <w:bottom w:val="none" w:sz="0" w:space="0" w:color="auto"/>
                                <w:right w:val="none" w:sz="0" w:space="0" w:color="auto"/>
                              </w:divBdr>
                              <w:divsChild>
                                <w:div w:id="1989087158">
                                  <w:marLeft w:val="0"/>
                                  <w:marRight w:val="0"/>
                                  <w:marTop w:val="0"/>
                                  <w:marBottom w:val="0"/>
                                  <w:divBdr>
                                    <w:top w:val="none" w:sz="0" w:space="0" w:color="auto"/>
                                    <w:left w:val="none" w:sz="0" w:space="0" w:color="auto"/>
                                    <w:bottom w:val="none" w:sz="0" w:space="0" w:color="auto"/>
                                    <w:right w:val="none" w:sz="0" w:space="0" w:color="auto"/>
                                  </w:divBdr>
                                  <w:divsChild>
                                    <w:div w:id="290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760870">
      <w:bodyDiv w:val="1"/>
      <w:marLeft w:val="0"/>
      <w:marRight w:val="0"/>
      <w:marTop w:val="0"/>
      <w:marBottom w:val="0"/>
      <w:divBdr>
        <w:top w:val="none" w:sz="0" w:space="0" w:color="auto"/>
        <w:left w:val="none" w:sz="0" w:space="0" w:color="auto"/>
        <w:bottom w:val="none" w:sz="0" w:space="0" w:color="auto"/>
        <w:right w:val="none" w:sz="0" w:space="0" w:color="auto"/>
      </w:divBdr>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370490082">
      <w:bodyDiv w:val="1"/>
      <w:marLeft w:val="0"/>
      <w:marRight w:val="0"/>
      <w:marTop w:val="0"/>
      <w:marBottom w:val="0"/>
      <w:divBdr>
        <w:top w:val="none" w:sz="0" w:space="0" w:color="auto"/>
        <w:left w:val="none" w:sz="0" w:space="0" w:color="auto"/>
        <w:bottom w:val="none" w:sz="0" w:space="0" w:color="auto"/>
        <w:right w:val="none" w:sz="0" w:space="0" w:color="auto"/>
      </w:divBdr>
      <w:divsChild>
        <w:div w:id="989869362">
          <w:marLeft w:val="0"/>
          <w:marRight w:val="0"/>
          <w:marTop w:val="0"/>
          <w:marBottom w:val="300"/>
          <w:divBdr>
            <w:top w:val="none" w:sz="0" w:space="0" w:color="auto"/>
            <w:left w:val="none" w:sz="0" w:space="0" w:color="auto"/>
            <w:bottom w:val="none" w:sz="0" w:space="0" w:color="auto"/>
            <w:right w:val="none" w:sz="0" w:space="0" w:color="auto"/>
          </w:divBdr>
          <w:divsChild>
            <w:div w:id="1170365495">
              <w:marLeft w:val="0"/>
              <w:marRight w:val="0"/>
              <w:marTop w:val="0"/>
              <w:marBottom w:val="0"/>
              <w:divBdr>
                <w:top w:val="none" w:sz="0" w:space="0" w:color="auto"/>
                <w:left w:val="single" w:sz="6" w:space="1" w:color="FFFFFF"/>
                <w:bottom w:val="none" w:sz="0" w:space="0" w:color="auto"/>
                <w:right w:val="single" w:sz="6" w:space="1" w:color="FFFFFF"/>
              </w:divBdr>
              <w:divsChild>
                <w:div w:id="1217544545">
                  <w:marLeft w:val="0"/>
                  <w:marRight w:val="0"/>
                  <w:marTop w:val="0"/>
                  <w:marBottom w:val="0"/>
                  <w:divBdr>
                    <w:top w:val="none" w:sz="0" w:space="0" w:color="auto"/>
                    <w:left w:val="none" w:sz="0" w:space="0" w:color="auto"/>
                    <w:bottom w:val="none" w:sz="0" w:space="0" w:color="auto"/>
                    <w:right w:val="none" w:sz="0" w:space="0" w:color="auto"/>
                  </w:divBdr>
                  <w:divsChild>
                    <w:div w:id="42409507">
                      <w:marLeft w:val="0"/>
                      <w:marRight w:val="0"/>
                      <w:marTop w:val="0"/>
                      <w:marBottom w:val="0"/>
                      <w:divBdr>
                        <w:top w:val="none" w:sz="0" w:space="0" w:color="auto"/>
                        <w:left w:val="none" w:sz="0" w:space="0" w:color="auto"/>
                        <w:bottom w:val="none" w:sz="0" w:space="0" w:color="auto"/>
                        <w:right w:val="none" w:sz="0" w:space="0" w:color="auto"/>
                      </w:divBdr>
                      <w:divsChild>
                        <w:div w:id="1437824986">
                          <w:marLeft w:val="0"/>
                          <w:marRight w:val="0"/>
                          <w:marTop w:val="0"/>
                          <w:marBottom w:val="0"/>
                          <w:divBdr>
                            <w:top w:val="none" w:sz="0" w:space="0" w:color="auto"/>
                            <w:left w:val="none" w:sz="0" w:space="0" w:color="auto"/>
                            <w:bottom w:val="none" w:sz="0" w:space="0" w:color="auto"/>
                            <w:right w:val="none" w:sz="0" w:space="0" w:color="auto"/>
                          </w:divBdr>
                          <w:divsChild>
                            <w:div w:id="1620338187">
                              <w:marLeft w:val="0"/>
                              <w:marRight w:val="0"/>
                              <w:marTop w:val="0"/>
                              <w:marBottom w:val="0"/>
                              <w:divBdr>
                                <w:top w:val="none" w:sz="0" w:space="0" w:color="auto"/>
                                <w:left w:val="none" w:sz="0" w:space="0" w:color="auto"/>
                                <w:bottom w:val="none" w:sz="0" w:space="0" w:color="auto"/>
                                <w:right w:val="none" w:sz="0" w:space="0" w:color="auto"/>
                              </w:divBdr>
                              <w:divsChild>
                                <w:div w:id="151605903">
                                  <w:marLeft w:val="0"/>
                                  <w:marRight w:val="0"/>
                                  <w:marTop w:val="0"/>
                                  <w:marBottom w:val="0"/>
                                  <w:divBdr>
                                    <w:top w:val="none" w:sz="0" w:space="0" w:color="auto"/>
                                    <w:left w:val="none" w:sz="0" w:space="0" w:color="auto"/>
                                    <w:bottom w:val="none" w:sz="0" w:space="0" w:color="auto"/>
                                    <w:right w:val="none" w:sz="0" w:space="0" w:color="auto"/>
                                  </w:divBdr>
                                  <w:divsChild>
                                    <w:div w:id="467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26188">
      <w:bodyDiv w:val="1"/>
      <w:marLeft w:val="0"/>
      <w:marRight w:val="0"/>
      <w:marTop w:val="0"/>
      <w:marBottom w:val="0"/>
      <w:divBdr>
        <w:top w:val="none" w:sz="0" w:space="0" w:color="auto"/>
        <w:left w:val="none" w:sz="0" w:space="0" w:color="auto"/>
        <w:bottom w:val="none" w:sz="0" w:space="0" w:color="auto"/>
        <w:right w:val="none" w:sz="0" w:space="0" w:color="auto"/>
      </w:divBdr>
    </w:div>
    <w:div w:id="18805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7D3B-A860-4CC5-B5A0-CDB0A37F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1</TotalTime>
  <Pages>27</Pages>
  <Words>7644</Words>
  <Characters>46633</Characters>
  <Application>Microsoft Office Word</Application>
  <DocSecurity>0</DocSecurity>
  <Lines>388</Lines>
  <Paragraphs>108</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54169</CharactersWithSpaces>
  <SharedDoc>false</SharedDoc>
  <HLinks>
    <vt:vector size="6" baseType="variant">
      <vt:variant>
        <vt:i4>2883591</vt:i4>
      </vt:variant>
      <vt:variant>
        <vt:i4>4</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
  <cp:lastModifiedBy>Rikke Kure Wendel</cp:lastModifiedBy>
  <cp:revision>3</cp:revision>
  <cp:lastPrinted>2014-09-03T13:39:00Z</cp:lastPrinted>
  <dcterms:created xsi:type="dcterms:W3CDTF">2014-09-04T07:53:00Z</dcterms:created>
  <dcterms:modified xsi:type="dcterms:W3CDTF">2014-09-05T08:09:00Z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C:\Users\w17827\AppData\Local\Temp\Scanjour\Captia\SJ20140905080801691 [DOK59922970].DOCX</vt:lpwstr>
  </property>
  <property fmtid="{D5CDD505-2E9C-101B-9397-08002B2CF9AE}" pid="3" name="title">
    <vt:lpwstr>Lovforslag040914 - høring (DOK59922970)</vt:lpwstr>
  </property>
  <property fmtid="{D5CDD505-2E9C-101B-9397-08002B2CF9AE}" pid="4" name="command">
    <vt:lpwstr/>
  </property>
</Properties>
</file>