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pPr w:leftFromText="142" w:rightFromText="142" w:vertAnchor="page" w:horzAnchor="page" w:tblpX="1277" w:tblpY="43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0" w:type="dxa"/>
        </w:tblCellMar>
        <w:tblLook w:val="04A0" w:firstRow="1" w:lastRow="0" w:firstColumn="1" w:lastColumn="0" w:noHBand="0" w:noVBand="1"/>
      </w:tblPr>
      <w:tblGrid>
        <w:gridCol w:w="1418"/>
      </w:tblGrid>
      <w:tr w:rsidR="004F26B2" w14:paraId="52E073C7" w14:textId="77777777" w:rsidTr="008E0E74">
        <w:trPr>
          <w:trHeight w:val="2687"/>
        </w:trPr>
        <w:tc>
          <w:tcPr>
            <w:tcW w:w="1418" w:type="dxa"/>
          </w:tcPr>
          <w:p w14:paraId="66EBC549" w14:textId="77777777" w:rsidR="00960B2F" w:rsidRPr="00C65241" w:rsidRDefault="00960B2F" w:rsidP="00B541A5">
            <w:pPr>
              <w:pStyle w:val="Template-DokinfoOverskrift"/>
            </w:pPr>
            <w:bookmarkStart w:id="0" w:name="_GoBack"/>
            <w:bookmarkEnd w:id="0"/>
            <w:r w:rsidRPr="00C65241">
              <w:t>Enhed</w:t>
            </w:r>
          </w:p>
          <w:p w14:paraId="7DFC6C97" w14:textId="6478E263" w:rsidR="00960B2F" w:rsidRPr="00C65241" w:rsidRDefault="009D33EC" w:rsidP="00B541A5">
            <w:pPr>
              <w:pStyle w:val="Template-Dokinfo"/>
            </w:pPr>
            <w:r>
              <w:t>Byggeri, b</w:t>
            </w:r>
            <w:r w:rsidR="003E4909" w:rsidRPr="00C65241">
              <w:t>oliglovgivning</w:t>
            </w:r>
            <w:r>
              <w:t xml:space="preserve"> og landdistrikter</w:t>
            </w:r>
          </w:p>
          <w:p w14:paraId="57DEE35A" w14:textId="77777777" w:rsidR="00960B2F" w:rsidRPr="00C65241" w:rsidRDefault="00960B2F" w:rsidP="00B541A5">
            <w:pPr>
              <w:pStyle w:val="Template-Dokinfo"/>
            </w:pPr>
          </w:p>
          <w:p w14:paraId="1CC4CF56" w14:textId="77777777" w:rsidR="00960B2F" w:rsidRPr="00C65241" w:rsidRDefault="00960B2F" w:rsidP="00B541A5">
            <w:pPr>
              <w:pStyle w:val="Template-DokinfoOverskrift"/>
              <w:rPr>
                <w:b w:val="0"/>
              </w:rPr>
            </w:pPr>
            <w:r w:rsidRPr="00C65241">
              <w:t>Sagsbehandler</w:t>
            </w:r>
          </w:p>
          <w:p w14:paraId="4552CF56" w14:textId="513A44D9" w:rsidR="00171187" w:rsidRDefault="00CD2C15" w:rsidP="00B541A5">
            <w:pPr>
              <w:pStyle w:val="Template-Dokinfo"/>
            </w:pPr>
            <w:r>
              <w:t>Jacob Lichtenstein</w:t>
            </w:r>
          </w:p>
          <w:p w14:paraId="14E8FFD2" w14:textId="77777777" w:rsidR="004F26B2" w:rsidRPr="00C65241" w:rsidRDefault="00960B2F" w:rsidP="00B541A5">
            <w:pPr>
              <w:pStyle w:val="Template-Dokinfo"/>
            </w:pPr>
            <w:r w:rsidRPr="00C65241">
              <w:t xml:space="preserve"> </w:t>
            </w:r>
          </w:p>
          <w:p w14:paraId="49AACC24" w14:textId="77777777" w:rsidR="004F26B2" w:rsidRPr="008260FD" w:rsidRDefault="004F26B2" w:rsidP="00B541A5">
            <w:pPr>
              <w:pStyle w:val="Template-DokinfoOverskrift"/>
            </w:pPr>
            <w:r>
              <w:t>Koordineret med</w:t>
            </w:r>
          </w:p>
          <w:p w14:paraId="4C331E97" w14:textId="77777777" w:rsidR="004F26B2" w:rsidRPr="00A45462" w:rsidRDefault="004F26B2" w:rsidP="00B541A5">
            <w:pPr>
              <w:pStyle w:val="Template-Dokinfo"/>
            </w:pPr>
          </w:p>
          <w:p w14:paraId="60296E54" w14:textId="77777777" w:rsidR="004F26B2" w:rsidRPr="009C5BC0" w:rsidRDefault="004F26B2" w:rsidP="00B541A5">
            <w:pPr>
              <w:pStyle w:val="Template-DokinfoOverskrift"/>
              <w:rPr>
                <w:b w:val="0"/>
              </w:rPr>
            </w:pPr>
            <w:r w:rsidRPr="009C5BC0">
              <w:t>Sagsnr.</w:t>
            </w:r>
          </w:p>
          <w:p w14:paraId="307A86CD" w14:textId="3115B93E" w:rsidR="004F26B2" w:rsidRPr="009C5BC0" w:rsidRDefault="009D33EC" w:rsidP="00B541A5">
            <w:pPr>
              <w:pStyle w:val="Template-Dokinfo"/>
            </w:pPr>
            <w:r>
              <w:t>2022 - 3481</w:t>
            </w:r>
          </w:p>
          <w:p w14:paraId="67922ABB" w14:textId="77777777" w:rsidR="004F26B2" w:rsidRPr="009C5BC0" w:rsidRDefault="004F26B2" w:rsidP="00B541A5">
            <w:pPr>
              <w:pStyle w:val="Template-Dokinfo"/>
            </w:pPr>
          </w:p>
          <w:p w14:paraId="6D7E33FA" w14:textId="77777777" w:rsidR="004F26B2" w:rsidRPr="009C5BC0" w:rsidRDefault="004F26B2" w:rsidP="00B541A5">
            <w:pPr>
              <w:pStyle w:val="Template-DokinfoOverskrift"/>
            </w:pPr>
            <w:proofErr w:type="spellStart"/>
            <w:r w:rsidRPr="009C5BC0">
              <w:t>Doknr</w:t>
            </w:r>
            <w:proofErr w:type="spellEnd"/>
            <w:r w:rsidRPr="009C5BC0">
              <w:t>.</w:t>
            </w:r>
          </w:p>
          <w:p w14:paraId="1D9CFB2E" w14:textId="77777777" w:rsidR="004F26B2" w:rsidRPr="009C5BC0" w:rsidRDefault="00C44198" w:rsidP="00B541A5">
            <w:pPr>
              <w:pStyle w:val="Template-Dokinfo"/>
            </w:pPr>
            <w:r w:rsidRPr="009C5BC0">
              <w:t>541645</w:t>
            </w:r>
          </w:p>
          <w:p w14:paraId="2A5CC2D8" w14:textId="77777777" w:rsidR="00FA705D" w:rsidRPr="009C5BC0" w:rsidRDefault="00FA705D" w:rsidP="00B541A5">
            <w:pPr>
              <w:pStyle w:val="Template-Dokinfo"/>
            </w:pPr>
          </w:p>
          <w:p w14:paraId="43AB959C" w14:textId="77777777" w:rsidR="004F26B2" w:rsidRDefault="004F26B2" w:rsidP="00B541A5">
            <w:pPr>
              <w:pStyle w:val="Template-DokinfoOverskrift"/>
              <w:rPr>
                <w:b w:val="0"/>
              </w:rPr>
            </w:pPr>
            <w:r w:rsidRPr="008260FD">
              <w:t>Dato</w:t>
            </w:r>
          </w:p>
          <w:p w14:paraId="289763E8" w14:textId="48179078" w:rsidR="004F26B2" w:rsidRPr="00826A0D" w:rsidRDefault="00171187" w:rsidP="00AC772B">
            <w:pPr>
              <w:pStyle w:val="Template-Dokinfo"/>
            </w:pPr>
            <w:r>
              <w:fldChar w:fldCharType="begin"/>
            </w:r>
            <w:r>
              <w:instrText xml:space="preserve"> CREATEDATE  \@ "dd-MM-yyyy"  \* MERGEFORMAT </w:instrText>
            </w:r>
            <w:r>
              <w:fldChar w:fldCharType="separate"/>
            </w:r>
            <w:r w:rsidR="009D33EC">
              <w:rPr>
                <w:noProof/>
              </w:rPr>
              <w:t>12-09-2022</w:t>
            </w:r>
            <w:r>
              <w:fldChar w:fldCharType="end"/>
            </w:r>
          </w:p>
        </w:tc>
      </w:tr>
    </w:tbl>
    <w:p w14:paraId="07C6717D" w14:textId="50A28445" w:rsidR="00DB4846" w:rsidRDefault="009C5BC0" w:rsidP="00577579">
      <w:pPr>
        <w:pStyle w:val="Overskrift1"/>
      </w:pPr>
      <w:r w:rsidRPr="009C5BC0">
        <w:t xml:space="preserve">Høringsnotat - </w:t>
      </w:r>
      <w:r w:rsidR="00DD2093" w:rsidRPr="00DD2093">
        <w:t>Lov om ændring af lov om leje og lov om boligforhold (loft over huslejestigninger som følge af udviklingen i nettoprisindekset) samt bekendtgørelse om opgørelse af stigningen i de rimelige og nødvendige udgifter knyttet til ejendommen</w:t>
      </w:r>
    </w:p>
    <w:p w14:paraId="62FC73DE" w14:textId="0AFEA5E0" w:rsidR="00DB4846" w:rsidRDefault="009C5BC0" w:rsidP="00577579">
      <w:r w:rsidRPr="009C5BC0">
        <w:t xml:space="preserve">Høringsnotat til </w:t>
      </w:r>
      <w:r w:rsidR="00703607">
        <w:t>forslag til l</w:t>
      </w:r>
      <w:r w:rsidR="00703607" w:rsidRPr="00DD2093">
        <w:t xml:space="preserve">ov om ændring af lov om leje og lov om boligforhold (loft over huslejestigninger som følge af udviklingen i nettoprisindekset) samt </w:t>
      </w:r>
      <w:r w:rsidR="00703607">
        <w:t xml:space="preserve">forslag til </w:t>
      </w:r>
      <w:r w:rsidR="00703607" w:rsidRPr="00DD2093">
        <w:t>bekendtgørelse om opgørelse af stigningen i de rimelige og nødvendige udgifter knyttet til ejendommen</w:t>
      </w:r>
    </w:p>
    <w:p w14:paraId="09F5F2FA" w14:textId="77777777" w:rsidR="00DB4846" w:rsidRDefault="00577579" w:rsidP="00577579">
      <w:pPr>
        <w:pStyle w:val="Overskrift2"/>
      </w:pPr>
      <w:r w:rsidRPr="00577579">
        <w:rPr>
          <w:bCs w:val="0"/>
        </w:rPr>
        <w:t>1.</w:t>
      </w:r>
      <w:r w:rsidRPr="00577579">
        <w:t xml:space="preserve"> </w:t>
      </w:r>
      <w:r>
        <w:t>Hørte myndigheder og organisationer</w:t>
      </w:r>
    </w:p>
    <w:p w14:paraId="3B7726CE" w14:textId="5FCEFD31" w:rsidR="00DB4846" w:rsidRDefault="007410EB" w:rsidP="00DB4846">
      <w:r>
        <w:t>F</w:t>
      </w:r>
      <w:r w:rsidR="00577579">
        <w:t>orslaget har været i høring</w:t>
      </w:r>
      <w:r w:rsidR="009D33EC">
        <w:t xml:space="preserve"> i perioden 9. september 2022 til 12</w:t>
      </w:r>
      <w:r w:rsidR="00577579">
        <w:t>.</w:t>
      </w:r>
      <w:r w:rsidR="009D33EC">
        <w:t xml:space="preserve"> september 2022</w:t>
      </w:r>
      <w:r w:rsidR="00577579">
        <w:t xml:space="preserve">. </w:t>
      </w:r>
    </w:p>
    <w:p w14:paraId="65187956" w14:textId="5E765FCF" w:rsidR="00577579" w:rsidRDefault="007410EB" w:rsidP="00DB4846">
      <w:r>
        <w:t>F</w:t>
      </w:r>
      <w:r w:rsidR="00577579">
        <w:t>orslaget har været i høring hos:</w:t>
      </w:r>
    </w:p>
    <w:p w14:paraId="4B091A92" w14:textId="199F017A" w:rsidR="000777D4" w:rsidRDefault="00D84245" w:rsidP="00D84245">
      <w:r>
        <w:t xml:space="preserve">Advokatrådet, Andelsboligforeningernes Fællesrepræsentation, BL Danmarks Almene Boliger, </w:t>
      </w:r>
      <w:r w:rsidRPr="000777D4">
        <w:t>Bornholms Regionskommune</w:t>
      </w:r>
      <w:r>
        <w:t xml:space="preserve">, BOSAM, Byggesocietetet, Bygherreforeningen i Danmark, Danmarks Lejerforeninger, </w:t>
      </w:r>
      <w:r w:rsidRPr="000777D4">
        <w:t>Dansk Ejendomsmæglerforening</w:t>
      </w:r>
      <w:r>
        <w:t>, Danske Advokater, Danske Lejere</w:t>
      </w:r>
      <w:r w:rsidRPr="000777D4">
        <w:t xml:space="preserve">, Danske Regioner, Danske studerendes fællesråd, Danske Udlejere, Den Danske Dommerforening, </w:t>
      </w:r>
      <w:r w:rsidR="00F83719">
        <w:t xml:space="preserve">DI </w:t>
      </w:r>
      <w:proofErr w:type="spellStart"/>
      <w:r w:rsidR="00F83719">
        <w:t>Byggeri</w:t>
      </w:r>
      <w:r w:rsidR="00F83719" w:rsidRPr="000777D4">
        <w:t>,</w:t>
      </w:r>
      <w:r w:rsidRPr="000777D4">
        <w:t>Dommerfuldmægtigforeningen</w:t>
      </w:r>
      <w:proofErr w:type="spellEnd"/>
      <w:r w:rsidRPr="000777D4">
        <w:t xml:space="preserve">, </w:t>
      </w:r>
      <w:proofErr w:type="spellStart"/>
      <w:r w:rsidRPr="000777D4">
        <w:t>EjendomDanmark</w:t>
      </w:r>
      <w:proofErr w:type="spellEnd"/>
      <w:r w:rsidRPr="000777D4">
        <w:t>, Finans Danmark, Forsikring &amp; Pension</w:t>
      </w:r>
      <w:r>
        <w:t xml:space="preserve">, Grundejernes Investeringsfond, Husleje- og Beboerklagenævnsforeningen, KL, </w:t>
      </w:r>
      <w:r w:rsidRPr="000777D4">
        <w:t>Københavns Kommune,</w:t>
      </w:r>
      <w:r>
        <w:t xml:space="preserve"> Landbrug &amp; Fødevarer, Lejernes Hus, Lejernes Landsorganisation i Danmark, Lejernes Retshjælp, Præsidenten for Vestre Landsret, Præsidenten for Østre Landsret,</w:t>
      </w:r>
      <w:r w:rsidR="009D33EC">
        <w:t xml:space="preserve"> SAPU,</w:t>
      </w:r>
      <w:r>
        <w:t xml:space="preserve"> Statens Byggeforskningsinstitut/Aalborg Universitet og Aarhus Kommune</w:t>
      </w:r>
      <w:r w:rsidR="00E65E22">
        <w:t>.</w:t>
      </w:r>
    </w:p>
    <w:p w14:paraId="00A1632C" w14:textId="04C1C3A1" w:rsidR="00577579" w:rsidRDefault="007410EB" w:rsidP="00E65E22">
      <w:r>
        <w:t xml:space="preserve">Herudover har </w:t>
      </w:r>
      <w:r w:rsidR="00E65E22">
        <w:t>forslaget været tilgængeligt på Høringsportalen.</w:t>
      </w:r>
    </w:p>
    <w:p w14:paraId="4A6640F6" w14:textId="77777777" w:rsidR="00E65E22" w:rsidRDefault="00E65E22" w:rsidP="00E65E22">
      <w:pPr>
        <w:pStyle w:val="Overskrift2"/>
      </w:pPr>
      <w:r>
        <w:rPr>
          <w:bCs w:val="0"/>
        </w:rPr>
        <w:t>2</w:t>
      </w:r>
      <w:r w:rsidRPr="00577579">
        <w:rPr>
          <w:bCs w:val="0"/>
        </w:rPr>
        <w:t>.</w:t>
      </w:r>
      <w:r w:rsidRPr="00577579">
        <w:t xml:space="preserve"> </w:t>
      </w:r>
      <w:r>
        <w:t>Modtagne høringssvar</w:t>
      </w:r>
    </w:p>
    <w:p w14:paraId="4FD6FD20" w14:textId="77777777" w:rsidR="00E65E22" w:rsidRDefault="00E65E22" w:rsidP="00E65E22">
      <w:r w:rsidRPr="00E65E22">
        <w:t>Der er indkommet høringssvar fra følgende høringsparter:</w:t>
      </w:r>
    </w:p>
    <w:p w14:paraId="05B99F2D" w14:textId="507CADAF" w:rsidR="00E65E22" w:rsidRDefault="009C3998" w:rsidP="00741019">
      <w:r>
        <w:t>Danmarks Lejerforeninger</w:t>
      </w:r>
      <w:r w:rsidR="009D33EC">
        <w:t xml:space="preserve">, </w:t>
      </w:r>
      <w:r w:rsidR="00336242">
        <w:t xml:space="preserve">Danske Advokater, </w:t>
      </w:r>
      <w:r w:rsidR="009D33EC">
        <w:t xml:space="preserve">Danske Udlejere, </w:t>
      </w:r>
      <w:r w:rsidR="00F83719">
        <w:t xml:space="preserve">DI Byggeri, </w:t>
      </w:r>
      <w:proofErr w:type="spellStart"/>
      <w:r w:rsidR="009D33EC">
        <w:t>EjendomDanmark</w:t>
      </w:r>
      <w:proofErr w:type="spellEnd"/>
      <w:r w:rsidR="009D33EC">
        <w:t xml:space="preserve">, </w:t>
      </w:r>
      <w:r w:rsidR="00BA7327">
        <w:t xml:space="preserve">Finans Danmark, </w:t>
      </w:r>
      <w:r w:rsidR="000E1F43" w:rsidRPr="000777D4">
        <w:t>Forsikring &amp; Pension</w:t>
      </w:r>
      <w:r w:rsidR="000E1F43">
        <w:t xml:space="preserve">, </w:t>
      </w:r>
      <w:r w:rsidR="009D33EC">
        <w:t>Husleje- og Beboerklagenævnsforeningen,</w:t>
      </w:r>
      <w:r w:rsidR="009D33EC" w:rsidRPr="009D33EC">
        <w:t xml:space="preserve"> </w:t>
      </w:r>
      <w:r w:rsidR="009D33EC">
        <w:t>Lejernes</w:t>
      </w:r>
      <w:r w:rsidR="000E1F43">
        <w:t xml:space="preserve"> Landsorganisation i Danmark, </w:t>
      </w:r>
      <w:r w:rsidR="009D33EC">
        <w:t>Lejernes Retshjælp</w:t>
      </w:r>
      <w:r w:rsidR="000E1F43">
        <w:t xml:space="preserve"> og Østre Landsret</w:t>
      </w:r>
      <w:r w:rsidR="009D33EC">
        <w:t>.</w:t>
      </w:r>
    </w:p>
    <w:p w14:paraId="3D1C4010" w14:textId="77777777" w:rsidR="00E65E22" w:rsidRDefault="00E65E22" w:rsidP="00E65E22">
      <w:r>
        <w:t xml:space="preserve">Høringssvarene offentliggøres på høringsportalen. </w:t>
      </w:r>
    </w:p>
    <w:p w14:paraId="7FD280EC" w14:textId="77777777" w:rsidR="00E65E22" w:rsidRPr="00E65E22" w:rsidRDefault="00E65E22" w:rsidP="00E65E22">
      <w:r>
        <w:t xml:space="preserve">I notatet er alene medtaget de væsentligste punkter fra høringssvarene. </w:t>
      </w:r>
    </w:p>
    <w:p w14:paraId="2B4D6812" w14:textId="7694819D" w:rsidR="009D33EC" w:rsidRDefault="009D33EC" w:rsidP="009D33EC">
      <w:pPr>
        <w:pStyle w:val="Overskrift2"/>
      </w:pPr>
      <w:r>
        <w:rPr>
          <w:bCs w:val="0"/>
        </w:rPr>
        <w:lastRenderedPageBreak/>
        <w:t>3</w:t>
      </w:r>
      <w:r w:rsidRPr="00577579">
        <w:rPr>
          <w:bCs w:val="0"/>
        </w:rPr>
        <w:t>.</w:t>
      </w:r>
      <w:r w:rsidRPr="00577579">
        <w:t xml:space="preserve"> </w:t>
      </w:r>
      <w:r>
        <w:t>Bemærkninger til lovforslaget</w:t>
      </w:r>
    </w:p>
    <w:p w14:paraId="6D9F1A35" w14:textId="2058A7DF" w:rsidR="00E65E22" w:rsidRDefault="005C6BE4" w:rsidP="00E65E22">
      <w:pPr>
        <w:pStyle w:val="Overskrift3"/>
        <w:rPr>
          <w:b/>
          <w:i w:val="0"/>
        </w:rPr>
      </w:pPr>
      <w:r>
        <w:rPr>
          <w:b/>
          <w:i w:val="0"/>
        </w:rPr>
        <w:t>Bemærkninger til</w:t>
      </w:r>
      <w:r w:rsidR="00E65E22">
        <w:rPr>
          <w:b/>
          <w:i w:val="0"/>
        </w:rPr>
        <w:t xml:space="preserve"> </w:t>
      </w:r>
      <w:r w:rsidR="006B5429">
        <w:rPr>
          <w:b/>
          <w:i w:val="0"/>
        </w:rPr>
        <w:t>lovforslaget</w:t>
      </w:r>
      <w:r>
        <w:rPr>
          <w:b/>
          <w:i w:val="0"/>
        </w:rPr>
        <w:t xml:space="preserve"> generelt</w:t>
      </w:r>
    </w:p>
    <w:p w14:paraId="1F87C328" w14:textId="476B5F50" w:rsidR="009D33EC" w:rsidRDefault="009D33EC" w:rsidP="001161CD">
      <w:pPr>
        <w:rPr>
          <w:rFonts w:cs="Georgia"/>
          <w:color w:val="000000"/>
          <w:szCs w:val="20"/>
        </w:rPr>
      </w:pPr>
      <w:r>
        <w:rPr>
          <w:rFonts w:cs="Georgia"/>
          <w:color w:val="000000"/>
          <w:szCs w:val="20"/>
          <w:u w:val="single"/>
        </w:rPr>
        <w:t>Danske Udlejere</w:t>
      </w:r>
      <w:r w:rsidRPr="009D33EC">
        <w:rPr>
          <w:rFonts w:cs="Georgia"/>
          <w:color w:val="000000"/>
          <w:szCs w:val="20"/>
        </w:rPr>
        <w:t xml:space="preserve"> finder, at </w:t>
      </w:r>
      <w:r w:rsidR="005F2D0F">
        <w:rPr>
          <w:rFonts w:cs="Georgia"/>
          <w:color w:val="000000"/>
          <w:szCs w:val="20"/>
        </w:rPr>
        <w:t>der ”gribes ind i” eksisterende kontrakter på en generel måde og dermed uden at tage de individuelle hensyn, som må være et krav for at undgå at indgrebet f</w:t>
      </w:r>
      <w:r w:rsidR="003911B0">
        <w:rPr>
          <w:rFonts w:cs="Georgia"/>
          <w:color w:val="000000"/>
          <w:szCs w:val="20"/>
        </w:rPr>
        <w:t>år karakter af at være ekspropr</w:t>
      </w:r>
      <w:r w:rsidR="005F2D0F">
        <w:rPr>
          <w:rFonts w:cs="Georgia"/>
          <w:color w:val="000000"/>
          <w:szCs w:val="20"/>
        </w:rPr>
        <w:t xml:space="preserve">iation. Danske Udlejere anfører i den anledning, at reglerne </w:t>
      </w:r>
      <w:r w:rsidR="008B5F39">
        <w:rPr>
          <w:rFonts w:cs="Georgia"/>
          <w:color w:val="000000"/>
          <w:szCs w:val="20"/>
        </w:rPr>
        <w:t>bør</w:t>
      </w:r>
      <w:r w:rsidR="005F2D0F">
        <w:rPr>
          <w:rFonts w:cs="Georgia"/>
          <w:color w:val="000000"/>
          <w:szCs w:val="20"/>
        </w:rPr>
        <w:t xml:space="preserve"> gennemføres på en sådan måde, at der ikke er grundlag for, at nogen udlejer skal være tvunget til, at anlægge retssag for at få erstatning for det tab, som lovforslaget vil medføre.</w:t>
      </w:r>
    </w:p>
    <w:p w14:paraId="327DA9FA" w14:textId="5A1FF720" w:rsidR="005F2D0F" w:rsidRDefault="005F2D0F" w:rsidP="001161CD">
      <w:pPr>
        <w:rPr>
          <w:rFonts w:cs="Georgia"/>
          <w:color w:val="000000"/>
          <w:szCs w:val="20"/>
        </w:rPr>
      </w:pPr>
      <w:r w:rsidRPr="005F2D0F">
        <w:rPr>
          <w:rFonts w:cs="Georgia"/>
          <w:i/>
          <w:color w:val="000000"/>
          <w:szCs w:val="20"/>
        </w:rPr>
        <w:t>Indenrigs- og Boligministeriet</w:t>
      </w:r>
      <w:r>
        <w:rPr>
          <w:rFonts w:cs="Georgia"/>
          <w:color w:val="000000"/>
          <w:szCs w:val="20"/>
        </w:rPr>
        <w:t xml:space="preserve"> skal hertil bemærke, at der med undtagelsesordningen til huslejeloftet gives mulighed for, at de udlejere, som måtte blive ramt særlig hårdt af huslejeloftet, fordi stigningerne i udgifterne knyttet til ejendommen måtte overstige den regulering af lejen, som kan kræves i medfør af huslejeloftet, kan opkræve en yderligere lejeregulering, for at udligne denne difference. Ministeriet finder på den baggrund, at ordningen netop tager individuelle hensyn. </w:t>
      </w:r>
    </w:p>
    <w:p w14:paraId="2B1DAC22" w14:textId="38483465" w:rsidR="005F2D0F" w:rsidRDefault="005F2D0F" w:rsidP="001161CD">
      <w:pPr>
        <w:rPr>
          <w:rFonts w:cs="Georgia"/>
          <w:color w:val="000000"/>
          <w:szCs w:val="20"/>
        </w:rPr>
      </w:pPr>
      <w:proofErr w:type="spellStart"/>
      <w:r>
        <w:rPr>
          <w:rFonts w:cs="Georgia"/>
          <w:color w:val="000000"/>
          <w:szCs w:val="20"/>
        </w:rPr>
        <w:t>EjendomDanmark</w:t>
      </w:r>
      <w:proofErr w:type="spellEnd"/>
      <w:r>
        <w:rPr>
          <w:rFonts w:cs="Georgia"/>
          <w:color w:val="000000"/>
          <w:szCs w:val="20"/>
        </w:rPr>
        <w:t xml:space="preserve"> bemærker, at lovforslaget skubber mærkbart til balancen i huslejereguleringen, som var en forudsætning for det politiske forlig fra 2014 om lejeloven i sin helhed</w:t>
      </w:r>
      <w:r w:rsidR="00DD2093">
        <w:rPr>
          <w:rFonts w:cs="Georgia"/>
          <w:color w:val="000000"/>
          <w:szCs w:val="20"/>
        </w:rPr>
        <w:t>, og skal i den anledning anbefale, at lovforslaget tilrettes, så forslaget i højere grad afspejler en vis form for fairness over for de berørte virksomheder.</w:t>
      </w:r>
    </w:p>
    <w:p w14:paraId="7A3AB2FB" w14:textId="17587DB0" w:rsidR="00DD2093" w:rsidRDefault="00DD2093" w:rsidP="001161CD">
      <w:pPr>
        <w:rPr>
          <w:rFonts w:cs="Georgia"/>
          <w:color w:val="000000"/>
          <w:szCs w:val="20"/>
        </w:rPr>
      </w:pPr>
      <w:r w:rsidRPr="00DD2093">
        <w:rPr>
          <w:rFonts w:cs="Georgia"/>
          <w:i/>
          <w:color w:val="000000"/>
          <w:szCs w:val="20"/>
        </w:rPr>
        <w:t>Indenrigs- og Boligministeriet</w:t>
      </w:r>
      <w:r>
        <w:rPr>
          <w:rFonts w:cs="Georgia"/>
          <w:color w:val="000000"/>
          <w:szCs w:val="20"/>
        </w:rPr>
        <w:t xml:space="preserve"> skal hertil bemærke, at lejelovsforliget fra 2014 ophørte samme dag, som aftalen om initiativer til modvirkning af store huslejestigninger blev indgået, den 26. august 2022, hvorfor forudsætningerne for dette forlig ikke har indvirkning på aftalen. </w:t>
      </w:r>
    </w:p>
    <w:p w14:paraId="292596AE" w14:textId="6B43ACA5" w:rsidR="00BA7327" w:rsidRDefault="00BA7327" w:rsidP="001161CD">
      <w:pPr>
        <w:rPr>
          <w:rFonts w:cs="Georgia"/>
          <w:color w:val="000000"/>
          <w:szCs w:val="20"/>
        </w:rPr>
      </w:pPr>
      <w:proofErr w:type="spellStart"/>
      <w:r w:rsidRPr="00BA7327">
        <w:rPr>
          <w:rFonts w:cs="Georgia"/>
          <w:color w:val="000000"/>
          <w:szCs w:val="20"/>
          <w:u w:val="single"/>
        </w:rPr>
        <w:t>EjendomDanmark</w:t>
      </w:r>
      <w:proofErr w:type="spellEnd"/>
      <w:r>
        <w:rPr>
          <w:rFonts w:cs="Georgia"/>
          <w:color w:val="000000"/>
          <w:szCs w:val="20"/>
        </w:rPr>
        <w:t xml:space="preserve"> ønsker, at der i lovforslaget tilføjes bestemmelser om håndteringen af eventuelle sager i boligretssystemet.</w:t>
      </w:r>
    </w:p>
    <w:p w14:paraId="1E432F2E" w14:textId="38DA9477" w:rsidR="00BA7327" w:rsidRDefault="00BA7327" w:rsidP="001161CD">
      <w:pPr>
        <w:rPr>
          <w:rFonts w:cs="Georgia"/>
          <w:color w:val="000000"/>
          <w:szCs w:val="20"/>
        </w:rPr>
      </w:pPr>
      <w:r w:rsidRPr="00BA7327">
        <w:rPr>
          <w:rFonts w:cs="Georgia"/>
          <w:i/>
          <w:color w:val="000000"/>
          <w:szCs w:val="20"/>
        </w:rPr>
        <w:t>Indenrigs- og Boligministeriet</w:t>
      </w:r>
      <w:r>
        <w:rPr>
          <w:rFonts w:cs="Georgia"/>
          <w:color w:val="000000"/>
          <w:szCs w:val="20"/>
        </w:rPr>
        <w:t xml:space="preserve"> skal hertil bemærke, at sager som indbringes for boligretten håndteres efter de almindelige regler herom</w:t>
      </w:r>
      <w:r w:rsidR="00C2612F">
        <w:rPr>
          <w:rFonts w:cs="Georgia"/>
          <w:color w:val="000000"/>
          <w:szCs w:val="20"/>
        </w:rPr>
        <w:t>, hvorfor det vurderes, at der ikke er behov for at tilføje bestemmelser herom</w:t>
      </w:r>
      <w:r>
        <w:rPr>
          <w:rFonts w:cs="Georgia"/>
          <w:color w:val="000000"/>
          <w:szCs w:val="20"/>
        </w:rPr>
        <w:t xml:space="preserve">. </w:t>
      </w:r>
    </w:p>
    <w:p w14:paraId="0C43B052" w14:textId="347E76AB" w:rsidR="00247F78" w:rsidRDefault="00F83719" w:rsidP="001161CD">
      <w:pPr>
        <w:rPr>
          <w:rFonts w:cs="Georgia"/>
          <w:color w:val="000000"/>
          <w:szCs w:val="20"/>
        </w:rPr>
      </w:pPr>
      <w:r w:rsidRPr="00F73CFD">
        <w:rPr>
          <w:u w:val="single"/>
        </w:rPr>
        <w:t>DI Byggeri</w:t>
      </w:r>
      <w:r w:rsidR="00247F78">
        <w:rPr>
          <w:rFonts w:cs="Georgia"/>
          <w:color w:val="000000"/>
          <w:szCs w:val="20"/>
        </w:rPr>
        <w:t xml:space="preserve"> anfører</w:t>
      </w:r>
      <w:r w:rsidR="002349CC">
        <w:rPr>
          <w:rFonts w:cs="Georgia"/>
          <w:color w:val="000000"/>
          <w:szCs w:val="20"/>
        </w:rPr>
        <w:t xml:space="preserve"> i forhold til ekspropriation</w:t>
      </w:r>
      <w:r w:rsidR="00247F78">
        <w:rPr>
          <w:rFonts w:cs="Georgia"/>
          <w:color w:val="000000"/>
          <w:szCs w:val="20"/>
        </w:rPr>
        <w:t xml:space="preserve">, at </w:t>
      </w:r>
      <w:r w:rsidR="002349CC">
        <w:rPr>
          <w:rFonts w:cs="Georgia"/>
          <w:color w:val="000000"/>
          <w:szCs w:val="20"/>
        </w:rPr>
        <w:t>f</w:t>
      </w:r>
      <w:r w:rsidR="00247F78" w:rsidRPr="00247F78">
        <w:rPr>
          <w:rFonts w:cs="Georgia"/>
          <w:color w:val="000000"/>
          <w:szCs w:val="20"/>
        </w:rPr>
        <w:t>or så vidt angår henvisningen til, at de foreslåede ændringer først får virkning efter udløbet a</w:t>
      </w:r>
      <w:r w:rsidR="002349CC">
        <w:rPr>
          <w:rFonts w:cs="Georgia"/>
          <w:color w:val="000000"/>
          <w:szCs w:val="20"/>
        </w:rPr>
        <w:t>f lejers opsigelsesvarsel på ty</w:t>
      </w:r>
      <w:r w:rsidR="00247F78" w:rsidRPr="00247F78">
        <w:rPr>
          <w:rFonts w:cs="Georgia"/>
          <w:color w:val="000000"/>
          <w:szCs w:val="20"/>
        </w:rPr>
        <w:t>pisk 3 mdr.</w:t>
      </w:r>
      <w:r w:rsidR="008B5F39">
        <w:rPr>
          <w:rFonts w:cs="Georgia"/>
          <w:color w:val="000000"/>
          <w:szCs w:val="20"/>
        </w:rPr>
        <w:t>,</w:t>
      </w:r>
      <w:r w:rsidR="00247F78" w:rsidRPr="00247F78">
        <w:rPr>
          <w:rFonts w:cs="Georgia"/>
          <w:color w:val="000000"/>
          <w:szCs w:val="20"/>
        </w:rPr>
        <w:t xml:space="preserve"> bygger lovgivers v</w:t>
      </w:r>
      <w:r w:rsidR="002349CC">
        <w:rPr>
          <w:rFonts w:cs="Georgia"/>
          <w:color w:val="000000"/>
          <w:szCs w:val="20"/>
        </w:rPr>
        <w:t>urdering således på en forudsæt</w:t>
      </w:r>
      <w:r w:rsidR="00247F78" w:rsidRPr="00247F78">
        <w:rPr>
          <w:rFonts w:cs="Georgia"/>
          <w:color w:val="000000"/>
          <w:szCs w:val="20"/>
        </w:rPr>
        <w:t>ning af lejers reaktion på en huslejestigning. På det danske leje-marked er nogle lejemål udlejet t</w:t>
      </w:r>
      <w:r w:rsidR="002349CC">
        <w:rPr>
          <w:rFonts w:cs="Georgia"/>
          <w:color w:val="000000"/>
          <w:szCs w:val="20"/>
        </w:rPr>
        <w:t>il markedslejen, men en del lig</w:t>
      </w:r>
      <w:r w:rsidR="00247F78" w:rsidRPr="00247F78">
        <w:rPr>
          <w:rFonts w:cs="Georgia"/>
          <w:color w:val="000000"/>
          <w:szCs w:val="20"/>
        </w:rPr>
        <w:t>ger langt under markedslejen</w:t>
      </w:r>
      <w:r w:rsidR="008B5F39">
        <w:rPr>
          <w:rFonts w:cs="Georgia"/>
          <w:color w:val="000000"/>
          <w:szCs w:val="20"/>
        </w:rPr>
        <w:t>,</w:t>
      </w:r>
      <w:r w:rsidR="00247F78" w:rsidRPr="00247F78">
        <w:rPr>
          <w:rFonts w:cs="Georgia"/>
          <w:color w:val="000000"/>
          <w:szCs w:val="20"/>
        </w:rPr>
        <w:t xml:space="preserve"> f</w:t>
      </w:r>
      <w:r w:rsidR="002349CC">
        <w:rPr>
          <w:rFonts w:cs="Georgia"/>
          <w:color w:val="000000"/>
          <w:szCs w:val="20"/>
        </w:rPr>
        <w:t xml:space="preserve">ordi den er </w:t>
      </w:r>
      <w:proofErr w:type="spellStart"/>
      <w:r w:rsidR="002349CC">
        <w:rPr>
          <w:rFonts w:cs="Georgia"/>
          <w:color w:val="000000"/>
          <w:szCs w:val="20"/>
        </w:rPr>
        <w:t>regulatorisk</w:t>
      </w:r>
      <w:proofErr w:type="spellEnd"/>
      <w:r w:rsidR="002349CC">
        <w:rPr>
          <w:rFonts w:cs="Georgia"/>
          <w:color w:val="000000"/>
          <w:szCs w:val="20"/>
        </w:rPr>
        <w:t xml:space="preserve"> begræn</w:t>
      </w:r>
      <w:r w:rsidR="00247F78" w:rsidRPr="00247F78">
        <w:rPr>
          <w:rFonts w:cs="Georgia"/>
          <w:color w:val="000000"/>
          <w:szCs w:val="20"/>
        </w:rPr>
        <w:t>set. For disse lejemål under markedslejen vil lovændringen ikke forventeligt resultere i en større fraflytning og derfor betyde en reel reduktion i den lovlige leje. Udlejer vil med forslaget aldrig få mulighed for at indhente dette varige tab. Det giver derfor ikke mening i praksis at bruge le</w:t>
      </w:r>
      <w:r w:rsidR="002349CC">
        <w:rPr>
          <w:rFonts w:cs="Georgia"/>
          <w:color w:val="000000"/>
          <w:szCs w:val="20"/>
        </w:rPr>
        <w:t>jers opsigelsesvarsel som et pa</w:t>
      </w:r>
      <w:r w:rsidR="00247F78" w:rsidRPr="00247F78">
        <w:rPr>
          <w:rFonts w:cs="Georgia"/>
          <w:color w:val="000000"/>
          <w:szCs w:val="20"/>
        </w:rPr>
        <w:t>rameter i en afvisning af</w:t>
      </w:r>
      <w:r w:rsidR="008B5F39">
        <w:rPr>
          <w:rFonts w:cs="Georgia"/>
          <w:color w:val="000000"/>
          <w:szCs w:val="20"/>
        </w:rPr>
        <w:t>,</w:t>
      </w:r>
      <w:r w:rsidR="00247F78" w:rsidRPr="00247F78">
        <w:rPr>
          <w:rFonts w:cs="Georgia"/>
          <w:color w:val="000000"/>
          <w:szCs w:val="20"/>
        </w:rPr>
        <w:t xml:space="preserve"> om der foreligger ekspropriation, da en udlejer med mange af disse lejekontrakter vil have store tab.</w:t>
      </w:r>
    </w:p>
    <w:p w14:paraId="0CE8BBB3" w14:textId="27D148AC" w:rsidR="002349CC" w:rsidRDefault="002349CC" w:rsidP="001161CD">
      <w:pPr>
        <w:rPr>
          <w:rFonts w:cs="Georgia"/>
          <w:color w:val="000000"/>
          <w:szCs w:val="20"/>
        </w:rPr>
      </w:pPr>
      <w:r w:rsidRPr="002349CC">
        <w:rPr>
          <w:rFonts w:cs="Georgia"/>
          <w:i/>
          <w:color w:val="000000"/>
          <w:szCs w:val="20"/>
        </w:rPr>
        <w:t>Indenrigs- og Boligministeriet</w:t>
      </w:r>
      <w:r>
        <w:rPr>
          <w:rFonts w:cs="Georgia"/>
          <w:color w:val="000000"/>
          <w:szCs w:val="20"/>
        </w:rPr>
        <w:t xml:space="preserve"> skal hertil henvise til lovforslagets bemærkninger om forholdet til grundloven.</w:t>
      </w:r>
    </w:p>
    <w:p w14:paraId="3F4A09CA" w14:textId="2C534EC0" w:rsidR="00336242" w:rsidRDefault="00336242" w:rsidP="00336242">
      <w:r w:rsidRPr="00336242">
        <w:rPr>
          <w:u w:val="single"/>
        </w:rPr>
        <w:t>Danmarks Lejerforeninger</w:t>
      </w:r>
      <w:r>
        <w:t xml:space="preserve"> finder det uacceptabelt, at lovændringen tillader huslejestigningerne på 4% i 2022 og yderligere 4% i 2023, i alt 8% oven i forvejen meget høje huslejer, der ofte er på kr. 120.000 – 200.000 årligt for 100 m2 lejligheder allerede, </w:t>
      </w:r>
      <w:proofErr w:type="spellStart"/>
      <w:r>
        <w:t>d.v.s</w:t>
      </w:r>
      <w:proofErr w:type="spellEnd"/>
      <w:r>
        <w:t xml:space="preserve"> der tillades huslejestigninger på kr. 9.600 til kr. 16.000 over 2 år, oven i allerede anstrengte budgetter for lejerne – og helt uden at udlejerne afkræves dokumentation </w:t>
      </w:r>
      <w:r>
        <w:lastRenderedPageBreak/>
        <w:t>for, at udlejernes udgifter ved driften af ejendommene (den omkostningsbestemte leje) berettiger til sådanne huslejestigninger jf. LL § 24 og 25. Danmarks Lejerforening finder det mere realistisk og i overensstemmelse med lovændringernes formål, hvis disse nettoprisindekserede huslejestigninger maksimeres til 2% fra 1.1.2022-31.12.2023, subsidiært 2% årligt hvert af årene 2022 og 2023, i alt 4% tilsammen i årene 2022-2023.</w:t>
      </w:r>
    </w:p>
    <w:p w14:paraId="22DDC255" w14:textId="2E86C4D8" w:rsidR="00336242" w:rsidRDefault="00336242" w:rsidP="001161CD">
      <w:pPr>
        <w:rPr>
          <w:rFonts w:cs="Georgia"/>
          <w:color w:val="000000"/>
          <w:szCs w:val="20"/>
        </w:rPr>
      </w:pPr>
      <w:r w:rsidRPr="00336242">
        <w:rPr>
          <w:i/>
        </w:rPr>
        <w:t>Indenrigs- og Boligministeriet</w:t>
      </w:r>
      <w:r>
        <w:t xml:space="preserve"> skal hertil bemærke, at en regulering efter udviklingen i nettoprisindekset i almindelighed vurderes at holde lejen i samme niveau, som prisudviklingen generelt i samfundet, men at det i dette særegne tilfælde ikke findes at være tilfældet, grundet store stigninger i priserne for fødevarer og energi. I stedet findes de </w:t>
      </w:r>
      <w:r w:rsidR="001C6FE5">
        <w:t xml:space="preserve">i lovforslaget foreslåede </w:t>
      </w:r>
      <w:r>
        <w:t>4 pct. årligt i højere grad at afspejle den reelle udvikling i udgifterne knyttet til ejendommen.</w:t>
      </w:r>
    </w:p>
    <w:p w14:paraId="550370AB" w14:textId="77777777" w:rsidR="002349CC" w:rsidRDefault="002349CC" w:rsidP="001161CD">
      <w:pPr>
        <w:rPr>
          <w:rFonts w:cs="Georgia"/>
          <w:color w:val="000000"/>
          <w:szCs w:val="20"/>
        </w:rPr>
      </w:pPr>
      <w:proofErr w:type="spellStart"/>
      <w:r w:rsidRPr="002349CC">
        <w:rPr>
          <w:rFonts w:cs="Georgia"/>
          <w:color w:val="000000"/>
          <w:szCs w:val="20"/>
          <w:u w:val="single"/>
        </w:rPr>
        <w:t>EjendomDanmark</w:t>
      </w:r>
      <w:proofErr w:type="spellEnd"/>
      <w:r>
        <w:rPr>
          <w:rFonts w:cs="Georgia"/>
          <w:color w:val="000000"/>
          <w:szCs w:val="20"/>
        </w:rPr>
        <w:t xml:space="preserve"> opfordrer på det kraftigste til, at Indenrigs- og Boligministeriet iværksætter den nødvendige og langt grundigere analyse af lovforslaget og alternative forslags forhold til Grundloven.</w:t>
      </w:r>
    </w:p>
    <w:p w14:paraId="0EBC74AF" w14:textId="115E9E51" w:rsidR="002349CC" w:rsidRDefault="002349CC" w:rsidP="002349CC">
      <w:pPr>
        <w:rPr>
          <w:rFonts w:cs="Georgia"/>
          <w:color w:val="000000"/>
          <w:szCs w:val="20"/>
        </w:rPr>
      </w:pPr>
      <w:r w:rsidRPr="002349CC">
        <w:rPr>
          <w:rFonts w:cs="Georgia"/>
          <w:i/>
          <w:color w:val="000000"/>
          <w:szCs w:val="20"/>
        </w:rPr>
        <w:t>Indenrigs- og Boligministeriet</w:t>
      </w:r>
      <w:r>
        <w:rPr>
          <w:rFonts w:cs="Georgia"/>
          <w:color w:val="000000"/>
          <w:szCs w:val="20"/>
        </w:rPr>
        <w:t xml:space="preserve"> skal hertil henvise til lovforslagets bemærkninger om forholdet til grundloven.</w:t>
      </w:r>
    </w:p>
    <w:p w14:paraId="00E0B63B" w14:textId="77777777" w:rsidR="00F83719" w:rsidRPr="00824A7D" w:rsidRDefault="00F83719" w:rsidP="00F83719">
      <w:pPr>
        <w:pStyle w:val="Overskrift3"/>
        <w:rPr>
          <w:b/>
          <w:i w:val="0"/>
        </w:rPr>
      </w:pPr>
      <w:r>
        <w:rPr>
          <w:b/>
          <w:i w:val="0"/>
        </w:rPr>
        <w:t>Bemærkninger til de ø</w:t>
      </w:r>
      <w:r w:rsidRPr="00824A7D">
        <w:rPr>
          <w:b/>
          <w:i w:val="0"/>
        </w:rPr>
        <w:t>konomiske konsekvenser og implementeringskonsekvenser for det offentlige</w:t>
      </w:r>
    </w:p>
    <w:p w14:paraId="47BB99A0" w14:textId="77777777" w:rsidR="00F83719" w:rsidRDefault="00F83719" w:rsidP="00F83719">
      <w:pPr>
        <w:rPr>
          <w:rFonts w:cs="Georgia"/>
          <w:color w:val="000000"/>
          <w:szCs w:val="20"/>
        </w:rPr>
      </w:pPr>
      <w:r w:rsidRPr="00824A7D">
        <w:rPr>
          <w:rFonts w:cs="Georgia"/>
          <w:color w:val="000000"/>
          <w:szCs w:val="20"/>
          <w:u w:val="single"/>
        </w:rPr>
        <w:t>DI Byg</w:t>
      </w:r>
      <w:r>
        <w:rPr>
          <w:rFonts w:cs="Georgia"/>
          <w:color w:val="000000"/>
          <w:szCs w:val="20"/>
          <w:u w:val="single"/>
        </w:rPr>
        <w:t>geri</w:t>
      </w:r>
      <w:r w:rsidRPr="00824A7D">
        <w:rPr>
          <w:rFonts w:cs="Georgia"/>
          <w:color w:val="000000"/>
          <w:szCs w:val="20"/>
        </w:rPr>
        <w:t xml:space="preserve"> </w:t>
      </w:r>
      <w:r>
        <w:rPr>
          <w:rFonts w:cs="Georgia"/>
          <w:color w:val="000000"/>
          <w:szCs w:val="20"/>
        </w:rPr>
        <w:t xml:space="preserve">peger på, at forslaget om et huslejeloft kan betyde, at udlejerne kan være tvunget til at reducere deres driftsudgifter, hvormed forslaget vil have afledte effekter på udlejernes køb af vare og tjenesteydelser. Disse dynamiske effekter bør inddrages i de økonomiske beregninger. </w:t>
      </w:r>
    </w:p>
    <w:p w14:paraId="669ADA95" w14:textId="34874367" w:rsidR="00F83719" w:rsidRDefault="00F83719" w:rsidP="00F83719">
      <w:pPr>
        <w:rPr>
          <w:rFonts w:cs="Georgia"/>
          <w:color w:val="000000"/>
          <w:szCs w:val="20"/>
        </w:rPr>
      </w:pPr>
      <w:r w:rsidRPr="00DB0C2B">
        <w:rPr>
          <w:rFonts w:cs="Georgia"/>
          <w:i/>
          <w:color w:val="000000"/>
          <w:szCs w:val="20"/>
        </w:rPr>
        <w:t>Indenrigs- og Boligministeriet</w:t>
      </w:r>
      <w:r>
        <w:rPr>
          <w:rFonts w:cs="Georgia"/>
          <w:color w:val="000000"/>
          <w:szCs w:val="20"/>
        </w:rPr>
        <w:t xml:space="preserve"> finder, at beregningerne af forslagets afledte effekter er forbundet med betydelig usikkerhed, og at det ikke har været muligt at inddrage alle effekter. Det er dog ministeriets vurdering, at de anførte skøn på trods af usikkerheden giver et retvisende billede af konsekvenserne for de offentlige udgifter. </w:t>
      </w:r>
    </w:p>
    <w:p w14:paraId="5DC07300" w14:textId="77777777" w:rsidR="00F83719" w:rsidRDefault="00F83719" w:rsidP="00F83719">
      <w:pPr>
        <w:pStyle w:val="Overskrift3"/>
        <w:rPr>
          <w:b/>
          <w:i w:val="0"/>
        </w:rPr>
      </w:pPr>
      <w:r>
        <w:rPr>
          <w:b/>
          <w:i w:val="0"/>
        </w:rPr>
        <w:t>Bemærkninger til de ø</w:t>
      </w:r>
      <w:r w:rsidRPr="00824A7D">
        <w:rPr>
          <w:b/>
          <w:i w:val="0"/>
        </w:rPr>
        <w:t>konomiske og administrative konsekvenser for erhvervslivet m.v.</w:t>
      </w:r>
    </w:p>
    <w:p w14:paraId="3B08B4EC" w14:textId="77777777" w:rsidR="00F83719" w:rsidRDefault="00F83719" w:rsidP="00F83719">
      <w:pPr>
        <w:rPr>
          <w:rFonts w:cs="Georgia"/>
          <w:color w:val="000000"/>
          <w:szCs w:val="20"/>
        </w:rPr>
      </w:pPr>
      <w:proofErr w:type="spellStart"/>
      <w:r>
        <w:rPr>
          <w:rFonts w:cs="Georgia"/>
          <w:color w:val="000000"/>
          <w:szCs w:val="20"/>
          <w:u w:val="single"/>
        </w:rPr>
        <w:t>EjendomDanmark</w:t>
      </w:r>
      <w:proofErr w:type="spellEnd"/>
      <w:r w:rsidRPr="009D33EC">
        <w:rPr>
          <w:rFonts w:cs="Georgia"/>
          <w:color w:val="000000"/>
          <w:szCs w:val="20"/>
        </w:rPr>
        <w:t xml:space="preserve"> </w:t>
      </w:r>
      <w:r w:rsidRPr="007457C8">
        <w:rPr>
          <w:rFonts w:cs="Georgia"/>
          <w:color w:val="000000"/>
          <w:szCs w:val="20"/>
        </w:rPr>
        <w:t>kritiserer beregninger</w:t>
      </w:r>
      <w:r>
        <w:rPr>
          <w:rFonts w:cs="Georgia"/>
          <w:color w:val="000000"/>
          <w:szCs w:val="20"/>
        </w:rPr>
        <w:t>ne</w:t>
      </w:r>
      <w:r w:rsidRPr="007457C8">
        <w:rPr>
          <w:rFonts w:cs="Georgia"/>
          <w:color w:val="000000"/>
          <w:szCs w:val="20"/>
        </w:rPr>
        <w:t xml:space="preserve"> af de erhvervsøkonomiske konsekvenser af lovforslaget</w:t>
      </w:r>
      <w:r>
        <w:rPr>
          <w:rFonts w:cs="Georgia"/>
          <w:color w:val="000000"/>
          <w:szCs w:val="20"/>
        </w:rPr>
        <w:t xml:space="preserve">, som værende </w:t>
      </w:r>
      <w:r w:rsidRPr="00E63CCE">
        <w:rPr>
          <w:rFonts w:cs="Georgia"/>
          <w:color w:val="000000"/>
          <w:szCs w:val="20"/>
        </w:rPr>
        <w:t>mangelf</w:t>
      </w:r>
      <w:r>
        <w:rPr>
          <w:rFonts w:cs="Georgia"/>
          <w:color w:val="000000"/>
          <w:szCs w:val="20"/>
        </w:rPr>
        <w:t>ulde og fejlbehæftede.</w:t>
      </w:r>
      <w:r w:rsidRPr="007457C8">
        <w:rPr>
          <w:rFonts w:cs="Georgia"/>
          <w:color w:val="000000"/>
          <w:szCs w:val="20"/>
        </w:rPr>
        <w:t xml:space="preserve"> Fx er </w:t>
      </w:r>
      <w:proofErr w:type="spellStart"/>
      <w:r w:rsidRPr="007457C8">
        <w:rPr>
          <w:rFonts w:cs="Georgia"/>
          <w:color w:val="000000"/>
          <w:szCs w:val="20"/>
        </w:rPr>
        <w:t>EjendomDanmark</w:t>
      </w:r>
      <w:proofErr w:type="spellEnd"/>
      <w:r w:rsidRPr="007457C8">
        <w:rPr>
          <w:rFonts w:cs="Georgia"/>
          <w:color w:val="000000"/>
          <w:szCs w:val="20"/>
        </w:rPr>
        <w:t xml:space="preserve"> af den opfattelse, at ministeriet forventer, at huslejeloftet ikke har betydning for huslejeniveauerne i 2024. </w:t>
      </w:r>
    </w:p>
    <w:p w14:paraId="5811871E" w14:textId="77777777" w:rsidR="00F83719" w:rsidRDefault="00F83719" w:rsidP="00F83719">
      <w:pPr>
        <w:rPr>
          <w:rFonts w:cs="Georgia"/>
          <w:color w:val="000000"/>
          <w:szCs w:val="20"/>
        </w:rPr>
      </w:pPr>
      <w:r w:rsidRPr="001D7726">
        <w:rPr>
          <w:rFonts w:cs="Georgia"/>
          <w:i/>
          <w:color w:val="000000"/>
          <w:szCs w:val="20"/>
        </w:rPr>
        <w:t>Indenrigs- og Boligministeriet</w:t>
      </w:r>
      <w:r>
        <w:rPr>
          <w:rFonts w:cs="Georgia"/>
          <w:color w:val="000000"/>
          <w:szCs w:val="20"/>
        </w:rPr>
        <w:t xml:space="preserve"> bemærker hertil, at m</w:t>
      </w:r>
      <w:r w:rsidRPr="007457C8">
        <w:rPr>
          <w:rFonts w:cs="Georgia"/>
          <w:color w:val="000000"/>
          <w:szCs w:val="20"/>
        </w:rPr>
        <w:t>inisteriet er opmærksom på (hvilket også fremgår flere steder i bemærkningerne til lovforslaget), at det midlertidige huslejeloft har virkning for lejemålet frem til næste genudlejning</w:t>
      </w:r>
      <w:r>
        <w:rPr>
          <w:rFonts w:cs="Georgia"/>
          <w:color w:val="000000"/>
          <w:szCs w:val="20"/>
        </w:rPr>
        <w:t>,</w:t>
      </w:r>
      <w:r w:rsidRPr="007457C8">
        <w:rPr>
          <w:rFonts w:cs="Georgia"/>
          <w:color w:val="000000"/>
          <w:szCs w:val="20"/>
        </w:rPr>
        <w:t xml:space="preserve"> og dermed også har økonomiske konsekvenser i 2024 og fremadrettet. D</w:t>
      </w:r>
      <w:r>
        <w:rPr>
          <w:rFonts w:cs="Georgia"/>
          <w:color w:val="000000"/>
          <w:szCs w:val="20"/>
        </w:rPr>
        <w:t>é</w:t>
      </w:r>
      <w:r w:rsidRPr="007457C8">
        <w:rPr>
          <w:rFonts w:cs="Georgia"/>
          <w:color w:val="000000"/>
          <w:szCs w:val="20"/>
        </w:rPr>
        <w:t>t som er forudsat i beregningerne er, at det midlertidige lejeloft på 4 pct. vil være højere end stigningen i nettoprisindekset i 2024</w:t>
      </w:r>
      <w:r>
        <w:rPr>
          <w:rFonts w:cs="Georgia"/>
          <w:color w:val="000000"/>
          <w:szCs w:val="20"/>
        </w:rPr>
        <w:t>,</w:t>
      </w:r>
      <w:r w:rsidRPr="007457C8">
        <w:rPr>
          <w:rFonts w:cs="Georgia"/>
          <w:color w:val="000000"/>
          <w:szCs w:val="20"/>
        </w:rPr>
        <w:t xml:space="preserve"> og derfor ikke vil have betydning for huslejereguleringen i 2024. </w:t>
      </w:r>
      <w:r>
        <w:rPr>
          <w:rFonts w:cs="Georgia"/>
          <w:color w:val="000000"/>
          <w:szCs w:val="20"/>
        </w:rPr>
        <w:t xml:space="preserve">Derfor er der i beregningerne lagt til grund, at </w:t>
      </w:r>
      <w:r w:rsidRPr="007457C8">
        <w:rPr>
          <w:rFonts w:cs="Georgia"/>
          <w:color w:val="000000"/>
          <w:szCs w:val="20"/>
        </w:rPr>
        <w:t xml:space="preserve">huslejeloftet </w:t>
      </w:r>
      <w:r>
        <w:rPr>
          <w:rFonts w:cs="Georgia"/>
          <w:color w:val="000000"/>
          <w:szCs w:val="20"/>
        </w:rPr>
        <w:t xml:space="preserve">har </w:t>
      </w:r>
      <w:r w:rsidRPr="007457C8">
        <w:rPr>
          <w:rFonts w:cs="Georgia"/>
          <w:color w:val="000000"/>
          <w:szCs w:val="20"/>
        </w:rPr>
        <w:t xml:space="preserve">virkning i gennemsnit 3½ år, svarende til den gennemsnitlige </w:t>
      </w:r>
      <w:proofErr w:type="spellStart"/>
      <w:r w:rsidRPr="007457C8">
        <w:rPr>
          <w:rFonts w:cs="Georgia"/>
          <w:color w:val="000000"/>
          <w:szCs w:val="20"/>
        </w:rPr>
        <w:t>botid</w:t>
      </w:r>
      <w:proofErr w:type="spellEnd"/>
      <w:r w:rsidRPr="007457C8">
        <w:rPr>
          <w:rFonts w:cs="Georgia"/>
          <w:color w:val="000000"/>
          <w:szCs w:val="20"/>
        </w:rPr>
        <w:t xml:space="preserve"> i det omfattede boliger.  </w:t>
      </w:r>
    </w:p>
    <w:p w14:paraId="33796B62" w14:textId="77777777" w:rsidR="00F83719" w:rsidRDefault="00F83719" w:rsidP="00F83719">
      <w:pPr>
        <w:rPr>
          <w:rFonts w:cs="Georgia"/>
          <w:color w:val="000000"/>
          <w:szCs w:val="20"/>
        </w:rPr>
      </w:pPr>
      <w:proofErr w:type="spellStart"/>
      <w:r w:rsidRPr="00496134">
        <w:rPr>
          <w:rFonts w:cs="Georgia"/>
          <w:color w:val="000000"/>
          <w:szCs w:val="20"/>
          <w:u w:val="single"/>
        </w:rPr>
        <w:t>EjendomDanmark</w:t>
      </w:r>
      <w:proofErr w:type="spellEnd"/>
      <w:r w:rsidRPr="00EC3857">
        <w:rPr>
          <w:rFonts w:cs="Georgia"/>
          <w:color w:val="000000"/>
          <w:szCs w:val="20"/>
        </w:rPr>
        <w:t xml:space="preserve"> </w:t>
      </w:r>
      <w:r>
        <w:rPr>
          <w:rFonts w:cs="Georgia"/>
          <w:color w:val="000000"/>
          <w:szCs w:val="20"/>
        </w:rPr>
        <w:t xml:space="preserve">kritiserer, at der ikke er taget højde for adfærdsændringer ved valg af en af de forudsætninger (gennemsnitlig </w:t>
      </w:r>
      <w:proofErr w:type="spellStart"/>
      <w:r>
        <w:rPr>
          <w:rFonts w:cs="Georgia"/>
          <w:color w:val="000000"/>
          <w:szCs w:val="20"/>
        </w:rPr>
        <w:t>botid</w:t>
      </w:r>
      <w:proofErr w:type="spellEnd"/>
      <w:r>
        <w:rPr>
          <w:rFonts w:cs="Georgia"/>
          <w:color w:val="000000"/>
          <w:szCs w:val="20"/>
        </w:rPr>
        <w:t>), som ligger til grund for ministeriets beregninger.</w:t>
      </w:r>
    </w:p>
    <w:p w14:paraId="54194E24" w14:textId="77777777" w:rsidR="00F83719" w:rsidRDefault="00F83719" w:rsidP="00F83719">
      <w:pPr>
        <w:rPr>
          <w:rFonts w:cs="Georgia"/>
          <w:color w:val="000000"/>
          <w:szCs w:val="20"/>
        </w:rPr>
      </w:pPr>
      <w:r w:rsidRPr="00534750">
        <w:rPr>
          <w:rFonts w:cs="Georgia"/>
          <w:color w:val="000000"/>
          <w:szCs w:val="20"/>
          <w:u w:val="single"/>
        </w:rPr>
        <w:lastRenderedPageBreak/>
        <w:t>DI Byggeri</w:t>
      </w:r>
      <w:r w:rsidRPr="00F576A5">
        <w:t xml:space="preserve"> </w:t>
      </w:r>
      <w:r>
        <w:t xml:space="preserve">er kritisk over for forudsætningen om, at </w:t>
      </w:r>
      <w:r w:rsidRPr="00F576A5">
        <w:t xml:space="preserve">25 pct. af udlejerne uden </w:t>
      </w:r>
      <w:r>
        <w:t>et huslejeloft</w:t>
      </w:r>
      <w:r w:rsidRPr="00F576A5">
        <w:t xml:space="preserve"> </w:t>
      </w:r>
      <w:r>
        <w:t xml:space="preserve">frivilligt ville </w:t>
      </w:r>
      <w:r w:rsidRPr="00F576A5">
        <w:t>havde valgt at regulere huslejen med 4 pct.</w:t>
      </w:r>
      <w:r>
        <w:t xml:space="preserve"> De 25 pct. virker tilfældigt valgt. </w:t>
      </w:r>
    </w:p>
    <w:p w14:paraId="69D7961D" w14:textId="77777777" w:rsidR="00F83719" w:rsidRDefault="00F83719" w:rsidP="00F83719">
      <w:pPr>
        <w:rPr>
          <w:rFonts w:cs="Georgia"/>
          <w:color w:val="000000"/>
          <w:szCs w:val="20"/>
        </w:rPr>
      </w:pPr>
      <w:r w:rsidRPr="00534750">
        <w:rPr>
          <w:rFonts w:cs="Georgia"/>
          <w:i/>
          <w:color w:val="000000"/>
          <w:szCs w:val="20"/>
        </w:rPr>
        <w:t>Indenrigs- og Boligministeriet</w:t>
      </w:r>
      <w:r>
        <w:rPr>
          <w:rFonts w:cs="Georgia"/>
          <w:color w:val="000000"/>
          <w:szCs w:val="20"/>
        </w:rPr>
        <w:t xml:space="preserve"> </w:t>
      </w:r>
      <w:r>
        <w:t>skal hertil samlet bemærke</w:t>
      </w:r>
      <w:r w:rsidRPr="00EC3857">
        <w:rPr>
          <w:rFonts w:cs="Georgia"/>
          <w:color w:val="000000"/>
          <w:szCs w:val="20"/>
        </w:rPr>
        <w:t>, at den type forudsætninger altid kan diskuteres</w:t>
      </w:r>
      <w:r>
        <w:rPr>
          <w:rFonts w:cs="Georgia"/>
          <w:color w:val="000000"/>
          <w:szCs w:val="20"/>
        </w:rPr>
        <w:t xml:space="preserve">, og at det generelt er vanskeligt at tage højde for adfærdsændringer. Det </w:t>
      </w:r>
      <w:r w:rsidRPr="00EC3857">
        <w:rPr>
          <w:rFonts w:cs="Georgia"/>
          <w:color w:val="000000"/>
          <w:szCs w:val="20"/>
        </w:rPr>
        <w:t>er ministeriets vurdering, at de</w:t>
      </w:r>
      <w:r>
        <w:rPr>
          <w:rFonts w:cs="Georgia"/>
          <w:color w:val="000000"/>
          <w:szCs w:val="20"/>
        </w:rPr>
        <w:t>n</w:t>
      </w:r>
      <w:r w:rsidRPr="00EC3857">
        <w:rPr>
          <w:rFonts w:cs="Georgia"/>
          <w:color w:val="000000"/>
          <w:szCs w:val="20"/>
        </w:rPr>
        <w:t xml:space="preserve"> </w:t>
      </w:r>
      <w:r>
        <w:rPr>
          <w:rFonts w:cs="Georgia"/>
          <w:color w:val="000000"/>
          <w:szCs w:val="20"/>
        </w:rPr>
        <w:t xml:space="preserve">faktiske observerede gennemsnitlige </w:t>
      </w:r>
      <w:proofErr w:type="spellStart"/>
      <w:r>
        <w:rPr>
          <w:rFonts w:cs="Georgia"/>
          <w:color w:val="000000"/>
          <w:szCs w:val="20"/>
        </w:rPr>
        <w:t>botid</w:t>
      </w:r>
      <w:proofErr w:type="spellEnd"/>
      <w:r>
        <w:rPr>
          <w:rFonts w:cs="Georgia"/>
          <w:color w:val="000000"/>
          <w:szCs w:val="20"/>
        </w:rPr>
        <w:t xml:space="preserve">, er det bedste bud for </w:t>
      </w:r>
      <w:proofErr w:type="spellStart"/>
      <w:r>
        <w:rPr>
          <w:rFonts w:cs="Georgia"/>
          <w:color w:val="000000"/>
          <w:szCs w:val="20"/>
        </w:rPr>
        <w:t>botiden</w:t>
      </w:r>
      <w:proofErr w:type="spellEnd"/>
      <w:r>
        <w:rPr>
          <w:rFonts w:cs="Georgia"/>
          <w:color w:val="000000"/>
          <w:szCs w:val="20"/>
        </w:rPr>
        <w:t xml:space="preserve"> i disse boliger. For så vidt angår de 25 pct. afspejler det ministeriets bedste bud på størrelsesorden af den pågældende effekt. </w:t>
      </w:r>
    </w:p>
    <w:p w14:paraId="0EA6CAFA" w14:textId="77777777" w:rsidR="00F83719" w:rsidRDefault="00F83719" w:rsidP="00F83719">
      <w:pPr>
        <w:rPr>
          <w:rFonts w:cs="Georgia"/>
          <w:color w:val="000000"/>
          <w:szCs w:val="20"/>
        </w:rPr>
      </w:pPr>
      <w:proofErr w:type="spellStart"/>
      <w:r w:rsidRPr="00496134">
        <w:rPr>
          <w:rFonts w:cs="Georgia"/>
          <w:color w:val="000000"/>
          <w:szCs w:val="20"/>
          <w:u w:val="single"/>
        </w:rPr>
        <w:t>EjendomDanmark</w:t>
      </w:r>
      <w:proofErr w:type="spellEnd"/>
      <w:r>
        <w:rPr>
          <w:rFonts w:cs="Georgia"/>
          <w:color w:val="000000"/>
          <w:szCs w:val="20"/>
        </w:rPr>
        <w:t xml:space="preserve"> mener, at det er en fejl at depositummet er omfattet af det midlertidige huslejeloft, da depositummet ikke er en egentlig huslejeindtægt, men et beløb til at dække eventuelle skader på lejemålet. </w:t>
      </w:r>
    </w:p>
    <w:p w14:paraId="2FC596A3" w14:textId="77777777" w:rsidR="00F83719" w:rsidRDefault="00F83719" w:rsidP="00F83719">
      <w:pPr>
        <w:rPr>
          <w:rFonts w:cs="Georgia"/>
          <w:color w:val="000000"/>
          <w:szCs w:val="20"/>
        </w:rPr>
      </w:pPr>
      <w:r w:rsidRPr="00534750">
        <w:rPr>
          <w:rFonts w:cs="Georgia"/>
          <w:i/>
          <w:color w:val="000000"/>
          <w:szCs w:val="20"/>
        </w:rPr>
        <w:t>Indenrigs- og Boligministeriet</w:t>
      </w:r>
      <w:r>
        <w:rPr>
          <w:rFonts w:cs="Georgia"/>
          <w:color w:val="000000"/>
          <w:szCs w:val="20"/>
        </w:rPr>
        <w:t xml:space="preserve"> bemærker hertil, at depositummet og reguleringen heraf afspejler huslejens størrelse og regulering. Derfor har man valgt lade depositummet være omfattet af det midlertidige huslejeloft. </w:t>
      </w:r>
    </w:p>
    <w:p w14:paraId="4A30BF6F" w14:textId="77777777" w:rsidR="00F83719" w:rsidRDefault="00F83719" w:rsidP="00F83719">
      <w:pPr>
        <w:rPr>
          <w:rFonts w:cs="Georgia"/>
          <w:color w:val="000000"/>
          <w:szCs w:val="20"/>
        </w:rPr>
      </w:pPr>
      <w:proofErr w:type="spellStart"/>
      <w:r w:rsidRPr="006150DE">
        <w:rPr>
          <w:rFonts w:cs="Georgia"/>
          <w:color w:val="000000"/>
          <w:szCs w:val="20"/>
          <w:u w:val="single"/>
        </w:rPr>
        <w:t>EjendomDanmark</w:t>
      </w:r>
      <w:proofErr w:type="spellEnd"/>
      <w:r>
        <w:rPr>
          <w:rFonts w:cs="Georgia"/>
          <w:color w:val="000000"/>
          <w:szCs w:val="20"/>
        </w:rPr>
        <w:t xml:space="preserve"> anfører, at selvom lejerne særskilt betaler for deres individuelle el- og varmeforbrug, påvirkes udlejers udgifter stadig af stigende energipriser, idet udlejer har udgifter til fælles el og varmeforbrug. </w:t>
      </w:r>
    </w:p>
    <w:p w14:paraId="4B2CE575" w14:textId="77777777" w:rsidR="00F83719" w:rsidRDefault="00F83719" w:rsidP="00F83719">
      <w:pPr>
        <w:rPr>
          <w:rFonts w:cs="Georgia"/>
          <w:color w:val="000000"/>
          <w:szCs w:val="20"/>
        </w:rPr>
      </w:pPr>
      <w:r w:rsidRPr="00534750">
        <w:rPr>
          <w:rFonts w:cs="Georgia"/>
          <w:i/>
          <w:color w:val="000000"/>
          <w:szCs w:val="20"/>
        </w:rPr>
        <w:t>Indenrigs- og Boligministeriet</w:t>
      </w:r>
      <w:r>
        <w:rPr>
          <w:rFonts w:cs="Georgia"/>
          <w:color w:val="000000"/>
          <w:szCs w:val="20"/>
        </w:rPr>
        <w:t xml:space="preserve"> vurderer, at den altovervejende del af de energiudgifter, som knytter sig til boligudlejningsejendomme kan henføres til de enkelte lejemål, hvorfor de stigende energipriser, kun i meget begrænset omfang har betydning for udlejers samlede driftsudgifter. </w:t>
      </w:r>
    </w:p>
    <w:p w14:paraId="146B9512" w14:textId="77777777" w:rsidR="00F83719" w:rsidRDefault="00F83719" w:rsidP="00F83719">
      <w:pPr>
        <w:rPr>
          <w:rFonts w:cs="Georgia"/>
          <w:color w:val="000000"/>
          <w:szCs w:val="20"/>
        </w:rPr>
      </w:pPr>
      <w:proofErr w:type="spellStart"/>
      <w:r w:rsidRPr="006150DE">
        <w:rPr>
          <w:rFonts w:cs="Georgia"/>
          <w:color w:val="000000"/>
          <w:szCs w:val="20"/>
          <w:u w:val="single"/>
        </w:rPr>
        <w:t>EjendomDanmark</w:t>
      </w:r>
      <w:proofErr w:type="spellEnd"/>
      <w:r>
        <w:rPr>
          <w:rFonts w:cs="Georgia"/>
          <w:color w:val="000000"/>
          <w:szCs w:val="20"/>
        </w:rPr>
        <w:t xml:space="preserve"> påpeger desuden, at den oprindelige begrundelse for indførslen af nettoprisindeksering af huslejer var, at lejen skulle følge </w:t>
      </w:r>
      <w:r w:rsidRPr="00E529B0">
        <w:rPr>
          <w:rFonts w:cs="Georgia"/>
          <w:color w:val="000000"/>
          <w:szCs w:val="20"/>
        </w:rPr>
        <w:t>den generelle prisudvikling i samfundet</w:t>
      </w:r>
      <w:r>
        <w:rPr>
          <w:rFonts w:cs="Georgia"/>
          <w:color w:val="000000"/>
          <w:szCs w:val="20"/>
        </w:rPr>
        <w:t xml:space="preserve">. </w:t>
      </w:r>
    </w:p>
    <w:p w14:paraId="7E4285AA" w14:textId="77777777" w:rsidR="00F83719" w:rsidRDefault="00F83719" w:rsidP="00F83719">
      <w:pPr>
        <w:rPr>
          <w:rFonts w:cs="Georgia"/>
          <w:color w:val="000000"/>
          <w:szCs w:val="20"/>
        </w:rPr>
      </w:pPr>
      <w:r w:rsidRPr="00731B4B">
        <w:rPr>
          <w:rFonts w:cs="Georgia"/>
          <w:i/>
          <w:color w:val="000000"/>
          <w:szCs w:val="20"/>
        </w:rPr>
        <w:t>Indenrigs- og Boligministeriet</w:t>
      </w:r>
      <w:r>
        <w:rPr>
          <w:rFonts w:cs="Georgia"/>
          <w:color w:val="000000"/>
          <w:szCs w:val="20"/>
        </w:rPr>
        <w:t xml:space="preserve"> er enig i, at dette var en af begrundelserne for ordningen. En anden begrundelse var, at det indebar en administrativ forenkling for udlejerne. Beslutningen om at anvende nettoprisindekset blev truffet på baggrund af, at der i flere årtier, havde været en meget lav inflation. Det kan muligvis begrunde, at man dengang ikke tillagde det afgørende vægt, at nettoprisindekset er sammensat af en helt anden kurv af varer end de, som udlejer i gennemsnit anvender på driften af deres ejendom. Disse forskelle i varesammensætning ses mere tydeligt i en situation som nu, hvor priserne på energi og fødevarer stiger markant. </w:t>
      </w:r>
    </w:p>
    <w:p w14:paraId="590EB874" w14:textId="77777777" w:rsidR="00F83719" w:rsidRDefault="00F83719" w:rsidP="00F83719">
      <w:proofErr w:type="spellStart"/>
      <w:r w:rsidRPr="006150DE">
        <w:rPr>
          <w:rFonts w:cs="Georgia"/>
          <w:color w:val="000000"/>
          <w:szCs w:val="20"/>
          <w:u w:val="single"/>
        </w:rPr>
        <w:t>EjendomDanmark</w:t>
      </w:r>
      <w:proofErr w:type="spellEnd"/>
      <w:r>
        <w:rPr>
          <w:rFonts w:cs="Georgia"/>
          <w:color w:val="000000"/>
          <w:szCs w:val="20"/>
        </w:rPr>
        <w:t xml:space="preserve"> finder at ministeriet</w:t>
      </w:r>
      <w:r w:rsidRPr="008A2A79">
        <w:rPr>
          <w:rFonts w:cs="Georgia"/>
          <w:color w:val="000000"/>
          <w:szCs w:val="20"/>
        </w:rPr>
        <w:t xml:space="preserve">, </w:t>
      </w:r>
      <w:r w:rsidRPr="00731B4B">
        <w:t>med hensyn til</w:t>
      </w:r>
      <w:r w:rsidRPr="008A2A79">
        <w:t xml:space="preserve"> hvordan</w:t>
      </w:r>
      <w:r>
        <w:t xml:space="preserve"> udlejningsejendommenes driftsudgifter påvirkes af inflationen, ”fuldkommen overser det forhold, at udviklingen også har ramt materialepriser, håndværkspriser m.m.”  </w:t>
      </w:r>
    </w:p>
    <w:p w14:paraId="24C710FC" w14:textId="77777777" w:rsidR="00F83719" w:rsidRDefault="00F83719" w:rsidP="00F83719">
      <w:r>
        <w:t xml:space="preserve">På linje hermed finder </w:t>
      </w:r>
      <w:r w:rsidRPr="00731B4B">
        <w:rPr>
          <w:u w:val="single"/>
        </w:rPr>
        <w:t>DI Byggeri</w:t>
      </w:r>
      <w:r>
        <w:t xml:space="preserve"> ikke, ”at antagelsen om at stigningen i de rimelig og nødvendige udgifter knyttet til ejendommen i stort set alle private udlejningsejendomme vil være under 4 pct. er retvisende. Det skyldes blandt andet, at det fremgår af Danmarks Statistik, at nettoprisindekset for vedligeholdelse og reparation af bolig er steget med 14,2 pct. i juli 2022 sammenlignet med samme måned året før. Det er altså således 10 pct. point over det antagende niveau.”  </w:t>
      </w:r>
    </w:p>
    <w:p w14:paraId="03E35B08" w14:textId="77777777" w:rsidR="00F83719" w:rsidRDefault="00F83719" w:rsidP="00F83719">
      <w:r w:rsidRPr="00EF6AE0">
        <w:rPr>
          <w:i/>
        </w:rPr>
        <w:t>Indenrigs- og Boligministeriet</w:t>
      </w:r>
      <w:r>
        <w:t xml:space="preserve"> er enig med </w:t>
      </w:r>
      <w:proofErr w:type="spellStart"/>
      <w:r>
        <w:t>EjendomDanmark</w:t>
      </w:r>
      <w:proofErr w:type="spellEnd"/>
      <w:r>
        <w:t xml:space="preserve"> og DI byggeri i, at de stigende priser de seneste 1-2 år på især materialer har betydning for udlejernes driftsudgifter til reparation og vedligeholdelse. I den forbindelse er det afgørende, med hvor </w:t>
      </w:r>
      <w:r>
        <w:lastRenderedPageBreak/>
        <w:t xml:space="preserve">stor vægt udgifter til reparation og vedligeholdelse indgår i de samlede driftsudgifter. Herudover er det væsentligt, hvilke andre udgiftskomponenter, der indgår, deres prisstigningstakt og vægt. Det er prisudviklingen på den samlede ”kurv” af omkostningskomponenter, der afgør om driftsudgifterne stiger med mere eller mindre end 4 pct. Reparation og vedligeholdelsesudgifterne og ejendommens energiudgifter trækker driftsudgifterne op – andre komponenter som f.eks. skatter og afgifter, administration, renholdelse og forsikringer bidrager til at holde stigningstakten nede. Ejendommens energiudgifter udgør en relativt lille post i de samlede driftsudgifter (lejerne betaler el og varme efter forbrug), og det antages om de gennemgribende renoverede ejendomme (§ 19, stk. 2-ejendommene) og udlejningsejendomme opført efter 1991, at de er relativt vel vedligeholdte. Udgifter til forbedringsarbejder kan opkræves særskilt over huslejen, og det antages, at reparation og vedligeholdelse af de enkelte lejemål i høj grad sker i forbindelse med genudlejning, hvor lejen kan fastsættes til markedslejen eller det lejedes værdi (for § 19, stk. 2-ejendommene). Det bemærkes, at priserne på reparation og vedligeholdelse set over en længere årrække er steget væsentligt hurtigere end både lønninger og nettoprisindeks. </w:t>
      </w:r>
    </w:p>
    <w:p w14:paraId="44280052" w14:textId="77777777" w:rsidR="00F83719" w:rsidRDefault="00F83719" w:rsidP="00F83719">
      <w:pPr>
        <w:rPr>
          <w:rFonts w:cs="Georgia"/>
          <w:color w:val="000000"/>
          <w:szCs w:val="20"/>
        </w:rPr>
      </w:pPr>
      <w:proofErr w:type="spellStart"/>
      <w:r w:rsidRPr="002F67B4">
        <w:rPr>
          <w:rFonts w:cs="Georgia"/>
          <w:color w:val="000000"/>
          <w:szCs w:val="20"/>
          <w:u w:val="single"/>
        </w:rPr>
        <w:t>EjendomDanmark</w:t>
      </w:r>
      <w:proofErr w:type="spellEnd"/>
      <w:r>
        <w:rPr>
          <w:rFonts w:cs="Georgia"/>
          <w:color w:val="000000"/>
          <w:szCs w:val="20"/>
        </w:rPr>
        <w:t xml:space="preserve"> vurderer – i modsætning til ministeriet – at lovforslaget vil have betydelige konsekvenser for værdien af de private udlejningsejendomme. </w:t>
      </w:r>
    </w:p>
    <w:p w14:paraId="4DA12F64" w14:textId="729B4500" w:rsidR="00F83719" w:rsidRPr="00731E0B" w:rsidRDefault="00F83719" w:rsidP="00F83719">
      <w:pPr>
        <w:rPr>
          <w:rFonts w:cs="Georgia"/>
          <w:color w:val="000000"/>
          <w:szCs w:val="20"/>
          <w:u w:val="single"/>
        </w:rPr>
      </w:pPr>
      <w:r w:rsidRPr="00731E0B">
        <w:rPr>
          <w:rFonts w:cs="Georgia"/>
          <w:color w:val="000000"/>
          <w:szCs w:val="20"/>
          <w:u w:val="single"/>
        </w:rPr>
        <w:t>Forsikring og Pension</w:t>
      </w:r>
      <w:r w:rsidRPr="00731E0B">
        <w:rPr>
          <w:rFonts w:cs="Georgia"/>
          <w:color w:val="000000"/>
          <w:szCs w:val="20"/>
        </w:rPr>
        <w:t xml:space="preserve"> </w:t>
      </w:r>
      <w:r>
        <w:rPr>
          <w:rFonts w:cs="Georgia"/>
          <w:color w:val="000000"/>
          <w:szCs w:val="20"/>
        </w:rPr>
        <w:t>vurderer, at lovforsl</w:t>
      </w:r>
      <w:r w:rsidR="0008312C">
        <w:rPr>
          <w:rFonts w:cs="Georgia"/>
          <w:color w:val="000000"/>
          <w:szCs w:val="20"/>
        </w:rPr>
        <w:t>a</w:t>
      </w:r>
      <w:r>
        <w:rPr>
          <w:rFonts w:cs="Georgia"/>
          <w:color w:val="000000"/>
          <w:szCs w:val="20"/>
        </w:rPr>
        <w:t xml:space="preserve">get </w:t>
      </w:r>
      <w:r w:rsidRPr="00731E0B">
        <w:rPr>
          <w:rFonts w:cs="Georgia"/>
          <w:color w:val="000000"/>
          <w:szCs w:val="20"/>
        </w:rPr>
        <w:t>vil have konsekvenser for værdien af de berø</w:t>
      </w:r>
      <w:r>
        <w:rPr>
          <w:rFonts w:cs="Georgia"/>
          <w:color w:val="000000"/>
          <w:szCs w:val="20"/>
        </w:rPr>
        <w:t>r</w:t>
      </w:r>
      <w:r w:rsidRPr="00731E0B">
        <w:rPr>
          <w:rFonts w:cs="Georgia"/>
          <w:color w:val="000000"/>
          <w:szCs w:val="20"/>
        </w:rPr>
        <w:t xml:space="preserve">te </w:t>
      </w:r>
      <w:r>
        <w:rPr>
          <w:rFonts w:cs="Georgia"/>
          <w:color w:val="000000"/>
          <w:szCs w:val="20"/>
        </w:rPr>
        <w:t>udlejnings</w:t>
      </w:r>
      <w:r w:rsidRPr="00731E0B">
        <w:rPr>
          <w:rFonts w:cs="Georgia"/>
          <w:color w:val="000000"/>
          <w:szCs w:val="20"/>
        </w:rPr>
        <w:t>ejendomme</w:t>
      </w:r>
      <w:r>
        <w:rPr>
          <w:rFonts w:cs="Georgia"/>
          <w:color w:val="000000"/>
          <w:szCs w:val="20"/>
        </w:rPr>
        <w:t>.</w:t>
      </w:r>
    </w:p>
    <w:p w14:paraId="3BA3F4DB" w14:textId="77777777" w:rsidR="00F83719" w:rsidRPr="00CF2826" w:rsidRDefault="00F83719" w:rsidP="00F83719">
      <w:pPr>
        <w:rPr>
          <w:rFonts w:cs="Georgia"/>
          <w:color w:val="000000"/>
          <w:szCs w:val="20"/>
          <w:u w:val="single"/>
        </w:rPr>
      </w:pPr>
      <w:r>
        <w:rPr>
          <w:rFonts w:cs="Georgia"/>
          <w:color w:val="000000"/>
          <w:szCs w:val="20"/>
          <w:u w:val="single"/>
        </w:rPr>
        <w:t>Finans Danmark</w:t>
      </w:r>
      <w:r>
        <w:rPr>
          <w:rFonts w:cs="Georgia"/>
          <w:color w:val="000000"/>
          <w:szCs w:val="20"/>
        </w:rPr>
        <w:t xml:space="preserve"> anfører, at de</w:t>
      </w:r>
      <w:r w:rsidRPr="002D261A">
        <w:rPr>
          <w:rFonts w:cs="Georgia"/>
          <w:color w:val="000000"/>
          <w:szCs w:val="20"/>
        </w:rPr>
        <w:t>t tidsbegrænse</w:t>
      </w:r>
      <w:r>
        <w:rPr>
          <w:rFonts w:cs="Georgia"/>
          <w:color w:val="000000"/>
          <w:szCs w:val="20"/>
        </w:rPr>
        <w:t>de</w:t>
      </w:r>
      <w:r w:rsidRPr="002D261A">
        <w:rPr>
          <w:rFonts w:cs="Georgia"/>
          <w:color w:val="000000"/>
          <w:szCs w:val="20"/>
        </w:rPr>
        <w:t xml:space="preserve"> loft over huslejestigninger vil kunne påvirke penge- og realkreditinstitutternes værdians</w:t>
      </w:r>
      <w:r>
        <w:rPr>
          <w:rFonts w:cs="Georgia"/>
          <w:color w:val="000000"/>
          <w:szCs w:val="20"/>
        </w:rPr>
        <w:t>ættelse af de berørte ejendomme.</w:t>
      </w:r>
    </w:p>
    <w:p w14:paraId="1BF5541F" w14:textId="77777777" w:rsidR="00F83719" w:rsidRDefault="00F83719" w:rsidP="00F83719">
      <w:pPr>
        <w:rPr>
          <w:rFonts w:cs="Georgia"/>
          <w:color w:val="000000"/>
          <w:szCs w:val="20"/>
        </w:rPr>
      </w:pPr>
      <w:r w:rsidRPr="00731B4B">
        <w:rPr>
          <w:rFonts w:cs="Georgia"/>
          <w:i/>
          <w:color w:val="000000"/>
          <w:szCs w:val="20"/>
        </w:rPr>
        <w:t>Indenrigs- og Boligministeriet</w:t>
      </w:r>
      <w:r>
        <w:rPr>
          <w:rFonts w:cs="Georgia"/>
          <w:color w:val="000000"/>
          <w:szCs w:val="20"/>
        </w:rPr>
        <w:t xml:space="preserve"> </w:t>
      </w:r>
      <w:r>
        <w:t>bemærker hertil</w:t>
      </w:r>
      <w:r>
        <w:rPr>
          <w:rFonts w:cs="Georgia"/>
          <w:color w:val="000000"/>
          <w:szCs w:val="20"/>
        </w:rPr>
        <w:t>, at værdiansættelsen af ejendomme – fx ved anvendelse af DCF-modellen (</w:t>
      </w:r>
      <w:proofErr w:type="spellStart"/>
      <w:r>
        <w:rPr>
          <w:rFonts w:cs="Georgia"/>
          <w:color w:val="000000"/>
          <w:szCs w:val="20"/>
        </w:rPr>
        <w:t>Discounted</w:t>
      </w:r>
      <w:proofErr w:type="spellEnd"/>
      <w:r>
        <w:rPr>
          <w:rFonts w:cs="Georgia"/>
          <w:color w:val="000000"/>
          <w:szCs w:val="20"/>
        </w:rPr>
        <w:t xml:space="preserve"> </w:t>
      </w:r>
      <w:proofErr w:type="spellStart"/>
      <w:r>
        <w:rPr>
          <w:rFonts w:cs="Georgia"/>
          <w:color w:val="000000"/>
          <w:szCs w:val="20"/>
        </w:rPr>
        <w:t>Cashflow</w:t>
      </w:r>
      <w:proofErr w:type="spellEnd"/>
      <w:r>
        <w:rPr>
          <w:rFonts w:cs="Georgia"/>
          <w:color w:val="000000"/>
          <w:szCs w:val="20"/>
        </w:rPr>
        <w:t xml:space="preserve">), som i mange tilfælde anvendes af investorer til værdisætning af ejendomme – hovedsageligt afhænger af indtjeningsevnen på længere sigt (i DCF-modellen kaldes dette for terminalværdien). Ejendommenes indtjening på længere sigt påvirkes ikke af lovforslaget. Størrelsen af de tabte lejeindtægter kan sammenlignes med de værdier, de omfattede ejendomme repræsenterer. En forsigtigt bud er, at disse boliger har en gennemsnitlig kvadratmeterpris på 20.000 kr. – gennemsnitsprisen er formentlig højere. Det svarer til, at de omfattede boliger har en samlet værdi på 270 mia. kr. Da de samlede tabte lejeindtægter over alle år skønnes at udgøre 2,7 mia. kr., svarer dette til 1 pct. af de 270 mia. kr. På den baggrund er det fortsat ministeriets vurdering, at </w:t>
      </w:r>
      <w:r w:rsidRPr="0021061F">
        <w:rPr>
          <w:rFonts w:cs="Georgia"/>
          <w:color w:val="000000"/>
          <w:szCs w:val="20"/>
        </w:rPr>
        <w:t xml:space="preserve">forslaget ikke </w:t>
      </w:r>
      <w:r>
        <w:rPr>
          <w:rFonts w:cs="Georgia"/>
          <w:color w:val="000000"/>
          <w:szCs w:val="20"/>
        </w:rPr>
        <w:t>vil h</w:t>
      </w:r>
      <w:r w:rsidRPr="0021061F">
        <w:rPr>
          <w:rFonts w:cs="Georgia"/>
          <w:color w:val="000000"/>
          <w:szCs w:val="20"/>
        </w:rPr>
        <w:t xml:space="preserve">ave </w:t>
      </w:r>
      <w:r>
        <w:rPr>
          <w:rFonts w:cs="Georgia"/>
          <w:color w:val="000000"/>
          <w:szCs w:val="20"/>
        </w:rPr>
        <w:t xml:space="preserve">nogen </w:t>
      </w:r>
      <w:r w:rsidRPr="0021061F">
        <w:rPr>
          <w:rFonts w:cs="Georgia"/>
          <w:color w:val="000000"/>
          <w:szCs w:val="20"/>
        </w:rPr>
        <w:t>nævneværdig betydning for værdi</w:t>
      </w:r>
      <w:r>
        <w:rPr>
          <w:rFonts w:cs="Georgia"/>
          <w:color w:val="000000"/>
          <w:szCs w:val="20"/>
        </w:rPr>
        <w:t xml:space="preserve">en af </w:t>
      </w:r>
      <w:r w:rsidRPr="0021061F">
        <w:rPr>
          <w:rFonts w:cs="Georgia"/>
          <w:color w:val="000000"/>
          <w:szCs w:val="20"/>
        </w:rPr>
        <w:t>private udlejningsejendomme.</w:t>
      </w:r>
    </w:p>
    <w:p w14:paraId="2DA8E595" w14:textId="77777777" w:rsidR="00F83719" w:rsidRDefault="00F83719" w:rsidP="00F83719">
      <w:pPr>
        <w:rPr>
          <w:rFonts w:cs="Georgia"/>
          <w:color w:val="000000"/>
          <w:szCs w:val="20"/>
        </w:rPr>
      </w:pPr>
      <w:proofErr w:type="spellStart"/>
      <w:r w:rsidRPr="007A19D4">
        <w:rPr>
          <w:rFonts w:cs="Georgia"/>
          <w:color w:val="000000"/>
          <w:szCs w:val="20"/>
          <w:u w:val="single"/>
        </w:rPr>
        <w:t>EjendomDanmark</w:t>
      </w:r>
      <w:proofErr w:type="spellEnd"/>
      <w:r>
        <w:rPr>
          <w:rFonts w:cs="Georgia"/>
          <w:color w:val="000000"/>
          <w:szCs w:val="20"/>
        </w:rPr>
        <w:t xml:space="preserve"> vurderer, at der vil være betydelige administrative udgifter for erhvervslivet som følge af lovforslaget. </w:t>
      </w:r>
      <w:proofErr w:type="spellStart"/>
      <w:r>
        <w:rPr>
          <w:rFonts w:cs="Georgia"/>
          <w:color w:val="000000"/>
          <w:szCs w:val="20"/>
        </w:rPr>
        <w:t>EjendomDanmark</w:t>
      </w:r>
      <w:proofErr w:type="spellEnd"/>
      <w:r>
        <w:rPr>
          <w:rFonts w:cs="Georgia"/>
          <w:color w:val="000000"/>
          <w:szCs w:val="20"/>
        </w:rPr>
        <w:t xml:space="preserve"> vurderer således, at udlejerne i relativ mange tilfælde vil benytte undtagelsesbestemmelsen</w:t>
      </w:r>
      <w:r w:rsidRPr="007A19D4">
        <w:rPr>
          <w:rFonts w:cs="Georgia"/>
          <w:color w:val="000000"/>
          <w:szCs w:val="20"/>
        </w:rPr>
        <w:t xml:space="preserve"> </w:t>
      </w:r>
      <w:r>
        <w:rPr>
          <w:rFonts w:cs="Georgia"/>
          <w:color w:val="000000"/>
          <w:szCs w:val="20"/>
        </w:rPr>
        <w:t xml:space="preserve">med henblik på at øge huslejen med mere end 4 pct. Desuden vurderer </w:t>
      </w:r>
      <w:proofErr w:type="spellStart"/>
      <w:r>
        <w:rPr>
          <w:rFonts w:cs="Georgia"/>
          <w:color w:val="000000"/>
          <w:szCs w:val="20"/>
        </w:rPr>
        <w:t>EjendomDanmark</w:t>
      </w:r>
      <w:proofErr w:type="spellEnd"/>
      <w:r>
        <w:rPr>
          <w:rFonts w:cs="Georgia"/>
          <w:color w:val="000000"/>
          <w:szCs w:val="20"/>
        </w:rPr>
        <w:t>, at l</w:t>
      </w:r>
      <w:r w:rsidRPr="007A19D4">
        <w:rPr>
          <w:rFonts w:cs="Georgia"/>
          <w:color w:val="000000"/>
          <w:szCs w:val="20"/>
        </w:rPr>
        <w:t xml:space="preserve">angt de fleste udlejere vil </w:t>
      </w:r>
      <w:r>
        <w:rPr>
          <w:rFonts w:cs="Georgia"/>
          <w:color w:val="000000"/>
          <w:szCs w:val="20"/>
        </w:rPr>
        <w:t xml:space="preserve">vælge at </w:t>
      </w:r>
      <w:r w:rsidRPr="007A19D4">
        <w:rPr>
          <w:rFonts w:cs="Georgia"/>
          <w:color w:val="000000"/>
          <w:szCs w:val="20"/>
        </w:rPr>
        <w:t xml:space="preserve">foretage kontrolberegninger for at afgøre, om der </w:t>
      </w:r>
      <w:r>
        <w:rPr>
          <w:rFonts w:cs="Georgia"/>
          <w:color w:val="000000"/>
          <w:szCs w:val="20"/>
        </w:rPr>
        <w:t xml:space="preserve">er grundlag for at benytte undtagelsesbestemmelsen. </w:t>
      </w:r>
    </w:p>
    <w:p w14:paraId="437C4112" w14:textId="77777777" w:rsidR="00F83719" w:rsidRDefault="00F83719" w:rsidP="00F83719">
      <w:pPr>
        <w:rPr>
          <w:rFonts w:cs="Georgia"/>
          <w:color w:val="000000"/>
          <w:szCs w:val="20"/>
        </w:rPr>
      </w:pPr>
      <w:r w:rsidRPr="00731B4B">
        <w:rPr>
          <w:rFonts w:cs="Georgia"/>
          <w:i/>
          <w:color w:val="000000"/>
          <w:szCs w:val="20"/>
        </w:rPr>
        <w:t>Indenrigs- og Boligministeriet</w:t>
      </w:r>
      <w:r>
        <w:rPr>
          <w:rFonts w:cs="Georgia"/>
          <w:color w:val="000000"/>
          <w:szCs w:val="20"/>
        </w:rPr>
        <w:t xml:space="preserve"> skønner, at undtagelsesbestemmelsen kun i relativ få tilfælde vil blive anvendt. Desuden vurderer ministeriet, at langt de fleste udlejere vil have de nødvendige informationer i deres regnskabssystemer, og derfor relativt nemt vil kunne konstatere, om stigningen i deres driftsudgifter vil overstige huslejeloftet. På den baggrund vurderes det fortsat at de </w:t>
      </w:r>
      <w:r w:rsidRPr="009870ED">
        <w:rPr>
          <w:rFonts w:cs="Georgia"/>
          <w:color w:val="000000"/>
          <w:szCs w:val="20"/>
        </w:rPr>
        <w:t>administrative udgifter</w:t>
      </w:r>
      <w:r>
        <w:rPr>
          <w:rFonts w:cs="Georgia"/>
          <w:color w:val="000000"/>
          <w:szCs w:val="20"/>
        </w:rPr>
        <w:t xml:space="preserve"> vil være b</w:t>
      </w:r>
      <w:r w:rsidRPr="009870ED">
        <w:rPr>
          <w:rFonts w:cs="Georgia"/>
          <w:color w:val="000000"/>
          <w:szCs w:val="20"/>
        </w:rPr>
        <w:t>egrænsede</w:t>
      </w:r>
      <w:r>
        <w:rPr>
          <w:rFonts w:cs="Georgia"/>
          <w:color w:val="000000"/>
          <w:szCs w:val="20"/>
        </w:rPr>
        <w:t>.</w:t>
      </w:r>
    </w:p>
    <w:p w14:paraId="10D9355F" w14:textId="77777777" w:rsidR="00F83719" w:rsidRPr="00736B3D" w:rsidRDefault="00F83719" w:rsidP="00F83719">
      <w:proofErr w:type="spellStart"/>
      <w:r>
        <w:rPr>
          <w:u w:val="single"/>
        </w:rPr>
        <w:lastRenderedPageBreak/>
        <w:t>Ejendom</w:t>
      </w:r>
      <w:r w:rsidRPr="00736B3D">
        <w:rPr>
          <w:u w:val="single"/>
        </w:rPr>
        <w:t>Danmark</w:t>
      </w:r>
      <w:proofErr w:type="spellEnd"/>
      <w:r w:rsidRPr="00736B3D">
        <w:t xml:space="preserve"> vurderer, at de afsatte midler </w:t>
      </w:r>
      <w:r>
        <w:t>på</w:t>
      </w:r>
      <w:r w:rsidRPr="00736B3D">
        <w:t xml:space="preserve"> op til 2,2 mio. kr. til behandlingen af eventuelle huslejenævnssager afledt af lovforslaget </w:t>
      </w:r>
      <w:r>
        <w:t>”</w:t>
      </w:r>
      <w:r w:rsidRPr="00736B3D">
        <w:t>på in</w:t>
      </w:r>
      <w:r>
        <w:t>g</w:t>
      </w:r>
      <w:r w:rsidRPr="00736B3D">
        <w:t>en måde vil være tilstrækkelige</w:t>
      </w:r>
      <w:r>
        <w:t>”</w:t>
      </w:r>
      <w:r w:rsidRPr="00736B3D">
        <w:t xml:space="preserve"> til at modsvare den ekstra byrde, som huslejenævnene pålægges med lovforslaget. </w:t>
      </w:r>
    </w:p>
    <w:p w14:paraId="77E12B37" w14:textId="77777777" w:rsidR="00F83719" w:rsidRDefault="00F83719" w:rsidP="00F83719">
      <w:proofErr w:type="spellStart"/>
      <w:r>
        <w:rPr>
          <w:u w:val="single"/>
        </w:rPr>
        <w:t>Ejendom</w:t>
      </w:r>
      <w:r w:rsidRPr="00736B3D">
        <w:rPr>
          <w:u w:val="single"/>
        </w:rPr>
        <w:t>Danmark</w:t>
      </w:r>
      <w:proofErr w:type="spellEnd"/>
      <w:r w:rsidRPr="00736B3D">
        <w:t xml:space="preserve"> </w:t>
      </w:r>
      <w:r>
        <w:t>ønsker desuden, at</w:t>
      </w:r>
      <w:r w:rsidRPr="00736B3D">
        <w:t xml:space="preserve"> behov</w:t>
      </w:r>
      <w:r>
        <w:t>et for</w:t>
      </w:r>
      <w:r w:rsidRPr="00736B3D">
        <w:t xml:space="preserve"> ekstramidler til huslejenævnenes undersøges nærmere </w:t>
      </w:r>
      <w:r>
        <w:t>(</w:t>
      </w:r>
      <w:r w:rsidRPr="00736B3D">
        <w:t>bl.a. gennem en tættere inddragelse af både nævnene og brugerne</w:t>
      </w:r>
      <w:r>
        <w:t>)</w:t>
      </w:r>
      <w:r w:rsidRPr="00736B3D">
        <w:t>, og at der derefter afsættes et mere passende</w:t>
      </w:r>
      <w:r>
        <w:t>,</w:t>
      </w:r>
      <w:r w:rsidRPr="00736B3D">
        <w:t xml:space="preserve"> og sandsynligvis markant højere beløb</w:t>
      </w:r>
      <w:r>
        <w:t>,</w:t>
      </w:r>
      <w:r w:rsidRPr="00736B3D">
        <w:t xml:space="preserve"> til huslejenævnenes håndtering af de sager, der måtte opstå som følge af reglerne om et huslejeloft</w:t>
      </w:r>
      <w:r>
        <w:t xml:space="preserve">. </w:t>
      </w:r>
    </w:p>
    <w:p w14:paraId="1443D58B" w14:textId="77777777" w:rsidR="00F83719" w:rsidRPr="00736B3D" w:rsidRDefault="00F83719" w:rsidP="00F83719">
      <w:r>
        <w:rPr>
          <w:u w:val="single"/>
        </w:rPr>
        <w:t>DI B</w:t>
      </w:r>
      <w:r w:rsidRPr="00736B3D">
        <w:rPr>
          <w:u w:val="single"/>
        </w:rPr>
        <w:t>yggeri</w:t>
      </w:r>
      <w:r w:rsidRPr="00736B3D">
        <w:t xml:space="preserve"> </w:t>
      </w:r>
      <w:r>
        <w:t>anfører,</w:t>
      </w:r>
      <w:r w:rsidRPr="00736B3D">
        <w:t xml:space="preserve"> </w:t>
      </w:r>
      <w:r>
        <w:t xml:space="preserve">at </w:t>
      </w:r>
      <w:r w:rsidRPr="00736B3D">
        <w:t>da et stort antal udlejere forventeligt vil gøre brug af undtagelsesbestemmelsen</w:t>
      </w:r>
      <w:r>
        <w:t>,</w:t>
      </w:r>
      <w:r w:rsidRPr="00736B3D">
        <w:t xml:space="preserve"> kan de administrative omkostninger for udlejerne ikke forventes at være begrænsede. Det</w:t>
      </w:r>
      <w:r>
        <w:t xml:space="preserve"> store antal sager</w:t>
      </w:r>
      <w:r w:rsidRPr="00736B3D">
        <w:t xml:space="preserve"> vil ligeledes have betydning for de forventede udgifter for huslejenævnet</w:t>
      </w:r>
      <w:r>
        <w:t xml:space="preserve">. </w:t>
      </w:r>
    </w:p>
    <w:p w14:paraId="0963F304" w14:textId="77777777" w:rsidR="00F83719" w:rsidRDefault="00F83719" w:rsidP="00F83719">
      <w:pPr>
        <w:rPr>
          <w:rFonts w:cs="Times New Roman"/>
          <w:szCs w:val="24"/>
        </w:rPr>
      </w:pPr>
      <w:r w:rsidRPr="00736B3D">
        <w:rPr>
          <w:i/>
        </w:rPr>
        <w:t>I</w:t>
      </w:r>
      <w:r>
        <w:rPr>
          <w:i/>
        </w:rPr>
        <w:t>n</w:t>
      </w:r>
      <w:r w:rsidRPr="00736B3D">
        <w:rPr>
          <w:i/>
        </w:rPr>
        <w:t>denrigs- og Boligministeriet</w:t>
      </w:r>
      <w:r w:rsidRPr="00736B3D">
        <w:t xml:space="preserve"> </w:t>
      </w:r>
      <w:r>
        <w:t xml:space="preserve">er enig i, at lovforslaget potentielt kan medføre, at der indbringes flere sager for huslejenævnene. Ministeret vurderer dog, at det forhold, at udlejer ved aktivering af undtagelsesordningen over for lejer skal dokumentere, at </w:t>
      </w:r>
      <w:r w:rsidRPr="002059CE">
        <w:rPr>
          <w:rFonts w:cs="Times New Roman"/>
          <w:szCs w:val="24"/>
        </w:rPr>
        <w:t>stigningerne i de rimelige og nødvendige udgifter knyttet til ejendommen er steget i et omfang, som ikke kan dækkes af en huslejestigning på 4 pct.</w:t>
      </w:r>
      <w:r>
        <w:rPr>
          <w:rFonts w:cs="Times New Roman"/>
          <w:szCs w:val="24"/>
        </w:rPr>
        <w:t xml:space="preserve">, vil medvirke til at begrænse antallet af indbringelser af tvister for huslejenævnene. Man må formode, at lejere alene vil indbringe brugen af undtagelsesbestemmelsen for huslejenævnede, hvis der kan være tvivl om dens anvendelse.    </w:t>
      </w:r>
    </w:p>
    <w:p w14:paraId="75EC3D20" w14:textId="695CD5BE" w:rsidR="00F83719" w:rsidRPr="00F73CFD" w:rsidRDefault="00F83719" w:rsidP="002349CC">
      <w:pPr>
        <w:rPr>
          <w:rFonts w:cs="Times New Roman"/>
          <w:szCs w:val="24"/>
        </w:rPr>
      </w:pPr>
      <w:r>
        <w:rPr>
          <w:rFonts w:cs="Times New Roman"/>
          <w:szCs w:val="24"/>
        </w:rPr>
        <w:t>Med lovforslaget forslås, at d</w:t>
      </w:r>
      <w:r w:rsidRPr="00D46D50">
        <w:rPr>
          <w:rFonts w:cs="Times New Roman"/>
          <w:szCs w:val="24"/>
        </w:rPr>
        <w:t>er afs</w:t>
      </w:r>
      <w:r>
        <w:rPr>
          <w:rFonts w:cs="Times New Roman"/>
          <w:szCs w:val="24"/>
        </w:rPr>
        <w:t>ættes</w:t>
      </w:r>
      <w:r w:rsidRPr="00D46D50">
        <w:rPr>
          <w:rFonts w:cs="Times New Roman"/>
          <w:szCs w:val="24"/>
        </w:rPr>
        <w:t xml:space="preserve"> op til 2,2 mio. kr. i 2023 og 2024 til dækning af udgifter forbundet med behandlingen af en øge</w:t>
      </w:r>
      <w:r>
        <w:rPr>
          <w:rFonts w:cs="Times New Roman"/>
          <w:szCs w:val="24"/>
        </w:rPr>
        <w:t>t</w:t>
      </w:r>
      <w:r w:rsidRPr="00D46D50">
        <w:rPr>
          <w:rFonts w:cs="Times New Roman"/>
          <w:szCs w:val="24"/>
        </w:rPr>
        <w:t xml:space="preserve"> </w:t>
      </w:r>
      <w:proofErr w:type="spellStart"/>
      <w:r w:rsidRPr="00D46D50">
        <w:rPr>
          <w:rFonts w:cs="Times New Roman"/>
          <w:szCs w:val="24"/>
        </w:rPr>
        <w:t>sag</w:t>
      </w:r>
      <w:r>
        <w:rPr>
          <w:rFonts w:cs="Times New Roman"/>
          <w:szCs w:val="24"/>
        </w:rPr>
        <w:t>smængde</w:t>
      </w:r>
      <w:proofErr w:type="spellEnd"/>
      <w:r>
        <w:rPr>
          <w:rFonts w:cs="Times New Roman"/>
          <w:szCs w:val="24"/>
        </w:rPr>
        <w:t xml:space="preserve">. Ministeriet vurderer, at de afsatte midler vil være tilstrækkelige til at behandle en øget </w:t>
      </w:r>
      <w:proofErr w:type="spellStart"/>
      <w:r>
        <w:rPr>
          <w:rFonts w:cs="Times New Roman"/>
          <w:szCs w:val="24"/>
        </w:rPr>
        <w:t>sagsmængde</w:t>
      </w:r>
      <w:proofErr w:type="spellEnd"/>
      <w:r>
        <w:rPr>
          <w:rFonts w:cs="Times New Roman"/>
          <w:szCs w:val="24"/>
        </w:rPr>
        <w:t xml:space="preserve"> i huslejenævnene. Under antagelse af en gennemsnitlig </w:t>
      </w:r>
      <w:proofErr w:type="spellStart"/>
      <w:r>
        <w:rPr>
          <w:rFonts w:cs="Times New Roman"/>
          <w:szCs w:val="24"/>
        </w:rPr>
        <w:t>sagsomkostning</w:t>
      </w:r>
      <w:proofErr w:type="spellEnd"/>
      <w:r>
        <w:rPr>
          <w:rFonts w:cs="Times New Roman"/>
          <w:szCs w:val="24"/>
        </w:rPr>
        <w:t xml:space="preserve"> på 7.000 kr., svarer de afsatte midler til sagsbehandling af knap 315 flere sager årligt. Hver sag kan vedrøre alle boliger i en udlejningsejendom. </w:t>
      </w:r>
    </w:p>
    <w:p w14:paraId="7385A848" w14:textId="77777777" w:rsidR="00DD2093" w:rsidRDefault="005C6BE4" w:rsidP="00455C3F">
      <w:pPr>
        <w:pStyle w:val="Overskrift3"/>
        <w:rPr>
          <w:b/>
          <w:i w:val="0"/>
        </w:rPr>
      </w:pPr>
      <w:r>
        <w:rPr>
          <w:b/>
          <w:i w:val="0"/>
        </w:rPr>
        <w:t xml:space="preserve">Bemærkninger til </w:t>
      </w:r>
      <w:r w:rsidR="00DD2093">
        <w:rPr>
          <w:b/>
          <w:i w:val="0"/>
        </w:rPr>
        <w:t>forslagets enkelte dele</w:t>
      </w:r>
    </w:p>
    <w:p w14:paraId="5BF84E3B" w14:textId="1E0A5D1B" w:rsidR="00741019" w:rsidRDefault="00BA7327" w:rsidP="00BA7327">
      <w:pPr>
        <w:pStyle w:val="Overskrift2"/>
      </w:pPr>
      <w:r>
        <w:t xml:space="preserve">Lovforslagets § 1, nr. </w:t>
      </w:r>
      <w:r w:rsidR="00651235">
        <w:t>3</w:t>
      </w:r>
      <w:r>
        <w:t xml:space="preserve"> - </w:t>
      </w:r>
      <w:r w:rsidR="00DD2093">
        <w:t>Den foreslåede § 53, stk. 3</w:t>
      </w:r>
    </w:p>
    <w:p w14:paraId="165F0842" w14:textId="597A6B0C" w:rsidR="00DD2093" w:rsidRDefault="00DD2093" w:rsidP="00DD2093">
      <w:proofErr w:type="spellStart"/>
      <w:r>
        <w:t>EjendomDanmark</w:t>
      </w:r>
      <w:proofErr w:type="spellEnd"/>
      <w:r>
        <w:t xml:space="preserve"> vurderer, at Indenrigs- og Boligministeriet formulering af den foreslåede bestemmelse er uklar og kan tolkes som et loft på fire procents stigning samlet over de to år. </w:t>
      </w:r>
      <w:proofErr w:type="spellStart"/>
      <w:r>
        <w:t>EjendomDanmark</w:t>
      </w:r>
      <w:proofErr w:type="spellEnd"/>
      <w:r>
        <w:t xml:space="preserve"> skal derfor foreslå, at stykket tilføjes ”per år”.</w:t>
      </w:r>
    </w:p>
    <w:p w14:paraId="1BC60D85" w14:textId="49B30AC2" w:rsidR="00247F78" w:rsidRDefault="00F83719" w:rsidP="00DD2093">
      <w:r w:rsidRPr="00F73CFD">
        <w:rPr>
          <w:u w:val="single"/>
        </w:rPr>
        <w:t>DI Byggeri</w:t>
      </w:r>
      <w:r w:rsidR="00247F78">
        <w:t xml:space="preserve"> </w:t>
      </w:r>
      <w:proofErr w:type="spellStart"/>
      <w:r w:rsidR="00247F78">
        <w:t>Byggeri</w:t>
      </w:r>
      <w:proofErr w:type="spellEnd"/>
      <w:r w:rsidR="00247F78">
        <w:t xml:space="preserve"> bemærker, at l</w:t>
      </w:r>
      <w:r w:rsidR="00247F78" w:rsidRPr="00247F78">
        <w:t>ovgiver foreslår en ny bestemmelse i lejelovens kapitel 4, hvor der indsættes en ny § 53, stk. 3, således at lejeloftet på 4 pct. er en årlig maksimal begrænsning på NPI regulering (og dermed maksimalt 8 pct. for hele perioden). Dette bør dog præciseres i selve lovteksten for at undgå tvivl om huslejeloftets rækkevidde.</w:t>
      </w:r>
    </w:p>
    <w:p w14:paraId="32FE78DF" w14:textId="77777777" w:rsidR="00247F78" w:rsidRDefault="00247F78" w:rsidP="00247F78">
      <w:r w:rsidRPr="00DD2093">
        <w:rPr>
          <w:i/>
        </w:rPr>
        <w:t>Indenrigs- og Boligministeriet</w:t>
      </w:r>
      <w:r>
        <w:t xml:space="preserve"> skal hertil bemærke, at det foreslåede imødekommes.</w:t>
      </w:r>
    </w:p>
    <w:p w14:paraId="21B1F439" w14:textId="6FDEDD64" w:rsidR="00247F78" w:rsidRDefault="002349CC" w:rsidP="002349CC">
      <w:r w:rsidRPr="00EC4EEA">
        <w:rPr>
          <w:u w:val="single"/>
        </w:rPr>
        <w:t>Lejernes Landsorganisation i Danmark (LLO)</w:t>
      </w:r>
      <w:r>
        <w:t xml:space="preserve"> anfører, lovforslaget lyder: »Stk. 3. Regulering af lejen efter udviklingen i nettoprisindekset for 2022 og 2023 kan ikke overstige 4 pct., jf. dog § 53 a, stk. 1.« Vi læser lovbemærkningerne til bestemmelsen således, at så længe en måned af reguleringen angår udviklingen enten år 2022 eller 2023, så vil huslejeloftet finde anvendelse. Kan ministeriet bekræfte dette?</w:t>
      </w:r>
    </w:p>
    <w:p w14:paraId="53E03C3D" w14:textId="1B48DDE4" w:rsidR="002349CC" w:rsidRDefault="002349CC" w:rsidP="002349CC">
      <w:r w:rsidRPr="00EC4EEA">
        <w:rPr>
          <w:i/>
        </w:rPr>
        <w:lastRenderedPageBreak/>
        <w:t>Indenrigs- og Boligministeriet</w:t>
      </w:r>
      <w:r>
        <w:t xml:space="preserve"> skal hertil bemærke, at dette ikke kan bekræftes. Det afgørende for</w:t>
      </w:r>
      <w:r w:rsidR="008B5F39">
        <w:t>,</w:t>
      </w:r>
      <w:r>
        <w:t xml:space="preserve"> om huslejeloftet finder anvendelse</w:t>
      </w:r>
      <w:r w:rsidR="008B5F39">
        <w:t>,</w:t>
      </w:r>
      <w:r>
        <w:t xml:space="preserve"> er den måned og det år, som udviklingen aflæses efter. Sker der pr. 1. juli 2023 en regulering af lejen som følge af udviklingen i Danmarks Statistiks nettoprisindeks fra marts 2022 til marts 2023, vil reguleringen være omfattet af huslejeloftet, fordi reguleringen vedrører udviklingen for 2023, da den tager udgangspunkt i marts 2023. Omvendt kan nævnes, at hvis en regulering foretages pr. 1. juli 2024, med udgangspunkt i udviklingen i Danmarks Statistiks nettoprisindeks fra marts 2023 til marts 2024, vil reguleringen ikke</w:t>
      </w:r>
      <w:r w:rsidR="00EC4EEA">
        <w:t xml:space="preserve"> være omfattet af huslejeloftet, da udviklingen således vedrører marts 2024, som ikke er omfattet.</w:t>
      </w:r>
    </w:p>
    <w:p w14:paraId="12E1224B" w14:textId="2E4F6B74" w:rsidR="00EC4EEA" w:rsidRDefault="00EC4EEA" w:rsidP="00EC4EEA">
      <w:r w:rsidRPr="00EC4EEA">
        <w:rPr>
          <w:u w:val="single"/>
        </w:rPr>
        <w:t>LLO</w:t>
      </w:r>
      <w:r>
        <w:t xml:space="preserve"> anfører, at de</w:t>
      </w:r>
      <w:r w:rsidRPr="00EC4EEA">
        <w:t xml:space="preserve"> læser loven således</w:t>
      </w:r>
      <w:r w:rsidR="008B5F39">
        <w:t>,</w:t>
      </w:r>
      <w:r w:rsidRPr="00EC4EEA">
        <w:t xml:space="preserve"> at huslejeloftets begrænsninger er stedsevarende.</w:t>
      </w:r>
      <w:r>
        <w:t xml:space="preserve"> Udlejer vil således ikke senere </w:t>
      </w:r>
      <w:r w:rsidR="008B5F39">
        <w:t xml:space="preserve">kunne varsle huslejen op </w:t>
      </w:r>
      <w:proofErr w:type="spellStart"/>
      <w:r w:rsidR="008B5F39">
        <w:t>fsva</w:t>
      </w:r>
      <w:proofErr w:type="spellEnd"/>
      <w:r w:rsidR="008B5F39">
        <w:t>. d</w:t>
      </w:r>
      <w:r>
        <w:t>en del af nettoprisindeksstigningen, som oversteg 4%. Når huslejen efter huslejeloftets ophør skal reguleres, så vil stigningen ske med udgangspunkt i ”gældende leje”, og denne ”gældende leje” må forstås som den husleje, som lovligt kunne opkræves uden at overskride hus</w:t>
      </w:r>
      <w:r w:rsidR="008B5F39">
        <w:t>lejeloftets maksimum på 4% (med</w:t>
      </w:r>
      <w:r>
        <w:t>mindre ”ventilen”</w:t>
      </w:r>
      <w:r w:rsidR="008B5F39">
        <w:t>,</w:t>
      </w:r>
      <w:r>
        <w:t xml:space="preserve"> jf. LL § 53 a, stk. 1</w:t>
      </w:r>
      <w:r w:rsidR="008B5F39">
        <w:t>,</w:t>
      </w:r>
      <w:r>
        <w:t xml:space="preserve"> fandt anvendelse</w:t>
      </w:r>
      <w:r w:rsidR="008B5F39">
        <w:t>)</w:t>
      </w:r>
      <w:r>
        <w:t>.</w:t>
      </w:r>
    </w:p>
    <w:p w14:paraId="7DFB40AC" w14:textId="6D88C17A" w:rsidR="00EC4EEA" w:rsidRDefault="00EC4EEA" w:rsidP="00EC4EEA">
      <w:r w:rsidRPr="00EC4EEA">
        <w:rPr>
          <w:i/>
        </w:rPr>
        <w:t>Indenrigs- og Boligministeriet</w:t>
      </w:r>
      <w:r>
        <w:t xml:space="preserve"> skal hertil bemærke, at dette kan bekræftes.</w:t>
      </w:r>
    </w:p>
    <w:p w14:paraId="6B404E17" w14:textId="7296B722" w:rsidR="00EC4EEA" w:rsidRDefault="00EC4EEA" w:rsidP="00EC4EEA">
      <w:r w:rsidRPr="00EC4EEA">
        <w:rPr>
          <w:u w:val="single"/>
        </w:rPr>
        <w:t>LLO</w:t>
      </w:r>
      <w:r>
        <w:t xml:space="preserve"> anfører, at huslejestoppets længde skal læses i forlængelse af LF § 3, stk. 2-3, hvoraf det fremgår</w:t>
      </w:r>
      <w:r w:rsidR="008B5F39">
        <w:t>,</w:t>
      </w:r>
      <w:r>
        <w:t xml:space="preserve"> at huslejeloftet ophæves pr. 1.1.2025</w:t>
      </w:r>
      <w:r w:rsidR="008B5F39">
        <w:t>,</w:t>
      </w:r>
      <w:r>
        <w:t xml:space="preserve"> og at uopsigelige lejeaftaler som udgangspunkt ikke får nedsat allerede meddelte nettoprisindeksstigninger.</w:t>
      </w:r>
    </w:p>
    <w:p w14:paraId="17991E52" w14:textId="775D5AC6" w:rsidR="00EC4EEA" w:rsidRDefault="00EC4EEA" w:rsidP="00EC4EEA">
      <w:r w:rsidRPr="00EC4EEA">
        <w:rPr>
          <w:i/>
        </w:rPr>
        <w:t>Indenrigs- og Boligministeriet</w:t>
      </w:r>
      <w:r>
        <w:t xml:space="preserve"> skal hertil bemærke, at det foreslåede huslejeloft i § 53, stk. 3, ikke foreslås ophævet pr. 1. januar 2025, men at det alene er undtagelsesordningen, som foreslås ophævet denne dato. Ministeriet skal i den forbindelse dog bemærke, at dette ikke skal medføre bortfald af gyldige reguleringer foretaget i medfør af undtagelsesordningen inden dennes bortfald.</w:t>
      </w:r>
    </w:p>
    <w:p w14:paraId="0F4B8257" w14:textId="2EB0C614" w:rsidR="00170D6C" w:rsidRPr="00B54066" w:rsidRDefault="00170D6C" w:rsidP="00170D6C">
      <w:pPr>
        <w:pStyle w:val="Overskrift2"/>
      </w:pPr>
      <w:r>
        <w:t xml:space="preserve">Lovforslagets § 1, nr. </w:t>
      </w:r>
      <w:r w:rsidR="00651235">
        <w:t>4</w:t>
      </w:r>
      <w:r>
        <w:t xml:space="preserve"> - </w:t>
      </w:r>
      <w:r w:rsidRPr="00B54066">
        <w:t xml:space="preserve">Den foreslåede § 53 a, stk. </w:t>
      </w:r>
      <w:r>
        <w:t>1</w:t>
      </w:r>
    </w:p>
    <w:p w14:paraId="0D13C828" w14:textId="6BA6F9B0" w:rsidR="00170D6C" w:rsidRDefault="00170D6C" w:rsidP="00170D6C">
      <w:proofErr w:type="spellStart"/>
      <w:r w:rsidRPr="00170D6C">
        <w:rPr>
          <w:u w:val="single"/>
        </w:rPr>
        <w:t>EjendomDanmark</w:t>
      </w:r>
      <w:proofErr w:type="spellEnd"/>
      <w:r>
        <w:t xml:space="preserve"> foreslår, at udlejer i lovforslaget gives mulighed for at efteropkræve differencen mellem huslejeloftet og de dokumenterbare stigninger i udlejers omkostninger tilbage til tidspunktet, hvor lejen kunne reguleres efter udviklingen i Danmarks Statistiks nettoprisindeks, så udlejer ikke bebyrdes økonomisk ved først på et senere tidspunkt at kunne opgøre udgifterne.</w:t>
      </w:r>
    </w:p>
    <w:p w14:paraId="7FC5BDAF" w14:textId="1D1735BE" w:rsidR="00170D6C" w:rsidRDefault="00170D6C" w:rsidP="00170D6C">
      <w:r w:rsidRPr="00170D6C">
        <w:rPr>
          <w:i/>
        </w:rPr>
        <w:t>Indenrigs- og Boligministeriet</w:t>
      </w:r>
      <w:r>
        <w:t xml:space="preserve"> skal </w:t>
      </w:r>
      <w:r w:rsidR="008B5F39">
        <w:t>hertil bemærke, at det vil gå i</w:t>
      </w:r>
      <w:r>
        <w:t xml:space="preserve">mod lovforslagets formål at indføre den foreslåede ændring, da dette vil medføre en risiko for, at lejere </w:t>
      </w:r>
      <w:r w:rsidR="008B5F39">
        <w:t xml:space="preserve">vil kunne </w:t>
      </w:r>
      <w:r>
        <w:t>mødes af store efteropkrævninger i lejen, som de ikke har haft en mulighed for at forberede sig på. Den foreslåede ændring kan på den baggrund ikke imødekommes.</w:t>
      </w:r>
    </w:p>
    <w:p w14:paraId="4E07A53D" w14:textId="49723E34" w:rsidR="00EC4EEA" w:rsidRDefault="00EC4EEA" w:rsidP="00EC4EEA">
      <w:r w:rsidRPr="008B5F39">
        <w:rPr>
          <w:u w:val="single"/>
        </w:rPr>
        <w:t>LLO</w:t>
      </w:r>
      <w:r>
        <w:t xml:space="preserve"> anfører, at ministeriet må have lavet en fejl i implementeringen af den politiske aftale, da lovforslagets ordlyd afviger fra den politiske aftale. Den politiske aftale (”Initiativer til modvirkning af store lejestigninger”) af 26. august lød bl.a.: ”Parterne er samtidig enige om at indføre en undtagelsesbestemmelse, som giver udlejer mulighed for at hæve huslejen over 4 pct., hvis udlejeren kan dokumentere, at lejen inkl. lejestigningen på 4 pct. ikke kan dække en stigning i ejendommens driftsudgifter sammenlignet med driftsudgifterne året før. Huslejestigningen kan dog aldrig overstige nettoprisindekset.” Omvendt lyder lovforslaget »§ 53 a. Er der for det kalenderår, som udviklingen i nettoprisindekset aflæses i ved regulering af lejen, jf. § 53, stk. 2, sket stigninger i de rimelige og nødvendige udgifter knyttet til ejendommen, som ikke kan dækkes af </w:t>
      </w:r>
      <w:r>
        <w:lastRenderedPageBreak/>
        <w:t>den lejeforhøjelse, som kan beregnes efter § 53, stk. 2 og 3, kan udlejeren ved meddelelse, ud over regulering efter § 53, stk. 2 og 3, kræve lejen reguleret med et beløb, som svarer til differencen mellem stigningen i udgifterne knyttet til ejendommen i kalenderåret, og det beløb, som kan beregnes efter § 53, stk. 2 og 3. LLO finder således, at der er stor forskel på, hvornår udlejer må bruge ventilen og skal opfordre til</w:t>
      </w:r>
      <w:r w:rsidR="008B5F39">
        <w:t>,</w:t>
      </w:r>
      <w:r>
        <w:t xml:space="preserve"> at lovforslaget bringes i overensstemmelse med aftalen.</w:t>
      </w:r>
    </w:p>
    <w:p w14:paraId="723309E8" w14:textId="1767B24D" w:rsidR="00EC4EEA" w:rsidRDefault="00EC4EEA" w:rsidP="00EC4EEA">
      <w:r w:rsidRPr="00336242">
        <w:rPr>
          <w:i/>
        </w:rPr>
        <w:t>Indenrigs- og Boligministeriet</w:t>
      </w:r>
      <w:r>
        <w:t xml:space="preserve"> skal hertil bemærke, at </w:t>
      </w:r>
      <w:r w:rsidR="004048B5">
        <w:t xml:space="preserve">lovforslaget er udarbejdet i overensstemmelse med, hvad </w:t>
      </w:r>
      <w:r w:rsidR="00281ECF">
        <w:t xml:space="preserve">aftaleparterne </w:t>
      </w:r>
      <w:r w:rsidR="004048B5">
        <w:t xml:space="preserve">blev enige om </w:t>
      </w:r>
      <w:r w:rsidR="00281ECF">
        <w:t>under forhandlingerne</w:t>
      </w:r>
      <w:r w:rsidR="004048B5">
        <w:t>.</w:t>
      </w:r>
    </w:p>
    <w:p w14:paraId="58263DB0" w14:textId="60F4A432" w:rsidR="00DD2093" w:rsidRPr="00B54066" w:rsidRDefault="00BA7327" w:rsidP="00BA7327">
      <w:pPr>
        <w:pStyle w:val="Overskrift2"/>
      </w:pPr>
      <w:r>
        <w:t xml:space="preserve">Lovforslagets § 1, nr. </w:t>
      </w:r>
      <w:r w:rsidR="00651235">
        <w:t>4</w:t>
      </w:r>
      <w:r>
        <w:t xml:space="preserve"> - </w:t>
      </w:r>
      <w:r w:rsidR="00B54066" w:rsidRPr="00B54066">
        <w:t>Den foreslåede § 53 a, stk. 2</w:t>
      </w:r>
    </w:p>
    <w:p w14:paraId="56505485" w14:textId="241F59F1" w:rsidR="00B54066" w:rsidRDefault="00B54066" w:rsidP="00DD2093">
      <w:proofErr w:type="spellStart"/>
      <w:r w:rsidRPr="00B86720">
        <w:rPr>
          <w:u w:val="single"/>
        </w:rPr>
        <w:t>EjendomDanmark</w:t>
      </w:r>
      <w:proofErr w:type="spellEnd"/>
      <w:r>
        <w:t xml:space="preserve"> finder ikke, at der kan stilles krav til en meddelelse, og finder på den baggrund, at § 53 a, stk. 2, bør udgå, så meddelelsen, som skal gives, stemmer overens med den efter </w:t>
      </w:r>
      <w:proofErr w:type="spellStart"/>
      <w:r>
        <w:t>EjendomDanmark</w:t>
      </w:r>
      <w:r w:rsidR="008B5F39">
        <w:t>s</w:t>
      </w:r>
      <w:proofErr w:type="spellEnd"/>
      <w:r w:rsidR="008B5F39">
        <w:t xml:space="preserve"> opfattelse</w:t>
      </w:r>
      <w:r>
        <w:t xml:space="preserve"> almindelige forståelse af meddelelse.</w:t>
      </w:r>
    </w:p>
    <w:p w14:paraId="1D19316E" w14:textId="481FA057" w:rsidR="00B54066" w:rsidRDefault="00B54066" w:rsidP="00B54066">
      <w:pPr>
        <w:jc w:val="both"/>
      </w:pPr>
      <w:r w:rsidRPr="00B54066">
        <w:rPr>
          <w:i/>
        </w:rPr>
        <w:t>Indenrigs- og Boligministeriet</w:t>
      </w:r>
      <w:r>
        <w:t xml:space="preserve"> skal hertil bemærke, at meddelelse anvendes for at tydeliggøre, at der ikke er en varslingsperiode tilknyttet reguleringen efter den foreslåede ordning. Det findes ikke hensigtsmæssigt at fjerne de foreslåede krav til meddelelsen, som har til formål at sikre en korrekt brug af undtagelsesordningen</w:t>
      </w:r>
      <w:r w:rsidR="00281ECF">
        <w:t>.</w:t>
      </w:r>
    </w:p>
    <w:p w14:paraId="69FD29AC" w14:textId="7536ABD8" w:rsidR="00B86720" w:rsidRDefault="00B86720" w:rsidP="00B54066">
      <w:pPr>
        <w:jc w:val="both"/>
      </w:pPr>
      <w:proofErr w:type="spellStart"/>
      <w:r w:rsidRPr="00B86720">
        <w:rPr>
          <w:u w:val="single"/>
        </w:rPr>
        <w:t>EjendomDanmark</w:t>
      </w:r>
      <w:proofErr w:type="spellEnd"/>
      <w:r>
        <w:t xml:space="preserve"> foreslår, at medmindre det er ministeriets hensigt, at samtlige lejere skal modtage en større dokumentsamling</w:t>
      </w:r>
      <w:r w:rsidR="008B5F39">
        <w:t>,</w:t>
      </w:r>
      <w:r>
        <w:t xml:space="preserve"> bør ordlyden ændres, så ordet ”dokumentation” erstattes med ”en opstilling, som viser stigningen i de rimelige og nødvendige udgifter”.</w:t>
      </w:r>
    </w:p>
    <w:p w14:paraId="7E9FE2F6" w14:textId="0056F1D8" w:rsidR="00B86720" w:rsidRDefault="00B86720" w:rsidP="00B54066">
      <w:pPr>
        <w:jc w:val="both"/>
      </w:pPr>
      <w:r w:rsidRPr="00B86720">
        <w:rPr>
          <w:i/>
        </w:rPr>
        <w:t>Indenrigs- og Boligministeriet</w:t>
      </w:r>
      <w:r>
        <w:t xml:space="preserve"> skal hertil bemærke, at det er fundet hensigtsmæssigt at sidestille de oplysninger, som udlejer skal give lejeren ved reguleringen, med de oplys</w:t>
      </w:r>
      <w:r w:rsidR="00281ECF">
        <w:t>n</w:t>
      </w:r>
      <w:r>
        <w:t>inger, som udlejeren skal bringe for huslejenævnet i tilfælde af en tvist. Dette vurderes også at kunne reducere antallet af tvister, som bringes for huslejenævnene. Det foreslåede kan på den baggrund ikke imødekommes.</w:t>
      </w:r>
    </w:p>
    <w:p w14:paraId="0EDA8857" w14:textId="1AB3768E" w:rsidR="00EC4EEA" w:rsidRDefault="00EC4EEA" w:rsidP="00EC4EEA">
      <w:pPr>
        <w:jc w:val="both"/>
      </w:pPr>
      <w:r w:rsidRPr="00EC4EEA">
        <w:rPr>
          <w:u w:val="single"/>
        </w:rPr>
        <w:t>LLO</w:t>
      </w:r>
      <w:r>
        <w:t xml:space="preserve"> anfører, at LLO grundlæggende ikke mener, at der er grundlag for at opfinde en ny definition af driftsudgifter, da lejeloven allerede har en sådan definition jf. LL § 24.</w:t>
      </w:r>
    </w:p>
    <w:p w14:paraId="5A2F1AAB" w14:textId="42075E07" w:rsidR="00EC4EEA" w:rsidRDefault="00EC4EEA" w:rsidP="00EC4EEA">
      <w:pPr>
        <w:jc w:val="both"/>
      </w:pPr>
      <w:r w:rsidRPr="00EC4EEA">
        <w:rPr>
          <w:i/>
        </w:rPr>
        <w:t>Indenrigs- og Boligministeriet</w:t>
      </w:r>
      <w:r>
        <w:t xml:space="preserve"> skal hertil bemærke, at ministeriet i de få tilfælde, hvor der fejlagtigt er anvendt formuleringen driftsudgifter vil blive tilrettet, så der mere korrekt angives udgifter knyttet til ejendommen, idet der, som LLO rigtig</w:t>
      </w:r>
      <w:r w:rsidR="00281ECF">
        <w:t xml:space="preserve"> </w:t>
      </w:r>
      <w:r>
        <w:t>nok bemærker, ikke er sammenfald med den almindelige forståelse af driftsudgifter.</w:t>
      </w:r>
    </w:p>
    <w:p w14:paraId="1AD285DE" w14:textId="2C171D21" w:rsidR="00CF4E74" w:rsidRDefault="00CF4E74" w:rsidP="00EC4EEA">
      <w:pPr>
        <w:jc w:val="both"/>
      </w:pPr>
      <w:r w:rsidRPr="00CF4E74">
        <w:rPr>
          <w:u w:val="single"/>
        </w:rPr>
        <w:t>LLO</w:t>
      </w:r>
      <w:r w:rsidRPr="00CF4E74">
        <w:t xml:space="preserve"> mener, at lejerne bør have fuld transparens ift. stigninger og fald i udgifter og indtægter, og at udlejer må redegøre for samtlige udgiftsposter ved brug af ”ventilen” i LF § 53 a, ligesom det bør skrives ind, at der anvendes et nettoprincip</w:t>
      </w:r>
      <w:r>
        <w:t>.</w:t>
      </w:r>
    </w:p>
    <w:p w14:paraId="096DD267" w14:textId="02ED0D2B" w:rsidR="00CF4E74" w:rsidRDefault="00CF4E74" w:rsidP="00EC4EEA">
      <w:pPr>
        <w:jc w:val="both"/>
      </w:pPr>
      <w:r w:rsidRPr="00336242">
        <w:rPr>
          <w:i/>
        </w:rPr>
        <w:t>Indenrigs- og Boligministeriet</w:t>
      </w:r>
      <w:r>
        <w:t xml:space="preserve"> skal hertil bemærke, at udlejeren i henhold til den i lovforslaget foreslåede § 53 a, stk. 2, har pligt til at dokumentere udgiftsstigningerne. Dette indebærer, at udlejeren skal dokumentere udgifterne fra kalenderåret som undtagelsesordningen ønskes anvendt for, samt for kalenderåret forud for dette. Det er derfor ministeriets vurdering, at det er sikret, at en stigning helt præcist kan defineres.</w:t>
      </w:r>
    </w:p>
    <w:p w14:paraId="6742F549" w14:textId="4E026E0D" w:rsidR="00B86720" w:rsidRPr="00B54066" w:rsidRDefault="00BA7327" w:rsidP="00BA7327">
      <w:pPr>
        <w:pStyle w:val="Overskrift2"/>
      </w:pPr>
      <w:r>
        <w:t xml:space="preserve">Lovforslagets § 1, nr. </w:t>
      </w:r>
      <w:r w:rsidR="00651235">
        <w:t>4</w:t>
      </w:r>
      <w:r>
        <w:t xml:space="preserve"> - </w:t>
      </w:r>
      <w:r w:rsidR="00B86720">
        <w:t>Den foreslåede § 53 a, stk. 3</w:t>
      </w:r>
    </w:p>
    <w:p w14:paraId="260DF69B" w14:textId="763B9AEF" w:rsidR="00B86720" w:rsidRDefault="00B86720" w:rsidP="00B54066">
      <w:pPr>
        <w:jc w:val="both"/>
      </w:pPr>
      <w:proofErr w:type="spellStart"/>
      <w:r w:rsidRPr="009C3998">
        <w:rPr>
          <w:u w:val="single"/>
        </w:rPr>
        <w:t>EjendomDanmark</w:t>
      </w:r>
      <w:proofErr w:type="spellEnd"/>
      <w:r>
        <w:t xml:space="preserve"> vurderer, at det er stærkt uhensigtsmæssigt, at alle sager skal indbringes direkte for nævnet i Aarhus kommune. Da denne procedure afviger fra normen</w:t>
      </w:r>
      <w:r w:rsidR="008B5F39">
        <w:t>,</w:t>
      </w:r>
      <w:r>
        <w:t xml:space="preserve"> skal </w:t>
      </w:r>
      <w:proofErr w:type="spellStart"/>
      <w:r>
        <w:t>EjendomDanmark</w:t>
      </w:r>
      <w:proofErr w:type="spellEnd"/>
      <w:r>
        <w:t xml:space="preserve"> derfor foreslå, at det til bestemmelsen tilføjes, at indbringelse </w:t>
      </w:r>
      <w:r>
        <w:lastRenderedPageBreak/>
        <w:t>for ”eget” nævn også anses som rettidigt, og at det lokale nævn derefter tilpligtes at sende sagen videre til behandling i huslejenævnet i Aarhus kommune.</w:t>
      </w:r>
    </w:p>
    <w:p w14:paraId="7840E6C3" w14:textId="2F51B8B0" w:rsidR="00B86720" w:rsidRDefault="00B86720" w:rsidP="00B54066">
      <w:pPr>
        <w:jc w:val="both"/>
      </w:pPr>
      <w:r w:rsidRPr="009C3998">
        <w:rPr>
          <w:i/>
        </w:rPr>
        <w:t>Indenrigs- og Boligministeriet</w:t>
      </w:r>
      <w:r>
        <w:t xml:space="preserve"> skal hertil bemærke, at udlejere, som har kendskab til den særlige ordning om at kunne regulere lejen som følge af stigningerne i de rimelige og nødvendige udgifter knyttet til ejendommen og processen herfor</w:t>
      </w:r>
      <w:r w:rsidR="008B5F39">
        <w:t>,</w:t>
      </w:r>
      <w:r>
        <w:t xml:space="preserve"> med al sandsynlighed tillige har kendskab til processen for indbringelse. Hertil komm</w:t>
      </w:r>
      <w:r w:rsidR="008B5F39">
        <w:t>er, at konsekvensen for udlejer</w:t>
      </w:r>
      <w:r>
        <w:t xml:space="preserve"> i tilfælde af manglende korrekt indbringelse alene er, at der skal gives ny meddelel</w:t>
      </w:r>
      <w:r w:rsidR="009C3998">
        <w:t>se, og at tidspunktet for reguleringen derfor udskydes en smule. Omvendt vil en ordning som den foreslåede kunne medføre en øget belastning for de øvrige huslejenævn, som netop er søgt undgået med det foreslåede i lovforslaget. Det foreslåede kan derfor ikke imødekommes.</w:t>
      </w:r>
    </w:p>
    <w:p w14:paraId="4BEB72E4" w14:textId="33452580" w:rsidR="009C3998" w:rsidRDefault="009C3998" w:rsidP="00B54066">
      <w:pPr>
        <w:jc w:val="both"/>
      </w:pPr>
      <w:proofErr w:type="spellStart"/>
      <w:r w:rsidRPr="00BA7327">
        <w:rPr>
          <w:u w:val="single"/>
        </w:rPr>
        <w:t>EjendomDanmark</w:t>
      </w:r>
      <w:proofErr w:type="spellEnd"/>
      <w:r>
        <w:t xml:space="preserve"> finder, at forslaget om, at udlejer er forpligtet til at medsende ”oplysning om grunden til lejeforhøjelsen, en beregning af grundlaget for lejeforhøjelsen og dokumentation for stigningen i de rimelige nødvendige udgifter knyttet til ejendommen”, når udlejer indbringer en sag om huslejeloftet for huslejenævnet, da sagen ellers ikke anses for indbragt</w:t>
      </w:r>
      <w:r w:rsidR="008B5F39">
        <w:t>,</w:t>
      </w:r>
      <w:r>
        <w:t xml:space="preserve"> er urimelige, voldsomt bebyrdende og i strid med forvaltningslovens officialprincip. </w:t>
      </w:r>
      <w:proofErr w:type="spellStart"/>
      <w:r>
        <w:t>EjendomDanmark</w:t>
      </w:r>
      <w:proofErr w:type="spellEnd"/>
      <w:r>
        <w:t xml:space="preserve"> anfører, at det ikke må kunne forventes, at udlejere ved</w:t>
      </w:r>
      <w:r w:rsidR="008B5F39">
        <w:t>, hvilke præcise dokumenter</w:t>
      </w:r>
      <w:r>
        <w:t xml:space="preserve"> der skal medsendes uden hjælp fra nævnet. </w:t>
      </w:r>
      <w:proofErr w:type="spellStart"/>
      <w:r>
        <w:t>EjendomDanmark</w:t>
      </w:r>
      <w:proofErr w:type="spellEnd"/>
      <w:r>
        <w:t xml:space="preserve"> foreslår derfor, at bestemmelsen tilpasses, så den i højere grad stemmer overens med eksisterende regler og praksis.</w:t>
      </w:r>
    </w:p>
    <w:p w14:paraId="2DE9053B" w14:textId="2848B086" w:rsidR="009C3998" w:rsidRDefault="009C3998" w:rsidP="00B54066">
      <w:pPr>
        <w:jc w:val="both"/>
      </w:pPr>
      <w:r w:rsidRPr="00BA7327">
        <w:rPr>
          <w:i/>
        </w:rPr>
        <w:t>Indenrigs- og Boligministeriet</w:t>
      </w:r>
      <w:r>
        <w:t xml:space="preserve"> skal hertil først anføre, at det er nødvendigt af hensyn til sikring af en kort sagsbehandlingstid for disse sager, til gavn for både lejere og udlejere, at der sættes krav til de oplysninger, som gives ved indbringelsen af sagen. Herefter skal Indenrigs- og Boligministeriet bemærke, at der alene kræves de samme oplysninger, som kræves givet til lejeren ved meddelelse om reguleringen efter undtagelsesordningen. I tilfælde af, at huslejenævnet måtte finde, at der ikke er medsendt korrekte oplysninger, vil</w:t>
      </w:r>
      <w:r w:rsidR="00BA7327">
        <w:t xml:space="preserve"> det, når udlejer har indsendt samme oplysninger, som afgivet over for lejer, således ikke have en materiel betydning, da</w:t>
      </w:r>
      <w:r>
        <w:t xml:space="preserve"> kravet i m</w:t>
      </w:r>
      <w:r w:rsidR="008B5F39">
        <w:t>eddelelsen således allerede er</w:t>
      </w:r>
      <w:r>
        <w:t xml:space="preserve"> ugyldigt</w:t>
      </w:r>
      <w:r w:rsidR="00BA7327">
        <w:t xml:space="preserve"> på grund af manglende oplysninger afgivet over for lejer. Det foreslåede findes derfor ikke at bebyrde udlejere væsentligt, henset til oplysningspligten over for lejer, og det foreslåede kan derfor ikke imødekommes.</w:t>
      </w:r>
    </w:p>
    <w:p w14:paraId="6FAEAB13" w14:textId="1873B74D" w:rsidR="00170D6C" w:rsidRDefault="00170D6C" w:rsidP="00B54066">
      <w:pPr>
        <w:jc w:val="both"/>
      </w:pPr>
      <w:proofErr w:type="spellStart"/>
      <w:r w:rsidRPr="00170D6C">
        <w:rPr>
          <w:u w:val="single"/>
        </w:rPr>
        <w:t>EjendomDanmark</w:t>
      </w:r>
      <w:proofErr w:type="spellEnd"/>
      <w:r>
        <w:t xml:space="preserve"> foreslår, at det til lovforslaget tilføjes, at lejers indsigelse skal begrundes.</w:t>
      </w:r>
    </w:p>
    <w:p w14:paraId="2A4BCD94" w14:textId="05E2EE6D" w:rsidR="00170D6C" w:rsidRDefault="00170D6C" w:rsidP="00B54066">
      <w:pPr>
        <w:jc w:val="both"/>
      </w:pPr>
      <w:r w:rsidRPr="00170D6C">
        <w:rPr>
          <w:i/>
        </w:rPr>
        <w:t>Indenrigs- og Boligministeriet</w:t>
      </w:r>
      <w:r>
        <w:t xml:space="preserve"> skal hertil bemærke, at det ikk</w:t>
      </w:r>
      <w:r w:rsidR="008B5F39">
        <w:t xml:space="preserve">e vurderes hensigtsmæssigt at </w:t>
      </w:r>
      <w:r>
        <w:t>kræve, at lejerne skal begrunde deres indsigelse.</w:t>
      </w:r>
    </w:p>
    <w:p w14:paraId="05A74FF2" w14:textId="304D947C" w:rsidR="00170D6C" w:rsidRDefault="00170D6C" w:rsidP="00B54066">
      <w:pPr>
        <w:jc w:val="both"/>
      </w:pPr>
      <w:proofErr w:type="spellStart"/>
      <w:r>
        <w:t>EjendomDanmark</w:t>
      </w:r>
      <w:proofErr w:type="spellEnd"/>
      <w:r>
        <w:t xml:space="preserve"> foreslår, at bestemmelsen om </w:t>
      </w:r>
      <w:r w:rsidR="00A5387C">
        <w:t>beboerrepræsentationens indsigelsesret udgår eller præciseres, så det tydeliggøres, om udlejer i ejendomme, hvor der findes beboerrepræsentation, både skal indbringe indsigelser fra enkelte lejere og beboerrepræsentationer eller alene fra beboerrepræsentationer.</w:t>
      </w:r>
    </w:p>
    <w:p w14:paraId="600ECE3B" w14:textId="22888ADE" w:rsidR="00A5387C" w:rsidRDefault="00A5387C" w:rsidP="00B54066">
      <w:pPr>
        <w:jc w:val="both"/>
      </w:pPr>
      <w:r w:rsidRPr="00336242">
        <w:rPr>
          <w:i/>
        </w:rPr>
        <w:t>Indenrigs- og Boligministeriet</w:t>
      </w:r>
      <w:r>
        <w:t xml:space="preserve"> skal hertil bemærke, at det foreslåede vil blive imødekommet ved, at det i bemærkningerne præciseres, at udlejer alene skal indbringe </w:t>
      </w:r>
      <w:r w:rsidR="00196EF8">
        <w:t>é</w:t>
      </w:r>
      <w:r w:rsidR="003C1597">
        <w:t>n sag for huslejenævnet</w:t>
      </w:r>
      <w:r w:rsidR="003C7832">
        <w:t xml:space="preserve"> uanset</w:t>
      </w:r>
      <w:r w:rsidR="003C1597">
        <w:t>,</w:t>
      </w:r>
      <w:r w:rsidR="003C7832">
        <w:t xml:space="preserve"> at der</w:t>
      </w:r>
      <w:r>
        <w:t xml:space="preserve"> er indgivet indsigelse fra både lejer og beboerrepræsentation.</w:t>
      </w:r>
    </w:p>
    <w:p w14:paraId="26F69318" w14:textId="3EB08CD0" w:rsidR="00FE33FD" w:rsidRDefault="00FE33FD" w:rsidP="00B54066">
      <w:pPr>
        <w:jc w:val="both"/>
      </w:pPr>
      <w:r w:rsidRPr="00FE33FD">
        <w:rPr>
          <w:u w:val="single"/>
        </w:rPr>
        <w:t>LLO</w:t>
      </w:r>
      <w:r w:rsidRPr="00FE33FD">
        <w:t xml:space="preserve"> finder det overraskende, at ministeriet vil give ét nævn så stor magt over </w:t>
      </w:r>
      <w:proofErr w:type="spellStart"/>
      <w:r w:rsidRPr="00FE33FD">
        <w:t>retsudviklingen</w:t>
      </w:r>
      <w:proofErr w:type="spellEnd"/>
      <w:r w:rsidRPr="00FE33FD">
        <w:t xml:space="preserve">. Vi er klar over, at det fremgår af aftaleteksten, at der er tale om ”et eller to” centrale nævn. Vi skal indledningsvist understrege, at vi ikke har et problem med de </w:t>
      </w:r>
      <w:r w:rsidRPr="00FE33FD">
        <w:lastRenderedPageBreak/>
        <w:t>dygtige jurister i Aarhus huslejenævn</w:t>
      </w:r>
      <w:r>
        <w:t xml:space="preserve">, men </w:t>
      </w:r>
      <w:r w:rsidRPr="00FE33FD">
        <w:t>LLO vil opfordre til at lade de lokale huslejenævn afgøre disse sager</w:t>
      </w:r>
      <w:r>
        <w:t>.</w:t>
      </w:r>
    </w:p>
    <w:p w14:paraId="1616CBAD" w14:textId="0BD13855" w:rsidR="00336242" w:rsidRDefault="00336242" w:rsidP="00336242">
      <w:r w:rsidRPr="00F73CFD">
        <w:rPr>
          <w:u w:val="single"/>
        </w:rPr>
        <w:t>Danmarks Lejerforeninger</w:t>
      </w:r>
      <w:r>
        <w:t xml:space="preserve"> bemærker, at det findes uacceptabelt at lovforslaget tilsyneladende – uvist af hvilken grund – henviser behandling alle tvister angående ulovlige nettoprisindekserede lejeforhøjelser til Huslejenævnet i Aarhus. </w:t>
      </w:r>
      <w:r w:rsidR="001C6FE5">
        <w:t xml:space="preserve">Danmarks Lejerforeninger mener, at </w:t>
      </w:r>
      <w:r>
        <w:t xml:space="preserve">de enkelte eksisterende Huslejenævn </w:t>
      </w:r>
      <w:r w:rsidR="001C6FE5">
        <w:t xml:space="preserve">kan </w:t>
      </w:r>
      <w:r>
        <w:t xml:space="preserve">tage sig af disse tvister. </w:t>
      </w:r>
    </w:p>
    <w:p w14:paraId="22ABCB8E" w14:textId="69BEB3F8" w:rsidR="00FE33FD" w:rsidRDefault="00FE33FD" w:rsidP="00B54066">
      <w:pPr>
        <w:jc w:val="both"/>
      </w:pPr>
      <w:r w:rsidRPr="00FE33FD">
        <w:rPr>
          <w:i/>
        </w:rPr>
        <w:t>Indenrigs- og Boligministeriet</w:t>
      </w:r>
      <w:r>
        <w:t xml:space="preserve"> skal hertil bemærke, at det er prioriteret at sikre, at sagsbehandlingstiden for disse sager holdes kort. Aarhus huslejenævn har </w:t>
      </w:r>
      <w:r w:rsidR="008B5F39">
        <w:t xml:space="preserve">på </w:t>
      </w:r>
      <w:r>
        <w:t xml:space="preserve">trods </w:t>
      </w:r>
      <w:r w:rsidR="008B5F39">
        <w:t xml:space="preserve">af </w:t>
      </w:r>
      <w:r>
        <w:t>at være et af de huslejenævn, som modtager flest sager, en af landet</w:t>
      </w:r>
      <w:r w:rsidR="008B5F39">
        <w:t>s korteste sagsbehandlingstider</w:t>
      </w:r>
      <w:r>
        <w:t xml:space="preserve"> og er derfor vurderet </w:t>
      </w:r>
      <w:r w:rsidR="008B5F39">
        <w:t xml:space="preserve">til at være </w:t>
      </w:r>
      <w:r>
        <w:t>et ideelt valg til at håndtere behandlingen af disse typer sager. Ministeriet vurderer ikke, at en kort sagsbehandlingstid kan garanteres, såfremt sagsbehandlingen skulle ske af de lokale nævn. Det foreslåede kan derfor ikke imødekommes.</w:t>
      </w:r>
    </w:p>
    <w:p w14:paraId="705D881F" w14:textId="7C473F25" w:rsidR="00FE33FD" w:rsidRDefault="00FE33FD" w:rsidP="00FE33FD">
      <w:pPr>
        <w:jc w:val="both"/>
      </w:pPr>
      <w:r w:rsidRPr="00FE33FD">
        <w:rPr>
          <w:u w:val="single"/>
        </w:rPr>
        <w:t>LLO</w:t>
      </w:r>
      <w:r>
        <w:t xml:space="preserve"> finder, at det bør præciseres</w:t>
      </w:r>
      <w:r w:rsidR="008B5F39">
        <w:t>,</w:t>
      </w:r>
      <w:r>
        <w:t xml:space="preserve"> hvilken boligret der kan ankes til. Dette bør følge ejendommen, efter de almindelige regler i lov om boligforhold § 92, stk. 1, så fx nordsjællandske lejere ikke behøver at tage til Aarhus, hvis deres udlejer indbringer huslejenævnets afgørelse for domstolene.</w:t>
      </w:r>
    </w:p>
    <w:p w14:paraId="30F80D10" w14:textId="15E6B275" w:rsidR="00FE33FD" w:rsidRDefault="00FE33FD" w:rsidP="00FE33FD">
      <w:pPr>
        <w:jc w:val="both"/>
      </w:pPr>
      <w:r w:rsidRPr="00FE33FD">
        <w:rPr>
          <w:i/>
        </w:rPr>
        <w:t>Indenrigs- og Boligministeriet</w:t>
      </w:r>
      <w:r>
        <w:t xml:space="preserve"> skal hertil bemærke, at det også er ministeriets opfattelse, at indbringelsen skal ske efter de almindelige regler. Dette vil blive præciseret i bemærkningerne.</w:t>
      </w:r>
    </w:p>
    <w:p w14:paraId="4E58DEB6" w14:textId="0B1ED6A2" w:rsidR="006B54DE" w:rsidRDefault="006B54DE" w:rsidP="00FE33FD">
      <w:pPr>
        <w:jc w:val="both"/>
      </w:pPr>
      <w:r w:rsidRPr="006B54DE">
        <w:rPr>
          <w:u w:val="single"/>
        </w:rPr>
        <w:t>Husleje- og beboerklagenævnsforeningen</w:t>
      </w:r>
      <w:r>
        <w:t xml:space="preserve"> anfører, at m</w:t>
      </w:r>
      <w:r w:rsidRPr="006B54DE">
        <w:t xml:space="preserve">edmindre det ønskes, at afgørelser fra huslejenævnet i Aarhus vedrørende ejendomme beliggende i Københavns Kommune skal indbringes for huslejeankenævnet, skal der i lov om boligforhold § 89, stk. 1, tilføjes, at afgørelser om varslinger efter § 53 a ikke kan indbringes for ankenævnet.  </w:t>
      </w:r>
    </w:p>
    <w:p w14:paraId="391CC18B" w14:textId="34608AB0" w:rsidR="006B54DE" w:rsidRDefault="006B54DE" w:rsidP="00FE33FD">
      <w:pPr>
        <w:jc w:val="both"/>
      </w:pPr>
      <w:r w:rsidRPr="006B54DE">
        <w:rPr>
          <w:i/>
        </w:rPr>
        <w:t>Indenrigs- og Boligministeriet</w:t>
      </w:r>
      <w:r>
        <w:t xml:space="preserve"> skal hertil bemærke, at der vil blive indsat en bestemmelse, som imødekommer det foreslåede.</w:t>
      </w:r>
    </w:p>
    <w:p w14:paraId="3A19BC83" w14:textId="700C373A" w:rsidR="006B54DE" w:rsidRDefault="006B54DE" w:rsidP="006B54DE">
      <w:r w:rsidRPr="006B54DE">
        <w:rPr>
          <w:u w:val="single"/>
        </w:rPr>
        <w:t>Husleje- og beboerklagenævnsforeningen</w:t>
      </w:r>
      <w:r>
        <w:t xml:space="preserve"> finder</w:t>
      </w:r>
      <w:r w:rsidR="008B5F39">
        <w:t xml:space="preserve"> det endvidere </w:t>
      </w:r>
      <w:r>
        <w:t>relevant at indsætte en pligt for huslejenævnet i Aarhus til at orientere det lokale huslejenævn om afgørelser, som træffes vedrørende ejendomme beliggende i andre kommuner end Aarhus Kommune.</w:t>
      </w:r>
    </w:p>
    <w:p w14:paraId="76B54838" w14:textId="3A023552" w:rsidR="006B54DE" w:rsidRPr="003911B0" w:rsidRDefault="006B54DE" w:rsidP="003911B0">
      <w:pPr>
        <w:rPr>
          <w:rFonts w:asciiTheme="minorHAnsi" w:hAnsiTheme="minorHAnsi" w:cstheme="minorBidi"/>
        </w:rPr>
      </w:pPr>
      <w:r w:rsidRPr="006B54DE">
        <w:rPr>
          <w:i/>
        </w:rPr>
        <w:t>Indenrigs- og Boligministeriet</w:t>
      </w:r>
      <w:r>
        <w:t xml:space="preserve"> skal bemærke, at ordningen lige netop er centraliseret hos et nævn, fordi det vurderes</w:t>
      </w:r>
      <w:r w:rsidR="008B5F39">
        <w:t>,</w:t>
      </w:r>
      <w:r>
        <w:t xml:space="preserve"> at sagerne ikke har en sådan tilknytning til den almindelige sagsbehandling, at det er nødvendigt at behandle sagen hos det lokale nævn. Af samme grund findes det ikke nødvendigt at indsætte en forpligtelse for huslejenævnet i Aarhus til at orientere det lokale nævn om afgørelse, som træffes vedrørende ejendomme beliggende i andre kommuner end Aarhus kommune.</w:t>
      </w:r>
    </w:p>
    <w:p w14:paraId="2EAFBE50" w14:textId="0F833D23" w:rsidR="001F0D0E" w:rsidRPr="00B54066" w:rsidRDefault="001F0D0E" w:rsidP="001F0D0E">
      <w:pPr>
        <w:pStyle w:val="Overskrift2"/>
      </w:pPr>
      <w:r>
        <w:t xml:space="preserve">Lovforslagets § 1, nr. </w:t>
      </w:r>
      <w:r w:rsidR="00651235">
        <w:t>4</w:t>
      </w:r>
      <w:r>
        <w:t xml:space="preserve"> - Den foreslåede § 53 a, stk. 5</w:t>
      </w:r>
    </w:p>
    <w:p w14:paraId="4B959B01" w14:textId="6B749A6F" w:rsidR="00FE33FD" w:rsidRDefault="00FE33FD" w:rsidP="00FE33FD">
      <w:pPr>
        <w:jc w:val="both"/>
      </w:pPr>
      <w:r w:rsidRPr="008B5F39">
        <w:rPr>
          <w:u w:val="single"/>
        </w:rPr>
        <w:t>LLO</w:t>
      </w:r>
      <w:r w:rsidRPr="00FE33FD">
        <w:t xml:space="preserve"> foreslår</w:t>
      </w:r>
      <w:r w:rsidR="008B5F39">
        <w:t>,</w:t>
      </w:r>
      <w:r w:rsidRPr="00FE33FD">
        <w:t xml:space="preserve"> at anken gives opsættende virkning, således at huslejeopkrævningen af for lidt betalt leje, først kan kræves ved endelig dom eller afgørelse.</w:t>
      </w:r>
    </w:p>
    <w:p w14:paraId="0DC190DC" w14:textId="1153BD7C" w:rsidR="00FE33FD" w:rsidRDefault="00FE33FD" w:rsidP="00FE33FD">
      <w:pPr>
        <w:jc w:val="both"/>
      </w:pPr>
      <w:r w:rsidRPr="008B5F39">
        <w:rPr>
          <w:i/>
        </w:rPr>
        <w:t>Indenrigs- og Boligministeriet</w:t>
      </w:r>
      <w:r>
        <w:t xml:space="preserve"> skal hertil bemærke, at dette efter lovforslaget allerede er gældende, idet der i den foreslåede § 53 a, stk. 4, angives ”når endelig huslejenævnsafgørelse forligger, reguleres lejen…”. Det er ministeriets opfattelse, at en huslejenævnsafgørelse, som er indbragt for boligretten inden for 4 uger fra afgørelsen</w:t>
      </w:r>
      <w:r w:rsidR="008B5F39">
        <w:t>, og</w:t>
      </w:r>
      <w:r>
        <w:t xml:space="preserve"> er meddelt parterne, først er endelig, når der foreligger endelig dom herom.</w:t>
      </w:r>
    </w:p>
    <w:p w14:paraId="7B3900C7" w14:textId="08ED2E1D" w:rsidR="001F0D0E" w:rsidRPr="00B54066" w:rsidRDefault="001F0D0E" w:rsidP="001F0D0E">
      <w:pPr>
        <w:pStyle w:val="Overskrift2"/>
      </w:pPr>
      <w:r>
        <w:lastRenderedPageBreak/>
        <w:t xml:space="preserve">Lovforslagets § 1, nr. </w:t>
      </w:r>
      <w:r w:rsidR="00651235">
        <w:t>5</w:t>
      </w:r>
      <w:r>
        <w:t xml:space="preserve"> - Den foreslåede § 54, stk. 4</w:t>
      </w:r>
    </w:p>
    <w:p w14:paraId="485CD6B0" w14:textId="4C6C8FE5" w:rsidR="00FE33FD" w:rsidRDefault="00FE33FD" w:rsidP="00FE33FD">
      <w:pPr>
        <w:jc w:val="both"/>
      </w:pPr>
      <w:r w:rsidRPr="001F0D0E">
        <w:rPr>
          <w:u w:val="single"/>
        </w:rPr>
        <w:t>LLO</w:t>
      </w:r>
      <w:r>
        <w:t xml:space="preserve"> spørger, om ministeriet vil bekræfte</w:t>
      </w:r>
      <w:r w:rsidR="008B5F39">
        <w:t>,</w:t>
      </w:r>
      <w:r>
        <w:t xml:space="preserve"> at loven med lovforslaget også giver lejere med fri leje mulighed for at nedsætte lejen, i tilfælde af opkrævninger, som overstiger huslejeloftet?</w:t>
      </w:r>
    </w:p>
    <w:p w14:paraId="53CE2866" w14:textId="5D8976DD" w:rsidR="00FE33FD" w:rsidRDefault="00FE33FD" w:rsidP="00FE33FD">
      <w:pPr>
        <w:jc w:val="both"/>
      </w:pPr>
      <w:r w:rsidRPr="001F0D0E">
        <w:rPr>
          <w:i/>
        </w:rPr>
        <w:t>Indenrigs- og Boligministeriet</w:t>
      </w:r>
      <w:r>
        <w:t xml:space="preserve"> skal hertil bemærke, at lejelovens § 55, hvorefter uenighed om lejeaftalen </w:t>
      </w:r>
      <w:r w:rsidR="001F0D0E">
        <w:t>i henhold til § 54 kan afgøres af huslejenævnet, efter ministeriets opfattelse tillige indebærer, at lejer kan få prøvet om en lejeregulering i henhold til § 54 er retmæssig. Dette kan derfor bekræftes.</w:t>
      </w:r>
    </w:p>
    <w:p w14:paraId="444E1ADB" w14:textId="57764A71" w:rsidR="001F0D0E" w:rsidRPr="00B54066" w:rsidRDefault="001F0D0E" w:rsidP="001F0D0E">
      <w:pPr>
        <w:pStyle w:val="Overskrift2"/>
      </w:pPr>
      <w:r>
        <w:t>Lovforslagets § 2, nr. 1 - Den foreslåede § 86 a</w:t>
      </w:r>
    </w:p>
    <w:p w14:paraId="7DA1E721" w14:textId="168B031A" w:rsidR="001F0D0E" w:rsidRDefault="001F0D0E" w:rsidP="001F0D0E">
      <w:pPr>
        <w:jc w:val="both"/>
      </w:pPr>
      <w:r w:rsidRPr="001F0D0E">
        <w:rPr>
          <w:u w:val="single"/>
        </w:rPr>
        <w:t>LLO</w:t>
      </w:r>
      <w:r>
        <w:t xml:space="preserve"> mener ikke, at loven bør implementeres således, at udlejer kan indbringe sager efter LL § 53 a for domstolene, hvis huslejenævnet ikke afgør sagen inden 3 måneder. Der er i forvejen sådanne kortere frister for nævnet i LL § 19, stk. 3. Lovgiver mener ikke, at disse sager bør sanktioneres. Derfor bør sager om huslejeloft heller ikke blive det. LLO bemærker, at der i forvejen er hjemmel til at undgå langsommelige nævn ved i stedet at tage sagen for boligretten jf. LBF § 88, stk. 6.</w:t>
      </w:r>
      <w:r w:rsidRPr="001F0D0E">
        <w:t xml:space="preserve"> LLO mener derfor ikke, at udlejer bør gives en særlig hjemmel til at springe huslejenævnet over.</w:t>
      </w:r>
    </w:p>
    <w:p w14:paraId="6E02B204" w14:textId="67C562A8" w:rsidR="001F0D0E" w:rsidRDefault="001F0D0E" w:rsidP="001F0D0E">
      <w:pPr>
        <w:jc w:val="both"/>
      </w:pPr>
      <w:r w:rsidRPr="001F0D0E">
        <w:rPr>
          <w:i/>
        </w:rPr>
        <w:t>Indenrigs- og Boligministeriet</w:t>
      </w:r>
      <w:r>
        <w:t xml:space="preserve"> skal hertil bemærke, at det er politisk prioriteret, at sagsbehandlingstiden for disse typer sager holdes kort, og derfor er det også fundet hensigtsmæssigt, at huslejenævn ikke uden konsekvenser kan forhale sagsbehandlingen ud over den i loven fastsatte frist. Det foreslåede kan derfor ikke imødekommes.</w:t>
      </w:r>
    </w:p>
    <w:p w14:paraId="0A9A3886" w14:textId="07F11465" w:rsidR="00BA7327" w:rsidRDefault="00BA7327" w:rsidP="00BA7327">
      <w:pPr>
        <w:pStyle w:val="Overskrift2"/>
      </w:pPr>
      <w:r>
        <w:t>Lovforslagets § 3, stk. 2.</w:t>
      </w:r>
    </w:p>
    <w:p w14:paraId="46A82841" w14:textId="346A7C25" w:rsidR="00BA7327" w:rsidRDefault="00BA7327" w:rsidP="00BA7327">
      <w:proofErr w:type="spellStart"/>
      <w:r w:rsidRPr="00BA7327">
        <w:rPr>
          <w:u w:val="single"/>
        </w:rPr>
        <w:t>EjendomDanmark</w:t>
      </w:r>
      <w:proofErr w:type="spellEnd"/>
      <w:r>
        <w:t xml:space="preserve"> vurderer, at der er tale om lovgivning med tilbagevirkende kraft, og foreslår, at bestemmelsen udgår, således at indgrebet alene får virkning på lejetilpasninger, der er foretaget efter lovens ikrafttræden.</w:t>
      </w:r>
    </w:p>
    <w:p w14:paraId="7429698F" w14:textId="10F138F7" w:rsidR="00BA7327" w:rsidRDefault="00BA7327" w:rsidP="00BA7327">
      <w:r w:rsidRPr="00BA7327">
        <w:rPr>
          <w:i/>
        </w:rPr>
        <w:t>Indenrigs- og Boligministeriet</w:t>
      </w:r>
      <w:r>
        <w:t xml:space="preserve"> skal hertil bemærke, at der efter ministeriets vurdering ikke er tale om tilbagevirkende kraft, idet der alene gribes ind i reguleringen fremadrettet. Ydermere gribes der kun ind i lejen på et tidspunkt, hvor udlejer ikke er tilsikret lejebetalingen, da lejer ved opsigelse kunne have bragt lejeforholdet til ophør på dette tidspunkt. Det foreslåede kan derfor ikke imødekommes.</w:t>
      </w:r>
    </w:p>
    <w:p w14:paraId="1123210B" w14:textId="722524F8" w:rsidR="001F0D0E" w:rsidRDefault="001F0D0E" w:rsidP="001F0D0E">
      <w:r w:rsidRPr="001F0D0E">
        <w:rPr>
          <w:u w:val="single"/>
        </w:rPr>
        <w:t>LLO</w:t>
      </w:r>
      <w:r>
        <w:t xml:space="preserve"> bemærker, at uopsigelige lejemål stilles ringe i forhold til de</w:t>
      </w:r>
      <w:r w:rsidR="008B5F39">
        <w:t>t</w:t>
      </w:r>
      <w:r>
        <w:t xml:space="preserve"> foreslåede lovforslag. Har udlejer fx allerede meddelt en huslejestigning på 8,8% i et lejemål, der er tidsbegrænset i to år, uden lejeren kan sige det op, må lejeren således leve med stigningen på 8,8% i resten af lejeperioden. LLO mener, at huslejeloftet dækker i ringe grad for lejere boende i tidsbegrænsede lejemål, som allerede er meddelt stigninger. LLO vil opfordre til at lave et mere virksomt huslejeloft. LLO bemærker desuden, at huslejeloftet gælder for fremtidige meddelelser alligevel. Skulle udlejer fx have glemt at meddele stigningen på 8,8% inden lovens ikrafttræden d. 30. september, vil udlejer alligevel kun kunne kræve 4%. LLO opfordrer derfor til at beskytte lejere i uopsigelige lejemål yderligere.</w:t>
      </w:r>
    </w:p>
    <w:p w14:paraId="442EB766" w14:textId="6B441E3F" w:rsidR="001F0D0E" w:rsidRDefault="001F0D0E" w:rsidP="001F0D0E">
      <w:r w:rsidRPr="001F0D0E">
        <w:rPr>
          <w:i/>
        </w:rPr>
        <w:t>Indenrigs- og Boligministeriet</w:t>
      </w:r>
      <w:r>
        <w:t xml:space="preserve"> skal hertil bemærke, at en ændring som den foreslåede af LLO væsentligt vil øge intensiteten af indgrebet. Dette vurderes uhensigtsmæssigt, og det foreslåede kan derfor ikke imødekommes.</w:t>
      </w:r>
    </w:p>
    <w:p w14:paraId="3BE7E633" w14:textId="77777777" w:rsidR="006B5429" w:rsidRDefault="006B5429" w:rsidP="006B5429">
      <w:pPr>
        <w:pStyle w:val="Overskrift2"/>
      </w:pPr>
      <w:r>
        <w:rPr>
          <w:bCs w:val="0"/>
        </w:rPr>
        <w:lastRenderedPageBreak/>
        <w:t>3</w:t>
      </w:r>
      <w:r w:rsidRPr="00577579">
        <w:rPr>
          <w:bCs w:val="0"/>
        </w:rPr>
        <w:t>.</w:t>
      </w:r>
      <w:r w:rsidRPr="00577579">
        <w:t xml:space="preserve"> </w:t>
      </w:r>
      <w:r>
        <w:t>Bemærkninger til forslaget til bekendtgørelsen</w:t>
      </w:r>
    </w:p>
    <w:p w14:paraId="4A7709AB" w14:textId="77777777" w:rsidR="006B5429" w:rsidRDefault="006B5429" w:rsidP="006B5429">
      <w:pPr>
        <w:pStyle w:val="Overskrift3"/>
        <w:rPr>
          <w:b/>
          <w:i w:val="0"/>
        </w:rPr>
      </w:pPr>
      <w:r>
        <w:rPr>
          <w:b/>
          <w:i w:val="0"/>
        </w:rPr>
        <w:t>Bemærkninger til bekendtgørelsen generelt</w:t>
      </w:r>
    </w:p>
    <w:p w14:paraId="3998E307" w14:textId="45C8F675" w:rsidR="006B5429" w:rsidRDefault="00747E8E" w:rsidP="006B5429">
      <w:proofErr w:type="spellStart"/>
      <w:r w:rsidRPr="00747E8E">
        <w:rPr>
          <w:u w:val="single"/>
        </w:rPr>
        <w:t>EjendomDanmark</w:t>
      </w:r>
      <w:proofErr w:type="spellEnd"/>
      <w:r w:rsidRPr="00747E8E">
        <w:rPr>
          <w:u w:val="single"/>
        </w:rPr>
        <w:t xml:space="preserve"> </w:t>
      </w:r>
      <w:r>
        <w:t>anbefaler, at der i stedet for at tage udgangspunkt i specifikke datoer og foregående kalenderår tages udgangspunkt i en 12-måneders periode.</w:t>
      </w:r>
    </w:p>
    <w:p w14:paraId="49A3AD89" w14:textId="142B1878" w:rsidR="00747E8E" w:rsidRDefault="00747E8E" w:rsidP="006B5429">
      <w:r w:rsidRPr="00747E8E">
        <w:rPr>
          <w:i/>
        </w:rPr>
        <w:t>Indenrigs- og Boligministeriet</w:t>
      </w:r>
      <w:r>
        <w:t xml:space="preserve"> skal hertil bemærke, at der af hensyn til sikringen af en effektiv prøvelse ved huslejenævnet er fundet hensigtsmæssigt</w:t>
      </w:r>
      <w:r w:rsidR="008B5F39">
        <w:t>,</w:t>
      </w:r>
      <w:r>
        <w:t xml:space="preserve"> at der tages udgangspunkt i samme periode for alle reguleringer. Herudover kommer, at såfremt det skulle være fastsat efter en 12-måneders periode, ville det hensigtsmæssigt være samme 12-måneders periode, som reguleringen efter udviklingen i nettoprisindekset vedrører. Så vidt ministeriet er bekendt, er der ikke nødvendigvis sammenfald mellem denne 12-måneders periode og regnskabsåret for virksomhederne, og derfor ville fastsættelsen af en sådan 12-måneders periode også kunne føre til yderligere uhensigtsmæssigheder. Af hensyn til ordningens generelle anvendelse er det derfor fundet hensigtsmæssigt at tage udgangspunkt i kalenderåret. For så vidt angår specifikke datoer, er disse alene anvendt, når det af hensyn til at undgå omgåelse er fundet nødvendigt med skæringsdatoer. Det foreslåede kan på den baggrund ikke imødekommes.</w:t>
      </w:r>
    </w:p>
    <w:p w14:paraId="6026B071" w14:textId="2F493692" w:rsidR="00247F78" w:rsidRDefault="00F83719" w:rsidP="006B5429">
      <w:r w:rsidRPr="00F73CFD">
        <w:rPr>
          <w:u w:val="single"/>
        </w:rPr>
        <w:t>DI Byggeri</w:t>
      </w:r>
      <w:r w:rsidR="00247F78">
        <w:t xml:space="preserve"> bemærker, at </w:t>
      </w:r>
      <w:r w:rsidR="00247F78" w:rsidRPr="00247F78">
        <w:t xml:space="preserve">det </w:t>
      </w:r>
      <w:r w:rsidR="00247F78">
        <w:t xml:space="preserve">bør </w:t>
      </w:r>
      <w:r w:rsidR="00247F78" w:rsidRPr="00247F78">
        <w:t xml:space="preserve">præciseres </w:t>
      </w:r>
      <w:r w:rsidR="00247F78">
        <w:t>i bekendtgørelsen, hvad der gæl</w:t>
      </w:r>
      <w:r w:rsidR="00247F78" w:rsidRPr="00247F78">
        <w:t>der, hvis en ejendom ændres (eksempelvis opdeles i ejerlejl</w:t>
      </w:r>
      <w:r w:rsidR="00247F78">
        <w:t>ig</w:t>
      </w:r>
      <w:r w:rsidR="00247F78" w:rsidRPr="00247F78">
        <w:t>heder, som anses for selvstændige ejendomme).</w:t>
      </w:r>
    </w:p>
    <w:p w14:paraId="55E0AD8F" w14:textId="6DDE5186" w:rsidR="00247F78" w:rsidRDefault="00247F78" w:rsidP="00247F78">
      <w:r w:rsidRPr="00EF6AE0">
        <w:rPr>
          <w:i/>
        </w:rPr>
        <w:t>Indenrigs- og Boligministeriet</w:t>
      </w:r>
      <w:r>
        <w:t xml:space="preserve"> skal hertil bemærke</w:t>
      </w:r>
      <w:r w:rsidR="001B40D7">
        <w:t xml:space="preserve">, at der vil gælde de almindelige regler. Det er i den foreslåede § 1, nr. 1, fastsat regler for valg af ejendomsbegreb, hvilket tillige vil finde anvendelse for bekendtgørelsen. </w:t>
      </w:r>
    </w:p>
    <w:p w14:paraId="6946A8B5" w14:textId="26BF573B" w:rsidR="00247F78" w:rsidRDefault="00F83719" w:rsidP="00247F78">
      <w:r w:rsidRPr="00F73CFD">
        <w:rPr>
          <w:u w:val="single"/>
        </w:rPr>
        <w:t>DI Byggeri</w:t>
      </w:r>
      <w:r w:rsidR="00247F78">
        <w:t xml:space="preserve"> bemærker, at</w:t>
      </w:r>
      <w:r w:rsidR="00247F78" w:rsidRPr="00247F78">
        <w:t xml:space="preserve"> man for visse u</w:t>
      </w:r>
      <w:r w:rsidR="00247F78">
        <w:t>dgiftsposter har lagt op til en skæ</w:t>
      </w:r>
      <w:r w:rsidR="00247F78" w:rsidRPr="00247F78">
        <w:t>ringsdato for udgiftsopgørelse</w:t>
      </w:r>
      <w:r w:rsidR="00247F78">
        <w:t>n den 1. september 2022. Det be</w:t>
      </w:r>
      <w:r w:rsidR="00247F78" w:rsidRPr="00247F78">
        <w:t>mærkes, at sådan en fremgang</w:t>
      </w:r>
      <w:r w:rsidR="00247F78">
        <w:t>småde ikke altid vil være retvi</w:t>
      </w:r>
      <w:r w:rsidR="00247F78" w:rsidRPr="00247F78">
        <w:t>sende for opgørelsen. Derudover fremgår det f.eks. ikke hvilken skæringsdato, der gælder for den næstkommende regulering i 2023.</w:t>
      </w:r>
    </w:p>
    <w:p w14:paraId="6451BD93" w14:textId="70FED1B8" w:rsidR="00247F78" w:rsidRDefault="00247F78" w:rsidP="00247F78">
      <w:r w:rsidRPr="00EF6AE0">
        <w:rPr>
          <w:i/>
        </w:rPr>
        <w:t>Indenrigs- og Boligministeriet</w:t>
      </w:r>
      <w:r>
        <w:t xml:space="preserve"> skal hertil bemærke, at skæringsdatoen er gældende for både anvendelsen af undtagelsesordningen ved en regulering efter stigningerne i 2022 og 2023. Hensigten er, at det ikke ved omlægning af finansieringen skal være muligt at hæve udgifterne til finansiering til ulempe for lejerne.</w:t>
      </w:r>
    </w:p>
    <w:p w14:paraId="7AC07328" w14:textId="452A06DB" w:rsidR="006B54DE" w:rsidRDefault="006B54DE" w:rsidP="00247F78">
      <w:r w:rsidRPr="006B54DE">
        <w:rPr>
          <w:u w:val="single"/>
        </w:rPr>
        <w:t>Husleje- og beboerklagenævnsforeningen</w:t>
      </w:r>
      <w:r>
        <w:t xml:space="preserve"> bemærker, at der o</w:t>
      </w:r>
      <w:r w:rsidRPr="006B54DE">
        <w:t>veralt i bekendtgørelsen foreskrives opgørelse af udgiftsstigninger pr. kalenderår i det år, som udviklingen i nettoprisindekset vedrører, men det forekommer usikkert, om en sådan model vil være operationel i de tilfælde, hvor udlejer aftalemæssigt alene kan regulere på et andet tidspunkt end den 1. januar, hvorved stigningen er baseret på pristalsudviklingen i to forskellige kalenderår.</w:t>
      </w:r>
    </w:p>
    <w:p w14:paraId="7855D7BF" w14:textId="76C944FE" w:rsidR="006B54DE" w:rsidRDefault="006B54DE" w:rsidP="00247F78">
      <w:r w:rsidRPr="006B54DE">
        <w:rPr>
          <w:i/>
        </w:rPr>
        <w:t>Indenrigs- og Boligministeriet</w:t>
      </w:r>
      <w:r>
        <w:t xml:space="preserve"> skal hertil bemærke, at ministeriet er bekendt med, at der ikke nødvendigvis er sammenfald med tidspunktet for regulering, men at ordningen netop af denne grund også er indrettet sådan, at der kan ske en særskilt regulering efter undtagelsesordningen. Denne kan så foretages, når udgiftsstigningerne for kalenderåret kendes.</w:t>
      </w:r>
    </w:p>
    <w:p w14:paraId="422A4B61" w14:textId="07126F5B" w:rsidR="00EF6AE0" w:rsidRDefault="00EF6AE0" w:rsidP="00EF6AE0">
      <w:pPr>
        <w:pStyle w:val="Overskrift3"/>
        <w:rPr>
          <w:b/>
          <w:i w:val="0"/>
        </w:rPr>
      </w:pPr>
      <w:r>
        <w:rPr>
          <w:b/>
          <w:i w:val="0"/>
        </w:rPr>
        <w:lastRenderedPageBreak/>
        <w:t>Bemærkninger til bekendtgørelsens enkelte dele</w:t>
      </w:r>
    </w:p>
    <w:p w14:paraId="1D7D631A" w14:textId="46175949" w:rsidR="006B5429" w:rsidRDefault="00EF6AE0" w:rsidP="00741019">
      <w:pPr>
        <w:pStyle w:val="Overskrift3"/>
        <w:rPr>
          <w:b/>
          <w:i w:val="0"/>
        </w:rPr>
      </w:pPr>
      <w:r>
        <w:rPr>
          <w:b/>
          <w:i w:val="0"/>
        </w:rPr>
        <w:t>Bekendtgørelsens § 2</w:t>
      </w:r>
    </w:p>
    <w:p w14:paraId="0899E1A2" w14:textId="4C2AEE1E" w:rsidR="00EF6AE0" w:rsidRDefault="00EF6AE0" w:rsidP="00EF6AE0">
      <w:proofErr w:type="spellStart"/>
      <w:r w:rsidRPr="001B40D7">
        <w:rPr>
          <w:u w:val="single"/>
        </w:rPr>
        <w:t>EjendomDanmark</w:t>
      </w:r>
      <w:proofErr w:type="spellEnd"/>
      <w:r>
        <w:t xml:space="preserve"> bemærker, at bestemmelsen om, at en ”udgiftsstigning ikke kan medtages i det omfang, udgiften knytter sig til den del af ejendommen, som ikke anvendes til beboelse” (forslagets § 2, stk. 2) kan medføre en konflikt med de ellers gældende regler om, at der ikke må udarbejdes splitbudgetter for ejendomme, der udlejes efter reglerne om omkostningsbestemt leje. </w:t>
      </w:r>
      <w:r w:rsidR="001B40D7">
        <w:t>Dette kan føre t</w:t>
      </w:r>
      <w:r>
        <w:t xml:space="preserve">il, at udlejer eller dennes administrator både skal lave en omkostningsbestemt beregning og derefter en beregning efter bekendtgørelsen. </w:t>
      </w:r>
      <w:proofErr w:type="spellStart"/>
      <w:r>
        <w:t>EjendomDanmark</w:t>
      </w:r>
      <w:proofErr w:type="spellEnd"/>
      <w:r>
        <w:t xml:space="preserve"> skal derfor foreslå, at bestemmelsen udgår.</w:t>
      </w:r>
    </w:p>
    <w:p w14:paraId="45C79E3F" w14:textId="15824442" w:rsidR="00EF6AE0" w:rsidRDefault="00EF6AE0" w:rsidP="00EF6AE0">
      <w:r w:rsidRPr="00EF6AE0">
        <w:rPr>
          <w:i/>
        </w:rPr>
        <w:t>Indenrigs- og Boligministeriet</w:t>
      </w:r>
      <w:r>
        <w:t xml:space="preserve"> skal hertil bemærke</w:t>
      </w:r>
      <w:r w:rsidR="001B40D7">
        <w:t>, at det af hensyn til opgørelsen af stigningen i udgifterne knyttet til ejendommen er fundet hensigtsmæssigt at trække udgifter, som ikke angår beboelse ud af beregningen, da beboelseslejerne ellers vil kunne pålægges lejestigninger som følge af stigninger i udgifterne til den del af ejendommen, som ikke anvendes til beboelse. I det omfang udlejere af ejendomme omfattet af reglerne om omkostningsbestemt leje finder dette uforholdsmæssigt bebyrdende, vil det stadig være muligt i stedet for en nettoprisindeksering af lejen at anvende de almindelige regler om omkostningsbestemt regulering af lejen. Det foreslåede kan derfor ikke imødekommes.</w:t>
      </w:r>
    </w:p>
    <w:p w14:paraId="044B9D89" w14:textId="1A3DDB89" w:rsidR="00247F78" w:rsidRDefault="00F83719" w:rsidP="00EF6AE0">
      <w:r w:rsidRPr="00F73CFD">
        <w:rPr>
          <w:u w:val="single"/>
        </w:rPr>
        <w:t>DI Byggeri</w:t>
      </w:r>
      <w:r w:rsidR="00247F78">
        <w:t xml:space="preserve"> bemærker, at d</w:t>
      </w:r>
      <w:r w:rsidR="00247F78" w:rsidRPr="00247F78">
        <w:t>et følger af bekendtgørelsen § 2, stk. 2, at udgiftsstigning ikke medtages i det omfang, udgiften knytter sig til den del af ejendommen, som ikke anvendes til beboelse. Det bør præciseres, hvad retsstillingen er, hvis en udgift knytter sig til både beboelse og ikke-beboelse, ligesom det og</w:t>
      </w:r>
      <w:r w:rsidR="00247F78">
        <w:t>så bør præciseres, hvad der gæl</w:t>
      </w:r>
      <w:r w:rsidR="00247F78" w:rsidRPr="00247F78">
        <w:t>der, hvis udgifterne ikke direkte er forbundet med beboelses-bygningen.</w:t>
      </w:r>
    </w:p>
    <w:p w14:paraId="358C7962" w14:textId="521BE345" w:rsidR="00247F78" w:rsidRPr="00EF6AE0" w:rsidRDefault="00247F78" w:rsidP="00EF6AE0">
      <w:r w:rsidRPr="00EF6AE0">
        <w:rPr>
          <w:i/>
        </w:rPr>
        <w:t>Indenrigs- og Boligministeriet</w:t>
      </w:r>
      <w:r>
        <w:t xml:space="preserve"> skal hertil bemærke</w:t>
      </w:r>
      <w:r w:rsidR="001B40D7">
        <w:t>, at det foreslåede imødekommes.</w:t>
      </w:r>
    </w:p>
    <w:p w14:paraId="04C5A8D5" w14:textId="59964BD6" w:rsidR="00EF6AE0" w:rsidRDefault="00EF6AE0" w:rsidP="00EF6AE0">
      <w:pPr>
        <w:pStyle w:val="Overskrift3"/>
        <w:rPr>
          <w:b/>
          <w:i w:val="0"/>
        </w:rPr>
      </w:pPr>
      <w:r>
        <w:rPr>
          <w:b/>
          <w:i w:val="0"/>
        </w:rPr>
        <w:t>Bekendtgørelsens § 3</w:t>
      </w:r>
    </w:p>
    <w:p w14:paraId="2B40CE99" w14:textId="72937A9B" w:rsidR="00EF6AE0" w:rsidRDefault="00EF6AE0" w:rsidP="00EF6AE0">
      <w:proofErr w:type="spellStart"/>
      <w:r w:rsidRPr="005312B0">
        <w:rPr>
          <w:u w:val="single"/>
        </w:rPr>
        <w:t>EjendomDanmark</w:t>
      </w:r>
      <w:proofErr w:type="spellEnd"/>
      <w:r>
        <w:t xml:space="preserve"> vurderer, at det ikke er tilstrækkelig tydeligt, hvordan beregningen af s</w:t>
      </w:r>
      <w:r w:rsidR="001B40D7">
        <w:t>k</w:t>
      </w:r>
      <w:r>
        <w:t>atter og afgifter skal foretages, og foreslår derfor, at det til § 3 tilføjes, at beregningen af skatter og afgifter sker efter de andetsteds i lejereguleringen anerkendte principper om, at anvende tre års gennemsnitsforbrug ganget med gældende / kommende takster.</w:t>
      </w:r>
    </w:p>
    <w:p w14:paraId="4A21E9F2" w14:textId="6581CED3" w:rsidR="00EF6AE0" w:rsidRPr="00EF6AE0" w:rsidRDefault="00EF6AE0" w:rsidP="00EF6AE0">
      <w:r w:rsidRPr="00EF6AE0">
        <w:rPr>
          <w:i/>
        </w:rPr>
        <w:t>Indenrigs- og Boligministeriet</w:t>
      </w:r>
      <w:r w:rsidR="00B67860">
        <w:t xml:space="preserve"> skal hertil bemærke, at det ikke i dette henseende er fundet hensigtsmæssigt at anvende princippet om tre års gennemsnitsforbrug, da dette ikke vil reflektere de reelle stigninger i udgifterne knyttet til ejendommen for det aktuelle kalenderår. Det foreslåede kan derfor ikke imødekommes.</w:t>
      </w:r>
    </w:p>
    <w:p w14:paraId="43311DFA" w14:textId="1E7F89FB" w:rsidR="00EF6AE0" w:rsidRDefault="00EF6AE0" w:rsidP="00EF6AE0">
      <w:proofErr w:type="spellStart"/>
      <w:r w:rsidRPr="005312B0">
        <w:rPr>
          <w:u w:val="single"/>
        </w:rPr>
        <w:t>EjendomDanmark</w:t>
      </w:r>
      <w:proofErr w:type="spellEnd"/>
      <w:r w:rsidRPr="005312B0">
        <w:rPr>
          <w:u w:val="single"/>
        </w:rPr>
        <w:t xml:space="preserve"> </w:t>
      </w:r>
      <w:r>
        <w:t>finder det uklart, hvilke varslinger ministeriet henviser til, med formuleringen ”der ikke kan opnås dækning for disse ved øvrige varslinger over lejemål i ejendommen”, og ønsker et eller flere eksempler.</w:t>
      </w:r>
    </w:p>
    <w:p w14:paraId="65B023AC" w14:textId="12EAB95E" w:rsidR="00EF6AE0" w:rsidRPr="00EF6AE0" w:rsidRDefault="00EF6AE0" w:rsidP="00EF6AE0">
      <w:r w:rsidRPr="00EF6AE0">
        <w:rPr>
          <w:i/>
        </w:rPr>
        <w:t>Indenrigs- og Boligministeriet</w:t>
      </w:r>
      <w:r w:rsidR="00B67860">
        <w:t xml:space="preserve"> skal hertil bemærke, at det </w:t>
      </w:r>
      <w:r w:rsidR="00196EF8">
        <w:t>præcise</w:t>
      </w:r>
      <w:r w:rsidR="00336242">
        <w:t>re</w:t>
      </w:r>
      <w:r w:rsidR="00196EF8">
        <w:t>s, så det fremgår klart</w:t>
      </w:r>
      <w:r w:rsidR="00B67860">
        <w:t>.</w:t>
      </w:r>
    </w:p>
    <w:p w14:paraId="5F1D5A13" w14:textId="13713756" w:rsidR="00EF6AE0" w:rsidRDefault="005312B0" w:rsidP="00EF6AE0">
      <w:pPr>
        <w:pStyle w:val="Overskrift3"/>
        <w:rPr>
          <w:b/>
          <w:i w:val="0"/>
        </w:rPr>
      </w:pPr>
      <w:r>
        <w:rPr>
          <w:b/>
          <w:i w:val="0"/>
        </w:rPr>
        <w:t>Bekendtgørelsens § 4</w:t>
      </w:r>
    </w:p>
    <w:p w14:paraId="1DDD1E5A" w14:textId="166A597A" w:rsidR="00EF6AE0" w:rsidRDefault="005312B0" w:rsidP="00EF6AE0">
      <w:proofErr w:type="spellStart"/>
      <w:r w:rsidRPr="005312B0">
        <w:rPr>
          <w:u w:val="single"/>
        </w:rPr>
        <w:t>EjendomDanmark</w:t>
      </w:r>
      <w:proofErr w:type="spellEnd"/>
      <w:r>
        <w:t xml:space="preserve"> finder, at formuleringen af bekendtgørelsens § 4</w:t>
      </w:r>
      <w:r w:rsidR="00B67860">
        <w:t>, stk. 2,</w:t>
      </w:r>
      <w:r>
        <w:t xml:space="preserve"> er uklar og bør omformuleres eller understøttes af et eksempel.</w:t>
      </w:r>
    </w:p>
    <w:p w14:paraId="043C1098" w14:textId="6C15C897" w:rsidR="005312B0" w:rsidRPr="00EF6AE0" w:rsidRDefault="005312B0" w:rsidP="005312B0">
      <w:r w:rsidRPr="00EF6AE0">
        <w:rPr>
          <w:i/>
        </w:rPr>
        <w:lastRenderedPageBreak/>
        <w:t>Indenrigs- og Boligministeriet</w:t>
      </w:r>
      <w:r>
        <w:t xml:space="preserve"> skal hertil be</w:t>
      </w:r>
      <w:r w:rsidR="00B67860">
        <w:t>mærke, at det foreslåede imødekommes ved at ”pr.” ændres til ”den”. Ministeriet finder herudover ikke, at bestemmelsen er uklar.</w:t>
      </w:r>
    </w:p>
    <w:p w14:paraId="34F6FB8B" w14:textId="5CE88250" w:rsidR="005312B0" w:rsidRDefault="005312B0" w:rsidP="00EF6AE0">
      <w:proofErr w:type="spellStart"/>
      <w:r w:rsidRPr="005312B0">
        <w:rPr>
          <w:u w:val="single"/>
        </w:rPr>
        <w:t>EjendomDanmark</w:t>
      </w:r>
      <w:proofErr w:type="spellEnd"/>
      <w:r>
        <w:t xml:space="preserve"> finder desuden, at bestemmelsen underminerer udlejers mulighed for at vælge en forsikring med </w:t>
      </w:r>
      <w:r w:rsidR="00B67860">
        <w:t>bedre dækning end den nuværende</w:t>
      </w:r>
      <w:r>
        <w:t xml:space="preserve"> og skal derfor foreslå, at der indføres en mulighed for udlejer for at forbedre forsikringsdækningen og indeholde denne i en lejestigning.</w:t>
      </w:r>
    </w:p>
    <w:p w14:paraId="268B71AB" w14:textId="3B94B814" w:rsidR="005312B0" w:rsidRDefault="005312B0" w:rsidP="00EF6AE0">
      <w:r w:rsidRPr="005312B0">
        <w:rPr>
          <w:i/>
        </w:rPr>
        <w:t>Indenrigs- og Boligministeriet</w:t>
      </w:r>
      <w:r>
        <w:t xml:space="preserve"> skal hertil bemærke, at den foreslåede ændring vil indebære mulighed for spekulation, som kan udhule ordningen. Det foreslåede imødekommes derfor ikke. </w:t>
      </w:r>
    </w:p>
    <w:p w14:paraId="60C6EB25" w14:textId="5C4AF0E2" w:rsidR="005312B0" w:rsidRDefault="005312B0" w:rsidP="005312B0">
      <w:pPr>
        <w:pStyle w:val="Overskrift3"/>
        <w:rPr>
          <w:b/>
          <w:i w:val="0"/>
        </w:rPr>
      </w:pPr>
      <w:r>
        <w:rPr>
          <w:b/>
          <w:i w:val="0"/>
        </w:rPr>
        <w:t>Bekendtgørelsens § 6</w:t>
      </w:r>
    </w:p>
    <w:p w14:paraId="5366A8B6" w14:textId="3E453C52" w:rsidR="005312B0" w:rsidRDefault="005312B0" w:rsidP="00EF6AE0">
      <w:proofErr w:type="spellStart"/>
      <w:r w:rsidRPr="005312B0">
        <w:rPr>
          <w:u w:val="single"/>
        </w:rPr>
        <w:t>EjendomDanmark</w:t>
      </w:r>
      <w:proofErr w:type="spellEnd"/>
      <w:r>
        <w:t xml:space="preserve"> foreslår, at bestemmelsen tydeliggøres, så det bliver klart, at der tages udgangspunkt i de pr. 1. januar gældende normtal.</w:t>
      </w:r>
    </w:p>
    <w:p w14:paraId="7FA2BAB6" w14:textId="13215F4C" w:rsidR="005312B0" w:rsidRPr="00EF6AE0" w:rsidRDefault="005312B0" w:rsidP="005312B0">
      <w:r w:rsidRPr="00EF6AE0">
        <w:rPr>
          <w:i/>
        </w:rPr>
        <w:t>Indenrigs- og Boligministeriet</w:t>
      </w:r>
      <w:r w:rsidR="00B67860">
        <w:t xml:space="preserve"> skal hertil bemærke, at det foreslåede imødekommes.</w:t>
      </w:r>
    </w:p>
    <w:p w14:paraId="008AAC03" w14:textId="2875D812" w:rsidR="005312B0" w:rsidRDefault="005312B0" w:rsidP="005312B0">
      <w:pPr>
        <w:pStyle w:val="Overskrift3"/>
        <w:rPr>
          <w:b/>
          <w:i w:val="0"/>
        </w:rPr>
      </w:pPr>
      <w:r>
        <w:rPr>
          <w:b/>
          <w:i w:val="0"/>
        </w:rPr>
        <w:t>Bekendtgørelsens § 7</w:t>
      </w:r>
    </w:p>
    <w:p w14:paraId="0127DE07" w14:textId="55AFB82B" w:rsidR="005312B0" w:rsidRDefault="005312B0" w:rsidP="00EF6AE0">
      <w:proofErr w:type="spellStart"/>
      <w:r>
        <w:t>EjendomDanmark</w:t>
      </w:r>
      <w:proofErr w:type="spellEnd"/>
      <w:r>
        <w:t xml:space="preserve"> vurderer, at forbrugsændringer dermed kan slå igennem fra år til år og ikke over et treårigt gennemsnit. </w:t>
      </w:r>
      <w:proofErr w:type="spellStart"/>
      <w:r>
        <w:t>EjendomDanmark</w:t>
      </w:r>
      <w:proofErr w:type="spellEnd"/>
      <w:r>
        <w:t xml:space="preserve"> skal foreslå, at der i § 7, stk. 1, tilføjes, at der også her tages udgangspunkt i princippet om at anvende treårsgennemsnit.</w:t>
      </w:r>
    </w:p>
    <w:p w14:paraId="6C5162D4" w14:textId="688F4395" w:rsidR="005312B0" w:rsidRPr="00EF6AE0" w:rsidRDefault="005312B0" w:rsidP="005312B0">
      <w:r w:rsidRPr="00EF6AE0">
        <w:rPr>
          <w:i/>
        </w:rPr>
        <w:t>Indenrigs- og Boligministeriet</w:t>
      </w:r>
      <w:r>
        <w:t xml:space="preserve"> skal hertil bemærke</w:t>
      </w:r>
      <w:r w:rsidR="00B67860">
        <w:t>, at</w:t>
      </w:r>
      <w:r w:rsidR="00B67860" w:rsidRPr="00B67860">
        <w:t xml:space="preserve"> </w:t>
      </w:r>
      <w:r w:rsidR="00B67860">
        <w:t>det ikke i denne henseende er fundet hensigtsmæssigt at anvende princippet om tre års gennemsnitsforbrug, da dette ikke vil reflektere de reelle stigninger i udgifterne knyttet til ejendommen for det aktuelle kalenderår. Det foreslåede kan derfor ikke imødekommes.</w:t>
      </w:r>
    </w:p>
    <w:p w14:paraId="51392196" w14:textId="2804E4D7" w:rsidR="005312B0" w:rsidRDefault="005312B0" w:rsidP="00EF6AE0">
      <w:proofErr w:type="spellStart"/>
      <w:r w:rsidRPr="005016D0">
        <w:rPr>
          <w:u w:val="single"/>
        </w:rPr>
        <w:t>EjendomDanmark</w:t>
      </w:r>
      <w:proofErr w:type="spellEnd"/>
      <w:r>
        <w:t xml:space="preserve"> vurderer, at når der ved væsentlige afvigelser i forbruget tages udgangspunkt i forbruget for 2021, ”medmindre udlejer kan sandsynliggøre, at det øgede forbrug ikke skyldes uagtsom eller forsætlig adfærd fra dennes side” pålægges udlejer ganske ubegrundet en bevisbyrde for forhold, der er forårsaget af lejers adfærd</w:t>
      </w:r>
      <w:r w:rsidR="005016D0">
        <w:t>, og forslår derfor</w:t>
      </w:r>
      <w:r w:rsidR="00B67860">
        <w:t>,</w:t>
      </w:r>
      <w:r w:rsidR="005016D0">
        <w:t xml:space="preserve"> at bestemmelsen ændres</w:t>
      </w:r>
      <w:r w:rsidR="00B67860">
        <w:t>,</w:t>
      </w:r>
      <w:r w:rsidR="005016D0">
        <w:t xml:space="preserve"> så bevisbyrden ikke pålægges udlejer.</w:t>
      </w:r>
    </w:p>
    <w:p w14:paraId="05057669" w14:textId="488F5CA4" w:rsidR="005016D0" w:rsidRDefault="005016D0" w:rsidP="00EF6AE0">
      <w:r w:rsidRPr="00EF6AE0">
        <w:rPr>
          <w:i/>
        </w:rPr>
        <w:t>Indenrigs- og Boligministeriet</w:t>
      </w:r>
      <w:r>
        <w:t xml:space="preserve"> skal hertil bemærke, at da det er udlejer, som med udgangspunkt i udgiftsstigningerne for ejendommen ønsker at regulere lejen op yderligere, vil det efter ministeriets opfattelse også være udlejer, som er nærmest til at sandsynliggøre, at et væsentligt øget forbrug har været både rimeligt og nødvendigt. Det foreslåede kan derfor ikke imødekommes.</w:t>
      </w:r>
      <w:r w:rsidR="00C81E96">
        <w:t xml:space="preserve"> </w:t>
      </w:r>
    </w:p>
    <w:p w14:paraId="7653C6F4" w14:textId="1058D23A" w:rsidR="005016D0" w:rsidRDefault="005016D0" w:rsidP="005016D0">
      <w:pPr>
        <w:pStyle w:val="Overskrift3"/>
        <w:rPr>
          <w:b/>
          <w:i w:val="0"/>
        </w:rPr>
      </w:pPr>
      <w:r>
        <w:rPr>
          <w:b/>
          <w:i w:val="0"/>
        </w:rPr>
        <w:t>Bekendtgørelsens § 9</w:t>
      </w:r>
    </w:p>
    <w:p w14:paraId="729D4B59" w14:textId="4C245D3C" w:rsidR="005016D0" w:rsidRDefault="005016D0" w:rsidP="005016D0">
      <w:proofErr w:type="spellStart"/>
      <w:r w:rsidRPr="005016D0">
        <w:rPr>
          <w:u w:val="single"/>
        </w:rPr>
        <w:t>EjendomDanmark</w:t>
      </w:r>
      <w:proofErr w:type="spellEnd"/>
      <w:r>
        <w:t xml:space="preserve"> vurderer, at udlejer ikke bør have bevisbyrden ved væsentlige afvigelser og forslår derfor</w:t>
      </w:r>
      <w:r w:rsidR="00B67860">
        <w:t>,</w:t>
      </w:r>
      <w:r>
        <w:t xml:space="preserve"> at bestemmelsen ændres</w:t>
      </w:r>
      <w:r w:rsidR="00B67860">
        <w:t>,</w:t>
      </w:r>
      <w:r>
        <w:t xml:space="preserve"> så bevisbyrden ikke pålægges udlejer.</w:t>
      </w:r>
    </w:p>
    <w:p w14:paraId="19F0075C" w14:textId="62540EC0" w:rsidR="005016D0" w:rsidRPr="00EF6AE0" w:rsidRDefault="005016D0" w:rsidP="005016D0">
      <w:r w:rsidRPr="00EF6AE0">
        <w:rPr>
          <w:i/>
        </w:rPr>
        <w:t>Indenrigs- og Boligministeriet</w:t>
      </w:r>
      <w:r>
        <w:t xml:space="preserve"> skal hertil bemærke, at da det er udlejer, som med udgangspunkt i udgiftsstigningerne for ejendommen ønsker at regulere lejen op yderligere, vil det efter ministeriets opfattelse også være udlejer, som er nærmest til at sandsynliggøre, at et væsentlig øgede udgifter til vicevært og renholdelse både har været rimelige og nødvendige. Det foreslåede kan derfor ikke imødekommes.</w:t>
      </w:r>
      <w:r w:rsidRPr="00EF6AE0">
        <w:t xml:space="preserve"> </w:t>
      </w:r>
    </w:p>
    <w:p w14:paraId="4CDD7A3D" w14:textId="424AF2CB" w:rsidR="005016D0" w:rsidRDefault="005016D0" w:rsidP="005016D0">
      <w:pPr>
        <w:pStyle w:val="Overskrift3"/>
        <w:rPr>
          <w:b/>
          <w:i w:val="0"/>
        </w:rPr>
      </w:pPr>
      <w:r>
        <w:rPr>
          <w:b/>
          <w:i w:val="0"/>
        </w:rPr>
        <w:lastRenderedPageBreak/>
        <w:t>Bekendtgørelsens § 10</w:t>
      </w:r>
    </w:p>
    <w:p w14:paraId="5B34694B" w14:textId="2A16CA8A" w:rsidR="005016D0" w:rsidRDefault="005016D0" w:rsidP="005016D0">
      <w:proofErr w:type="spellStart"/>
      <w:r w:rsidRPr="005016D0">
        <w:rPr>
          <w:u w:val="single"/>
        </w:rPr>
        <w:t>EjendomDanmark</w:t>
      </w:r>
      <w:proofErr w:type="spellEnd"/>
      <w:r>
        <w:t xml:space="preserve"> vurderer, at der her potentielt er tale om et yderst vidtgående forslag, når bestemmelsen kan læses sådan, at udlejer kun kan medtage stigninger i finansieringsomkostninger, hvis virksomheden er nær fallit. </w:t>
      </w:r>
      <w:proofErr w:type="spellStart"/>
      <w:r>
        <w:t>EjendomDanmark</w:t>
      </w:r>
      <w:proofErr w:type="spellEnd"/>
      <w:r>
        <w:t xml:space="preserve"> foreslår derfor, at den del af bestemmelsen udgår.</w:t>
      </w:r>
    </w:p>
    <w:p w14:paraId="2853F1DA" w14:textId="7B40954E" w:rsidR="005016D0" w:rsidRDefault="005016D0" w:rsidP="005016D0">
      <w:r w:rsidRPr="005016D0">
        <w:rPr>
          <w:i/>
        </w:rPr>
        <w:t>Indenrigs- og Boligministeriet</w:t>
      </w:r>
      <w:r>
        <w:t xml:space="preserve"> skal hertil bemærke, at finansieringsomkostningerne almindeligvis er uvedkommende for lejen og reguleringen heraf, og at disse almindeligvis ikke knytter sig til ejendommens drift. Når de alligevel er medtaget i ordningen</w:t>
      </w:r>
      <w:r w:rsidR="00B67860">
        <w:t>,</w:t>
      </w:r>
      <w:r>
        <w:t xml:space="preserve"> sker det under hensyntagen til, at det ikke er hensigten med ordningen at forhindre, at udlejere kan drive deres ejendom, som </w:t>
      </w:r>
      <w:r w:rsidR="00B67860">
        <w:t>hidtil</w:t>
      </w:r>
      <w:r>
        <w:t>. Det har ikke været hensigten at udvide anvendels</w:t>
      </w:r>
      <w:r w:rsidR="008C39CC">
        <w:t>en af undtagelsesordningen generelt.</w:t>
      </w:r>
      <w:r>
        <w:t xml:space="preserve"> Derfor er det også hensigten, at finansieringsomkostninger alene skal kunne medtages, når det er nødvendigt at medtage udgiften i opgørelsen for at sikre fortsat drift af ejendommen. Det foreslåede kan derfor ikke imødekommes.</w:t>
      </w:r>
    </w:p>
    <w:p w14:paraId="5405B0E2" w14:textId="30FF1044" w:rsidR="008C39CC" w:rsidRDefault="008C39CC" w:rsidP="005016D0">
      <w:proofErr w:type="spellStart"/>
      <w:r w:rsidRPr="008C39CC">
        <w:rPr>
          <w:u w:val="single"/>
        </w:rPr>
        <w:t>EjendomDanmark</w:t>
      </w:r>
      <w:proofErr w:type="spellEnd"/>
      <w:r>
        <w:t xml:space="preserve"> foreslår tillige, at der tilføjes en generel mulighed for som minimum at kunne medtage en gennemsnitlig finansieringsomkostning i beregningerne.</w:t>
      </w:r>
    </w:p>
    <w:p w14:paraId="441FDBF7" w14:textId="252F2322" w:rsidR="008C39CC" w:rsidRDefault="008C39CC" w:rsidP="005016D0">
      <w:r w:rsidRPr="008C39CC">
        <w:rPr>
          <w:i/>
        </w:rPr>
        <w:t>Indenrigs- og Boligministeriet</w:t>
      </w:r>
      <w:r>
        <w:t xml:space="preserve"> skal hertil henvise til det lige ovenfor bemærkede. Det foreslåede kan derfor ikke imødekommes. </w:t>
      </w:r>
    </w:p>
    <w:p w14:paraId="1C639C01" w14:textId="1CE818F5" w:rsidR="008C39CC" w:rsidRDefault="008C39CC" w:rsidP="005016D0">
      <w:proofErr w:type="spellStart"/>
      <w:r w:rsidRPr="008C39CC">
        <w:rPr>
          <w:u w:val="single"/>
        </w:rPr>
        <w:t>EjendomDanmark</w:t>
      </w:r>
      <w:proofErr w:type="spellEnd"/>
      <w:r>
        <w:t xml:space="preserve"> finder, at det er problematisk, at udgiftsstigningerne for ejendommens finansiering beregnes med udgangspunkt i den finansiering, som var gældende for ejendommen pr. 1. september 2022, da der i mellemtiden kan være foretaget nødvendige </w:t>
      </w:r>
      <w:proofErr w:type="spellStart"/>
      <w:r>
        <w:t>omfinansieringer</w:t>
      </w:r>
      <w:proofErr w:type="spellEnd"/>
      <w:r>
        <w:t>, og foreslår derfor, at den del af bestemmelsen udgår.</w:t>
      </w:r>
    </w:p>
    <w:p w14:paraId="0BD3E73B" w14:textId="3E7014C1" w:rsidR="008C39CC" w:rsidRDefault="008C39CC" w:rsidP="005016D0">
      <w:r w:rsidRPr="008C39CC">
        <w:rPr>
          <w:i/>
        </w:rPr>
        <w:t>Indenrigs- og Boligministeriet</w:t>
      </w:r>
      <w:r>
        <w:t xml:space="preserve"> skal hertil bemærke, at det er fundet hensigtsmæssigt af hensyn til at </w:t>
      </w:r>
      <w:r w:rsidR="00B67860">
        <w:t>undgå</w:t>
      </w:r>
      <w:r>
        <w:t xml:space="preserve"> spekulation, at der fastsættes en skæringsdato, som ligger forud for lovens ikrafttrædelse. Det med bekendtgørelsen foreslåede forhindrer ikke foretagelsen af nødvendige omlægninger, men sikrer blot, at lejere ikke pålægges huslejestigninger som følge af stigninger i udgifterne hertil. Det foreslåede kan derfor ikke imødekommes.</w:t>
      </w:r>
    </w:p>
    <w:p w14:paraId="7A5829EB" w14:textId="14C8CAA5" w:rsidR="00CF4E74" w:rsidRDefault="00CA1992" w:rsidP="00CA1992">
      <w:r w:rsidRPr="00CF4E74">
        <w:rPr>
          <w:u w:val="single"/>
        </w:rPr>
        <w:t>LLO</w:t>
      </w:r>
      <w:r>
        <w:t xml:space="preserve"> finder, at</w:t>
      </w:r>
      <w:r w:rsidR="00CF4E74">
        <w:t xml:space="preserve"> man ved at medtage udgiftsstigninger til finansieringsomkostninger risikerer, at der kan spekuleres med ordningen, fx ved at udlejer udvider lånemængden, samt at lejerne kan komme til at finansiere udlejers lånespekulation. LLO anbefaler derfor, at stigningerne i finansieringsomkostningerne undtages fra opgørelsen.</w:t>
      </w:r>
    </w:p>
    <w:p w14:paraId="625381FD" w14:textId="6995741D" w:rsidR="00CA1992" w:rsidRDefault="00CF4E74" w:rsidP="00CA1992">
      <w:r w:rsidRPr="00CF4E74">
        <w:rPr>
          <w:i/>
        </w:rPr>
        <w:t>Indenrigs- og Boligministeriet</w:t>
      </w:r>
      <w:r>
        <w:t xml:space="preserve"> skal hertil bemærke, at der ved opgørelsen af stigningerne i udgifterne til finansiering tages udgangspunkt i den finansiering, som var gældende pr. 1. september 2022, og en udvidelse af lånemængden kan derfor ikke få betydning, ligesom det heller ikke vil være muligt for udlejer at spekulere i finansieringen med det formål at overvælte udgifterne på lejerne. Det foreslåede kan derfor ikke imødekommes. </w:t>
      </w:r>
    </w:p>
    <w:p w14:paraId="070BE680" w14:textId="0D98881F" w:rsidR="00CF4E74" w:rsidRDefault="00CF4E74" w:rsidP="00CF4E74">
      <w:pPr>
        <w:pStyle w:val="Overskrift3"/>
        <w:rPr>
          <w:b/>
          <w:i w:val="0"/>
        </w:rPr>
      </w:pPr>
      <w:r>
        <w:rPr>
          <w:b/>
          <w:i w:val="0"/>
        </w:rPr>
        <w:t>Bekendtgørelsens § 11</w:t>
      </w:r>
    </w:p>
    <w:p w14:paraId="118A80DA" w14:textId="30104FFF" w:rsidR="00CF4E74" w:rsidRDefault="00CF4E74" w:rsidP="00CF4E74">
      <w:r w:rsidRPr="00CF4E74">
        <w:rPr>
          <w:u w:val="single"/>
        </w:rPr>
        <w:t>LLO</w:t>
      </w:r>
      <w:r>
        <w:t xml:space="preserve"> anfører, at når ministeriet ønsker at indføje en post til ”øvrige udgifter” som en driftsudgift, må det forudses, at der vil komme store slagsmål ud af, hvad der kan medtages af stigninger under dette punkt. LLO anbefaler derfor, at posten ”øvrige udgifter” udgår.</w:t>
      </w:r>
    </w:p>
    <w:p w14:paraId="4A8DE3F9" w14:textId="4C9CC260" w:rsidR="00CF4E74" w:rsidRDefault="00CF4E74" w:rsidP="00CF4E74">
      <w:r w:rsidRPr="00CF4E74">
        <w:rPr>
          <w:i/>
        </w:rPr>
        <w:lastRenderedPageBreak/>
        <w:t>Indenrigs- og Boligministeriet</w:t>
      </w:r>
      <w:r>
        <w:t xml:space="preserve"> skal hertil bemærke, at udlejningsejendomme kan have mange særegne karakteristika, som gør det nødvendigt at drive ejendommen anderledes fra den almindelige drift. Derfor har det ikke været muligt</w:t>
      </w:r>
      <w:r w:rsidR="003911B0">
        <w:t xml:space="preserve"> udtømmende</w:t>
      </w:r>
      <w:r>
        <w:t xml:space="preserve"> at opliste den række af udgiftsposter, som kan være relevante at medtage, ved vurderingen af stigningerne i de rimelige og nødvendige udgifter knyttet til ejendommen. Af den grund vurderes det hensigtsmæssigt med en </w:t>
      </w:r>
      <w:proofErr w:type="spellStart"/>
      <w:proofErr w:type="gramStart"/>
      <w:r>
        <w:t>opsamlingsbestemmelse</w:t>
      </w:r>
      <w:r w:rsidR="00A24A9C">
        <w:t>.M</w:t>
      </w:r>
      <w:r>
        <w:t>inisteriet</w:t>
      </w:r>
      <w:proofErr w:type="spellEnd"/>
      <w:proofErr w:type="gramEnd"/>
      <w:r>
        <w:t xml:space="preserve"> </w:t>
      </w:r>
      <w:r w:rsidR="00A24A9C">
        <w:t>vurderer</w:t>
      </w:r>
      <w:r>
        <w:t xml:space="preserve"> i den forbindelse</w:t>
      </w:r>
      <w:r w:rsidR="003911B0">
        <w:t>,</w:t>
      </w:r>
      <w:r>
        <w:t xml:space="preserve"> at Aarhus huslejenævn og domstolene er i stand til at vurdere, hvorvidt øvrige udgiftsstigninger medtaget af udlejer i den forbindelse kan medtages. Det foreslåede kan derfor ikke imødekommes.</w:t>
      </w:r>
    </w:p>
    <w:p w14:paraId="515928EA" w14:textId="6160D01A" w:rsidR="008C39CC" w:rsidRDefault="008C39CC" w:rsidP="008C39CC">
      <w:pPr>
        <w:pStyle w:val="Overskrift3"/>
        <w:rPr>
          <w:b/>
          <w:i w:val="0"/>
        </w:rPr>
      </w:pPr>
      <w:r>
        <w:rPr>
          <w:b/>
          <w:i w:val="0"/>
        </w:rPr>
        <w:t>Bekendtgørelsens § 12</w:t>
      </w:r>
    </w:p>
    <w:p w14:paraId="347C5EE1" w14:textId="65560B17" w:rsidR="008C39CC" w:rsidRDefault="008C39CC" w:rsidP="008C39CC">
      <w:proofErr w:type="spellStart"/>
      <w:r w:rsidRPr="003911B0">
        <w:rPr>
          <w:u w:val="single"/>
        </w:rPr>
        <w:t>EjendomDanmark</w:t>
      </w:r>
      <w:proofErr w:type="spellEnd"/>
      <w:r>
        <w:t xml:space="preserve"> vurderer, at der, når udgiftsstigningen skal fordeles efter m</w:t>
      </w:r>
      <w:r>
        <w:rPr>
          <w:vertAlign w:val="superscript"/>
        </w:rPr>
        <w:t>2</w:t>
      </w:r>
      <w:r>
        <w:t xml:space="preserve"> og ikke lejens størrelse</w:t>
      </w:r>
      <w:r w:rsidR="003911B0">
        <w:t>,</w:t>
      </w:r>
      <w:r>
        <w:t xml:space="preserve"> er ta</w:t>
      </w:r>
      <w:r w:rsidR="003911B0">
        <w:t>le om en besynderlig nyskabelse</w:t>
      </w:r>
      <w:r>
        <w:t xml:space="preserve"> og foreslår</w:t>
      </w:r>
      <w:r w:rsidR="003911B0">
        <w:t>,</w:t>
      </w:r>
      <w:r>
        <w:t xml:space="preserve"> at bestemmelsen omformuleres, så den tager udgangspunkt i den gældende leje og ikke i lejemålets størrelse.</w:t>
      </w:r>
    </w:p>
    <w:p w14:paraId="39762FA9" w14:textId="2A789A3B" w:rsidR="008C39CC" w:rsidRPr="00EF6AE0" w:rsidRDefault="008C39CC" w:rsidP="008C39CC">
      <w:r w:rsidRPr="00EF6AE0">
        <w:rPr>
          <w:i/>
        </w:rPr>
        <w:t>Indenrigs- og Boligministeriet</w:t>
      </w:r>
      <w:r w:rsidR="003911B0">
        <w:t xml:space="preserve"> skal hertil bemærke, at det foreslåede imødekommes.</w:t>
      </w:r>
      <w:r w:rsidR="003911B0" w:rsidRPr="00EF6AE0">
        <w:t xml:space="preserve"> </w:t>
      </w:r>
    </w:p>
    <w:sectPr w:rsidR="008C39CC" w:rsidRPr="00EF6AE0" w:rsidSect="00867DE7">
      <w:headerReference w:type="default" r:id="rId9"/>
      <w:footerReference w:type="default" r:id="rId10"/>
      <w:headerReference w:type="first" r:id="rId11"/>
      <w:pgSz w:w="11906" w:h="16838" w:code="9"/>
      <w:pgMar w:top="1418" w:right="1418" w:bottom="1418" w:left="2835" w:header="720"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213A2" w14:textId="77777777" w:rsidR="00B42883" w:rsidRDefault="00B42883" w:rsidP="000F70B6">
      <w:pPr>
        <w:spacing w:line="240" w:lineRule="auto"/>
      </w:pPr>
      <w:r>
        <w:separator/>
      </w:r>
    </w:p>
  </w:endnote>
  <w:endnote w:type="continuationSeparator" w:id="0">
    <w:p w14:paraId="1F499A70" w14:textId="77777777" w:rsidR="00B42883" w:rsidRDefault="00B42883" w:rsidP="000F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C5121" w14:textId="394DE13F" w:rsidR="00EC4EEA" w:rsidRPr="003F3E1C" w:rsidRDefault="00EC4EEA" w:rsidP="00733570">
    <w:pPr>
      <w:pStyle w:val="Sidefod"/>
      <w:tabs>
        <w:tab w:val="clear" w:pos="4819"/>
        <w:tab w:val="right" w:pos="7655"/>
      </w:tabs>
      <w:rPr>
        <w:rFonts w:ascii="Arial" w:hAnsi="Arial" w:cs="Arial"/>
      </w:rPr>
    </w:pPr>
    <w:r>
      <w:tab/>
    </w:r>
    <w:r w:rsidRPr="003F3E1C">
      <w:rPr>
        <w:rFonts w:ascii="Arial" w:hAnsi="Arial" w:cs="Arial"/>
      </w:rPr>
      <w:fldChar w:fldCharType="begin"/>
    </w:r>
    <w:r w:rsidRPr="003F3E1C">
      <w:rPr>
        <w:rFonts w:ascii="Arial" w:hAnsi="Arial" w:cs="Arial"/>
      </w:rPr>
      <w:instrText xml:space="preserve"> PAGE  \* Arabic </w:instrText>
    </w:r>
    <w:r w:rsidRPr="003F3E1C">
      <w:rPr>
        <w:rFonts w:ascii="Arial" w:hAnsi="Arial" w:cs="Arial"/>
      </w:rPr>
      <w:fldChar w:fldCharType="separate"/>
    </w:r>
    <w:r w:rsidR="00F73CFD">
      <w:rPr>
        <w:rFonts w:ascii="Arial" w:hAnsi="Arial" w:cs="Arial"/>
        <w:noProof/>
      </w:rPr>
      <w:t>15</w:t>
    </w:r>
    <w:r w:rsidRPr="003F3E1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AE396" w14:textId="77777777" w:rsidR="00B42883" w:rsidRDefault="00B42883" w:rsidP="00443CC5">
      <w:pPr>
        <w:spacing w:after="0" w:line="240" w:lineRule="auto"/>
      </w:pPr>
      <w:r>
        <w:separator/>
      </w:r>
    </w:p>
  </w:footnote>
  <w:footnote w:type="continuationSeparator" w:id="0">
    <w:p w14:paraId="68E4A8C3" w14:textId="77777777" w:rsidR="00B42883" w:rsidRDefault="00B42883" w:rsidP="000F70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69DED" w14:textId="77777777" w:rsidR="00EC4EEA" w:rsidRDefault="00EC4EEA">
    <w:pPr>
      <w:pStyle w:val="Sidehoved"/>
    </w:pPr>
    <w:r>
      <w:rPr>
        <w:noProof/>
      </w:rPr>
      <w:drawing>
        <wp:anchor distT="0" distB="0" distL="114300" distR="114300" simplePos="0" relativeHeight="251658752" behindDoc="0" locked="0" layoutInCell="1" allowOverlap="1" wp14:anchorId="36052A97" wp14:editId="7F3FB8F2">
          <wp:simplePos x="0" y="0"/>
          <wp:positionH relativeFrom="page">
            <wp:posOffset>810260</wp:posOffset>
          </wp:positionH>
          <wp:positionV relativeFrom="page">
            <wp:posOffset>900430</wp:posOffset>
          </wp:positionV>
          <wp:extent cx="306070" cy="2667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70" cy="266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4268F" w14:textId="77777777" w:rsidR="00EC4EEA" w:rsidRDefault="00EC4EEA">
    <w:pPr>
      <w:pStyle w:val="Sidehoved"/>
    </w:pPr>
  </w:p>
  <w:p w14:paraId="03E7FE91" w14:textId="77777777" w:rsidR="00EC4EEA" w:rsidRDefault="00EC4EEA">
    <w:pPr>
      <w:pStyle w:val="Sidehoved"/>
    </w:pPr>
    <w:r>
      <w:rPr>
        <w:noProof/>
      </w:rPr>
      <w:drawing>
        <wp:anchor distT="0" distB="0" distL="114300" distR="114300" simplePos="0" relativeHeight="251659776" behindDoc="0" locked="0" layoutInCell="1" allowOverlap="1" wp14:anchorId="4AA71C44" wp14:editId="07F43C64">
          <wp:simplePos x="0" y="0"/>
          <wp:positionH relativeFrom="column">
            <wp:posOffset>3061335</wp:posOffset>
          </wp:positionH>
          <wp:positionV relativeFrom="paragraph">
            <wp:posOffset>212555</wp:posOffset>
          </wp:positionV>
          <wp:extent cx="1799590" cy="51469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ØI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4690"/>
                  </a:xfrm>
                  <a:prstGeom prst="rect">
                    <a:avLst/>
                  </a:prstGeom>
                </pic:spPr>
              </pic:pic>
            </a:graphicData>
          </a:graphic>
          <wp14:sizeRelH relativeFrom="margin">
            <wp14:pctWidth>0</wp14:pctWidth>
          </wp14:sizeRelH>
          <wp14:sizeRelV relativeFrom="margin">
            <wp14:pctHeight>0</wp14:pctHeight>
          </wp14:sizeRelV>
        </wp:anchor>
      </w:drawing>
    </w:r>
  </w:p>
  <w:p w14:paraId="761DA025" w14:textId="77777777" w:rsidR="00EC4EEA" w:rsidRDefault="00EC4EEA">
    <w:pPr>
      <w:pStyle w:val="Sidehoved"/>
    </w:pPr>
  </w:p>
  <w:p w14:paraId="6995905E" w14:textId="77777777" w:rsidR="00EC4EEA" w:rsidRDefault="00EC4EEA">
    <w:pPr>
      <w:pStyle w:val="Sidehoved"/>
    </w:pPr>
  </w:p>
  <w:p w14:paraId="29D059C4" w14:textId="77777777" w:rsidR="00EC4EEA" w:rsidRDefault="00EC4EEA">
    <w:pPr>
      <w:pStyle w:val="Sidehoved"/>
    </w:pPr>
  </w:p>
  <w:p w14:paraId="39107218" w14:textId="77777777" w:rsidR="00EC4EEA" w:rsidRDefault="00EC4EEA">
    <w:pPr>
      <w:pStyle w:val="Sidehoved"/>
    </w:pPr>
  </w:p>
  <w:p w14:paraId="46F5DDE8" w14:textId="77777777" w:rsidR="00EC4EEA" w:rsidRDefault="00EC4EEA">
    <w:pPr>
      <w:pStyle w:val="Sidehoved"/>
    </w:pPr>
  </w:p>
  <w:p w14:paraId="614EE94B" w14:textId="77777777" w:rsidR="00EC4EEA" w:rsidRDefault="00EC4EEA">
    <w:pPr>
      <w:pStyle w:val="Sidehoved"/>
    </w:pPr>
  </w:p>
  <w:p w14:paraId="2B58BE2F" w14:textId="77777777" w:rsidR="00EC4EEA" w:rsidRDefault="00EC4EEA">
    <w:pPr>
      <w:pStyle w:val="Sidehoved"/>
    </w:pPr>
  </w:p>
  <w:p w14:paraId="0684E60C" w14:textId="77777777" w:rsidR="00EC4EEA" w:rsidRDefault="00EC4EE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E2DE8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A732D3B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C6181C5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B63812CE"/>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9F4A64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843D1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D2415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FA28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D2F4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B219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2C5EE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D8010F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15:restartNumberingAfterBreak="0">
    <w:nsid w:val="62BB6BE3"/>
    <w:multiLevelType w:val="hybridMultilevel"/>
    <w:tmpl w:val="21808C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AB3097C"/>
    <w:multiLevelType w:val="multilevel"/>
    <w:tmpl w:val="04090023"/>
    <w:styleLink w:val="ArtikelSek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7E5D7BD3"/>
    <w:multiLevelType w:val="multilevel"/>
    <w:tmpl w:val="0688FEC8"/>
    <w:lvl w:ilvl="0">
      <w:start w:val="1"/>
      <w:numFmt w:val="decimal"/>
      <w:pStyle w:val="Bilagstekst"/>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00"/>
    <w:rsid w:val="00001FD1"/>
    <w:rsid w:val="00006A6B"/>
    <w:rsid w:val="00006B85"/>
    <w:rsid w:val="00013EBE"/>
    <w:rsid w:val="00015654"/>
    <w:rsid w:val="00022A1D"/>
    <w:rsid w:val="00023566"/>
    <w:rsid w:val="00034789"/>
    <w:rsid w:val="00046BCD"/>
    <w:rsid w:val="000471AE"/>
    <w:rsid w:val="00052DE3"/>
    <w:rsid w:val="00053249"/>
    <w:rsid w:val="000555A7"/>
    <w:rsid w:val="00061513"/>
    <w:rsid w:val="00064B69"/>
    <w:rsid w:val="000679F1"/>
    <w:rsid w:val="0007373F"/>
    <w:rsid w:val="000777D4"/>
    <w:rsid w:val="0008312C"/>
    <w:rsid w:val="00085F66"/>
    <w:rsid w:val="0009279B"/>
    <w:rsid w:val="00094816"/>
    <w:rsid w:val="00096AFB"/>
    <w:rsid w:val="000A0644"/>
    <w:rsid w:val="000A589B"/>
    <w:rsid w:val="000B0E6A"/>
    <w:rsid w:val="000B3D00"/>
    <w:rsid w:val="000B64A8"/>
    <w:rsid w:val="000C20C6"/>
    <w:rsid w:val="000C3F8C"/>
    <w:rsid w:val="000C4851"/>
    <w:rsid w:val="000C7DC2"/>
    <w:rsid w:val="000D604E"/>
    <w:rsid w:val="000D7057"/>
    <w:rsid w:val="000E0993"/>
    <w:rsid w:val="000E1F43"/>
    <w:rsid w:val="000E2B1C"/>
    <w:rsid w:val="000E49CD"/>
    <w:rsid w:val="000E691D"/>
    <w:rsid w:val="000F3BA5"/>
    <w:rsid w:val="000F4015"/>
    <w:rsid w:val="000F5903"/>
    <w:rsid w:val="000F70B6"/>
    <w:rsid w:val="000F765E"/>
    <w:rsid w:val="00100E10"/>
    <w:rsid w:val="00102C76"/>
    <w:rsid w:val="00107807"/>
    <w:rsid w:val="001161CD"/>
    <w:rsid w:val="00133FFE"/>
    <w:rsid w:val="00135348"/>
    <w:rsid w:val="00140435"/>
    <w:rsid w:val="00141678"/>
    <w:rsid w:val="00142AF9"/>
    <w:rsid w:val="001536F8"/>
    <w:rsid w:val="00156AA8"/>
    <w:rsid w:val="001661CD"/>
    <w:rsid w:val="00170647"/>
    <w:rsid w:val="00170885"/>
    <w:rsid w:val="00170D6C"/>
    <w:rsid w:val="00171187"/>
    <w:rsid w:val="00172A8A"/>
    <w:rsid w:val="001747BD"/>
    <w:rsid w:val="0017577B"/>
    <w:rsid w:val="00183CAC"/>
    <w:rsid w:val="00185C74"/>
    <w:rsid w:val="00196EF8"/>
    <w:rsid w:val="001A0433"/>
    <w:rsid w:val="001A1193"/>
    <w:rsid w:val="001B40D7"/>
    <w:rsid w:val="001C67C0"/>
    <w:rsid w:val="001C6811"/>
    <w:rsid w:val="001C6FE5"/>
    <w:rsid w:val="001C7FBE"/>
    <w:rsid w:val="001D4B36"/>
    <w:rsid w:val="001E5DA8"/>
    <w:rsid w:val="001E5E1E"/>
    <w:rsid w:val="001E6F30"/>
    <w:rsid w:val="001F0D0E"/>
    <w:rsid w:val="00200C02"/>
    <w:rsid w:val="00206AC9"/>
    <w:rsid w:val="002120D0"/>
    <w:rsid w:val="00225EF5"/>
    <w:rsid w:val="002349CC"/>
    <w:rsid w:val="00236D6D"/>
    <w:rsid w:val="00243C20"/>
    <w:rsid w:val="00245942"/>
    <w:rsid w:val="002460D8"/>
    <w:rsid w:val="00247F78"/>
    <w:rsid w:val="002511C1"/>
    <w:rsid w:val="002538D2"/>
    <w:rsid w:val="002610A8"/>
    <w:rsid w:val="00261616"/>
    <w:rsid w:val="00262224"/>
    <w:rsid w:val="0026630A"/>
    <w:rsid w:val="002708C7"/>
    <w:rsid w:val="00281ECF"/>
    <w:rsid w:val="00285DF5"/>
    <w:rsid w:val="00291302"/>
    <w:rsid w:val="0029166C"/>
    <w:rsid w:val="002A4111"/>
    <w:rsid w:val="002A5B3F"/>
    <w:rsid w:val="002A7E03"/>
    <w:rsid w:val="002C184A"/>
    <w:rsid w:val="002C1D96"/>
    <w:rsid w:val="002D0300"/>
    <w:rsid w:val="002D2211"/>
    <w:rsid w:val="002D2C45"/>
    <w:rsid w:val="002D35A4"/>
    <w:rsid w:val="002D77AD"/>
    <w:rsid w:val="002E059F"/>
    <w:rsid w:val="002E09E6"/>
    <w:rsid w:val="002E0ABC"/>
    <w:rsid w:val="002E2DCE"/>
    <w:rsid w:val="002E4190"/>
    <w:rsid w:val="002E7E08"/>
    <w:rsid w:val="002F0F61"/>
    <w:rsid w:val="002F613C"/>
    <w:rsid w:val="002F7E44"/>
    <w:rsid w:val="003022D1"/>
    <w:rsid w:val="003049BD"/>
    <w:rsid w:val="00307727"/>
    <w:rsid w:val="0032674A"/>
    <w:rsid w:val="00336242"/>
    <w:rsid w:val="003362E8"/>
    <w:rsid w:val="00341D86"/>
    <w:rsid w:val="00347A87"/>
    <w:rsid w:val="0035632E"/>
    <w:rsid w:val="00357A5F"/>
    <w:rsid w:val="003611AF"/>
    <w:rsid w:val="003613F1"/>
    <w:rsid w:val="003626F4"/>
    <w:rsid w:val="0037032C"/>
    <w:rsid w:val="00371EAF"/>
    <w:rsid w:val="00372660"/>
    <w:rsid w:val="00375C22"/>
    <w:rsid w:val="00380A5E"/>
    <w:rsid w:val="00381EDB"/>
    <w:rsid w:val="003851DB"/>
    <w:rsid w:val="0038772F"/>
    <w:rsid w:val="003901CF"/>
    <w:rsid w:val="003911B0"/>
    <w:rsid w:val="00394A39"/>
    <w:rsid w:val="00395A6F"/>
    <w:rsid w:val="003B27E0"/>
    <w:rsid w:val="003C086F"/>
    <w:rsid w:val="003C1597"/>
    <w:rsid w:val="003C664A"/>
    <w:rsid w:val="003C7832"/>
    <w:rsid w:val="003E3D5D"/>
    <w:rsid w:val="003E435A"/>
    <w:rsid w:val="003E47DA"/>
    <w:rsid w:val="003E4909"/>
    <w:rsid w:val="003E70E9"/>
    <w:rsid w:val="003F1F41"/>
    <w:rsid w:val="003F30CC"/>
    <w:rsid w:val="003F3E1C"/>
    <w:rsid w:val="003F5B47"/>
    <w:rsid w:val="003F6785"/>
    <w:rsid w:val="00401A50"/>
    <w:rsid w:val="004048B5"/>
    <w:rsid w:val="00404DEA"/>
    <w:rsid w:val="004058E6"/>
    <w:rsid w:val="0040716B"/>
    <w:rsid w:val="0041407B"/>
    <w:rsid w:val="00414334"/>
    <w:rsid w:val="00416C0C"/>
    <w:rsid w:val="004273BA"/>
    <w:rsid w:val="00430D4E"/>
    <w:rsid w:val="0043261E"/>
    <w:rsid w:val="004357CB"/>
    <w:rsid w:val="00436FE2"/>
    <w:rsid w:val="00443CC5"/>
    <w:rsid w:val="00445C2D"/>
    <w:rsid w:val="00446330"/>
    <w:rsid w:val="00446408"/>
    <w:rsid w:val="00452573"/>
    <w:rsid w:val="00455C3F"/>
    <w:rsid w:val="00455D4D"/>
    <w:rsid w:val="00467F40"/>
    <w:rsid w:val="0047366F"/>
    <w:rsid w:val="00481298"/>
    <w:rsid w:val="00483332"/>
    <w:rsid w:val="00484681"/>
    <w:rsid w:val="0048716C"/>
    <w:rsid w:val="004905EE"/>
    <w:rsid w:val="00490DB8"/>
    <w:rsid w:val="00494A37"/>
    <w:rsid w:val="004A0854"/>
    <w:rsid w:val="004A0FB7"/>
    <w:rsid w:val="004A36BE"/>
    <w:rsid w:val="004A458B"/>
    <w:rsid w:val="004A7F82"/>
    <w:rsid w:val="004B45F9"/>
    <w:rsid w:val="004B4F4C"/>
    <w:rsid w:val="004B5255"/>
    <w:rsid w:val="004B7905"/>
    <w:rsid w:val="004C1E6C"/>
    <w:rsid w:val="004C33A5"/>
    <w:rsid w:val="004C3DE8"/>
    <w:rsid w:val="004C5A4B"/>
    <w:rsid w:val="004D0441"/>
    <w:rsid w:val="004D1092"/>
    <w:rsid w:val="004D26D2"/>
    <w:rsid w:val="004D678D"/>
    <w:rsid w:val="004D6E67"/>
    <w:rsid w:val="004E19A2"/>
    <w:rsid w:val="004E4791"/>
    <w:rsid w:val="004E4FB4"/>
    <w:rsid w:val="004E52F7"/>
    <w:rsid w:val="004F26B2"/>
    <w:rsid w:val="004F2A54"/>
    <w:rsid w:val="004F32E6"/>
    <w:rsid w:val="004F3F14"/>
    <w:rsid w:val="004F4AB5"/>
    <w:rsid w:val="00500266"/>
    <w:rsid w:val="005016D0"/>
    <w:rsid w:val="005063DF"/>
    <w:rsid w:val="00510FEB"/>
    <w:rsid w:val="005126FA"/>
    <w:rsid w:val="00516AE8"/>
    <w:rsid w:val="0052709A"/>
    <w:rsid w:val="005312B0"/>
    <w:rsid w:val="00531313"/>
    <w:rsid w:val="00532289"/>
    <w:rsid w:val="00535A82"/>
    <w:rsid w:val="005507BE"/>
    <w:rsid w:val="005507C3"/>
    <w:rsid w:val="00555602"/>
    <w:rsid w:val="00555B97"/>
    <w:rsid w:val="00555C3E"/>
    <w:rsid w:val="005603B8"/>
    <w:rsid w:val="0056366A"/>
    <w:rsid w:val="00563927"/>
    <w:rsid w:val="00570D39"/>
    <w:rsid w:val="00577579"/>
    <w:rsid w:val="005805FB"/>
    <w:rsid w:val="00580EAF"/>
    <w:rsid w:val="00590234"/>
    <w:rsid w:val="005908F7"/>
    <w:rsid w:val="00593326"/>
    <w:rsid w:val="005962D9"/>
    <w:rsid w:val="005A15A0"/>
    <w:rsid w:val="005B4B78"/>
    <w:rsid w:val="005B730A"/>
    <w:rsid w:val="005C652A"/>
    <w:rsid w:val="005C6815"/>
    <w:rsid w:val="005C6BE4"/>
    <w:rsid w:val="005D36A4"/>
    <w:rsid w:val="005D5093"/>
    <w:rsid w:val="005E7051"/>
    <w:rsid w:val="005F02A2"/>
    <w:rsid w:val="005F2D0F"/>
    <w:rsid w:val="005F4D50"/>
    <w:rsid w:val="00601887"/>
    <w:rsid w:val="00601ECC"/>
    <w:rsid w:val="00611AE0"/>
    <w:rsid w:val="006137D5"/>
    <w:rsid w:val="00616EDB"/>
    <w:rsid w:val="00623952"/>
    <w:rsid w:val="00651235"/>
    <w:rsid w:val="00653814"/>
    <w:rsid w:val="00654BBD"/>
    <w:rsid w:val="00654CC1"/>
    <w:rsid w:val="0065515C"/>
    <w:rsid w:val="0065752C"/>
    <w:rsid w:val="00660433"/>
    <w:rsid w:val="006670EF"/>
    <w:rsid w:val="00681DEF"/>
    <w:rsid w:val="00682B52"/>
    <w:rsid w:val="00682C85"/>
    <w:rsid w:val="00684418"/>
    <w:rsid w:val="00686F0F"/>
    <w:rsid w:val="0069215A"/>
    <w:rsid w:val="006927B9"/>
    <w:rsid w:val="006971E6"/>
    <w:rsid w:val="006A1757"/>
    <w:rsid w:val="006A710C"/>
    <w:rsid w:val="006B5429"/>
    <w:rsid w:val="006B54DE"/>
    <w:rsid w:val="006C2FE1"/>
    <w:rsid w:val="006C4699"/>
    <w:rsid w:val="006C4E24"/>
    <w:rsid w:val="006C6D21"/>
    <w:rsid w:val="006E2E88"/>
    <w:rsid w:val="006E3921"/>
    <w:rsid w:val="006E67CB"/>
    <w:rsid w:val="006E75AF"/>
    <w:rsid w:val="006F1461"/>
    <w:rsid w:val="006F1613"/>
    <w:rsid w:val="00702BF8"/>
    <w:rsid w:val="00703607"/>
    <w:rsid w:val="0070502D"/>
    <w:rsid w:val="00705A58"/>
    <w:rsid w:val="00712972"/>
    <w:rsid w:val="007246CB"/>
    <w:rsid w:val="00727EE9"/>
    <w:rsid w:val="00732CFF"/>
    <w:rsid w:val="00733570"/>
    <w:rsid w:val="00734907"/>
    <w:rsid w:val="00741019"/>
    <w:rsid w:val="007410EB"/>
    <w:rsid w:val="007465A2"/>
    <w:rsid w:val="00746F18"/>
    <w:rsid w:val="00747E8E"/>
    <w:rsid w:val="00752409"/>
    <w:rsid w:val="00752417"/>
    <w:rsid w:val="00761E90"/>
    <w:rsid w:val="00762695"/>
    <w:rsid w:val="007626B7"/>
    <w:rsid w:val="00771FD0"/>
    <w:rsid w:val="00772062"/>
    <w:rsid w:val="00772318"/>
    <w:rsid w:val="00775833"/>
    <w:rsid w:val="00784084"/>
    <w:rsid w:val="00784FE9"/>
    <w:rsid w:val="0078531A"/>
    <w:rsid w:val="00785B39"/>
    <w:rsid w:val="007874AC"/>
    <w:rsid w:val="0079083D"/>
    <w:rsid w:val="00795716"/>
    <w:rsid w:val="007A5459"/>
    <w:rsid w:val="007B07F3"/>
    <w:rsid w:val="007B5E71"/>
    <w:rsid w:val="007C02B9"/>
    <w:rsid w:val="007C068A"/>
    <w:rsid w:val="007C6E7D"/>
    <w:rsid w:val="007E11D8"/>
    <w:rsid w:val="007E3DE0"/>
    <w:rsid w:val="007E6A85"/>
    <w:rsid w:val="007E6CEA"/>
    <w:rsid w:val="007F730D"/>
    <w:rsid w:val="007F74FF"/>
    <w:rsid w:val="0080356D"/>
    <w:rsid w:val="00806515"/>
    <w:rsid w:val="00813F23"/>
    <w:rsid w:val="00822915"/>
    <w:rsid w:val="00824F67"/>
    <w:rsid w:val="008258BA"/>
    <w:rsid w:val="00826D21"/>
    <w:rsid w:val="0083006D"/>
    <w:rsid w:val="0084210F"/>
    <w:rsid w:val="0084343D"/>
    <w:rsid w:val="00843A66"/>
    <w:rsid w:val="008462FD"/>
    <w:rsid w:val="0084690E"/>
    <w:rsid w:val="00847045"/>
    <w:rsid w:val="00847DFA"/>
    <w:rsid w:val="00850B3A"/>
    <w:rsid w:val="008516B2"/>
    <w:rsid w:val="0085526B"/>
    <w:rsid w:val="0086224B"/>
    <w:rsid w:val="008644BE"/>
    <w:rsid w:val="00865258"/>
    <w:rsid w:val="00867DE7"/>
    <w:rsid w:val="00870574"/>
    <w:rsid w:val="0087094C"/>
    <w:rsid w:val="00871736"/>
    <w:rsid w:val="00871E74"/>
    <w:rsid w:val="00872582"/>
    <w:rsid w:val="008777D8"/>
    <w:rsid w:val="00882366"/>
    <w:rsid w:val="0088361F"/>
    <w:rsid w:val="00891A7E"/>
    <w:rsid w:val="00892C8D"/>
    <w:rsid w:val="008A1AE5"/>
    <w:rsid w:val="008A4184"/>
    <w:rsid w:val="008B2E73"/>
    <w:rsid w:val="008B2E76"/>
    <w:rsid w:val="008B367E"/>
    <w:rsid w:val="008B5F39"/>
    <w:rsid w:val="008B6BB3"/>
    <w:rsid w:val="008C2806"/>
    <w:rsid w:val="008C39CC"/>
    <w:rsid w:val="008E0E74"/>
    <w:rsid w:val="008E54F5"/>
    <w:rsid w:val="008F6067"/>
    <w:rsid w:val="008F752A"/>
    <w:rsid w:val="00900638"/>
    <w:rsid w:val="00904498"/>
    <w:rsid w:val="00914224"/>
    <w:rsid w:val="0092205F"/>
    <w:rsid w:val="0092310F"/>
    <w:rsid w:val="00932422"/>
    <w:rsid w:val="00937728"/>
    <w:rsid w:val="00940E9B"/>
    <w:rsid w:val="00942807"/>
    <w:rsid w:val="00947174"/>
    <w:rsid w:val="00947E5A"/>
    <w:rsid w:val="009567E7"/>
    <w:rsid w:val="00956CA5"/>
    <w:rsid w:val="00960B2F"/>
    <w:rsid w:val="00962D9B"/>
    <w:rsid w:val="00970D96"/>
    <w:rsid w:val="00971C10"/>
    <w:rsid w:val="009752DE"/>
    <w:rsid w:val="00976090"/>
    <w:rsid w:val="0098148D"/>
    <w:rsid w:val="00985AB5"/>
    <w:rsid w:val="0098723B"/>
    <w:rsid w:val="00994A4B"/>
    <w:rsid w:val="009A0390"/>
    <w:rsid w:val="009A0BE3"/>
    <w:rsid w:val="009A2E8E"/>
    <w:rsid w:val="009B2C42"/>
    <w:rsid w:val="009B4C37"/>
    <w:rsid w:val="009C3998"/>
    <w:rsid w:val="009C5BC0"/>
    <w:rsid w:val="009C765E"/>
    <w:rsid w:val="009C7DE9"/>
    <w:rsid w:val="009D2578"/>
    <w:rsid w:val="009D33EC"/>
    <w:rsid w:val="009D5708"/>
    <w:rsid w:val="009D7987"/>
    <w:rsid w:val="009E1B1C"/>
    <w:rsid w:val="009F7587"/>
    <w:rsid w:val="00A00D31"/>
    <w:rsid w:val="00A03E6A"/>
    <w:rsid w:val="00A05A78"/>
    <w:rsid w:val="00A14C73"/>
    <w:rsid w:val="00A168DD"/>
    <w:rsid w:val="00A201FC"/>
    <w:rsid w:val="00A20F0C"/>
    <w:rsid w:val="00A24A9C"/>
    <w:rsid w:val="00A26C04"/>
    <w:rsid w:val="00A3211C"/>
    <w:rsid w:val="00A330BA"/>
    <w:rsid w:val="00A33434"/>
    <w:rsid w:val="00A35443"/>
    <w:rsid w:val="00A47847"/>
    <w:rsid w:val="00A5387C"/>
    <w:rsid w:val="00A6069E"/>
    <w:rsid w:val="00A61869"/>
    <w:rsid w:val="00A61F4C"/>
    <w:rsid w:val="00A6554F"/>
    <w:rsid w:val="00A70889"/>
    <w:rsid w:val="00A71BEC"/>
    <w:rsid w:val="00A72368"/>
    <w:rsid w:val="00A75D3F"/>
    <w:rsid w:val="00A76604"/>
    <w:rsid w:val="00A76EED"/>
    <w:rsid w:val="00A816AA"/>
    <w:rsid w:val="00A82A76"/>
    <w:rsid w:val="00A842DD"/>
    <w:rsid w:val="00A842FB"/>
    <w:rsid w:val="00A86F73"/>
    <w:rsid w:val="00A90ED0"/>
    <w:rsid w:val="00A91BE6"/>
    <w:rsid w:val="00A94846"/>
    <w:rsid w:val="00A967DC"/>
    <w:rsid w:val="00AA47F4"/>
    <w:rsid w:val="00AA665C"/>
    <w:rsid w:val="00AA7CD9"/>
    <w:rsid w:val="00AB21CC"/>
    <w:rsid w:val="00AB56DD"/>
    <w:rsid w:val="00AB6606"/>
    <w:rsid w:val="00AB7523"/>
    <w:rsid w:val="00AC466C"/>
    <w:rsid w:val="00AC772B"/>
    <w:rsid w:val="00AD0CD7"/>
    <w:rsid w:val="00AD4025"/>
    <w:rsid w:val="00AD7326"/>
    <w:rsid w:val="00AE2604"/>
    <w:rsid w:val="00AE2C1C"/>
    <w:rsid w:val="00AE2FB0"/>
    <w:rsid w:val="00AF0EB6"/>
    <w:rsid w:val="00AF3B5A"/>
    <w:rsid w:val="00AF5B76"/>
    <w:rsid w:val="00B0392E"/>
    <w:rsid w:val="00B044FE"/>
    <w:rsid w:val="00B138B9"/>
    <w:rsid w:val="00B169BA"/>
    <w:rsid w:val="00B17DF1"/>
    <w:rsid w:val="00B33CE2"/>
    <w:rsid w:val="00B34B9A"/>
    <w:rsid w:val="00B34C1A"/>
    <w:rsid w:val="00B42883"/>
    <w:rsid w:val="00B42DBE"/>
    <w:rsid w:val="00B472B4"/>
    <w:rsid w:val="00B54066"/>
    <w:rsid w:val="00B541A5"/>
    <w:rsid w:val="00B57E16"/>
    <w:rsid w:val="00B66A89"/>
    <w:rsid w:val="00B6771D"/>
    <w:rsid w:val="00B67860"/>
    <w:rsid w:val="00B7061F"/>
    <w:rsid w:val="00B731BB"/>
    <w:rsid w:val="00B771A3"/>
    <w:rsid w:val="00B775ED"/>
    <w:rsid w:val="00B806B9"/>
    <w:rsid w:val="00B817F2"/>
    <w:rsid w:val="00B82F12"/>
    <w:rsid w:val="00B86720"/>
    <w:rsid w:val="00B8769C"/>
    <w:rsid w:val="00B9238D"/>
    <w:rsid w:val="00B95E47"/>
    <w:rsid w:val="00BA30FD"/>
    <w:rsid w:val="00BA7327"/>
    <w:rsid w:val="00BD07C1"/>
    <w:rsid w:val="00BD2F90"/>
    <w:rsid w:val="00BD391D"/>
    <w:rsid w:val="00BD49AD"/>
    <w:rsid w:val="00BE3901"/>
    <w:rsid w:val="00BE77ED"/>
    <w:rsid w:val="00BF089F"/>
    <w:rsid w:val="00BF1CFA"/>
    <w:rsid w:val="00BF6D88"/>
    <w:rsid w:val="00C004C1"/>
    <w:rsid w:val="00C018BE"/>
    <w:rsid w:val="00C21EF0"/>
    <w:rsid w:val="00C2612F"/>
    <w:rsid w:val="00C34CBC"/>
    <w:rsid w:val="00C36E22"/>
    <w:rsid w:val="00C41D65"/>
    <w:rsid w:val="00C424FE"/>
    <w:rsid w:val="00C44198"/>
    <w:rsid w:val="00C4716F"/>
    <w:rsid w:val="00C475AD"/>
    <w:rsid w:val="00C52320"/>
    <w:rsid w:val="00C54D4B"/>
    <w:rsid w:val="00C55320"/>
    <w:rsid w:val="00C554BC"/>
    <w:rsid w:val="00C55B93"/>
    <w:rsid w:val="00C56438"/>
    <w:rsid w:val="00C56746"/>
    <w:rsid w:val="00C5753C"/>
    <w:rsid w:val="00C60C47"/>
    <w:rsid w:val="00C64112"/>
    <w:rsid w:val="00C64633"/>
    <w:rsid w:val="00C65241"/>
    <w:rsid w:val="00C715D1"/>
    <w:rsid w:val="00C726A6"/>
    <w:rsid w:val="00C74E1B"/>
    <w:rsid w:val="00C81E96"/>
    <w:rsid w:val="00C85611"/>
    <w:rsid w:val="00C9073E"/>
    <w:rsid w:val="00C91DFF"/>
    <w:rsid w:val="00C93475"/>
    <w:rsid w:val="00C97B96"/>
    <w:rsid w:val="00CA1992"/>
    <w:rsid w:val="00CB39DD"/>
    <w:rsid w:val="00CB3A6C"/>
    <w:rsid w:val="00CB6BF0"/>
    <w:rsid w:val="00CD2C07"/>
    <w:rsid w:val="00CD2C15"/>
    <w:rsid w:val="00CD6726"/>
    <w:rsid w:val="00CE6766"/>
    <w:rsid w:val="00CF13CF"/>
    <w:rsid w:val="00CF1BB6"/>
    <w:rsid w:val="00CF2C19"/>
    <w:rsid w:val="00CF3592"/>
    <w:rsid w:val="00CF4739"/>
    <w:rsid w:val="00CF4E74"/>
    <w:rsid w:val="00D01B31"/>
    <w:rsid w:val="00D046A3"/>
    <w:rsid w:val="00D12422"/>
    <w:rsid w:val="00D242CE"/>
    <w:rsid w:val="00D245ED"/>
    <w:rsid w:val="00D24702"/>
    <w:rsid w:val="00D2516F"/>
    <w:rsid w:val="00D27362"/>
    <w:rsid w:val="00D32F31"/>
    <w:rsid w:val="00D333E2"/>
    <w:rsid w:val="00D42E33"/>
    <w:rsid w:val="00D44FB0"/>
    <w:rsid w:val="00D621C8"/>
    <w:rsid w:val="00D65DE0"/>
    <w:rsid w:val="00D6607A"/>
    <w:rsid w:val="00D76990"/>
    <w:rsid w:val="00D779E7"/>
    <w:rsid w:val="00D804D1"/>
    <w:rsid w:val="00D83F81"/>
    <w:rsid w:val="00D84245"/>
    <w:rsid w:val="00D849EF"/>
    <w:rsid w:val="00D9053E"/>
    <w:rsid w:val="00D9248E"/>
    <w:rsid w:val="00D94E1D"/>
    <w:rsid w:val="00D96D12"/>
    <w:rsid w:val="00D9776F"/>
    <w:rsid w:val="00DA0FFB"/>
    <w:rsid w:val="00DA5FDB"/>
    <w:rsid w:val="00DB30AB"/>
    <w:rsid w:val="00DB4846"/>
    <w:rsid w:val="00DB4D53"/>
    <w:rsid w:val="00DC0D46"/>
    <w:rsid w:val="00DC1AE6"/>
    <w:rsid w:val="00DC358E"/>
    <w:rsid w:val="00DC4F53"/>
    <w:rsid w:val="00DD02B5"/>
    <w:rsid w:val="00DD2093"/>
    <w:rsid w:val="00DD4557"/>
    <w:rsid w:val="00DD6270"/>
    <w:rsid w:val="00DE495B"/>
    <w:rsid w:val="00DE5439"/>
    <w:rsid w:val="00E01762"/>
    <w:rsid w:val="00E15B1F"/>
    <w:rsid w:val="00E15F91"/>
    <w:rsid w:val="00E2195C"/>
    <w:rsid w:val="00E2342A"/>
    <w:rsid w:val="00E24241"/>
    <w:rsid w:val="00E262F6"/>
    <w:rsid w:val="00E30026"/>
    <w:rsid w:val="00E34EA9"/>
    <w:rsid w:val="00E42F24"/>
    <w:rsid w:val="00E43370"/>
    <w:rsid w:val="00E43EF6"/>
    <w:rsid w:val="00E46AC7"/>
    <w:rsid w:val="00E52B11"/>
    <w:rsid w:val="00E65E22"/>
    <w:rsid w:val="00E66D37"/>
    <w:rsid w:val="00E67EDC"/>
    <w:rsid w:val="00E7089C"/>
    <w:rsid w:val="00E754BB"/>
    <w:rsid w:val="00E81220"/>
    <w:rsid w:val="00E85902"/>
    <w:rsid w:val="00E85B02"/>
    <w:rsid w:val="00E90BE0"/>
    <w:rsid w:val="00E914CC"/>
    <w:rsid w:val="00E9178B"/>
    <w:rsid w:val="00E928ED"/>
    <w:rsid w:val="00E93563"/>
    <w:rsid w:val="00EA39AE"/>
    <w:rsid w:val="00EB2C3D"/>
    <w:rsid w:val="00EC4EEA"/>
    <w:rsid w:val="00ED2A6F"/>
    <w:rsid w:val="00ED49D0"/>
    <w:rsid w:val="00ED58EC"/>
    <w:rsid w:val="00EF3F61"/>
    <w:rsid w:val="00EF6AE0"/>
    <w:rsid w:val="00EF6D9E"/>
    <w:rsid w:val="00EF7CB2"/>
    <w:rsid w:val="00F003B8"/>
    <w:rsid w:val="00F03C9F"/>
    <w:rsid w:val="00F12714"/>
    <w:rsid w:val="00F22342"/>
    <w:rsid w:val="00F2476C"/>
    <w:rsid w:val="00F318C6"/>
    <w:rsid w:val="00F32875"/>
    <w:rsid w:val="00F35FD3"/>
    <w:rsid w:val="00F37CDC"/>
    <w:rsid w:val="00F40209"/>
    <w:rsid w:val="00F414B9"/>
    <w:rsid w:val="00F41F65"/>
    <w:rsid w:val="00F47638"/>
    <w:rsid w:val="00F5066C"/>
    <w:rsid w:val="00F5274E"/>
    <w:rsid w:val="00F544E9"/>
    <w:rsid w:val="00F607A7"/>
    <w:rsid w:val="00F71BCB"/>
    <w:rsid w:val="00F73CFD"/>
    <w:rsid w:val="00F768C1"/>
    <w:rsid w:val="00F81D21"/>
    <w:rsid w:val="00F83719"/>
    <w:rsid w:val="00F858B8"/>
    <w:rsid w:val="00F867F5"/>
    <w:rsid w:val="00F901AE"/>
    <w:rsid w:val="00F92EDF"/>
    <w:rsid w:val="00F94E75"/>
    <w:rsid w:val="00F979A7"/>
    <w:rsid w:val="00FA3DA9"/>
    <w:rsid w:val="00FA40E9"/>
    <w:rsid w:val="00FA705D"/>
    <w:rsid w:val="00FB229E"/>
    <w:rsid w:val="00FB3735"/>
    <w:rsid w:val="00FB4868"/>
    <w:rsid w:val="00FC753B"/>
    <w:rsid w:val="00FD1921"/>
    <w:rsid w:val="00FD2F0D"/>
    <w:rsid w:val="00FD3FAB"/>
    <w:rsid w:val="00FD3FCA"/>
    <w:rsid w:val="00FD677A"/>
    <w:rsid w:val="00FE33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1427B"/>
  <w15:docId w15:val="{5D0ACC5B-28EF-4ED1-B4FB-75EFBFDC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lsdException w:name="List Number" w:uiPriority="2"/>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uiPriority="5"/>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846"/>
    <w:pPr>
      <w:spacing w:after="160" w:line="293" w:lineRule="auto"/>
    </w:pPr>
    <w:rPr>
      <w:rFonts w:ascii="Georgia" w:hAnsi="Georgia" w:cs="Calibri"/>
      <w:szCs w:val="22"/>
    </w:rPr>
  </w:style>
  <w:style w:type="paragraph" w:styleId="Overskrift1">
    <w:name w:val="heading 1"/>
    <w:basedOn w:val="Normal"/>
    <w:next w:val="Normal"/>
    <w:link w:val="Overskrift1Tegn"/>
    <w:uiPriority w:val="1"/>
    <w:qFormat/>
    <w:rsid w:val="00022A1D"/>
    <w:pPr>
      <w:keepNext/>
      <w:keepLines/>
      <w:spacing w:after="360" w:line="240" w:lineRule="auto"/>
      <w:contextualSpacing/>
      <w:outlineLvl w:val="0"/>
    </w:pPr>
    <w:rPr>
      <w:rFonts w:ascii="Arial" w:eastAsia="Times New Roman" w:hAnsi="Arial" w:cs="Times New Roman"/>
      <w:bCs/>
      <w:sz w:val="28"/>
      <w:szCs w:val="28"/>
    </w:rPr>
  </w:style>
  <w:style w:type="paragraph" w:styleId="Overskrift2">
    <w:name w:val="heading 2"/>
    <w:basedOn w:val="Normal"/>
    <w:next w:val="Normal"/>
    <w:link w:val="Overskrift2Tegn"/>
    <w:uiPriority w:val="1"/>
    <w:qFormat/>
    <w:rsid w:val="00871736"/>
    <w:pPr>
      <w:keepNext/>
      <w:keepLines/>
      <w:spacing w:before="240" w:after="40" w:line="240" w:lineRule="auto"/>
      <w:outlineLvl w:val="1"/>
    </w:pPr>
    <w:rPr>
      <w:rFonts w:ascii="Arial" w:eastAsia="Times New Roman" w:hAnsi="Arial" w:cs="Times New Roman"/>
      <w:b/>
      <w:bCs/>
      <w:szCs w:val="26"/>
    </w:rPr>
  </w:style>
  <w:style w:type="paragraph" w:styleId="Overskrift3">
    <w:name w:val="heading 3"/>
    <w:basedOn w:val="Overskrift2"/>
    <w:next w:val="Normal"/>
    <w:link w:val="Overskrift3Tegn"/>
    <w:uiPriority w:val="1"/>
    <w:qFormat/>
    <w:rsid w:val="00976090"/>
    <w:pPr>
      <w:outlineLvl w:val="2"/>
    </w:pPr>
    <w:rPr>
      <w:b w:val="0"/>
      <w:bCs w:val="0"/>
      <w:i/>
    </w:rPr>
  </w:style>
  <w:style w:type="paragraph" w:styleId="Overskrift4">
    <w:name w:val="heading 4"/>
    <w:basedOn w:val="Normal"/>
    <w:next w:val="Normal"/>
    <w:link w:val="Overskrift4Tegn"/>
    <w:uiPriority w:val="1"/>
    <w:rsid w:val="00590234"/>
    <w:pPr>
      <w:keepNext/>
      <w:keepLines/>
      <w:outlineLvl w:val="3"/>
    </w:pPr>
    <w:rPr>
      <w:rFonts w:eastAsia="Times New Roman" w:cs="Times New Roman"/>
      <w:b/>
      <w:bCs/>
      <w:iCs/>
    </w:rPr>
  </w:style>
  <w:style w:type="paragraph" w:styleId="Overskrift5">
    <w:name w:val="heading 5"/>
    <w:basedOn w:val="Normal"/>
    <w:next w:val="Normal"/>
    <w:link w:val="Overskrift5Tegn"/>
    <w:uiPriority w:val="1"/>
    <w:rsid w:val="00590234"/>
    <w:pPr>
      <w:keepNext/>
      <w:keepLines/>
      <w:outlineLvl w:val="4"/>
    </w:pPr>
    <w:rPr>
      <w:rFonts w:eastAsia="Times New Roman" w:cs="Times New Roman"/>
      <w:b/>
    </w:rPr>
  </w:style>
  <w:style w:type="paragraph" w:styleId="Overskrift6">
    <w:name w:val="heading 6"/>
    <w:basedOn w:val="Normal"/>
    <w:next w:val="Normal"/>
    <w:link w:val="Overskrift6Tegn"/>
    <w:uiPriority w:val="1"/>
    <w:rsid w:val="00590234"/>
    <w:pPr>
      <w:keepNext/>
      <w:keepLines/>
      <w:outlineLvl w:val="5"/>
    </w:pPr>
    <w:rPr>
      <w:rFonts w:eastAsia="Times New Roman" w:cs="Times New Roman"/>
      <w:b/>
      <w:iCs/>
    </w:rPr>
  </w:style>
  <w:style w:type="paragraph" w:styleId="Overskrift7">
    <w:name w:val="heading 7"/>
    <w:basedOn w:val="Normal"/>
    <w:next w:val="Normal"/>
    <w:link w:val="Overskrift7Tegn"/>
    <w:uiPriority w:val="1"/>
    <w:rsid w:val="00590234"/>
    <w:pPr>
      <w:keepNext/>
      <w:keepLines/>
      <w:outlineLvl w:val="6"/>
    </w:pPr>
    <w:rPr>
      <w:rFonts w:eastAsia="Times New Roman" w:cs="Times New Roman"/>
      <w:b/>
      <w:iCs/>
    </w:rPr>
  </w:style>
  <w:style w:type="paragraph" w:styleId="Overskrift8">
    <w:name w:val="heading 8"/>
    <w:basedOn w:val="Normal"/>
    <w:next w:val="Normal"/>
    <w:link w:val="Overskrift8Tegn"/>
    <w:uiPriority w:val="1"/>
    <w:rsid w:val="00590234"/>
    <w:pPr>
      <w:keepNext/>
      <w:keepLines/>
      <w:outlineLvl w:val="7"/>
    </w:pPr>
    <w:rPr>
      <w:rFonts w:eastAsia="Times New Roman" w:cs="Times New Roman"/>
      <w:szCs w:val="20"/>
    </w:rPr>
  </w:style>
  <w:style w:type="paragraph" w:styleId="Overskrift9">
    <w:name w:val="heading 9"/>
    <w:basedOn w:val="Normal"/>
    <w:next w:val="Normal"/>
    <w:link w:val="Overskrift9Tegn"/>
    <w:uiPriority w:val="1"/>
    <w:rsid w:val="00590234"/>
    <w:pPr>
      <w:keepNext/>
      <w:keepLines/>
      <w:outlineLvl w:val="8"/>
    </w:pPr>
    <w:rPr>
      <w:rFonts w:eastAsia="Times New Roman" w:cs="Times New Roman"/>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isteafsnit1">
    <w:name w:val="Listeafsnit1"/>
    <w:basedOn w:val="Normal"/>
    <w:uiPriority w:val="34"/>
    <w:semiHidden/>
    <w:qFormat/>
    <w:rsid w:val="002A7E03"/>
    <w:pPr>
      <w:ind w:left="720"/>
    </w:pPr>
  </w:style>
  <w:style w:type="character" w:customStyle="1" w:styleId="Overskrift1Tegn">
    <w:name w:val="Overskrift 1 Tegn"/>
    <w:link w:val="Overskrift1"/>
    <w:uiPriority w:val="1"/>
    <w:rsid w:val="00022A1D"/>
    <w:rPr>
      <w:rFonts w:ascii="Arial" w:eastAsia="Times New Roman" w:hAnsi="Arial"/>
      <w:bCs/>
      <w:sz w:val="28"/>
      <w:szCs w:val="28"/>
    </w:rPr>
  </w:style>
  <w:style w:type="character" w:customStyle="1" w:styleId="Overskrift2Tegn">
    <w:name w:val="Overskrift 2 Tegn"/>
    <w:link w:val="Overskrift2"/>
    <w:uiPriority w:val="1"/>
    <w:rsid w:val="00871736"/>
    <w:rPr>
      <w:rFonts w:ascii="Arial" w:eastAsia="Times New Roman" w:hAnsi="Arial"/>
      <w:b/>
      <w:bCs/>
      <w:szCs w:val="26"/>
    </w:rPr>
  </w:style>
  <w:style w:type="paragraph" w:styleId="Titel">
    <w:name w:val="Title"/>
    <w:basedOn w:val="Normal"/>
    <w:next w:val="Normal"/>
    <w:link w:val="TitelTegn"/>
    <w:uiPriority w:val="4"/>
    <w:rsid w:val="002538D2"/>
    <w:pPr>
      <w:spacing w:line="960" w:lineRule="atLeast"/>
    </w:pPr>
    <w:rPr>
      <w:rFonts w:eastAsia="Times New Roman" w:cs="Times New Roman"/>
      <w:b/>
      <w:caps/>
      <w:sz w:val="92"/>
      <w:szCs w:val="52"/>
    </w:rPr>
  </w:style>
  <w:style w:type="character" w:customStyle="1" w:styleId="TitelTegn">
    <w:name w:val="Titel Tegn"/>
    <w:link w:val="Titel"/>
    <w:uiPriority w:val="4"/>
    <w:semiHidden/>
    <w:rsid w:val="002538D2"/>
    <w:rPr>
      <w:rFonts w:ascii="Tahoma" w:eastAsia="Times New Roman" w:hAnsi="Tahoma" w:cs="Times New Roman"/>
      <w:b/>
      <w:caps/>
      <w:sz w:val="92"/>
      <w:szCs w:val="52"/>
      <w:lang w:eastAsia="da-DK"/>
    </w:rPr>
  </w:style>
  <w:style w:type="paragraph" w:styleId="Undertitel">
    <w:name w:val="Subtitle"/>
    <w:basedOn w:val="Normal"/>
    <w:next w:val="Normal"/>
    <w:link w:val="UndertitelTegn"/>
    <w:uiPriority w:val="11"/>
    <w:rsid w:val="002538D2"/>
    <w:pPr>
      <w:numPr>
        <w:ilvl w:val="1"/>
      </w:numPr>
      <w:spacing w:line="440" w:lineRule="atLeast"/>
    </w:pPr>
    <w:rPr>
      <w:rFonts w:eastAsia="Times New Roman" w:cs="Times New Roman"/>
      <w:b/>
      <w:iCs/>
      <w:sz w:val="40"/>
      <w:szCs w:val="24"/>
    </w:rPr>
  </w:style>
  <w:style w:type="character" w:customStyle="1" w:styleId="UndertitelTegn">
    <w:name w:val="Undertitel Tegn"/>
    <w:link w:val="Undertitel"/>
    <w:uiPriority w:val="11"/>
    <w:semiHidden/>
    <w:rsid w:val="002538D2"/>
    <w:rPr>
      <w:rFonts w:ascii="Tahoma" w:eastAsia="Times New Roman" w:hAnsi="Tahoma" w:cs="Times New Roman"/>
      <w:b/>
      <w:iCs/>
      <w:sz w:val="40"/>
      <w:szCs w:val="24"/>
      <w:lang w:eastAsia="da-DK"/>
    </w:rPr>
  </w:style>
  <w:style w:type="character" w:customStyle="1" w:styleId="Svagfremhvning1">
    <w:name w:val="Svag fremhævning1"/>
    <w:uiPriority w:val="19"/>
    <w:semiHidden/>
    <w:qFormat/>
    <w:rsid w:val="003E435A"/>
    <w:rPr>
      <w:i/>
      <w:iCs/>
      <w:color w:val="auto"/>
    </w:rPr>
  </w:style>
  <w:style w:type="character" w:styleId="Fremhv">
    <w:name w:val="Emphasis"/>
    <w:uiPriority w:val="20"/>
    <w:rsid w:val="003E435A"/>
    <w:rPr>
      <w:i/>
      <w:iCs/>
    </w:rPr>
  </w:style>
  <w:style w:type="character" w:customStyle="1" w:styleId="Kraftigfremhvning1">
    <w:name w:val="Kraftig fremhævning1"/>
    <w:uiPriority w:val="21"/>
    <w:semiHidden/>
    <w:qFormat/>
    <w:rsid w:val="003E435A"/>
    <w:rPr>
      <w:b/>
      <w:bCs/>
      <w:i/>
      <w:iCs/>
      <w:color w:val="auto"/>
    </w:rPr>
  </w:style>
  <w:style w:type="character" w:styleId="Strk">
    <w:name w:val="Strong"/>
    <w:uiPriority w:val="22"/>
    <w:rsid w:val="003E435A"/>
    <w:rPr>
      <w:b/>
      <w:bCs/>
    </w:rPr>
  </w:style>
  <w:style w:type="paragraph" w:customStyle="1" w:styleId="Strktcitat1">
    <w:name w:val="Stærkt citat1"/>
    <w:basedOn w:val="Normal"/>
    <w:next w:val="Normal"/>
    <w:link w:val="IntenseQuoteChar"/>
    <w:uiPriority w:val="30"/>
    <w:semiHidden/>
    <w:qFormat/>
    <w:rsid w:val="003E435A"/>
    <w:pPr>
      <w:spacing w:before="200" w:after="280"/>
      <w:ind w:left="936" w:right="936"/>
    </w:pPr>
    <w:rPr>
      <w:b/>
      <w:bCs/>
      <w:i/>
      <w:iCs/>
    </w:rPr>
  </w:style>
  <w:style w:type="character" w:customStyle="1" w:styleId="IntenseQuoteChar">
    <w:name w:val="Intense Quote Char"/>
    <w:link w:val="Strktcitat1"/>
    <w:uiPriority w:val="30"/>
    <w:semiHidden/>
    <w:rsid w:val="00590234"/>
    <w:rPr>
      <w:rFonts w:ascii="Calibri" w:hAnsi="Calibri" w:cs="Calibri"/>
      <w:b/>
      <w:bCs/>
      <w:i/>
      <w:iCs/>
      <w:sz w:val="20"/>
      <w:lang w:eastAsia="da-DK"/>
    </w:rPr>
  </w:style>
  <w:style w:type="character" w:customStyle="1" w:styleId="Svaghenvisning1">
    <w:name w:val="Svag henvisning1"/>
    <w:uiPriority w:val="31"/>
    <w:semiHidden/>
    <w:qFormat/>
    <w:rsid w:val="003E435A"/>
    <w:rPr>
      <w:smallCaps/>
      <w:color w:val="auto"/>
      <w:u w:val="single"/>
    </w:rPr>
  </w:style>
  <w:style w:type="character" w:customStyle="1" w:styleId="Kraftighenvisning1">
    <w:name w:val="Kraftig henvisning1"/>
    <w:uiPriority w:val="32"/>
    <w:semiHidden/>
    <w:qFormat/>
    <w:rsid w:val="003E435A"/>
    <w:rPr>
      <w:b/>
      <w:bCs/>
      <w:smallCaps/>
      <w:color w:val="auto"/>
      <w:spacing w:val="5"/>
      <w:u w:val="single"/>
    </w:rPr>
  </w:style>
  <w:style w:type="character" w:customStyle="1" w:styleId="Overskrift3Tegn">
    <w:name w:val="Overskrift 3 Tegn"/>
    <w:link w:val="Overskrift3"/>
    <w:uiPriority w:val="1"/>
    <w:rsid w:val="00976090"/>
    <w:rPr>
      <w:rFonts w:ascii="Arial" w:eastAsia="Times New Roman" w:hAnsi="Arial"/>
      <w:i/>
      <w:szCs w:val="26"/>
    </w:rPr>
  </w:style>
  <w:style w:type="character" w:customStyle="1" w:styleId="Overskrift4Tegn">
    <w:name w:val="Overskrift 4 Tegn"/>
    <w:link w:val="Overskrift4"/>
    <w:uiPriority w:val="1"/>
    <w:semiHidden/>
    <w:rsid w:val="00590234"/>
    <w:rPr>
      <w:rFonts w:ascii="Calibri" w:eastAsia="Times New Roman" w:hAnsi="Calibri" w:cs="Times New Roman"/>
      <w:b/>
      <w:bCs/>
      <w:iCs/>
      <w:sz w:val="20"/>
      <w:lang w:eastAsia="da-DK"/>
    </w:rPr>
  </w:style>
  <w:style w:type="character" w:customStyle="1" w:styleId="Overskrift5Tegn">
    <w:name w:val="Overskrift 5 Tegn"/>
    <w:link w:val="Overskrift5"/>
    <w:uiPriority w:val="1"/>
    <w:semiHidden/>
    <w:rsid w:val="00590234"/>
    <w:rPr>
      <w:rFonts w:ascii="Calibri" w:eastAsia="Times New Roman" w:hAnsi="Calibri" w:cs="Times New Roman"/>
      <w:b/>
      <w:sz w:val="20"/>
      <w:lang w:eastAsia="da-DK"/>
    </w:rPr>
  </w:style>
  <w:style w:type="character" w:customStyle="1" w:styleId="Overskrift6Tegn">
    <w:name w:val="Overskrift 6 Tegn"/>
    <w:link w:val="Overskrift6"/>
    <w:uiPriority w:val="1"/>
    <w:semiHidden/>
    <w:rsid w:val="00590234"/>
    <w:rPr>
      <w:rFonts w:ascii="Calibri" w:eastAsia="Times New Roman" w:hAnsi="Calibri" w:cs="Times New Roman"/>
      <w:b/>
      <w:iCs/>
      <w:sz w:val="20"/>
      <w:lang w:eastAsia="da-DK"/>
    </w:rPr>
  </w:style>
  <w:style w:type="character" w:customStyle="1" w:styleId="Overskrift7Tegn">
    <w:name w:val="Overskrift 7 Tegn"/>
    <w:link w:val="Overskrift7"/>
    <w:uiPriority w:val="1"/>
    <w:semiHidden/>
    <w:rsid w:val="00590234"/>
    <w:rPr>
      <w:rFonts w:ascii="Calibri" w:eastAsia="Times New Roman" w:hAnsi="Calibri" w:cs="Times New Roman"/>
      <w:b/>
      <w:iCs/>
      <w:sz w:val="20"/>
      <w:lang w:eastAsia="da-DK"/>
    </w:rPr>
  </w:style>
  <w:style w:type="character" w:customStyle="1" w:styleId="Overskrift8Tegn">
    <w:name w:val="Overskrift 8 Tegn"/>
    <w:link w:val="Overskrift8"/>
    <w:uiPriority w:val="1"/>
    <w:semiHidden/>
    <w:rsid w:val="00590234"/>
    <w:rPr>
      <w:rFonts w:ascii="Calibri" w:eastAsia="Times New Roman" w:hAnsi="Calibri" w:cs="Times New Roman"/>
      <w:sz w:val="20"/>
      <w:szCs w:val="20"/>
      <w:lang w:eastAsia="da-DK"/>
    </w:rPr>
  </w:style>
  <w:style w:type="character" w:customStyle="1" w:styleId="Overskrift9Tegn">
    <w:name w:val="Overskrift 9 Tegn"/>
    <w:link w:val="Overskrift9"/>
    <w:uiPriority w:val="1"/>
    <w:semiHidden/>
    <w:rsid w:val="00590234"/>
    <w:rPr>
      <w:rFonts w:ascii="Calibri" w:eastAsia="Times New Roman" w:hAnsi="Calibri" w:cs="Times New Roman"/>
      <w:iCs/>
      <w:sz w:val="20"/>
      <w:szCs w:val="20"/>
      <w:lang w:eastAsia="da-DK"/>
    </w:rPr>
  </w:style>
  <w:style w:type="paragraph" w:styleId="Billedtekst">
    <w:name w:val="caption"/>
    <w:basedOn w:val="Normal"/>
    <w:next w:val="Normal"/>
    <w:uiPriority w:val="2"/>
    <w:rsid w:val="00590234"/>
    <w:pPr>
      <w:spacing w:after="200" w:line="240" w:lineRule="auto"/>
    </w:pPr>
    <w:rPr>
      <w:b/>
      <w:bCs/>
      <w:sz w:val="18"/>
      <w:szCs w:val="18"/>
    </w:rPr>
  </w:style>
  <w:style w:type="paragraph" w:styleId="Indholdsfortegnelse1">
    <w:name w:val="toc 1"/>
    <w:basedOn w:val="Normal"/>
    <w:next w:val="Normal"/>
    <w:uiPriority w:val="39"/>
    <w:semiHidden/>
    <w:rsid w:val="00590234"/>
    <w:pPr>
      <w:ind w:right="567"/>
    </w:pPr>
  </w:style>
  <w:style w:type="paragraph" w:styleId="Indholdsfortegnelse2">
    <w:name w:val="toc 2"/>
    <w:basedOn w:val="Normal"/>
    <w:next w:val="Normal"/>
    <w:uiPriority w:val="39"/>
    <w:semiHidden/>
    <w:rsid w:val="00590234"/>
    <w:pPr>
      <w:ind w:right="567"/>
    </w:pPr>
  </w:style>
  <w:style w:type="paragraph" w:styleId="Indholdsfortegnelse3">
    <w:name w:val="toc 3"/>
    <w:basedOn w:val="Normal"/>
    <w:next w:val="Normal"/>
    <w:uiPriority w:val="39"/>
    <w:semiHidden/>
    <w:rsid w:val="00590234"/>
    <w:pPr>
      <w:ind w:right="567"/>
    </w:pPr>
  </w:style>
  <w:style w:type="paragraph" w:styleId="Indholdsfortegnelse4">
    <w:name w:val="toc 4"/>
    <w:basedOn w:val="Normal"/>
    <w:next w:val="Normal"/>
    <w:uiPriority w:val="39"/>
    <w:semiHidden/>
    <w:rsid w:val="00590234"/>
    <w:pPr>
      <w:ind w:right="567"/>
    </w:pPr>
  </w:style>
  <w:style w:type="paragraph" w:styleId="Indholdsfortegnelse5">
    <w:name w:val="toc 5"/>
    <w:basedOn w:val="Normal"/>
    <w:next w:val="Normal"/>
    <w:uiPriority w:val="39"/>
    <w:semiHidden/>
    <w:rsid w:val="00590234"/>
    <w:pPr>
      <w:ind w:right="567"/>
    </w:pPr>
  </w:style>
  <w:style w:type="paragraph" w:styleId="Indholdsfortegnelse6">
    <w:name w:val="toc 6"/>
    <w:basedOn w:val="Normal"/>
    <w:next w:val="Normal"/>
    <w:uiPriority w:val="39"/>
    <w:semiHidden/>
    <w:rsid w:val="00590234"/>
    <w:pPr>
      <w:ind w:right="567"/>
    </w:pPr>
  </w:style>
  <w:style w:type="paragraph" w:styleId="Indholdsfortegnelse7">
    <w:name w:val="toc 7"/>
    <w:basedOn w:val="Normal"/>
    <w:next w:val="Normal"/>
    <w:uiPriority w:val="39"/>
    <w:semiHidden/>
    <w:rsid w:val="00590234"/>
    <w:pPr>
      <w:ind w:right="567"/>
    </w:pPr>
  </w:style>
  <w:style w:type="paragraph" w:styleId="Indholdsfortegnelse8">
    <w:name w:val="toc 8"/>
    <w:basedOn w:val="Normal"/>
    <w:next w:val="Normal"/>
    <w:uiPriority w:val="39"/>
    <w:semiHidden/>
    <w:rsid w:val="00590234"/>
    <w:pPr>
      <w:ind w:right="567"/>
    </w:pPr>
  </w:style>
  <w:style w:type="paragraph" w:styleId="Indholdsfortegnelse9">
    <w:name w:val="toc 9"/>
    <w:basedOn w:val="Normal"/>
    <w:next w:val="Normal"/>
    <w:uiPriority w:val="39"/>
    <w:semiHidden/>
    <w:rsid w:val="00590234"/>
    <w:pPr>
      <w:ind w:right="567"/>
    </w:pPr>
  </w:style>
  <w:style w:type="paragraph" w:customStyle="1" w:styleId="Overskrift10">
    <w:name w:val="Overskrift1"/>
    <w:basedOn w:val="Overskrift1"/>
    <w:next w:val="Normal"/>
    <w:uiPriority w:val="39"/>
    <w:semiHidden/>
    <w:qFormat/>
    <w:rsid w:val="00590234"/>
    <w:pPr>
      <w:outlineLvl w:val="9"/>
    </w:pPr>
  </w:style>
  <w:style w:type="paragraph" w:styleId="Slutnotetekst">
    <w:name w:val="endnote text"/>
    <w:basedOn w:val="Normal"/>
    <w:link w:val="SlutnotetekstTegn"/>
    <w:uiPriority w:val="99"/>
    <w:semiHidden/>
    <w:rsid w:val="00590234"/>
    <w:pPr>
      <w:spacing w:line="240" w:lineRule="auto"/>
    </w:pPr>
    <w:rPr>
      <w:sz w:val="16"/>
      <w:szCs w:val="20"/>
    </w:rPr>
  </w:style>
  <w:style w:type="character" w:customStyle="1" w:styleId="SlutnotetekstTegn">
    <w:name w:val="Slutnotetekst Tegn"/>
    <w:link w:val="Slutnotetekst"/>
    <w:uiPriority w:val="99"/>
    <w:semiHidden/>
    <w:rsid w:val="00590234"/>
    <w:rPr>
      <w:rFonts w:ascii="Calibri" w:hAnsi="Calibri" w:cs="Calibri"/>
      <w:sz w:val="16"/>
      <w:szCs w:val="20"/>
      <w:lang w:eastAsia="da-DK"/>
    </w:rPr>
  </w:style>
  <w:style w:type="paragraph" w:styleId="Fodnotetekst">
    <w:name w:val="footnote text"/>
    <w:basedOn w:val="Normal"/>
    <w:link w:val="FodnotetekstTegn"/>
    <w:uiPriority w:val="99"/>
    <w:semiHidden/>
    <w:rsid w:val="00976090"/>
    <w:pPr>
      <w:spacing w:after="0" w:line="240" w:lineRule="auto"/>
    </w:pPr>
    <w:rPr>
      <w:sz w:val="16"/>
      <w:szCs w:val="20"/>
    </w:rPr>
  </w:style>
  <w:style w:type="character" w:customStyle="1" w:styleId="FodnotetekstTegn">
    <w:name w:val="Fodnotetekst Tegn"/>
    <w:link w:val="Fodnotetekst"/>
    <w:uiPriority w:val="99"/>
    <w:semiHidden/>
    <w:rsid w:val="00976090"/>
    <w:rPr>
      <w:rFonts w:ascii="Georgia" w:hAnsi="Georgia" w:cs="Calibri"/>
      <w:sz w:val="16"/>
    </w:rPr>
  </w:style>
  <w:style w:type="paragraph" w:styleId="Sidefod">
    <w:name w:val="footer"/>
    <w:basedOn w:val="Normal"/>
    <w:link w:val="SidefodTegn"/>
    <w:uiPriority w:val="99"/>
    <w:semiHidden/>
    <w:rsid w:val="006E75AF"/>
    <w:pPr>
      <w:tabs>
        <w:tab w:val="center" w:pos="4819"/>
        <w:tab w:val="right" w:pos="9638"/>
      </w:tabs>
      <w:spacing w:line="240" w:lineRule="auto"/>
    </w:pPr>
    <w:rPr>
      <w:sz w:val="16"/>
    </w:rPr>
  </w:style>
  <w:style w:type="character" w:customStyle="1" w:styleId="SidefodTegn">
    <w:name w:val="Sidefod Tegn"/>
    <w:link w:val="Sidefod"/>
    <w:uiPriority w:val="99"/>
    <w:semiHidden/>
    <w:rsid w:val="006E75AF"/>
    <w:rPr>
      <w:rFonts w:ascii="Tahoma" w:hAnsi="Tahoma" w:cs="Calibri"/>
      <w:sz w:val="16"/>
      <w:lang w:eastAsia="da-DK"/>
    </w:rPr>
  </w:style>
  <w:style w:type="paragraph" w:styleId="Sidehoved">
    <w:name w:val="header"/>
    <w:basedOn w:val="Normal"/>
    <w:link w:val="SidehovedTegn"/>
    <w:uiPriority w:val="99"/>
    <w:semiHidden/>
    <w:rsid w:val="00590234"/>
    <w:pPr>
      <w:tabs>
        <w:tab w:val="center" w:pos="4819"/>
        <w:tab w:val="right" w:pos="9638"/>
      </w:tabs>
      <w:spacing w:line="240" w:lineRule="auto"/>
    </w:pPr>
    <w:rPr>
      <w:sz w:val="18"/>
    </w:rPr>
  </w:style>
  <w:style w:type="character" w:customStyle="1" w:styleId="SidehovedTegn">
    <w:name w:val="Sidehoved Tegn"/>
    <w:link w:val="Sidehoved"/>
    <w:uiPriority w:val="99"/>
    <w:semiHidden/>
    <w:rsid w:val="00611AE0"/>
    <w:rPr>
      <w:rFonts w:ascii="Tahoma" w:hAnsi="Tahoma" w:cs="Calibri"/>
      <w:sz w:val="18"/>
      <w:lang w:eastAsia="da-DK"/>
    </w:rPr>
  </w:style>
  <w:style w:type="character" w:styleId="Sidetal">
    <w:name w:val="page number"/>
    <w:uiPriority w:val="99"/>
    <w:semiHidden/>
    <w:rsid w:val="00762695"/>
    <w:rPr>
      <w:b/>
      <w:sz w:val="16"/>
    </w:rPr>
  </w:style>
  <w:style w:type="paragraph" w:customStyle="1" w:styleId="Template">
    <w:name w:val="Template"/>
    <w:uiPriority w:val="5"/>
    <w:semiHidden/>
    <w:qFormat/>
    <w:rsid w:val="00CD6726"/>
    <w:pPr>
      <w:spacing w:line="200" w:lineRule="atLeast"/>
    </w:pPr>
    <w:rPr>
      <w:rFonts w:ascii="Arial" w:hAnsi="Arial" w:cs="Calibri"/>
      <w:sz w:val="16"/>
      <w:szCs w:val="22"/>
    </w:rPr>
  </w:style>
  <w:style w:type="paragraph" w:customStyle="1" w:styleId="Template-Adresse">
    <w:name w:val="Template - Adresse"/>
    <w:basedOn w:val="Template"/>
    <w:uiPriority w:val="5"/>
    <w:semiHidden/>
    <w:qFormat/>
    <w:rsid w:val="00CD6726"/>
  </w:style>
  <w:style w:type="paragraph" w:styleId="Markeringsbobletekst">
    <w:name w:val="Balloon Text"/>
    <w:basedOn w:val="Normal"/>
    <w:link w:val="MarkeringsbobletekstTegn"/>
    <w:uiPriority w:val="99"/>
    <w:semiHidden/>
    <w:rsid w:val="000F70B6"/>
    <w:pPr>
      <w:spacing w:line="240" w:lineRule="auto"/>
    </w:pPr>
    <w:rPr>
      <w:rFonts w:cs="Tahoma"/>
      <w:sz w:val="16"/>
      <w:szCs w:val="16"/>
    </w:rPr>
  </w:style>
  <w:style w:type="character" w:customStyle="1" w:styleId="MarkeringsbobletekstTegn">
    <w:name w:val="Markeringsbobletekst Tegn"/>
    <w:link w:val="Markeringsbobletekst"/>
    <w:uiPriority w:val="99"/>
    <w:semiHidden/>
    <w:rsid w:val="000F70B6"/>
    <w:rPr>
      <w:rFonts w:ascii="Tahoma" w:hAnsi="Tahoma" w:cs="Tahoma"/>
      <w:sz w:val="16"/>
      <w:szCs w:val="16"/>
      <w:lang w:eastAsia="da-DK"/>
    </w:rPr>
  </w:style>
  <w:style w:type="paragraph" w:customStyle="1" w:styleId="Leadtext">
    <w:name w:val="Leadtext"/>
    <w:basedOn w:val="Normal"/>
    <w:next w:val="Normal"/>
    <w:uiPriority w:val="4"/>
    <w:semiHidden/>
    <w:qFormat/>
    <w:rsid w:val="000F70B6"/>
    <w:pPr>
      <w:jc w:val="right"/>
    </w:pPr>
    <w:rPr>
      <w:b/>
    </w:rPr>
  </w:style>
  <w:style w:type="table" w:styleId="Tabel-Gitter">
    <w:name w:val="Table Grid"/>
    <w:basedOn w:val="Tabel-Normal"/>
    <w:uiPriority w:val="59"/>
    <w:rsid w:val="000F7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agerNavn">
    <w:name w:val="Modtager Navn"/>
    <w:basedOn w:val="Normal"/>
    <w:uiPriority w:val="4"/>
    <w:semiHidden/>
    <w:qFormat/>
    <w:rsid w:val="000F70B6"/>
    <w:rPr>
      <w:b/>
    </w:rPr>
  </w:style>
  <w:style w:type="character" w:customStyle="1" w:styleId="LeadtextDateChar">
    <w:name w:val="Leadtext Date Char"/>
    <w:link w:val="LeadtextDate"/>
    <w:uiPriority w:val="4"/>
    <w:semiHidden/>
    <w:locked/>
    <w:rsid w:val="008E54F5"/>
    <w:rPr>
      <w:rFonts w:ascii="Arial" w:hAnsi="Arial" w:cs="Calibri"/>
      <w:b/>
      <w:sz w:val="20"/>
      <w:lang w:val="en-GB" w:eastAsia="da-DK"/>
    </w:rPr>
  </w:style>
  <w:style w:type="paragraph" w:customStyle="1" w:styleId="LeadtextDate">
    <w:name w:val="Leadtext Date"/>
    <w:basedOn w:val="Normal"/>
    <w:next w:val="Normal"/>
    <w:link w:val="LeadtextDateChar"/>
    <w:uiPriority w:val="4"/>
    <w:semiHidden/>
    <w:qFormat/>
    <w:rsid w:val="004905EE"/>
    <w:rPr>
      <w:b/>
      <w:lang w:val="en-GB"/>
    </w:rPr>
  </w:style>
  <w:style w:type="paragraph" w:customStyle="1" w:styleId="DateField">
    <w:name w:val="DateField"/>
    <w:basedOn w:val="Normal"/>
    <w:uiPriority w:val="5"/>
    <w:semiHidden/>
    <w:qFormat/>
    <w:rsid w:val="004905EE"/>
  </w:style>
  <w:style w:type="paragraph" w:customStyle="1" w:styleId="DocumentHeading">
    <w:name w:val="Document Heading"/>
    <w:basedOn w:val="Normal"/>
    <w:uiPriority w:val="4"/>
    <w:semiHidden/>
    <w:qFormat/>
    <w:rsid w:val="00D6607A"/>
    <w:rPr>
      <w:b/>
    </w:rPr>
  </w:style>
  <w:style w:type="paragraph" w:customStyle="1" w:styleId="Afsender-ModtagerNavn">
    <w:name w:val="Afsender-Modtager Navn"/>
    <w:basedOn w:val="Normal"/>
    <w:uiPriority w:val="5"/>
    <w:semiHidden/>
    <w:qFormat/>
    <w:rsid w:val="00CD6726"/>
    <w:rPr>
      <w:b/>
    </w:rPr>
  </w:style>
  <w:style w:type="paragraph" w:customStyle="1" w:styleId="Template-DokinfoOverskrift">
    <w:name w:val="Template - Dok info Overskrift"/>
    <w:basedOn w:val="Template"/>
    <w:next w:val="Template-Dokinfo"/>
    <w:uiPriority w:val="5"/>
    <w:rsid w:val="00CD6726"/>
    <w:rPr>
      <w:b/>
    </w:rPr>
  </w:style>
  <w:style w:type="paragraph" w:customStyle="1" w:styleId="Template-Dokinfo">
    <w:name w:val="Template - Dok info"/>
    <w:basedOn w:val="Template-DokinfoOverskrift"/>
    <w:uiPriority w:val="5"/>
    <w:rsid w:val="00CD6726"/>
    <w:rPr>
      <w:b w:val="0"/>
    </w:rPr>
  </w:style>
  <w:style w:type="paragraph" w:customStyle="1" w:styleId="BilagOverskrift">
    <w:name w:val="Bilag Overskrift"/>
    <w:basedOn w:val="Normal"/>
    <w:next w:val="Bilagstekst"/>
    <w:uiPriority w:val="4"/>
    <w:semiHidden/>
    <w:qFormat/>
    <w:rsid w:val="006E2E88"/>
    <w:pPr>
      <w:keepNext/>
      <w:spacing w:before="400" w:after="120"/>
    </w:pPr>
    <w:rPr>
      <w:b/>
    </w:rPr>
  </w:style>
  <w:style w:type="paragraph" w:customStyle="1" w:styleId="Bilagstekst">
    <w:name w:val="Bilags tekst"/>
    <w:basedOn w:val="Normal"/>
    <w:uiPriority w:val="4"/>
    <w:semiHidden/>
    <w:qFormat/>
    <w:rsid w:val="004D0441"/>
    <w:pPr>
      <w:numPr>
        <w:numId w:val="11"/>
      </w:numPr>
      <w:spacing w:after="240"/>
    </w:pPr>
  </w:style>
  <w:style w:type="numbering" w:styleId="111111">
    <w:name w:val="Outline List 2"/>
    <w:basedOn w:val="Ingenoversigt"/>
    <w:semiHidden/>
    <w:rsid w:val="00CF4739"/>
    <w:pPr>
      <w:numPr>
        <w:numId w:val="12"/>
      </w:numPr>
    </w:pPr>
  </w:style>
  <w:style w:type="numbering" w:styleId="1ai">
    <w:name w:val="Outline List 1"/>
    <w:basedOn w:val="Ingenoversigt"/>
    <w:semiHidden/>
    <w:rsid w:val="00CF4739"/>
    <w:pPr>
      <w:numPr>
        <w:numId w:val="13"/>
      </w:numPr>
    </w:pPr>
  </w:style>
  <w:style w:type="numbering" w:styleId="ArtikelSektion">
    <w:name w:val="Outline List 3"/>
    <w:basedOn w:val="Ingenoversigt"/>
    <w:semiHidden/>
    <w:rsid w:val="00CF4739"/>
    <w:pPr>
      <w:numPr>
        <w:numId w:val="14"/>
      </w:numPr>
    </w:pPr>
  </w:style>
  <w:style w:type="paragraph" w:styleId="Bloktekst">
    <w:name w:val="Block Text"/>
    <w:basedOn w:val="Normal"/>
    <w:semiHidden/>
    <w:rsid w:val="00CF4739"/>
    <w:pPr>
      <w:spacing w:after="120"/>
      <w:ind w:left="1440" w:right="1440"/>
    </w:pPr>
  </w:style>
  <w:style w:type="paragraph" w:styleId="Brdtekst">
    <w:name w:val="Body Text"/>
    <w:basedOn w:val="Normal"/>
    <w:semiHidden/>
    <w:rsid w:val="00CF4739"/>
    <w:pPr>
      <w:spacing w:after="120"/>
    </w:pPr>
  </w:style>
  <w:style w:type="paragraph" w:styleId="Brdtekst2">
    <w:name w:val="Body Text 2"/>
    <w:basedOn w:val="Normal"/>
    <w:semiHidden/>
    <w:rsid w:val="00CF4739"/>
    <w:pPr>
      <w:spacing w:after="120" w:line="480" w:lineRule="auto"/>
    </w:pPr>
  </w:style>
  <w:style w:type="paragraph" w:styleId="Brdtekst3">
    <w:name w:val="Body Text 3"/>
    <w:basedOn w:val="Normal"/>
    <w:semiHidden/>
    <w:rsid w:val="00CF4739"/>
    <w:pPr>
      <w:spacing w:after="120"/>
    </w:pPr>
    <w:rPr>
      <w:sz w:val="16"/>
      <w:szCs w:val="16"/>
    </w:rPr>
  </w:style>
  <w:style w:type="paragraph" w:styleId="Brdtekst-frstelinjeindrykning1">
    <w:name w:val="Body Text First Indent"/>
    <w:basedOn w:val="Brdtekst"/>
    <w:semiHidden/>
    <w:rsid w:val="00CF4739"/>
    <w:pPr>
      <w:ind w:firstLine="210"/>
    </w:pPr>
  </w:style>
  <w:style w:type="paragraph" w:styleId="Brdtekstindrykning">
    <w:name w:val="Body Text Indent"/>
    <w:basedOn w:val="Normal"/>
    <w:semiHidden/>
    <w:rsid w:val="00CF4739"/>
    <w:pPr>
      <w:spacing w:after="120"/>
      <w:ind w:left="283"/>
    </w:pPr>
  </w:style>
  <w:style w:type="paragraph" w:styleId="Brdtekst-frstelinjeindrykning2">
    <w:name w:val="Body Text First Indent 2"/>
    <w:basedOn w:val="Brdtekstindrykning"/>
    <w:semiHidden/>
    <w:rsid w:val="00CF4739"/>
    <w:pPr>
      <w:ind w:firstLine="210"/>
    </w:pPr>
  </w:style>
  <w:style w:type="paragraph" w:styleId="Brdtekstindrykning2">
    <w:name w:val="Body Text Indent 2"/>
    <w:basedOn w:val="Normal"/>
    <w:semiHidden/>
    <w:rsid w:val="00CF4739"/>
    <w:pPr>
      <w:spacing w:after="120" w:line="480" w:lineRule="auto"/>
      <w:ind w:left="283"/>
    </w:pPr>
  </w:style>
  <w:style w:type="paragraph" w:styleId="Brdtekstindrykning3">
    <w:name w:val="Body Text Indent 3"/>
    <w:basedOn w:val="Normal"/>
    <w:semiHidden/>
    <w:rsid w:val="00CF4739"/>
    <w:pPr>
      <w:spacing w:after="120"/>
      <w:ind w:left="283"/>
    </w:pPr>
    <w:rPr>
      <w:sz w:val="16"/>
      <w:szCs w:val="16"/>
    </w:rPr>
  </w:style>
  <w:style w:type="paragraph" w:styleId="Sluthilsen">
    <w:name w:val="Closing"/>
    <w:basedOn w:val="Normal"/>
    <w:semiHidden/>
    <w:rsid w:val="00CF4739"/>
    <w:pPr>
      <w:ind w:left="4252"/>
    </w:pPr>
  </w:style>
  <w:style w:type="paragraph" w:styleId="Dato">
    <w:name w:val="Date"/>
    <w:basedOn w:val="Normal"/>
    <w:next w:val="Normal"/>
    <w:semiHidden/>
    <w:rsid w:val="00CF4739"/>
  </w:style>
  <w:style w:type="paragraph" w:styleId="Mailsignatur">
    <w:name w:val="E-mail Signature"/>
    <w:basedOn w:val="Normal"/>
    <w:semiHidden/>
    <w:rsid w:val="00CF4739"/>
  </w:style>
  <w:style w:type="paragraph" w:styleId="Modtageradresse">
    <w:name w:val="envelope address"/>
    <w:basedOn w:val="Normal"/>
    <w:semiHidden/>
    <w:rsid w:val="00CF4739"/>
    <w:pPr>
      <w:framePr w:w="7920" w:h="1980" w:hRule="exact" w:hSpace="180" w:wrap="auto" w:hAnchor="page" w:xAlign="center" w:yAlign="bottom"/>
      <w:ind w:left="2880"/>
    </w:pPr>
    <w:rPr>
      <w:rFonts w:cs="Arial"/>
      <w:sz w:val="24"/>
      <w:szCs w:val="24"/>
    </w:rPr>
  </w:style>
  <w:style w:type="paragraph" w:styleId="Afsenderadresse">
    <w:name w:val="envelope return"/>
    <w:basedOn w:val="Normal"/>
    <w:semiHidden/>
    <w:rsid w:val="00CF4739"/>
    <w:rPr>
      <w:rFonts w:cs="Arial"/>
      <w:szCs w:val="20"/>
    </w:rPr>
  </w:style>
  <w:style w:type="character" w:styleId="BesgtLink">
    <w:name w:val="FollowedHyperlink"/>
    <w:semiHidden/>
    <w:rsid w:val="00CF4739"/>
    <w:rPr>
      <w:color w:val="800080"/>
      <w:u w:val="single"/>
    </w:rPr>
  </w:style>
  <w:style w:type="character" w:styleId="HTML-akronym">
    <w:name w:val="HTML Acronym"/>
    <w:basedOn w:val="Standardskrifttypeiafsnit"/>
    <w:semiHidden/>
    <w:rsid w:val="00CF4739"/>
  </w:style>
  <w:style w:type="paragraph" w:styleId="HTML-adresse">
    <w:name w:val="HTML Address"/>
    <w:basedOn w:val="Normal"/>
    <w:semiHidden/>
    <w:rsid w:val="00CF4739"/>
    <w:rPr>
      <w:i/>
      <w:iCs/>
    </w:rPr>
  </w:style>
  <w:style w:type="character" w:styleId="HTML-citat">
    <w:name w:val="HTML Cite"/>
    <w:semiHidden/>
    <w:rsid w:val="00CF4739"/>
    <w:rPr>
      <w:i/>
      <w:iCs/>
    </w:rPr>
  </w:style>
  <w:style w:type="character" w:styleId="HTML-kode">
    <w:name w:val="HTML Code"/>
    <w:semiHidden/>
    <w:rsid w:val="00CF4739"/>
    <w:rPr>
      <w:rFonts w:ascii="Courier New" w:hAnsi="Courier New" w:cs="Courier New"/>
      <w:sz w:val="20"/>
      <w:szCs w:val="20"/>
    </w:rPr>
  </w:style>
  <w:style w:type="character" w:styleId="HTML-definition">
    <w:name w:val="HTML Definition"/>
    <w:semiHidden/>
    <w:rsid w:val="00CF4739"/>
    <w:rPr>
      <w:i/>
      <w:iCs/>
    </w:rPr>
  </w:style>
  <w:style w:type="character" w:styleId="HTML-tastatur">
    <w:name w:val="HTML Keyboard"/>
    <w:semiHidden/>
    <w:rsid w:val="00CF4739"/>
    <w:rPr>
      <w:rFonts w:ascii="Courier New" w:hAnsi="Courier New" w:cs="Courier New"/>
      <w:sz w:val="20"/>
      <w:szCs w:val="20"/>
    </w:rPr>
  </w:style>
  <w:style w:type="paragraph" w:styleId="FormateretHTML">
    <w:name w:val="HTML Preformatted"/>
    <w:basedOn w:val="Normal"/>
    <w:semiHidden/>
    <w:rsid w:val="00CF4739"/>
    <w:rPr>
      <w:rFonts w:ascii="Courier New" w:hAnsi="Courier New" w:cs="Courier New"/>
      <w:szCs w:val="20"/>
    </w:rPr>
  </w:style>
  <w:style w:type="character" w:styleId="HTML-eksempel">
    <w:name w:val="HTML Sample"/>
    <w:semiHidden/>
    <w:rsid w:val="00CF4739"/>
    <w:rPr>
      <w:rFonts w:ascii="Courier New" w:hAnsi="Courier New" w:cs="Courier New"/>
    </w:rPr>
  </w:style>
  <w:style w:type="character" w:styleId="HTML-skrivemaskine">
    <w:name w:val="HTML Typewriter"/>
    <w:semiHidden/>
    <w:rsid w:val="00CF4739"/>
    <w:rPr>
      <w:rFonts w:ascii="Courier New" w:hAnsi="Courier New" w:cs="Courier New"/>
      <w:sz w:val="20"/>
      <w:szCs w:val="20"/>
    </w:rPr>
  </w:style>
  <w:style w:type="character" w:styleId="HTML-variabel">
    <w:name w:val="HTML Variable"/>
    <w:semiHidden/>
    <w:rsid w:val="00CF4739"/>
    <w:rPr>
      <w:i/>
      <w:iCs/>
    </w:rPr>
  </w:style>
  <w:style w:type="character" w:styleId="Hyperlink">
    <w:name w:val="Hyperlink"/>
    <w:semiHidden/>
    <w:rsid w:val="00CF4739"/>
    <w:rPr>
      <w:color w:val="0000FF"/>
      <w:u w:val="single"/>
    </w:rPr>
  </w:style>
  <w:style w:type="character" w:styleId="Linjenummer">
    <w:name w:val="line number"/>
    <w:basedOn w:val="Standardskrifttypeiafsnit"/>
    <w:semiHidden/>
    <w:rsid w:val="00CF4739"/>
  </w:style>
  <w:style w:type="paragraph" w:styleId="Liste">
    <w:name w:val="List"/>
    <w:basedOn w:val="Normal"/>
    <w:semiHidden/>
    <w:rsid w:val="00CF4739"/>
    <w:pPr>
      <w:ind w:left="283" w:hanging="283"/>
    </w:pPr>
  </w:style>
  <w:style w:type="paragraph" w:styleId="Liste2">
    <w:name w:val="List 2"/>
    <w:basedOn w:val="Normal"/>
    <w:semiHidden/>
    <w:rsid w:val="00CF4739"/>
    <w:pPr>
      <w:ind w:left="566" w:hanging="283"/>
    </w:pPr>
  </w:style>
  <w:style w:type="paragraph" w:styleId="Liste3">
    <w:name w:val="List 3"/>
    <w:basedOn w:val="Normal"/>
    <w:semiHidden/>
    <w:rsid w:val="00CF4739"/>
    <w:pPr>
      <w:ind w:left="849" w:hanging="283"/>
    </w:pPr>
  </w:style>
  <w:style w:type="paragraph" w:styleId="Liste4">
    <w:name w:val="List 4"/>
    <w:basedOn w:val="Normal"/>
    <w:semiHidden/>
    <w:rsid w:val="00CF4739"/>
    <w:pPr>
      <w:ind w:left="1132" w:hanging="283"/>
    </w:pPr>
  </w:style>
  <w:style w:type="paragraph" w:styleId="Liste5">
    <w:name w:val="List 5"/>
    <w:basedOn w:val="Normal"/>
    <w:semiHidden/>
    <w:rsid w:val="00CF4739"/>
    <w:pPr>
      <w:ind w:left="1415" w:hanging="283"/>
    </w:pPr>
  </w:style>
  <w:style w:type="paragraph" w:styleId="Opstilling-punkttegn2">
    <w:name w:val="List Bullet 2"/>
    <w:basedOn w:val="Normal"/>
    <w:semiHidden/>
    <w:rsid w:val="00CF4739"/>
    <w:pPr>
      <w:numPr>
        <w:numId w:val="2"/>
      </w:numPr>
    </w:pPr>
  </w:style>
  <w:style w:type="paragraph" w:styleId="Opstilling-punkttegn3">
    <w:name w:val="List Bullet 3"/>
    <w:basedOn w:val="Normal"/>
    <w:semiHidden/>
    <w:rsid w:val="00CF4739"/>
    <w:pPr>
      <w:numPr>
        <w:numId w:val="3"/>
      </w:numPr>
    </w:pPr>
  </w:style>
  <w:style w:type="paragraph" w:styleId="Opstilling-punkttegn4">
    <w:name w:val="List Bullet 4"/>
    <w:basedOn w:val="Normal"/>
    <w:semiHidden/>
    <w:rsid w:val="00CF4739"/>
    <w:pPr>
      <w:numPr>
        <w:numId w:val="4"/>
      </w:numPr>
    </w:pPr>
  </w:style>
  <w:style w:type="paragraph" w:styleId="Opstilling-punkttegn5">
    <w:name w:val="List Bullet 5"/>
    <w:basedOn w:val="Normal"/>
    <w:semiHidden/>
    <w:rsid w:val="00CF4739"/>
    <w:pPr>
      <w:numPr>
        <w:numId w:val="5"/>
      </w:numPr>
    </w:pPr>
  </w:style>
  <w:style w:type="paragraph" w:styleId="Opstilling-forts">
    <w:name w:val="List Continue"/>
    <w:basedOn w:val="Normal"/>
    <w:semiHidden/>
    <w:rsid w:val="00CF4739"/>
    <w:pPr>
      <w:spacing w:after="120"/>
      <w:ind w:left="283"/>
    </w:pPr>
  </w:style>
  <w:style w:type="paragraph" w:styleId="Opstilling-forts2">
    <w:name w:val="List Continue 2"/>
    <w:basedOn w:val="Normal"/>
    <w:semiHidden/>
    <w:rsid w:val="00CF4739"/>
    <w:pPr>
      <w:spacing w:after="120"/>
      <w:ind w:left="566"/>
    </w:pPr>
  </w:style>
  <w:style w:type="paragraph" w:styleId="Opstilling-forts3">
    <w:name w:val="List Continue 3"/>
    <w:basedOn w:val="Normal"/>
    <w:semiHidden/>
    <w:rsid w:val="00CF4739"/>
    <w:pPr>
      <w:spacing w:after="120"/>
      <w:ind w:left="849"/>
    </w:pPr>
  </w:style>
  <w:style w:type="paragraph" w:styleId="Opstilling-forts4">
    <w:name w:val="List Continue 4"/>
    <w:basedOn w:val="Normal"/>
    <w:semiHidden/>
    <w:rsid w:val="00CF4739"/>
    <w:pPr>
      <w:spacing w:after="120"/>
      <w:ind w:left="1132"/>
    </w:pPr>
  </w:style>
  <w:style w:type="paragraph" w:styleId="Opstilling-forts5">
    <w:name w:val="List Continue 5"/>
    <w:basedOn w:val="Normal"/>
    <w:semiHidden/>
    <w:rsid w:val="00CF4739"/>
    <w:pPr>
      <w:spacing w:after="120"/>
      <w:ind w:left="1415"/>
    </w:pPr>
  </w:style>
  <w:style w:type="paragraph" w:styleId="Opstilling-talellerbogst2">
    <w:name w:val="List Number 2"/>
    <w:basedOn w:val="Normal"/>
    <w:semiHidden/>
    <w:rsid w:val="00CF4739"/>
    <w:pPr>
      <w:numPr>
        <w:numId w:val="7"/>
      </w:numPr>
    </w:pPr>
  </w:style>
  <w:style w:type="paragraph" w:styleId="Opstilling-talellerbogst3">
    <w:name w:val="List Number 3"/>
    <w:basedOn w:val="Normal"/>
    <w:semiHidden/>
    <w:rsid w:val="00CF4739"/>
    <w:pPr>
      <w:numPr>
        <w:numId w:val="8"/>
      </w:numPr>
    </w:pPr>
  </w:style>
  <w:style w:type="paragraph" w:styleId="Opstilling-talellerbogst4">
    <w:name w:val="List Number 4"/>
    <w:basedOn w:val="Normal"/>
    <w:semiHidden/>
    <w:rsid w:val="00CF4739"/>
    <w:pPr>
      <w:numPr>
        <w:numId w:val="9"/>
      </w:numPr>
    </w:pPr>
  </w:style>
  <w:style w:type="paragraph" w:styleId="Opstilling-talellerbogst5">
    <w:name w:val="List Number 5"/>
    <w:basedOn w:val="Normal"/>
    <w:semiHidden/>
    <w:rsid w:val="00CF4739"/>
    <w:pPr>
      <w:numPr>
        <w:numId w:val="10"/>
      </w:numPr>
    </w:pPr>
  </w:style>
  <w:style w:type="paragraph" w:styleId="Brevhoved">
    <w:name w:val="Message Header"/>
    <w:basedOn w:val="Normal"/>
    <w:semiHidden/>
    <w:rsid w:val="00CF473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CF4739"/>
    <w:rPr>
      <w:rFonts w:ascii="Times New Roman" w:hAnsi="Times New Roman" w:cs="Times New Roman"/>
      <w:sz w:val="24"/>
      <w:szCs w:val="24"/>
    </w:rPr>
  </w:style>
  <w:style w:type="paragraph" w:styleId="Normalindrykning">
    <w:name w:val="Normal Indent"/>
    <w:basedOn w:val="Normal"/>
    <w:semiHidden/>
    <w:rsid w:val="00CF4739"/>
    <w:pPr>
      <w:ind w:left="720"/>
    </w:pPr>
  </w:style>
  <w:style w:type="paragraph" w:styleId="Noteoverskrift">
    <w:name w:val="Note Heading"/>
    <w:basedOn w:val="Normal"/>
    <w:next w:val="Normal"/>
    <w:semiHidden/>
    <w:rsid w:val="00CF4739"/>
  </w:style>
  <w:style w:type="paragraph" w:styleId="Almindeligtekst">
    <w:name w:val="Plain Text"/>
    <w:basedOn w:val="Normal"/>
    <w:semiHidden/>
    <w:rsid w:val="00CF4739"/>
    <w:rPr>
      <w:rFonts w:ascii="Courier New" w:hAnsi="Courier New" w:cs="Courier New"/>
      <w:szCs w:val="20"/>
    </w:rPr>
  </w:style>
  <w:style w:type="paragraph" w:styleId="Starthilsen">
    <w:name w:val="Salutation"/>
    <w:basedOn w:val="Normal"/>
    <w:next w:val="Normal"/>
    <w:semiHidden/>
    <w:rsid w:val="00CF4739"/>
  </w:style>
  <w:style w:type="paragraph" w:styleId="Underskrift">
    <w:name w:val="Signature"/>
    <w:basedOn w:val="Normal"/>
    <w:semiHidden/>
    <w:rsid w:val="00CF4739"/>
    <w:pPr>
      <w:ind w:left="4252"/>
    </w:pPr>
  </w:style>
  <w:style w:type="table" w:styleId="Tabel-3D-effekter1">
    <w:name w:val="Table 3D effects 1"/>
    <w:basedOn w:val="Tabel-Normal"/>
    <w:semiHidden/>
    <w:rsid w:val="00CF4739"/>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CF4739"/>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CF4739"/>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CF4739"/>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CF4739"/>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CF4739"/>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CF4739"/>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CF4739"/>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CF4739"/>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CF4739"/>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CF4739"/>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CF4739"/>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CF4739"/>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CF4739"/>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CF4739"/>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CF4739"/>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CF4739"/>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CF473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CF4739"/>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CF4739"/>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CF4739"/>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CF4739"/>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CF4739"/>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CF4739"/>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CF4739"/>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CF4739"/>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CF473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CF4739"/>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CF4739"/>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CF4739"/>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CF473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CF473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CF4739"/>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CF4739"/>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CF4739"/>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CF473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CF4739"/>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CF4739"/>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CF4739"/>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ladsholdertekst">
    <w:name w:val="Placeholder Text"/>
    <w:basedOn w:val="Standardskrifttypeiafsnit"/>
    <w:uiPriority w:val="99"/>
    <w:semiHidden/>
    <w:rsid w:val="004F26B2"/>
    <w:rPr>
      <w:color w:val="808080"/>
    </w:rPr>
  </w:style>
  <w:style w:type="character" w:styleId="Fodnotehenvisning">
    <w:name w:val="footnote reference"/>
    <w:basedOn w:val="Standardskrifttypeiafsnit"/>
    <w:uiPriority w:val="99"/>
    <w:semiHidden/>
    <w:unhideWhenUsed/>
    <w:rsid w:val="00976090"/>
    <w:rPr>
      <w:vertAlign w:val="superscript"/>
    </w:rPr>
  </w:style>
  <w:style w:type="character" w:styleId="Kommentarhenvisning">
    <w:name w:val="annotation reference"/>
    <w:basedOn w:val="Standardskrifttypeiafsnit"/>
    <w:uiPriority w:val="99"/>
    <w:semiHidden/>
    <w:unhideWhenUsed/>
    <w:rsid w:val="00455D4D"/>
    <w:rPr>
      <w:sz w:val="16"/>
      <w:szCs w:val="16"/>
    </w:rPr>
  </w:style>
  <w:style w:type="paragraph" w:styleId="Kommentartekst">
    <w:name w:val="annotation text"/>
    <w:basedOn w:val="Normal"/>
    <w:link w:val="KommentartekstTegn"/>
    <w:uiPriority w:val="99"/>
    <w:unhideWhenUsed/>
    <w:rsid w:val="00455D4D"/>
    <w:pPr>
      <w:spacing w:line="240" w:lineRule="auto"/>
    </w:pPr>
    <w:rPr>
      <w:szCs w:val="20"/>
    </w:rPr>
  </w:style>
  <w:style w:type="character" w:customStyle="1" w:styleId="KommentartekstTegn">
    <w:name w:val="Kommentartekst Tegn"/>
    <w:basedOn w:val="Standardskrifttypeiafsnit"/>
    <w:link w:val="Kommentartekst"/>
    <w:uiPriority w:val="99"/>
    <w:rsid w:val="00455D4D"/>
    <w:rPr>
      <w:rFonts w:ascii="Georgia" w:hAnsi="Georgia" w:cs="Calibri"/>
    </w:rPr>
  </w:style>
  <w:style w:type="paragraph" w:styleId="Kommentaremne">
    <w:name w:val="annotation subject"/>
    <w:basedOn w:val="Kommentartekst"/>
    <w:next w:val="Kommentartekst"/>
    <w:link w:val="KommentaremneTegn"/>
    <w:uiPriority w:val="99"/>
    <w:semiHidden/>
    <w:unhideWhenUsed/>
    <w:rsid w:val="00455D4D"/>
    <w:rPr>
      <w:b/>
      <w:bCs/>
    </w:rPr>
  </w:style>
  <w:style w:type="character" w:customStyle="1" w:styleId="KommentaremneTegn">
    <w:name w:val="Kommentaremne Tegn"/>
    <w:basedOn w:val="KommentartekstTegn"/>
    <w:link w:val="Kommentaremne"/>
    <w:uiPriority w:val="99"/>
    <w:semiHidden/>
    <w:rsid w:val="00455D4D"/>
    <w:rPr>
      <w:rFonts w:ascii="Georgia" w:hAnsi="Georgia" w:cs="Calibri"/>
      <w:b/>
      <w:bCs/>
    </w:rPr>
  </w:style>
  <w:style w:type="paragraph" w:customStyle="1" w:styleId="Default">
    <w:name w:val="Default"/>
    <w:rsid w:val="00741019"/>
    <w:pPr>
      <w:autoSpaceDE w:val="0"/>
      <w:autoSpaceDN w:val="0"/>
      <w:adjustRightInd w:val="0"/>
    </w:pPr>
    <w:rPr>
      <w:rFonts w:ascii="Arial" w:hAnsi="Arial" w:cs="Arial"/>
      <w:color w:val="000000"/>
      <w:sz w:val="24"/>
      <w:szCs w:val="24"/>
    </w:rPr>
  </w:style>
  <w:style w:type="paragraph" w:styleId="Korrektur">
    <w:name w:val="Revision"/>
    <w:hidden/>
    <w:uiPriority w:val="99"/>
    <w:semiHidden/>
    <w:rsid w:val="00A24A9C"/>
    <w:rPr>
      <w:rFonts w:ascii="Georgia" w:hAnsi="Georgia"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8863">
      <w:bodyDiv w:val="1"/>
      <w:marLeft w:val="0"/>
      <w:marRight w:val="0"/>
      <w:marTop w:val="0"/>
      <w:marBottom w:val="0"/>
      <w:divBdr>
        <w:top w:val="none" w:sz="0" w:space="0" w:color="auto"/>
        <w:left w:val="none" w:sz="0" w:space="0" w:color="auto"/>
        <w:bottom w:val="none" w:sz="0" w:space="0" w:color="auto"/>
        <w:right w:val="none" w:sz="0" w:space="0" w:color="auto"/>
      </w:divBdr>
    </w:div>
    <w:div w:id="65342793">
      <w:bodyDiv w:val="1"/>
      <w:marLeft w:val="0"/>
      <w:marRight w:val="0"/>
      <w:marTop w:val="0"/>
      <w:marBottom w:val="0"/>
      <w:divBdr>
        <w:top w:val="none" w:sz="0" w:space="0" w:color="auto"/>
        <w:left w:val="none" w:sz="0" w:space="0" w:color="auto"/>
        <w:bottom w:val="none" w:sz="0" w:space="0" w:color="auto"/>
        <w:right w:val="none" w:sz="0" w:space="0" w:color="auto"/>
      </w:divBdr>
    </w:div>
    <w:div w:id="100340454">
      <w:bodyDiv w:val="1"/>
      <w:marLeft w:val="0"/>
      <w:marRight w:val="0"/>
      <w:marTop w:val="0"/>
      <w:marBottom w:val="0"/>
      <w:divBdr>
        <w:top w:val="none" w:sz="0" w:space="0" w:color="auto"/>
        <w:left w:val="none" w:sz="0" w:space="0" w:color="auto"/>
        <w:bottom w:val="none" w:sz="0" w:space="0" w:color="auto"/>
        <w:right w:val="none" w:sz="0" w:space="0" w:color="auto"/>
      </w:divBdr>
    </w:div>
    <w:div w:id="116262403">
      <w:bodyDiv w:val="1"/>
      <w:marLeft w:val="0"/>
      <w:marRight w:val="0"/>
      <w:marTop w:val="0"/>
      <w:marBottom w:val="0"/>
      <w:divBdr>
        <w:top w:val="none" w:sz="0" w:space="0" w:color="auto"/>
        <w:left w:val="none" w:sz="0" w:space="0" w:color="auto"/>
        <w:bottom w:val="none" w:sz="0" w:space="0" w:color="auto"/>
        <w:right w:val="none" w:sz="0" w:space="0" w:color="auto"/>
      </w:divBdr>
    </w:div>
    <w:div w:id="197817192">
      <w:bodyDiv w:val="1"/>
      <w:marLeft w:val="0"/>
      <w:marRight w:val="0"/>
      <w:marTop w:val="0"/>
      <w:marBottom w:val="0"/>
      <w:divBdr>
        <w:top w:val="none" w:sz="0" w:space="0" w:color="auto"/>
        <w:left w:val="none" w:sz="0" w:space="0" w:color="auto"/>
        <w:bottom w:val="none" w:sz="0" w:space="0" w:color="auto"/>
        <w:right w:val="none" w:sz="0" w:space="0" w:color="auto"/>
      </w:divBdr>
    </w:div>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404913142">
      <w:bodyDiv w:val="1"/>
      <w:marLeft w:val="0"/>
      <w:marRight w:val="0"/>
      <w:marTop w:val="0"/>
      <w:marBottom w:val="0"/>
      <w:divBdr>
        <w:top w:val="none" w:sz="0" w:space="0" w:color="auto"/>
        <w:left w:val="none" w:sz="0" w:space="0" w:color="auto"/>
        <w:bottom w:val="none" w:sz="0" w:space="0" w:color="auto"/>
        <w:right w:val="none" w:sz="0" w:space="0" w:color="auto"/>
      </w:divBdr>
    </w:div>
    <w:div w:id="746153619">
      <w:bodyDiv w:val="1"/>
      <w:marLeft w:val="0"/>
      <w:marRight w:val="0"/>
      <w:marTop w:val="0"/>
      <w:marBottom w:val="0"/>
      <w:divBdr>
        <w:top w:val="none" w:sz="0" w:space="0" w:color="auto"/>
        <w:left w:val="none" w:sz="0" w:space="0" w:color="auto"/>
        <w:bottom w:val="none" w:sz="0" w:space="0" w:color="auto"/>
        <w:right w:val="none" w:sz="0" w:space="0" w:color="auto"/>
      </w:divBdr>
    </w:div>
    <w:div w:id="1029720959">
      <w:bodyDiv w:val="1"/>
      <w:marLeft w:val="0"/>
      <w:marRight w:val="0"/>
      <w:marTop w:val="0"/>
      <w:marBottom w:val="0"/>
      <w:divBdr>
        <w:top w:val="none" w:sz="0" w:space="0" w:color="auto"/>
        <w:left w:val="none" w:sz="0" w:space="0" w:color="auto"/>
        <w:bottom w:val="none" w:sz="0" w:space="0" w:color="auto"/>
        <w:right w:val="none" w:sz="0" w:space="0" w:color="auto"/>
      </w:divBdr>
    </w:div>
    <w:div w:id="1105425931">
      <w:bodyDiv w:val="1"/>
      <w:marLeft w:val="0"/>
      <w:marRight w:val="0"/>
      <w:marTop w:val="0"/>
      <w:marBottom w:val="0"/>
      <w:divBdr>
        <w:top w:val="none" w:sz="0" w:space="0" w:color="auto"/>
        <w:left w:val="none" w:sz="0" w:space="0" w:color="auto"/>
        <w:bottom w:val="none" w:sz="0" w:space="0" w:color="auto"/>
        <w:right w:val="none" w:sz="0" w:space="0" w:color="auto"/>
      </w:divBdr>
    </w:div>
    <w:div w:id="1375737478">
      <w:bodyDiv w:val="1"/>
      <w:marLeft w:val="0"/>
      <w:marRight w:val="0"/>
      <w:marTop w:val="0"/>
      <w:marBottom w:val="0"/>
      <w:divBdr>
        <w:top w:val="none" w:sz="0" w:space="0" w:color="auto"/>
        <w:left w:val="none" w:sz="0" w:space="0" w:color="auto"/>
        <w:bottom w:val="none" w:sz="0" w:space="0" w:color="auto"/>
        <w:right w:val="none" w:sz="0" w:space="0" w:color="auto"/>
      </w:divBdr>
    </w:div>
    <w:div w:id="1461143393">
      <w:bodyDiv w:val="1"/>
      <w:marLeft w:val="0"/>
      <w:marRight w:val="0"/>
      <w:marTop w:val="0"/>
      <w:marBottom w:val="0"/>
      <w:divBdr>
        <w:top w:val="none" w:sz="0" w:space="0" w:color="auto"/>
        <w:left w:val="none" w:sz="0" w:space="0" w:color="auto"/>
        <w:bottom w:val="none" w:sz="0" w:space="0" w:color="auto"/>
        <w:right w:val="none" w:sz="0" w:space="0" w:color="auto"/>
      </w:divBdr>
    </w:div>
    <w:div w:id="1595435845">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769158582">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 w:id="1982726685">
      <w:bodyDiv w:val="1"/>
      <w:marLeft w:val="0"/>
      <w:marRight w:val="0"/>
      <w:marTop w:val="0"/>
      <w:marBottom w:val="0"/>
      <w:divBdr>
        <w:top w:val="none" w:sz="0" w:space="0" w:color="auto"/>
        <w:left w:val="none" w:sz="0" w:space="0" w:color="auto"/>
        <w:bottom w:val="none" w:sz="0" w:space="0" w:color="auto"/>
        <w:right w:val="none" w:sz="0" w:space="0" w:color="auto"/>
      </w:divBdr>
    </w:div>
    <w:div w:id="198981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131021\AppData\Local\cBrain\F2\.tmp\4e42c6b7f9cd491499d6f41411623fed.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s0:Root xmlns:ns0="Captia">
  <ns0:record>
    <Content xmlns="Captia" id="title">
      <Value/>
    </Content>
    <Content xmlns="Captia" id="version_no">
      <Value/>
    </Content>
  </ns0:record>
</ns0: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161B3-FCC6-464C-97D4-E337770A0C59}">
  <ds:schemaRefs>
    <ds:schemaRef ds:uri="Captia"/>
  </ds:schemaRefs>
</ds:datastoreItem>
</file>

<file path=customXml/itemProps2.xml><?xml version="1.0" encoding="utf-8"?>
<ds:datastoreItem xmlns:ds="http://schemas.openxmlformats.org/officeDocument/2006/customXml" ds:itemID="{649CB48E-50F0-4ED1-9066-CF631BFBA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4e42c6b7f9cd491499d6f41411623fed.dotx</Template>
  <TotalTime>80</TotalTime>
  <Pages>16</Pages>
  <Words>6945</Words>
  <Characters>42369</Characters>
  <Application>Microsoft Office Word</Application>
  <DocSecurity>0</DocSecurity>
  <Lines>353</Lines>
  <Paragraphs>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Stibo Systems</Company>
  <LinksUpToDate>false</LinksUpToDate>
  <CharactersWithSpaces>49216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Elizabeth Lee Garner</dc:creator>
  <cp:lastModifiedBy>Anitta Hilda Vandman Bugenhagen</cp:lastModifiedBy>
  <cp:revision>19</cp:revision>
  <cp:lastPrinted>2022-09-12T12:32:00Z</cp:lastPrinted>
  <dcterms:created xsi:type="dcterms:W3CDTF">2022-09-12T14:12:00Z</dcterms:created>
  <dcterms:modified xsi:type="dcterms:W3CDTF">2022-09-13T09:58:00Z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Format">
    <vt:i4>0</vt:i4>
  </property>
</Properties>
</file>