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186" w:tblpY="1645"/>
        <w:tblOverlap w:val="never"/>
        <w:tblW w:w="2484" w:type="dxa"/>
        <w:tblCellMar>
          <w:left w:w="0" w:type="dxa"/>
        </w:tblCellMar>
        <w:tblLook w:val="01E0" w:firstRow="1" w:lastRow="1" w:firstColumn="1" w:lastColumn="1" w:noHBand="0" w:noVBand="0"/>
      </w:tblPr>
      <w:tblGrid>
        <w:gridCol w:w="2484"/>
      </w:tblGrid>
      <w:tr w:rsidR="00596D81" w:rsidRPr="007D1FCB" w:rsidTr="002164D4">
        <w:trPr>
          <w:trHeight w:val="3129"/>
        </w:trPr>
        <w:tc>
          <w:tcPr>
            <w:tcW w:w="2484" w:type="dxa"/>
          </w:tcPr>
          <w:p w:rsidR="00481547" w:rsidRPr="00204BD9" w:rsidRDefault="00481547" w:rsidP="002164D4">
            <w:pPr>
              <w:pStyle w:val="Departementtekst"/>
              <w:spacing w:after="0"/>
              <w:ind w:right="-108"/>
              <w:rPr>
                <w:rFonts w:ascii="Calibri" w:hAnsi="Calibri" w:cs="Calibri"/>
                <w:sz w:val="18"/>
                <w:szCs w:val="18"/>
              </w:rPr>
            </w:pPr>
            <w:bookmarkStart w:id="0" w:name="_GoBack"/>
            <w:bookmarkEnd w:id="0"/>
          </w:p>
          <w:p w:rsidR="00481547" w:rsidRPr="00204BD9" w:rsidRDefault="00481547" w:rsidP="00675483">
            <w:pPr>
              <w:pStyle w:val="Departementtekst"/>
              <w:spacing w:after="0"/>
              <w:ind w:right="-108"/>
              <w:rPr>
                <w:rFonts w:ascii="Calibri" w:hAnsi="Calibri" w:cs="Calibri"/>
                <w:sz w:val="18"/>
                <w:szCs w:val="18"/>
              </w:rPr>
            </w:pPr>
          </w:p>
          <w:p w:rsidR="00675483" w:rsidRPr="00204BD9" w:rsidRDefault="00675483" w:rsidP="00204BD9">
            <w:pPr>
              <w:rPr>
                <w:rFonts w:ascii="Calibri" w:hAnsi="Calibri" w:cs="Calibri"/>
                <w:sz w:val="18"/>
                <w:szCs w:val="18"/>
              </w:rPr>
            </w:pPr>
          </w:p>
          <w:p w:rsidR="00675483" w:rsidRDefault="00675483" w:rsidP="00675483">
            <w:pPr>
              <w:jc w:val="left"/>
              <w:rPr>
                <w:rFonts w:ascii="Calibri" w:hAnsi="Calibri" w:cs="Calibri"/>
                <w:bCs/>
                <w:sz w:val="18"/>
                <w:szCs w:val="18"/>
                <w:lang w:eastAsia="da-DK"/>
              </w:rPr>
            </w:pPr>
            <w:r w:rsidRPr="00204BD9">
              <w:rPr>
                <w:rFonts w:ascii="Calibri" w:hAnsi="Calibri" w:cs="Calibri"/>
                <w:bCs/>
                <w:sz w:val="18"/>
                <w:szCs w:val="18"/>
                <w:lang w:eastAsia="da-DK"/>
              </w:rPr>
              <w:t xml:space="preserve">J.nr. </w:t>
            </w:r>
            <w:bookmarkStart w:id="1" w:name="sagsnr"/>
            <w:bookmarkEnd w:id="1"/>
            <w:r w:rsidR="00014823" w:rsidRPr="00014823">
              <w:rPr>
                <w:rFonts w:ascii="Calibri" w:hAnsi="Calibri" w:cs="Calibri"/>
                <w:bCs/>
                <w:sz w:val="18"/>
                <w:szCs w:val="18"/>
                <w:lang w:eastAsia="da-DK"/>
              </w:rPr>
              <w:t>13-0194575</w:t>
            </w:r>
          </w:p>
          <w:p w:rsidR="00675483" w:rsidRPr="00204BD9" w:rsidRDefault="00AC78F7" w:rsidP="00675483">
            <w:pPr>
              <w:jc w:val="left"/>
              <w:rPr>
                <w:rFonts w:ascii="Calibri" w:hAnsi="Calibri" w:cs="Calibri"/>
                <w:bCs/>
                <w:sz w:val="18"/>
                <w:szCs w:val="18"/>
                <w:lang w:eastAsia="da-DK"/>
              </w:rPr>
            </w:pPr>
            <w:r>
              <w:rPr>
                <w:rFonts w:ascii="Calibri" w:hAnsi="Calibri" w:cs="Calibri"/>
                <w:bCs/>
                <w:sz w:val="18"/>
                <w:szCs w:val="18"/>
                <w:lang w:eastAsia="da-DK"/>
              </w:rPr>
              <w:t xml:space="preserve">Den </w:t>
            </w:r>
            <w:r w:rsidR="00C81EEE">
              <w:rPr>
                <w:rFonts w:ascii="Calibri" w:hAnsi="Calibri" w:cs="Calibri"/>
                <w:bCs/>
                <w:sz w:val="18"/>
                <w:szCs w:val="18"/>
                <w:lang w:eastAsia="da-DK"/>
              </w:rPr>
              <w:t>18</w:t>
            </w:r>
            <w:r w:rsidR="00014823">
              <w:rPr>
                <w:rFonts w:ascii="Calibri" w:hAnsi="Calibri" w:cs="Calibri"/>
                <w:bCs/>
                <w:sz w:val="18"/>
                <w:szCs w:val="18"/>
                <w:lang w:eastAsia="da-DK"/>
              </w:rPr>
              <w:t xml:space="preserve">. </w:t>
            </w:r>
            <w:r w:rsidR="00C81EEE">
              <w:rPr>
                <w:rFonts w:ascii="Calibri" w:hAnsi="Calibri" w:cs="Calibri"/>
                <w:bCs/>
                <w:sz w:val="18"/>
                <w:szCs w:val="18"/>
                <w:lang w:eastAsia="da-DK"/>
              </w:rPr>
              <w:t>septemb</w:t>
            </w:r>
            <w:r w:rsidR="00014823">
              <w:rPr>
                <w:rFonts w:ascii="Calibri" w:hAnsi="Calibri" w:cs="Calibri"/>
                <w:bCs/>
                <w:sz w:val="18"/>
                <w:szCs w:val="18"/>
                <w:lang w:eastAsia="da-DK"/>
              </w:rPr>
              <w:t>er 2013</w:t>
            </w:r>
          </w:p>
          <w:p w:rsidR="00675483" w:rsidRPr="0027722C" w:rsidRDefault="00675483" w:rsidP="00675483">
            <w:pPr>
              <w:jc w:val="left"/>
              <w:rPr>
                <w:rFonts w:ascii="Calibri" w:hAnsi="Calibri" w:cs="Calibri"/>
                <w:bCs/>
                <w:sz w:val="18"/>
                <w:szCs w:val="18"/>
                <w:lang w:eastAsia="da-DK"/>
              </w:rPr>
            </w:pPr>
          </w:p>
          <w:p w:rsidR="00675483" w:rsidRPr="0027722C" w:rsidRDefault="00675483" w:rsidP="00675483">
            <w:pPr>
              <w:rPr>
                <w:rFonts w:ascii="Calibri" w:hAnsi="Calibri" w:cs="Calibri"/>
                <w:bCs/>
                <w:sz w:val="18"/>
                <w:szCs w:val="18"/>
                <w:lang w:eastAsia="da-DK"/>
              </w:rPr>
            </w:pPr>
          </w:p>
          <w:p w:rsidR="00F971D6" w:rsidRPr="007D1FCB" w:rsidRDefault="00F971D6" w:rsidP="00F971D6">
            <w:pPr>
              <w:pStyle w:val="Departementtekst"/>
              <w:rPr>
                <w:rFonts w:ascii="Calibri" w:hAnsi="Calibri" w:cs="Calibri"/>
                <w:sz w:val="18"/>
                <w:szCs w:val="18"/>
              </w:rPr>
            </w:pPr>
          </w:p>
        </w:tc>
      </w:tr>
    </w:tbl>
    <w:p w:rsidR="000C78A3" w:rsidRPr="00DB5FB4" w:rsidRDefault="000C78A3" w:rsidP="00C81EEE">
      <w:pPr>
        <w:pStyle w:val="Overskrift2"/>
      </w:pPr>
      <w:r w:rsidRPr="00DB5FB4">
        <w:t xml:space="preserve">Resumé af </w:t>
      </w:r>
      <w:r w:rsidR="00C81EEE">
        <w:t>forslag til lov om ændring af skattekontrolloven og forskellige andre love (Opfølgning på aftale mellem Danmark og Amerikas Forenede Stater om øget efterrettelighed vedrørende international beskatning samt ophævelse af bagatelgrænser m.v.)</w:t>
      </w:r>
      <w:r w:rsidR="00E15B51" w:rsidRPr="00DB5FB4">
        <w:tab/>
      </w:r>
    </w:p>
    <w:p w:rsidR="000C78A3" w:rsidRDefault="000C78A3" w:rsidP="00E15B51">
      <w:pPr>
        <w:spacing w:line="276" w:lineRule="auto"/>
      </w:pPr>
    </w:p>
    <w:p w:rsidR="00016A52" w:rsidRDefault="00016A52" w:rsidP="00014823">
      <w:pPr>
        <w:spacing w:line="276" w:lineRule="auto"/>
        <w:rPr>
          <w:iCs/>
        </w:rPr>
      </w:pPr>
      <w:r>
        <w:t>Formålet med lovforslaget er at skabe hjemmel til at indføre de indberetning</w:t>
      </w:r>
      <w:r>
        <w:t>s</w:t>
      </w:r>
      <w:r>
        <w:t xml:space="preserve">pligter og pligter til at gennemføre </w:t>
      </w:r>
      <w:r w:rsidRPr="00016A52">
        <w:rPr>
          <w:iCs/>
        </w:rPr>
        <w:t>procedurer til identifikation af indbere</w:t>
      </w:r>
      <w:r w:rsidRPr="00016A52">
        <w:rPr>
          <w:iCs/>
        </w:rPr>
        <w:t>t</w:t>
      </w:r>
      <w:r w:rsidRPr="00016A52">
        <w:rPr>
          <w:iCs/>
        </w:rPr>
        <w:t>ningspligtige konti</w:t>
      </w:r>
      <w:r>
        <w:t xml:space="preserve">, som følger af </w:t>
      </w:r>
      <w:r>
        <w:rPr>
          <w:iCs/>
        </w:rPr>
        <w:t>aftale af 15. november 2012 mellem Da</w:t>
      </w:r>
      <w:r>
        <w:rPr>
          <w:iCs/>
        </w:rPr>
        <w:t>n</w:t>
      </w:r>
      <w:r>
        <w:rPr>
          <w:iCs/>
        </w:rPr>
        <w:t>mark og Amerikas Forenede Stater til forbed</w:t>
      </w:r>
      <w:r>
        <w:rPr>
          <w:iCs/>
        </w:rPr>
        <w:softHyphen/>
        <w:t>ring af efterrettelighed vedrøre</w:t>
      </w:r>
      <w:r>
        <w:rPr>
          <w:iCs/>
        </w:rPr>
        <w:t>n</w:t>
      </w:r>
      <w:r>
        <w:rPr>
          <w:iCs/>
        </w:rPr>
        <w:t>de international beskatning.</w:t>
      </w:r>
    </w:p>
    <w:p w:rsidR="00016A52" w:rsidRDefault="00016A52" w:rsidP="00014823">
      <w:pPr>
        <w:spacing w:line="276" w:lineRule="auto"/>
        <w:rPr>
          <w:iCs/>
        </w:rPr>
      </w:pPr>
    </w:p>
    <w:p w:rsidR="00016A52" w:rsidRDefault="00016A52" w:rsidP="00014823">
      <w:pPr>
        <w:spacing w:line="276" w:lineRule="auto"/>
      </w:pPr>
      <w:r>
        <w:t>Aftalen mellem Danmark og USA indebærer, at danske finansielle institutter skal gennemføre nogle nærmere beskrevne procedurer til identifikation af ko</w:t>
      </w:r>
      <w:r>
        <w:t>n</w:t>
      </w:r>
      <w:r>
        <w:t>ti med tilknytning til USA og indberette om de pågældende konti årligt til SKAT. SKAT skal uopfordret videregive de indberettede oplysninger samlet til de amerikanske skattemyndigheder. Herudover vil SKAT efter aftalen mo</w:t>
      </w:r>
      <w:r>
        <w:t>d</w:t>
      </w:r>
      <w:r>
        <w:t>tage oplysninger fra de amerikanske skattemyndigheder om konti med dansk tilknytning oprettet i amerikanske finansielle institutter.</w:t>
      </w:r>
    </w:p>
    <w:p w:rsidR="00016A52" w:rsidRDefault="00016A52" w:rsidP="00014823">
      <w:pPr>
        <w:spacing w:line="276" w:lineRule="auto"/>
        <w:rPr>
          <w:iCs/>
        </w:rPr>
      </w:pPr>
    </w:p>
    <w:p w:rsidR="001D7142" w:rsidRDefault="001D7142" w:rsidP="00014823">
      <w:pPr>
        <w:spacing w:line="276" w:lineRule="auto"/>
        <w:rPr>
          <w:iCs/>
        </w:rPr>
      </w:pPr>
      <w:r>
        <w:rPr>
          <w:iCs/>
        </w:rPr>
        <w:t>Efter l</w:t>
      </w:r>
      <w:r w:rsidR="00016A52">
        <w:rPr>
          <w:iCs/>
        </w:rPr>
        <w:t xml:space="preserve">ovforslaget </w:t>
      </w:r>
      <w:r>
        <w:rPr>
          <w:iCs/>
        </w:rPr>
        <w:t>bemyndiges</w:t>
      </w:r>
      <w:r w:rsidR="00016A52" w:rsidRPr="00016A52">
        <w:rPr>
          <w:iCs/>
        </w:rPr>
        <w:t xml:space="preserve"> skatteministeren til at fastsætte nærmere regler</w:t>
      </w:r>
      <w:r w:rsidR="00016A52">
        <w:rPr>
          <w:iCs/>
        </w:rPr>
        <w:t xml:space="preserve"> om</w:t>
      </w:r>
      <w:r w:rsidR="00016A52" w:rsidRPr="00016A52">
        <w:t xml:space="preserve"> </w:t>
      </w:r>
      <w:r w:rsidR="00016A52">
        <w:t xml:space="preserve">indberetningspligter og pligter til at gennemføre </w:t>
      </w:r>
      <w:r w:rsidR="00016A52" w:rsidRPr="00016A52">
        <w:rPr>
          <w:iCs/>
        </w:rPr>
        <w:t>procedurer til identifikat</w:t>
      </w:r>
      <w:r w:rsidR="00016A52" w:rsidRPr="00016A52">
        <w:rPr>
          <w:iCs/>
        </w:rPr>
        <w:t>i</w:t>
      </w:r>
      <w:r w:rsidR="00016A52" w:rsidRPr="00016A52">
        <w:rPr>
          <w:iCs/>
        </w:rPr>
        <w:t xml:space="preserve">on </w:t>
      </w:r>
      <w:r>
        <w:rPr>
          <w:iCs/>
        </w:rPr>
        <w:t>af indberetningspligtige konti.</w:t>
      </w:r>
    </w:p>
    <w:p w:rsidR="001D7142" w:rsidRDefault="001D7142" w:rsidP="00014823">
      <w:pPr>
        <w:spacing w:line="276" w:lineRule="auto"/>
        <w:rPr>
          <w:iCs/>
        </w:rPr>
      </w:pPr>
    </w:p>
    <w:p w:rsidR="00016A52" w:rsidRDefault="00016A52" w:rsidP="00014823">
      <w:pPr>
        <w:spacing w:line="276" w:lineRule="auto"/>
        <w:rPr>
          <w:iCs/>
        </w:rPr>
      </w:pPr>
      <w:r w:rsidRPr="00016A52">
        <w:rPr>
          <w:iCs/>
        </w:rPr>
        <w:t xml:space="preserve">EU-Kommissionen har fremsat </w:t>
      </w:r>
      <w:r w:rsidRPr="00CC4C5F">
        <w:rPr>
          <w:iCs/>
        </w:rPr>
        <w:t>forslag af 12. juni 2013 til Rådets direktiv om ændring af direktiv 2011/16/EU for så vidt angår automatisk udveksling af oplysninger på beskatningsområdet.</w:t>
      </w:r>
      <w:r w:rsidRPr="00AB262F">
        <w:rPr>
          <w:iCs/>
        </w:rPr>
        <w:t xml:space="preserve"> Direktivforslaget forventes vedtaget </w:t>
      </w:r>
      <w:r>
        <w:rPr>
          <w:iCs/>
        </w:rPr>
        <w:t>inden udgangen af 2013. Efter direktivforslaget skal</w:t>
      </w:r>
      <w:r w:rsidRPr="00016A52">
        <w:rPr>
          <w:iCs/>
        </w:rPr>
        <w:t xml:space="preserve"> der udveksles oplysninger me</w:t>
      </w:r>
      <w:r w:rsidRPr="00016A52">
        <w:rPr>
          <w:iCs/>
        </w:rPr>
        <w:t>l</w:t>
      </w:r>
      <w:r w:rsidRPr="00016A52">
        <w:rPr>
          <w:iCs/>
        </w:rPr>
        <w:t>lem EU-landene svarende til de oplysninger, som efter aftalen mellem Da</w:t>
      </w:r>
      <w:r w:rsidRPr="00016A52">
        <w:rPr>
          <w:iCs/>
        </w:rPr>
        <w:t>n</w:t>
      </w:r>
      <w:r w:rsidRPr="00016A52">
        <w:rPr>
          <w:iCs/>
        </w:rPr>
        <w:t>mark og USA skal udveksles mellem Danmark og USA.</w:t>
      </w:r>
      <w:r>
        <w:rPr>
          <w:iCs/>
        </w:rPr>
        <w:t xml:space="preserve"> </w:t>
      </w:r>
      <w:r w:rsidRPr="00016A52">
        <w:rPr>
          <w:iCs/>
        </w:rPr>
        <w:t>Det er derudover meget sandsynligt, at Danmark også vil indgå aftaler med andre partnere end EU-landene og USA om udveksling af tilsvarende oplysninger. Endelig kan</w:t>
      </w:r>
      <w:r w:rsidR="009C6BCB">
        <w:rPr>
          <w:iCs/>
        </w:rPr>
        <w:t xml:space="preserve"> der være behov for, at</w:t>
      </w:r>
      <w:r w:rsidRPr="00016A52">
        <w:rPr>
          <w:iCs/>
        </w:rPr>
        <w:t xml:space="preserve"> SKAT få</w:t>
      </w:r>
      <w:r w:rsidR="009C6BCB">
        <w:rPr>
          <w:iCs/>
        </w:rPr>
        <w:t>r</w:t>
      </w:r>
      <w:r w:rsidRPr="00016A52">
        <w:rPr>
          <w:iCs/>
        </w:rPr>
        <w:t xml:space="preserve"> tilsvarende oplysninger om konti, som ikke har tilknytning til udlandet. </w:t>
      </w:r>
      <w:r w:rsidR="001D7142">
        <w:rPr>
          <w:iCs/>
        </w:rPr>
        <w:t>Bemyndigelsesbestemmelsen</w:t>
      </w:r>
      <w:r w:rsidRPr="00016A52">
        <w:rPr>
          <w:iCs/>
        </w:rPr>
        <w:t xml:space="preserve"> sikrer mulighed for at opfylde ikke alene aftalen mellem Danmark og USA, men også det forve</w:t>
      </w:r>
      <w:r w:rsidRPr="00016A52">
        <w:rPr>
          <w:iCs/>
        </w:rPr>
        <w:t>n</w:t>
      </w:r>
      <w:r w:rsidRPr="00016A52">
        <w:rPr>
          <w:iCs/>
        </w:rPr>
        <w:t>tede EU-direktiv og tilsvarende aftaler, som Danmark måtte indgå med andre partnere, og at indføre lignende indberetninger vedrørende danske konti.</w:t>
      </w:r>
    </w:p>
    <w:p w:rsidR="00016A52" w:rsidRDefault="00016A52" w:rsidP="00014823">
      <w:pPr>
        <w:spacing w:line="276" w:lineRule="auto"/>
        <w:rPr>
          <w:iCs/>
        </w:rPr>
      </w:pPr>
    </w:p>
    <w:p w:rsidR="009C6BCB" w:rsidRDefault="00014823" w:rsidP="00014823">
      <w:pPr>
        <w:spacing w:line="276" w:lineRule="auto"/>
      </w:pPr>
      <w:r>
        <w:t xml:space="preserve">Endvidere indeholder lovforslaget som </w:t>
      </w:r>
      <w:r w:rsidR="00016A52">
        <w:t xml:space="preserve">en </w:t>
      </w:r>
      <w:r>
        <w:t>følge af implementeringen af én skattekonto ophævelse af en række bagatelgrænser for ind- og udbetalinger</w:t>
      </w:r>
      <w:r w:rsidR="009C6BCB">
        <w:t>.</w:t>
      </w:r>
    </w:p>
    <w:p w:rsidR="00E31AEC" w:rsidRDefault="009C6BCB" w:rsidP="00014823">
      <w:pPr>
        <w:spacing w:line="276" w:lineRule="auto"/>
      </w:pPr>
      <w:r>
        <w:t xml:space="preserve"> </w:t>
      </w:r>
      <w:r w:rsidR="00014823">
        <w:br/>
      </w:r>
      <w:r w:rsidR="00E31AEC">
        <w:t xml:space="preserve">Forslaget om opfølgning </w:t>
      </w:r>
      <w:r>
        <w:t>på</w:t>
      </w:r>
      <w:r w:rsidR="00E31AEC">
        <w:t xml:space="preserve"> aftalen mellem Danmark og USA forventes at give et vist merprovenu som følge af modtagelse af yderligere oplysninger fra andre lande og områder. Der kan ikke skønnes over størrelsen.</w:t>
      </w:r>
    </w:p>
    <w:p w:rsidR="00E31AEC" w:rsidRDefault="00E31AEC" w:rsidP="00014823">
      <w:pPr>
        <w:spacing w:line="276" w:lineRule="auto"/>
      </w:pPr>
    </w:p>
    <w:p w:rsidR="00E31AEC" w:rsidRDefault="00E31AEC" w:rsidP="00014823">
      <w:pPr>
        <w:spacing w:line="276" w:lineRule="auto"/>
      </w:pPr>
      <w:r>
        <w:t>De provenumæssige konsekvenser af ophævelsen af bagatelgrænser skønnes at være beskedne og blev medregnet i de provenumæssige konsekvenser for det offentlige i forbindelse med gennemførelsen af reglerne om én skattekonto i 2006.</w:t>
      </w:r>
    </w:p>
    <w:p w:rsidR="007B3F83" w:rsidRDefault="007B3F83" w:rsidP="00E15B51">
      <w:pPr>
        <w:spacing w:line="276" w:lineRule="auto"/>
        <w:rPr>
          <w:lang w:eastAsia="da-DK"/>
        </w:rPr>
      </w:pPr>
    </w:p>
    <w:p w:rsidR="007D1FCB" w:rsidRDefault="007D1FCB" w:rsidP="00E15B51">
      <w:pPr>
        <w:spacing w:line="276" w:lineRule="auto"/>
        <w:jc w:val="left"/>
        <w:rPr>
          <w:lang w:eastAsia="da-DK"/>
        </w:rPr>
      </w:pPr>
    </w:p>
    <w:sectPr w:rsidR="007D1FCB" w:rsidSect="00E23A98">
      <w:footerReference w:type="default" r:id="rId8"/>
      <w:headerReference w:type="first" r:id="rId9"/>
      <w:footerReference w:type="first" r:id="rId10"/>
      <w:pgSz w:w="11906" w:h="16838" w:code="9"/>
      <w:pgMar w:top="993" w:right="3175"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E2" w:rsidRDefault="00741CE2" w:rsidP="00431D4B">
      <w:r>
        <w:separator/>
      </w:r>
    </w:p>
  </w:endnote>
  <w:endnote w:type="continuationSeparator" w:id="0">
    <w:p w:rsidR="00741CE2" w:rsidRDefault="00741CE2" w:rsidP="004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E2" w:rsidRPr="009B3308" w:rsidRDefault="00741CE2">
    <w:pPr>
      <w:pStyle w:val="Sidefod"/>
      <w:rPr>
        <w:rFonts w:ascii="Calibri" w:hAnsi="Calibri" w:cs="Calibri"/>
        <w:sz w:val="20"/>
        <w:szCs w:val="20"/>
      </w:rPr>
    </w:pPr>
    <w:r w:rsidRPr="009B3308">
      <w:rPr>
        <w:rFonts w:ascii="Calibri" w:hAnsi="Calibri" w:cs="Calibri"/>
        <w:sz w:val="20"/>
        <w:szCs w:val="20"/>
      </w:rPr>
      <w:fldChar w:fldCharType="begin"/>
    </w:r>
    <w:r w:rsidRPr="009B3308">
      <w:rPr>
        <w:rFonts w:ascii="Calibri" w:hAnsi="Calibri" w:cs="Calibri"/>
        <w:sz w:val="20"/>
        <w:szCs w:val="20"/>
      </w:rPr>
      <w:instrText>PAGE   \* MERGEFORMAT</w:instrText>
    </w:r>
    <w:r w:rsidRPr="009B3308">
      <w:rPr>
        <w:rFonts w:ascii="Calibri" w:hAnsi="Calibri" w:cs="Calibri"/>
        <w:sz w:val="20"/>
        <w:szCs w:val="20"/>
      </w:rPr>
      <w:fldChar w:fldCharType="separate"/>
    </w:r>
    <w:r w:rsidR="00784C24">
      <w:rPr>
        <w:rFonts w:ascii="Calibri" w:hAnsi="Calibri" w:cs="Calibri"/>
        <w:noProof/>
        <w:sz w:val="20"/>
        <w:szCs w:val="20"/>
      </w:rPr>
      <w:t>2</w:t>
    </w:r>
    <w:r w:rsidRPr="009B3308">
      <w:rPr>
        <w:rFonts w:ascii="Calibri" w:hAnsi="Calibri" w:cs="Calibri"/>
        <w:sz w:val="20"/>
        <w:szCs w:val="20"/>
      </w:rPr>
      <w:fldChar w:fldCharType="end"/>
    </w:r>
    <w:r w:rsidRPr="009B3308">
      <w:rPr>
        <w:rFonts w:ascii="Calibri" w:hAnsi="Calibri" w:cs="Calibri"/>
        <w:sz w:val="20"/>
        <w:szCs w:val="20"/>
      </w:rPr>
      <w:t xml:space="preserve"> / </w:t>
    </w:r>
    <w:r w:rsidRPr="009B3308">
      <w:rPr>
        <w:rFonts w:ascii="Calibri" w:hAnsi="Calibri" w:cs="Calibri"/>
        <w:sz w:val="20"/>
        <w:szCs w:val="20"/>
      </w:rPr>
      <w:fldChar w:fldCharType="begin"/>
    </w:r>
    <w:r w:rsidRPr="009B3308">
      <w:rPr>
        <w:rFonts w:ascii="Calibri" w:hAnsi="Calibri" w:cs="Calibri"/>
        <w:sz w:val="20"/>
        <w:szCs w:val="20"/>
      </w:rPr>
      <w:instrText xml:space="preserve"> NUMPAGES  \# "0" \* Arabic  \* MERGEFORMAT </w:instrText>
    </w:r>
    <w:r w:rsidRPr="009B3308">
      <w:rPr>
        <w:rFonts w:ascii="Calibri" w:hAnsi="Calibri" w:cs="Calibri"/>
        <w:sz w:val="20"/>
        <w:szCs w:val="20"/>
      </w:rPr>
      <w:fldChar w:fldCharType="separate"/>
    </w:r>
    <w:r w:rsidR="00784C24">
      <w:rPr>
        <w:rFonts w:ascii="Calibri" w:hAnsi="Calibri" w:cs="Calibri"/>
        <w:noProof/>
        <w:sz w:val="20"/>
        <w:szCs w:val="20"/>
      </w:rPr>
      <w:t>2</w:t>
    </w:r>
    <w:r w:rsidRPr="009B3308">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E2" w:rsidRPr="00AD7E07" w:rsidRDefault="00741CE2">
    <w:pPr>
      <w:pStyle w:val="Sidefod"/>
      <w:rPr>
        <w:rFonts w:ascii="Calibri" w:hAnsi="Calibri" w:cs="Calibri"/>
        <w:sz w:val="20"/>
        <w:szCs w:val="20"/>
      </w:rPr>
    </w:pPr>
    <w:r w:rsidRPr="00AD7E07">
      <w:rPr>
        <w:rFonts w:ascii="Calibri" w:hAnsi="Calibri" w:cs="Calibri"/>
        <w:sz w:val="20"/>
        <w:szCs w:val="20"/>
      </w:rPr>
      <w:fldChar w:fldCharType="begin"/>
    </w:r>
    <w:r w:rsidRPr="00AD7E07">
      <w:rPr>
        <w:rFonts w:ascii="Calibri" w:hAnsi="Calibri" w:cs="Calibri"/>
        <w:sz w:val="20"/>
        <w:szCs w:val="20"/>
      </w:rPr>
      <w:instrText>PAGE   \* MERGEFORMAT</w:instrText>
    </w:r>
    <w:r w:rsidRPr="00AD7E07">
      <w:rPr>
        <w:rFonts w:ascii="Calibri" w:hAnsi="Calibri" w:cs="Calibri"/>
        <w:sz w:val="20"/>
        <w:szCs w:val="20"/>
      </w:rPr>
      <w:fldChar w:fldCharType="separate"/>
    </w:r>
    <w:r w:rsidR="00784C24">
      <w:rPr>
        <w:rFonts w:ascii="Calibri" w:hAnsi="Calibri" w:cs="Calibri"/>
        <w:noProof/>
        <w:sz w:val="20"/>
        <w:szCs w:val="20"/>
      </w:rPr>
      <w:t>1</w:t>
    </w:r>
    <w:r w:rsidRPr="00AD7E07">
      <w:rPr>
        <w:rFonts w:ascii="Calibri" w:hAnsi="Calibri" w:cs="Calibri"/>
        <w:sz w:val="20"/>
        <w:szCs w:val="20"/>
      </w:rPr>
      <w:fldChar w:fldCharType="end"/>
    </w:r>
    <w:r w:rsidRPr="00AD7E07">
      <w:rPr>
        <w:rFonts w:ascii="Calibri" w:hAnsi="Calibri" w:cs="Calibri"/>
        <w:sz w:val="20"/>
        <w:szCs w:val="20"/>
      </w:rPr>
      <w:t xml:space="preserve"> / </w:t>
    </w:r>
    <w:r w:rsidRPr="00AD7E07">
      <w:rPr>
        <w:rFonts w:ascii="Calibri" w:hAnsi="Calibri" w:cs="Calibri"/>
        <w:sz w:val="20"/>
        <w:szCs w:val="20"/>
      </w:rPr>
      <w:fldChar w:fldCharType="begin"/>
    </w:r>
    <w:r w:rsidRPr="00AD7E07">
      <w:rPr>
        <w:rFonts w:ascii="Calibri" w:hAnsi="Calibri" w:cs="Calibri"/>
        <w:sz w:val="20"/>
        <w:szCs w:val="20"/>
      </w:rPr>
      <w:instrText xml:space="preserve"> NUMPAGES  \# "0" \* Arabic  \* MERGEFORMAT </w:instrText>
    </w:r>
    <w:r w:rsidRPr="00AD7E07">
      <w:rPr>
        <w:rFonts w:ascii="Calibri" w:hAnsi="Calibri" w:cs="Calibri"/>
        <w:sz w:val="20"/>
        <w:szCs w:val="20"/>
      </w:rPr>
      <w:fldChar w:fldCharType="separate"/>
    </w:r>
    <w:r w:rsidR="00784C24">
      <w:rPr>
        <w:rFonts w:ascii="Calibri" w:hAnsi="Calibri" w:cs="Calibri"/>
        <w:noProof/>
        <w:sz w:val="20"/>
        <w:szCs w:val="20"/>
      </w:rPr>
      <w:t>1</w:t>
    </w:r>
    <w:r w:rsidRPr="00AD7E07">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E2" w:rsidRDefault="00741CE2" w:rsidP="00431D4B">
      <w:r>
        <w:separator/>
      </w:r>
    </w:p>
  </w:footnote>
  <w:footnote w:type="continuationSeparator" w:id="0">
    <w:p w:rsidR="00741CE2" w:rsidRDefault="00741CE2" w:rsidP="0043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p>
  <w:p w:rsidR="00741CE2" w:rsidRDefault="00741CE2">
    <w:pPr>
      <w:pStyle w:val="Sidehoved"/>
    </w:pPr>
    <w:r>
      <w:rPr>
        <w:noProof/>
        <w:lang w:eastAsia="da-DK"/>
      </w:rPr>
      <w:drawing>
        <wp:anchor distT="0" distB="0" distL="114300" distR="114300" simplePos="0" relativeHeight="251659264" behindDoc="0" locked="1" layoutInCell="1" allowOverlap="1" wp14:anchorId="76A17CBB" wp14:editId="2C3AFEA8">
          <wp:simplePos x="0" y="0"/>
          <wp:positionH relativeFrom="rightMargin">
            <wp:posOffset>-2012950</wp:posOffset>
          </wp:positionH>
          <wp:positionV relativeFrom="page">
            <wp:posOffset>323850</wp:posOffset>
          </wp:positionV>
          <wp:extent cx="2088000" cy="619200"/>
          <wp:effectExtent l="0" t="0" r="0" b="0"/>
          <wp:wrapSquare wrapText="bothSides"/>
          <wp:docPr id="2" name="Billede 2" descr="C:\Skat\Skm\SKM_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kat\Skm\SKM_CMYK.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8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77"/>
    <w:rsid w:val="00014823"/>
    <w:rsid w:val="00016A52"/>
    <w:rsid w:val="00040B5B"/>
    <w:rsid w:val="00053A9B"/>
    <w:rsid w:val="000614B4"/>
    <w:rsid w:val="00077668"/>
    <w:rsid w:val="000905B9"/>
    <w:rsid w:val="000A0CEF"/>
    <w:rsid w:val="000C78A3"/>
    <w:rsid w:val="000D6E69"/>
    <w:rsid w:val="000E2C37"/>
    <w:rsid w:val="000E614B"/>
    <w:rsid w:val="00114964"/>
    <w:rsid w:val="001409D4"/>
    <w:rsid w:val="00151AD8"/>
    <w:rsid w:val="001D7142"/>
    <w:rsid w:val="001F1906"/>
    <w:rsid w:val="00204AA5"/>
    <w:rsid w:val="00204BD9"/>
    <w:rsid w:val="00210A2E"/>
    <w:rsid w:val="002164D4"/>
    <w:rsid w:val="00271300"/>
    <w:rsid w:val="00292D4D"/>
    <w:rsid w:val="00293255"/>
    <w:rsid w:val="002A2B99"/>
    <w:rsid w:val="002A4613"/>
    <w:rsid w:val="002B557C"/>
    <w:rsid w:val="002B7D29"/>
    <w:rsid w:val="002D3162"/>
    <w:rsid w:val="0030541F"/>
    <w:rsid w:val="00372AFB"/>
    <w:rsid w:val="00390510"/>
    <w:rsid w:val="003A4677"/>
    <w:rsid w:val="003B3EC2"/>
    <w:rsid w:val="003E16FE"/>
    <w:rsid w:val="003F120D"/>
    <w:rsid w:val="00421F40"/>
    <w:rsid w:val="00431D4B"/>
    <w:rsid w:val="00434584"/>
    <w:rsid w:val="00451855"/>
    <w:rsid w:val="00453EA3"/>
    <w:rsid w:val="00461F2E"/>
    <w:rsid w:val="004724B8"/>
    <w:rsid w:val="00481547"/>
    <w:rsid w:val="00485F0D"/>
    <w:rsid w:val="0048702A"/>
    <w:rsid w:val="00490490"/>
    <w:rsid w:val="004B2435"/>
    <w:rsid w:val="004E74AA"/>
    <w:rsid w:val="004F7D52"/>
    <w:rsid w:val="00507D3B"/>
    <w:rsid w:val="00513DEB"/>
    <w:rsid w:val="0052064B"/>
    <w:rsid w:val="00596D81"/>
    <w:rsid w:val="005F640B"/>
    <w:rsid w:val="006227B0"/>
    <w:rsid w:val="006333F7"/>
    <w:rsid w:val="00646243"/>
    <w:rsid w:val="0067268E"/>
    <w:rsid w:val="00675483"/>
    <w:rsid w:val="00683DCB"/>
    <w:rsid w:val="006B61A1"/>
    <w:rsid w:val="006E78F8"/>
    <w:rsid w:val="00741CE2"/>
    <w:rsid w:val="00784C24"/>
    <w:rsid w:val="007B3F83"/>
    <w:rsid w:val="007D1FCB"/>
    <w:rsid w:val="0083219F"/>
    <w:rsid w:val="0085657A"/>
    <w:rsid w:val="008653D5"/>
    <w:rsid w:val="00907893"/>
    <w:rsid w:val="00934D6E"/>
    <w:rsid w:val="00980121"/>
    <w:rsid w:val="009B3308"/>
    <w:rsid w:val="009C6BCB"/>
    <w:rsid w:val="00A25227"/>
    <w:rsid w:val="00A30173"/>
    <w:rsid w:val="00A315F2"/>
    <w:rsid w:val="00A32367"/>
    <w:rsid w:val="00A5005E"/>
    <w:rsid w:val="00A50F89"/>
    <w:rsid w:val="00A85CF2"/>
    <w:rsid w:val="00AA7C3B"/>
    <w:rsid w:val="00AB14BD"/>
    <w:rsid w:val="00AC78F7"/>
    <w:rsid w:val="00AD7E07"/>
    <w:rsid w:val="00AF028A"/>
    <w:rsid w:val="00B2692D"/>
    <w:rsid w:val="00B32E57"/>
    <w:rsid w:val="00B76181"/>
    <w:rsid w:val="00BB4E95"/>
    <w:rsid w:val="00BC5D4C"/>
    <w:rsid w:val="00BD0A5C"/>
    <w:rsid w:val="00C02547"/>
    <w:rsid w:val="00C226DD"/>
    <w:rsid w:val="00C6362E"/>
    <w:rsid w:val="00C81EEE"/>
    <w:rsid w:val="00CC0582"/>
    <w:rsid w:val="00CE2C69"/>
    <w:rsid w:val="00D55D4B"/>
    <w:rsid w:val="00D66306"/>
    <w:rsid w:val="00DA04B1"/>
    <w:rsid w:val="00DB5FB4"/>
    <w:rsid w:val="00E15B51"/>
    <w:rsid w:val="00E23A98"/>
    <w:rsid w:val="00E31AEC"/>
    <w:rsid w:val="00E65718"/>
    <w:rsid w:val="00EB3F9A"/>
    <w:rsid w:val="00F20B70"/>
    <w:rsid w:val="00F333CA"/>
    <w:rsid w:val="00F34C54"/>
    <w:rsid w:val="00F6444A"/>
    <w:rsid w:val="00F720D8"/>
    <w:rsid w:val="00F971D6"/>
    <w:rsid w:val="00FB59A5"/>
    <w:rsid w:val="00FC26F8"/>
    <w:rsid w:val="00FC7C4C"/>
    <w:rsid w:val="00FE1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E15B51"/>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E15B51"/>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E15B51"/>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15B51"/>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E15B51"/>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E15B51"/>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E15B51"/>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E15B51"/>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E15B51"/>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15B51"/>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E15B51"/>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E15B51"/>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skm">
  <a:themeElements>
    <a:clrScheme name="Skm">
      <a:dk1>
        <a:srgbClr val="000000"/>
      </a:dk1>
      <a:lt1>
        <a:srgbClr val="FFFFFF"/>
      </a:lt1>
      <a:dk2>
        <a:srgbClr val="57788E"/>
      </a:dk2>
      <a:lt2>
        <a:srgbClr val="C0C0C0"/>
      </a:lt2>
      <a:accent1>
        <a:srgbClr val="000D2F"/>
      </a:accent1>
      <a:accent2>
        <a:srgbClr val="57788E"/>
      </a:accent2>
      <a:accent3>
        <a:srgbClr val="88A7B7"/>
      </a:accent3>
      <a:accent4>
        <a:srgbClr val="BBCFD5"/>
      </a:accent4>
      <a:accent5>
        <a:srgbClr val="99252C"/>
      </a:accent5>
      <a:accent6>
        <a:srgbClr val="777777"/>
      </a:accent6>
      <a:hlink>
        <a:srgbClr val="0000FF"/>
      </a:hlink>
      <a:folHlink>
        <a:srgbClr val="800080"/>
      </a:folHlink>
    </a:clrScheme>
    <a:fontScheme name="Skm">
      <a:majorFont>
        <a:latin typeface="Calibri"/>
        <a:ea typeface=""/>
        <a:cs typeface=""/>
      </a:majorFont>
      <a:minorFont>
        <a:latin typeface="Garamond"/>
        <a:ea typeface=""/>
        <a:cs typeface=""/>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35E5-5D06-4BFF-B780-771016DC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2484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resumé</vt:lpstr>
    </vt:vector>
  </TitlesOfParts>
  <Company>Skatteministeriet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resumé</dc:title>
  <dc:creator>Susanne Poulsen</dc:creator>
  <cp:lastModifiedBy>Susanne Poulsen</cp:lastModifiedBy>
  <cp:revision>2</cp:revision>
  <cp:lastPrinted>2013-09-05T15:49:00Z</cp:lastPrinted>
  <dcterms:created xsi:type="dcterms:W3CDTF">2013-09-19T06:40:00Z</dcterms:created>
  <dcterms:modified xsi:type="dcterms:W3CDTF">2013-09-19T06:40:00Z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resumé (DOK19019098)</vt:lpwstr>
  </property>
  <property fmtid="{D5CDD505-2E9C-101B-9397-08002B2CF9AE}" pid="3" name="path">
    <vt:lpwstr>C:\Users\w00715\AppData\Local\Temp\SJ20130918072929260 [DOK19019098].DOCX</vt:lpwstr>
  </property>
  <property fmtid="{D5CDD505-2E9C-101B-9397-08002B2CF9AE}" pid="4" name="command">
    <vt:lpwstr/>
  </property>
</Properties>
</file>