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5EFD7" w14:textId="7DBDA0D3" w:rsidR="0029533F" w:rsidRDefault="00334C39" w:rsidP="00813CF7">
      <w:pPr>
        <w:pStyle w:val="Pagedecouverture"/>
      </w:pPr>
      <w:r>
        <w:rPr>
          <w:noProof/>
        </w:rPr>
        <w:drawing>
          <wp:inline distT="0" distB="0" distL="0" distR="0" wp14:anchorId="5E2496EC" wp14:editId="37F99B0A">
            <wp:extent cx="5781675" cy="4733925"/>
            <wp:effectExtent l="0" t="0" r="9525" b="9525"/>
            <wp:docPr id="1" name="Billede 1" descr="C6AE4596-5F35-42F1-98BD-A3150FBA1E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6AE4596-5F35-42F1-98BD-A3150FBA1E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1675" cy="4733925"/>
                    </a:xfrm>
                    <a:prstGeom prst="rect">
                      <a:avLst/>
                    </a:prstGeom>
                    <a:noFill/>
                    <a:ln>
                      <a:noFill/>
                    </a:ln>
                  </pic:spPr>
                </pic:pic>
              </a:graphicData>
            </a:graphic>
          </wp:inline>
        </w:drawing>
      </w:r>
    </w:p>
    <w:p w14:paraId="0E3EF223" w14:textId="77777777" w:rsidR="006B0D2A" w:rsidRPr="00922C91" w:rsidRDefault="006B0D2A">
      <w:pPr>
        <w:sectPr w:rsidR="006B0D2A" w:rsidRPr="00922C91" w:rsidSect="006C3CB2">
          <w:headerReference w:type="even" r:id="rId11"/>
          <w:headerReference w:type="default" r:id="rId12"/>
          <w:footerReference w:type="even" r:id="rId13"/>
          <w:footerReference w:type="default" r:id="rId14"/>
          <w:headerReference w:type="first" r:id="rId15"/>
          <w:footerReference w:type="first" r:id="rId16"/>
          <w:pgSz w:w="11907" w:h="16839"/>
          <w:pgMar w:top="1134" w:right="1417" w:bottom="1134" w:left="1417" w:header="709" w:footer="709" w:gutter="0"/>
          <w:pgNumType w:start="0"/>
          <w:cols w:space="720"/>
          <w:docGrid w:linePitch="360"/>
        </w:sectPr>
      </w:pPr>
    </w:p>
    <w:p w14:paraId="1FDBD2E7" w14:textId="67018AB8" w:rsidR="006B0D2A" w:rsidRPr="00922C91" w:rsidRDefault="00813CF7" w:rsidP="00813CF7">
      <w:pPr>
        <w:pStyle w:val="Typedudocument"/>
      </w:pPr>
      <w:r w:rsidRPr="00813CF7">
        <w:lastRenderedPageBreak/>
        <w:t>COMMISSION IMPLEMENTING REGULATION (EU) …/...</w:t>
      </w:r>
    </w:p>
    <w:p w14:paraId="4F36A582" w14:textId="74F38BE4" w:rsidR="006B0D2A" w:rsidRPr="00922C91" w:rsidRDefault="00813CF7" w:rsidP="00813CF7">
      <w:pPr>
        <w:pStyle w:val="Datedadoption"/>
      </w:pPr>
      <w:r w:rsidRPr="00813CF7">
        <w:t xml:space="preserve">of </w:t>
      </w:r>
      <w:r w:rsidRPr="00813CF7">
        <w:rPr>
          <w:rStyle w:val="Marker2"/>
        </w:rPr>
        <w:t>XXX</w:t>
      </w:r>
    </w:p>
    <w:p w14:paraId="7E7851E7" w14:textId="4D19F850" w:rsidR="006B0D2A" w:rsidRPr="00922C91" w:rsidRDefault="00813CF7" w:rsidP="00813CF7">
      <w:pPr>
        <w:pStyle w:val="Titreobjet"/>
      </w:pPr>
      <w:r w:rsidRPr="00813CF7">
        <w:t>amending Implementing Regulation (EU) 2019/1793 as regards the temporary increase of official controls and emergency measures governing the entry into the Union of certain goods from certain third countries</w:t>
      </w:r>
    </w:p>
    <w:p w14:paraId="68EAF769" w14:textId="62DEE9C8" w:rsidR="006B0D2A" w:rsidRPr="006B0D2A" w:rsidRDefault="00813CF7" w:rsidP="00813CF7">
      <w:pPr>
        <w:pStyle w:val="IntrtEEE"/>
      </w:pPr>
      <w:r w:rsidRPr="00813CF7">
        <w:t>(Text with EEA relevance)</w:t>
      </w:r>
    </w:p>
    <w:p w14:paraId="192277F3" w14:textId="77777777" w:rsidR="006B0D2A" w:rsidRPr="00922C91" w:rsidRDefault="006B0D2A" w:rsidP="004E1EF9">
      <w:pPr>
        <w:pStyle w:val="Institutionquiagit"/>
      </w:pPr>
      <w:r w:rsidRPr="00922C91">
        <w:t>THE EUROPEAN COMMISSION,</w:t>
      </w:r>
    </w:p>
    <w:p w14:paraId="5A6061F8" w14:textId="77777777" w:rsidR="006B0D2A" w:rsidRDefault="006B0D2A" w:rsidP="004E1EF9">
      <w:r w:rsidRPr="00922C91">
        <w:rPr>
          <w:color w:val="000000"/>
        </w:rPr>
        <w:t>Having regard to the Treaty on the Functioning of the European Union</w:t>
      </w:r>
      <w:r w:rsidRPr="00922C91">
        <w:t>,</w:t>
      </w:r>
    </w:p>
    <w:p w14:paraId="4F61E83B" w14:textId="77777777" w:rsidR="006B0D2A" w:rsidRPr="00A84AA9" w:rsidRDefault="006B0D2A" w:rsidP="006B0D2A">
      <w:r w:rsidRPr="00A84AA9">
        <w:t>Having regard to Regulation (EC) No 178/2002 of the European Parliament and of the Council of 28 January 2002 laying down the general principles and requirements of food law, establishing the European Food Safety Authority and laying down procedures in matters of food safety</w:t>
      </w:r>
      <w:r w:rsidRPr="00A84AA9">
        <w:rPr>
          <w:rStyle w:val="Fodnotehenvisning"/>
        </w:rPr>
        <w:footnoteReference w:id="1"/>
      </w:r>
      <w:r w:rsidRPr="00A84AA9">
        <w:t>, and in particular Article 53(1), point (b)(ii), thereof,</w:t>
      </w:r>
    </w:p>
    <w:p w14:paraId="7147179D" w14:textId="7D9058D0" w:rsidR="006B0D2A" w:rsidRDefault="006B0D2A" w:rsidP="006B0D2A">
      <w:r w:rsidRPr="00A84AA9">
        <w:t>Having regard to 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w:t>
      </w:r>
      <w:r w:rsidRPr="00A84AA9">
        <w:rPr>
          <w:rStyle w:val="Fodnotehenvisning"/>
        </w:rPr>
        <w:footnoteReference w:id="2"/>
      </w:r>
      <w:r w:rsidRPr="00A84AA9">
        <w:t>, and in particular Article 47(2), first subparagraph, point (b), and Article 54(4), first subparagraph, points (a) and (b), thereof</w:t>
      </w:r>
      <w:r>
        <w:t>,</w:t>
      </w:r>
    </w:p>
    <w:p w14:paraId="28234850" w14:textId="77777777" w:rsidR="006B0D2A" w:rsidRPr="00922C91" w:rsidRDefault="006B0D2A" w:rsidP="004E1EF9">
      <w:r w:rsidRPr="00922C91">
        <w:t>Whereas:</w:t>
      </w:r>
    </w:p>
    <w:p w14:paraId="4C40759C" w14:textId="707032AA" w:rsidR="006B0D2A" w:rsidRPr="00AE1AC5" w:rsidRDefault="006B0D2A" w:rsidP="00A650F3">
      <w:pPr>
        <w:pStyle w:val="Considrant"/>
        <w:numPr>
          <w:ilvl w:val="0"/>
          <w:numId w:val="2"/>
        </w:numPr>
        <w:rPr>
          <w:szCs w:val="24"/>
        </w:rPr>
      </w:pPr>
      <w:r w:rsidRPr="00AE1AC5">
        <w:rPr>
          <w:szCs w:val="24"/>
        </w:rPr>
        <w:t>Commission Implementing Regulation (EU) 2019/1793</w:t>
      </w:r>
      <w:r w:rsidRPr="00AE1AC5">
        <w:rPr>
          <w:rStyle w:val="Fodnotehenvisning"/>
          <w:szCs w:val="24"/>
        </w:rPr>
        <w:footnoteReference w:id="3"/>
      </w:r>
      <w:r w:rsidRPr="00AE1AC5">
        <w:rPr>
          <w:szCs w:val="24"/>
        </w:rPr>
        <w:t xml:space="preserve"> lays down rules on the temporary increase of official controls at the entry into the Union on certain consignments of food and feed of non-animal origin from certain third countries listed in Annex I to that Implementing Regulation, and on the imposition of special conditions governing the entry into the Union of certain consignments of food and feed from certain third countries due to the risk of contamination by mycotoxins, including aflatoxins, pesticide residues, microbiological contamination, </w:t>
      </w:r>
      <w:r w:rsidRPr="00AE1AC5">
        <w:rPr>
          <w:szCs w:val="24"/>
          <w:lang w:val="en-IE"/>
        </w:rPr>
        <w:t>cereulide toxin,</w:t>
      </w:r>
      <w:r w:rsidRPr="00AE1AC5">
        <w:rPr>
          <w:szCs w:val="24"/>
        </w:rPr>
        <w:t xml:space="preserve"> Sudan dyes and plant toxins listed in Annex II to that Implementing Regulation.</w:t>
      </w:r>
    </w:p>
    <w:p w14:paraId="62AF14B1" w14:textId="2B3B75A1" w:rsidR="006B0D2A" w:rsidRPr="00AE1AC5" w:rsidRDefault="006B0D2A" w:rsidP="006B0D2A">
      <w:pPr>
        <w:pStyle w:val="Considrant"/>
        <w:rPr>
          <w:szCs w:val="24"/>
        </w:rPr>
      </w:pPr>
      <w:r w:rsidRPr="00AE1AC5">
        <w:rPr>
          <w:szCs w:val="24"/>
        </w:rPr>
        <w:lastRenderedPageBreak/>
        <w:t>Article 12 of Implementing Regulation (EU) 2019/1793 lays down the obligation of the Commission to review at regular intervals not exceeding six months the lists set out in the Annexes to that Implementing Regulation, in order to take into account new information related to risks for human health and non-</w:t>
      </w:r>
      <w:r w:rsidRPr="004C387F">
        <w:rPr>
          <w:szCs w:val="24"/>
        </w:rPr>
        <w:t>compliance</w:t>
      </w:r>
      <w:r w:rsidR="009F4C84" w:rsidRPr="004C387F">
        <w:rPr>
          <w:szCs w:val="24"/>
        </w:rPr>
        <w:t xml:space="preserve"> with Union legislation</w:t>
      </w:r>
      <w:r w:rsidRPr="004C387F">
        <w:rPr>
          <w:szCs w:val="24"/>
        </w:rPr>
        <w:t xml:space="preserve">. Such new information includes the </w:t>
      </w:r>
      <w:r w:rsidRPr="00AE1AC5">
        <w:rPr>
          <w:szCs w:val="24"/>
        </w:rPr>
        <w:t>data resulting from notifications received through the Rapid Alert System for Food and Feed (‘RASFF’) established by Regulation (EC) No 178/2002, as well as data and information concerning consignments and the results of the documentary, identity and physical checks carried out by Member States and communicated to the Commission.</w:t>
      </w:r>
    </w:p>
    <w:p w14:paraId="71B9C149" w14:textId="77777777" w:rsidR="006B0D2A" w:rsidRPr="00AE1AC5" w:rsidRDefault="006B0D2A" w:rsidP="006B0D2A">
      <w:pPr>
        <w:pStyle w:val="Considrant"/>
        <w:rPr>
          <w:szCs w:val="24"/>
        </w:rPr>
      </w:pPr>
      <w:r w:rsidRPr="00AE1AC5">
        <w:rPr>
          <w:szCs w:val="24"/>
        </w:rPr>
        <w:t>Recent notifications received through the RASFF indicate the existence of serious direct or indirect risk for human health deriving from certain food or feed. Additionally, official controls performed by the Member States on certain food and feed of non-animal origin in the second semester of 2025 indicate that the lists set out in Annexes I and II to Implementing Regulation (EU) 2019/1793 should be amended in order to protect human health in the Union.</w:t>
      </w:r>
    </w:p>
    <w:p w14:paraId="7E38F870" w14:textId="6A1A9639" w:rsidR="006B0D2A" w:rsidRPr="00AE1AC5" w:rsidRDefault="00D67FC8" w:rsidP="006B0D2A">
      <w:pPr>
        <w:pStyle w:val="Considrant"/>
        <w:rPr>
          <w:szCs w:val="24"/>
        </w:rPr>
      </w:pPr>
      <w:r w:rsidRPr="00AE1AC5">
        <w:rPr>
          <w:szCs w:val="24"/>
        </w:rPr>
        <w:t xml:space="preserve">In relation to consignments of </w:t>
      </w:r>
      <w:r w:rsidR="005E7779">
        <w:rPr>
          <w:szCs w:val="24"/>
          <w:lang w:val="en-IE"/>
        </w:rPr>
        <w:t>g</w:t>
      </w:r>
      <w:r w:rsidR="005E7779" w:rsidRPr="00AE1AC5">
        <w:rPr>
          <w:szCs w:val="24"/>
          <w:lang w:val="en-IE"/>
        </w:rPr>
        <w:t xml:space="preserve">roundnuts </w:t>
      </w:r>
      <w:r w:rsidR="006B0D2A" w:rsidRPr="00AE1AC5">
        <w:rPr>
          <w:szCs w:val="24"/>
          <w:lang w:val="en-IE"/>
        </w:rPr>
        <w:t>and products produced from groundnuts from</w:t>
      </w:r>
      <w:r w:rsidR="006B0D2A" w:rsidRPr="00AE1AC5">
        <w:rPr>
          <w:szCs w:val="24"/>
        </w:rPr>
        <w:t xml:space="preserve"> Argentina, </w:t>
      </w:r>
      <w:r w:rsidR="006B0D2A" w:rsidRPr="00AE1AC5">
        <w:rPr>
          <w:szCs w:val="24"/>
          <w:lang w:val="en-IE"/>
        </w:rPr>
        <w:t>data from RASFF notifications and information regarding official controls performed by the Member States indicate the emergence of new risks to human health, due to a possible contamination by aflatoxins. It is therefore necessary to require an increased level of official controls on entries of that commodity from Argentina. That commodity should therefore be included in Annex I to Implementing Regulation (EU) 2019/1793, with a frequency of identity and physical checks set at 20 % of consignments entering the Union.</w:t>
      </w:r>
    </w:p>
    <w:p w14:paraId="6A9FE8AE" w14:textId="77777777" w:rsidR="006B0D2A" w:rsidRPr="00AE1AC5" w:rsidRDefault="006B0D2A" w:rsidP="006B0D2A">
      <w:pPr>
        <w:pStyle w:val="Considrant"/>
        <w:rPr>
          <w:szCs w:val="24"/>
        </w:rPr>
      </w:pPr>
      <w:r w:rsidRPr="00AE1AC5">
        <w:rPr>
          <w:szCs w:val="24"/>
        </w:rPr>
        <w:t>In relation to consignments of aubergines/eggplants (</w:t>
      </w:r>
      <w:r w:rsidRPr="00AE1AC5">
        <w:rPr>
          <w:i/>
          <w:iCs/>
          <w:szCs w:val="24"/>
        </w:rPr>
        <w:t>Solanum aethiopicum</w:t>
      </w:r>
      <w:r w:rsidRPr="00AE1AC5">
        <w:rPr>
          <w:szCs w:val="24"/>
        </w:rPr>
        <w:t xml:space="preserve">) from Burkina Faso, a high </w:t>
      </w:r>
      <w:r w:rsidRPr="00AE1AC5">
        <w:rPr>
          <w:iCs/>
          <w:szCs w:val="24"/>
        </w:rPr>
        <w:t>rate</w:t>
      </w:r>
      <w:r w:rsidRPr="00AE1AC5">
        <w:rPr>
          <w:szCs w:val="24"/>
        </w:rPr>
        <w:t xml:space="preserve"> of non-compliance with the relevant requirements provided for in Union legislation with respect to pesticide residues was detected during official controls performed by the Member States in accordance with Articles 5 and 6 of Implementing Regulation (EU) 2019/1793. It is therefore appropriate to increase the frequency of identity and physical checks to be performed on those consignments entering the Union to 30 % in Annex I to Implementing Regulation (EU) 2019/1793.</w:t>
      </w:r>
    </w:p>
    <w:p w14:paraId="211E5864" w14:textId="4D151104" w:rsidR="006B0D2A" w:rsidRPr="00AE1AC5" w:rsidRDefault="006B0D2A" w:rsidP="00AE1AC5">
      <w:pPr>
        <w:pStyle w:val="Considrant"/>
        <w:rPr>
          <w:szCs w:val="24"/>
        </w:rPr>
      </w:pPr>
      <w:r w:rsidRPr="00AE1AC5">
        <w:rPr>
          <w:szCs w:val="24"/>
        </w:rPr>
        <w:t>In relation to consignments of sugar apple (</w:t>
      </w:r>
      <w:r w:rsidRPr="00AE1AC5">
        <w:rPr>
          <w:i/>
          <w:iCs/>
          <w:szCs w:val="24"/>
        </w:rPr>
        <w:t>Annona squamosa</w:t>
      </w:r>
      <w:r w:rsidRPr="00AE1AC5">
        <w:rPr>
          <w:szCs w:val="24"/>
        </w:rPr>
        <w:t xml:space="preserve">) from Egypt, a high </w:t>
      </w:r>
      <w:r w:rsidRPr="00AE1AC5">
        <w:rPr>
          <w:iCs/>
          <w:szCs w:val="24"/>
        </w:rPr>
        <w:t>rate</w:t>
      </w:r>
      <w:r w:rsidRPr="00AE1AC5">
        <w:rPr>
          <w:szCs w:val="24"/>
        </w:rPr>
        <w:t xml:space="preserve"> of non-compliance with the relevant requirements provided for in Union legislation with respect to pesticide residues was detected during official controls performed by the Member States in accordance with Articles 5 and 6 of Implementing Regulation (EU) 2019/1793. It is therefore appropriate to increase the frequency of identity and physical checks to be performed on those consignments entering the Union to 30 % in Annex I to Implementing Regulation (EU) 2019/1793.</w:t>
      </w:r>
    </w:p>
    <w:p w14:paraId="2431BF09" w14:textId="4F6F3031" w:rsidR="006B0D2A" w:rsidRPr="00AE1AC5" w:rsidRDefault="000E1CB2" w:rsidP="006B0D2A">
      <w:pPr>
        <w:pStyle w:val="Considrant"/>
        <w:rPr>
          <w:szCs w:val="24"/>
        </w:rPr>
      </w:pPr>
      <w:r w:rsidRPr="000E1CB2">
        <w:rPr>
          <w:szCs w:val="24"/>
        </w:rPr>
        <w:t xml:space="preserve">Peppers of the genus Capsicum (sweet or other than sweet) </w:t>
      </w:r>
      <w:r w:rsidR="006B0D2A" w:rsidRPr="00AE1AC5">
        <w:rPr>
          <w:szCs w:val="24"/>
        </w:rPr>
        <w:t xml:space="preserve">from India </w:t>
      </w:r>
      <w:r w:rsidR="00702946">
        <w:rPr>
          <w:szCs w:val="24"/>
        </w:rPr>
        <w:t>have</w:t>
      </w:r>
      <w:r w:rsidR="00702946" w:rsidRPr="00AE1AC5">
        <w:rPr>
          <w:szCs w:val="24"/>
        </w:rPr>
        <w:t xml:space="preserve"> </w:t>
      </w:r>
      <w:r w:rsidR="006B0D2A" w:rsidRPr="00AE1AC5">
        <w:rPr>
          <w:szCs w:val="24"/>
        </w:rPr>
        <w:t xml:space="preserve">been subjected to an increased level of official controls with respect to </w:t>
      </w:r>
      <w:r w:rsidR="00F91FB4">
        <w:rPr>
          <w:szCs w:val="24"/>
        </w:rPr>
        <w:t>aflatoxins</w:t>
      </w:r>
      <w:r w:rsidR="006B0D2A" w:rsidRPr="00AE1AC5">
        <w:rPr>
          <w:szCs w:val="24"/>
        </w:rPr>
        <w:t xml:space="preserve"> </w:t>
      </w:r>
      <w:r w:rsidR="006B0D2A" w:rsidRPr="003C503F">
        <w:rPr>
          <w:szCs w:val="24"/>
        </w:rPr>
        <w:t xml:space="preserve">since </w:t>
      </w:r>
      <w:r w:rsidR="003C503F" w:rsidRPr="003C503F">
        <w:rPr>
          <w:szCs w:val="24"/>
        </w:rPr>
        <w:t>May</w:t>
      </w:r>
      <w:r w:rsidR="006B0D2A" w:rsidRPr="003C503F">
        <w:rPr>
          <w:szCs w:val="24"/>
        </w:rPr>
        <w:t xml:space="preserve"> 2019. The official</w:t>
      </w:r>
      <w:r w:rsidR="006B0D2A" w:rsidRPr="00AE1AC5">
        <w:rPr>
          <w:szCs w:val="24"/>
        </w:rPr>
        <w:t xml:space="preserve"> controls carried out on that commodity in relation to </w:t>
      </w:r>
      <w:r>
        <w:rPr>
          <w:szCs w:val="24"/>
        </w:rPr>
        <w:t>aflatoxins</w:t>
      </w:r>
      <w:r w:rsidR="006B0D2A" w:rsidRPr="00AE1AC5">
        <w:rPr>
          <w:i/>
          <w:iCs/>
          <w:szCs w:val="24"/>
        </w:rPr>
        <w:t xml:space="preserve"> </w:t>
      </w:r>
      <w:r w:rsidR="006B0D2A" w:rsidRPr="00AE1AC5">
        <w:rPr>
          <w:szCs w:val="24"/>
        </w:rPr>
        <w:t xml:space="preserve">by the Member States indicate an overall satisfactory degree of compliance with the relevant requirements provided for in Union legislation. Therefore, an increased level of official controls for </w:t>
      </w:r>
      <w:r>
        <w:rPr>
          <w:szCs w:val="24"/>
        </w:rPr>
        <w:t>aflatoxins</w:t>
      </w:r>
      <w:r w:rsidR="006B0D2A" w:rsidRPr="00AE1AC5">
        <w:rPr>
          <w:szCs w:val="24"/>
        </w:rPr>
        <w:t xml:space="preserve"> is no longer justified for that commodity and the entry related to those contaminants in Annex I to Implementing Regulation (EU) 2019/1793 should be deleted.</w:t>
      </w:r>
    </w:p>
    <w:p w14:paraId="36728C3A" w14:textId="65712A91" w:rsidR="00AE1AC5" w:rsidRPr="00AE1AC5" w:rsidRDefault="00AE1AC5" w:rsidP="006B0D2A">
      <w:pPr>
        <w:pStyle w:val="Considrant"/>
        <w:rPr>
          <w:szCs w:val="24"/>
        </w:rPr>
      </w:pPr>
      <w:r w:rsidRPr="00AE1AC5">
        <w:rPr>
          <w:szCs w:val="24"/>
        </w:rPr>
        <w:t xml:space="preserve">In relation to consignments of cumin seeds from India, a high </w:t>
      </w:r>
      <w:r w:rsidRPr="00AE1AC5">
        <w:rPr>
          <w:iCs/>
          <w:szCs w:val="24"/>
        </w:rPr>
        <w:t>rate</w:t>
      </w:r>
      <w:r w:rsidRPr="00AE1AC5">
        <w:rPr>
          <w:szCs w:val="24"/>
        </w:rPr>
        <w:t xml:space="preserve"> of non-compliance with the relevant requirements provided for in Union legislation with respect to pesticide residues was detected during official controls performed by the Member </w:t>
      </w:r>
      <w:r w:rsidRPr="00AE1AC5">
        <w:rPr>
          <w:szCs w:val="24"/>
        </w:rPr>
        <w:lastRenderedPageBreak/>
        <w:t>States in accordance with Articles 5 and 6 of Implementing Regulation (EU) 2019/1793. It is therefore appropriate to increase the frequency of identity and physical checks to be performed on those consignments entering the Union to 50 % in Annex I to Implementing Regulation (EU) 2019/1793.</w:t>
      </w:r>
    </w:p>
    <w:p w14:paraId="3288735F" w14:textId="13D7271E" w:rsidR="00AE1AC5" w:rsidRPr="00AE1AC5" w:rsidRDefault="00AE1AC5" w:rsidP="006B0D2A">
      <w:pPr>
        <w:pStyle w:val="Considrant"/>
        <w:rPr>
          <w:szCs w:val="24"/>
        </w:rPr>
      </w:pPr>
      <w:r w:rsidRPr="00AE1AC5">
        <w:rPr>
          <w:szCs w:val="24"/>
        </w:rPr>
        <w:t>Cinnamon and cinnamon-tree flowers from India have been subjected to an increased level of official controls and to special conditions at its entry into the Union due to the risk of the presence of ethylene oxide</w:t>
      </w:r>
      <w:r w:rsidRPr="00AE1AC5">
        <w:rPr>
          <w:i/>
          <w:szCs w:val="24"/>
        </w:rPr>
        <w:t xml:space="preserve"> </w:t>
      </w:r>
      <w:r w:rsidRPr="00AE1AC5">
        <w:rPr>
          <w:szCs w:val="24"/>
        </w:rPr>
        <w:t>since January 2022. The official controls carried out by the Member States show improvement in compliance with the relevant requirements provided for in Union legislation. The results of those controls provide evidence that the entry of that commodity into the Union does not constitute a serious risk for human health. Consequently, it is not necessary to continue to provide that each consignment is to be accompanied by an official certificate stating that all the results of sampling and analysis show compliance with the relevant requirements provided for in Union legislation. However, Member States should continue to carry out controls to ensure that the current level of compliance is maintained. Therefore, the entry on cinnamon and cinnamon-tree flowers from India in point 1 of Annex II to Implementing Regulation (EU) 2019/1793 should be deleted and transferred to Annex I to that Implementing Regulation, with a frequency of identity and physical checks set, in the light of the number of consignments in the last years, at 20 % of consignments entering the Union.</w:t>
      </w:r>
    </w:p>
    <w:p w14:paraId="237A736B" w14:textId="77777777" w:rsidR="006B0D2A" w:rsidRPr="00AE1AC5" w:rsidRDefault="006B0D2A" w:rsidP="006B0D2A">
      <w:pPr>
        <w:pStyle w:val="Considrant"/>
        <w:rPr>
          <w:szCs w:val="24"/>
        </w:rPr>
      </w:pPr>
      <w:r w:rsidRPr="00AE1AC5">
        <w:rPr>
          <w:szCs w:val="24"/>
        </w:rPr>
        <w:t xml:space="preserve">In relation to consignments of </w:t>
      </w:r>
      <w:r w:rsidRPr="00AE1AC5">
        <w:rPr>
          <w:rFonts w:eastAsia="Times New Roman"/>
          <w:color w:val="000000"/>
          <w:szCs w:val="24"/>
          <w:lang w:val="en-IE" w:eastAsia="en-IE"/>
        </w:rPr>
        <w:t>Yardlong beans (</w:t>
      </w:r>
      <w:r w:rsidRPr="00AE1AC5">
        <w:rPr>
          <w:rFonts w:eastAsia="Times New Roman"/>
          <w:i/>
          <w:iCs/>
          <w:color w:val="000000"/>
          <w:szCs w:val="24"/>
          <w:lang w:val="en-IE" w:eastAsia="en-IE"/>
        </w:rPr>
        <w:t>Vigna unguiculata ssp. sesquipedalis, Vigna unguiculata ssp. unguiculata</w:t>
      </w:r>
      <w:r w:rsidRPr="00AE1AC5">
        <w:rPr>
          <w:rFonts w:eastAsia="Times New Roman"/>
          <w:color w:val="000000"/>
          <w:szCs w:val="24"/>
          <w:lang w:val="en-IE" w:eastAsia="en-IE"/>
        </w:rPr>
        <w:t xml:space="preserve">) </w:t>
      </w:r>
      <w:r w:rsidRPr="00AE1AC5">
        <w:rPr>
          <w:szCs w:val="24"/>
        </w:rPr>
        <w:t xml:space="preserve">from Sri Lanka, a high </w:t>
      </w:r>
      <w:r w:rsidRPr="00AE1AC5">
        <w:rPr>
          <w:iCs/>
          <w:szCs w:val="24"/>
        </w:rPr>
        <w:t>rate</w:t>
      </w:r>
      <w:r w:rsidRPr="00AE1AC5">
        <w:rPr>
          <w:szCs w:val="24"/>
        </w:rPr>
        <w:t xml:space="preserve"> of non-compliance with the relevant requirements provided for in Union legislation with respect to pesticide residues was detected during official controls performed by the Member States in accordance with Articles 5 and 6 of Implementing Regulation (EU) 2019/1793. It is therefore appropriate to increase the frequency of identity and physical checks to be performed on those consignments entering the Union to 50 % in Annex I to Implementing Regulation (EU) 2019/1793.</w:t>
      </w:r>
    </w:p>
    <w:p w14:paraId="4B71917B" w14:textId="77777777" w:rsidR="006B0D2A" w:rsidRPr="00AE1AC5" w:rsidRDefault="006B0D2A" w:rsidP="006B0D2A">
      <w:pPr>
        <w:pStyle w:val="Considrant"/>
        <w:rPr>
          <w:szCs w:val="24"/>
        </w:rPr>
      </w:pPr>
      <w:r w:rsidRPr="00AE1AC5">
        <w:rPr>
          <w:szCs w:val="24"/>
        </w:rPr>
        <w:t xml:space="preserve">In relation to consignments of tahini and halva from </w:t>
      </w:r>
      <w:r w:rsidRPr="00AE1AC5">
        <w:rPr>
          <w:i/>
          <w:iCs/>
          <w:szCs w:val="24"/>
        </w:rPr>
        <w:t>Sesamum</w:t>
      </w:r>
      <w:r w:rsidRPr="00AE1AC5">
        <w:rPr>
          <w:szCs w:val="24"/>
        </w:rPr>
        <w:t xml:space="preserve"> seeds from Syria, a high </w:t>
      </w:r>
      <w:r w:rsidRPr="00AE1AC5">
        <w:rPr>
          <w:iCs/>
          <w:szCs w:val="24"/>
        </w:rPr>
        <w:t>rate</w:t>
      </w:r>
      <w:r w:rsidRPr="00AE1AC5">
        <w:rPr>
          <w:szCs w:val="24"/>
        </w:rPr>
        <w:t xml:space="preserve"> of non-compliance with the relevant requirements provided for in Union legislation with respect to </w:t>
      </w:r>
      <w:r w:rsidRPr="00AE1AC5">
        <w:rPr>
          <w:i/>
          <w:iCs/>
          <w:szCs w:val="24"/>
        </w:rPr>
        <w:t xml:space="preserve">Salmonella </w:t>
      </w:r>
      <w:r w:rsidRPr="00AE1AC5">
        <w:rPr>
          <w:szCs w:val="24"/>
        </w:rPr>
        <w:t>was detected during official controls performed by the Member States in accordance with Articles 5 and 6 of Implementing Regulation (EU) 2019/1793. It is therefore appropriate to increase the frequency of identity and physical checks to be performed on those consignments entering the Union to 50 % in Annex I to Implementing Regulation (EU) 2019/1793.</w:t>
      </w:r>
    </w:p>
    <w:p w14:paraId="5EE6FC44" w14:textId="39F29301" w:rsidR="006B0D2A" w:rsidRPr="00AE1AC5" w:rsidRDefault="006B0D2A" w:rsidP="006B0D2A">
      <w:pPr>
        <w:pStyle w:val="Considrant"/>
        <w:rPr>
          <w:szCs w:val="24"/>
        </w:rPr>
      </w:pPr>
      <w:r w:rsidRPr="00AE1AC5">
        <w:rPr>
          <w:szCs w:val="24"/>
        </w:rPr>
        <w:t xml:space="preserve">Xanthan gum from China </w:t>
      </w:r>
      <w:r w:rsidR="00015F6A">
        <w:rPr>
          <w:szCs w:val="24"/>
        </w:rPr>
        <w:t>has</w:t>
      </w:r>
      <w:r w:rsidR="00015F6A" w:rsidRPr="00AE1AC5">
        <w:rPr>
          <w:szCs w:val="24"/>
        </w:rPr>
        <w:t xml:space="preserve"> </w:t>
      </w:r>
      <w:r w:rsidRPr="00AE1AC5">
        <w:rPr>
          <w:szCs w:val="24"/>
        </w:rPr>
        <w:t>been subjected to an increased level of official controls and to special conditions at their entry into the Union due to the risk of contamination by ethylene oxide since January 2022. The official controls carried out by the Member States show improvement in compliance with the relevant requirements provided for in Union legislation. Therefore, while an increased level of official controls is still appropriate, the level of 20 % of consignments entering the Union is no longer justified for that commodity and the frequency of controls should be decreased to 10 % of consignments entering the Union in point 1 of Annex II to Implementing Regulation (EU) 2019/1793.</w:t>
      </w:r>
    </w:p>
    <w:p w14:paraId="6E2A7B3E" w14:textId="301B5792" w:rsidR="006B0D2A" w:rsidRPr="00AE1AC5" w:rsidRDefault="006B0D2A" w:rsidP="00AE1AC5">
      <w:pPr>
        <w:pStyle w:val="Considrant"/>
        <w:rPr>
          <w:szCs w:val="24"/>
        </w:rPr>
      </w:pPr>
      <w:r w:rsidRPr="00AE1AC5">
        <w:rPr>
          <w:rFonts w:eastAsia="Times New Roman"/>
          <w:color w:val="000000"/>
          <w:szCs w:val="24"/>
          <w:lang w:val="en-IE" w:eastAsia="en-IE"/>
        </w:rPr>
        <w:t>Nutmeg (</w:t>
      </w:r>
      <w:r w:rsidRPr="00AE1AC5">
        <w:rPr>
          <w:rFonts w:eastAsia="Times New Roman"/>
          <w:i/>
          <w:iCs/>
          <w:color w:val="000000"/>
          <w:szCs w:val="24"/>
          <w:lang w:val="en-IE" w:eastAsia="en-IE"/>
        </w:rPr>
        <w:t>Myristica fragrans</w:t>
      </w:r>
      <w:r w:rsidRPr="00AE1AC5">
        <w:rPr>
          <w:rFonts w:eastAsia="Times New Roman"/>
          <w:color w:val="000000"/>
          <w:szCs w:val="24"/>
          <w:lang w:val="en-IE" w:eastAsia="en-IE"/>
        </w:rPr>
        <w:t xml:space="preserve">) </w:t>
      </w:r>
      <w:r w:rsidRPr="00AE1AC5">
        <w:rPr>
          <w:szCs w:val="24"/>
        </w:rPr>
        <w:t xml:space="preserve">from Indonesia </w:t>
      </w:r>
      <w:r w:rsidR="00015F6A">
        <w:rPr>
          <w:szCs w:val="24"/>
        </w:rPr>
        <w:t>has</w:t>
      </w:r>
      <w:r w:rsidR="00015F6A" w:rsidRPr="00AE1AC5">
        <w:rPr>
          <w:szCs w:val="24"/>
        </w:rPr>
        <w:t xml:space="preserve"> </w:t>
      </w:r>
      <w:r w:rsidRPr="00AE1AC5">
        <w:rPr>
          <w:szCs w:val="24"/>
        </w:rPr>
        <w:t xml:space="preserve">been subjected to an increased level of official controls and to special conditions at their entry into the Union due to the risk of contamination by aflatoxins since January 2016. The official controls carried out by the Member States show improvement in compliance with the relevant </w:t>
      </w:r>
      <w:r w:rsidRPr="00AE1AC5">
        <w:rPr>
          <w:szCs w:val="24"/>
        </w:rPr>
        <w:lastRenderedPageBreak/>
        <w:t>requirements provided for in Union legislation. Therefore, while an increased level of official controls is still appropriate, the level of 50 % of consignments entering the Union is no longer justified for that commodity and the frequency of controls should be decreased to 30 % of consignments entering the Union in point 1 of Annex II to Implementing Regulation (EU) 2019/1793.</w:t>
      </w:r>
    </w:p>
    <w:p w14:paraId="6EC6E977" w14:textId="2C17459C" w:rsidR="006B0D2A" w:rsidRPr="00AE1AC5" w:rsidRDefault="006B0D2A" w:rsidP="006B0D2A">
      <w:pPr>
        <w:pStyle w:val="Considrant"/>
        <w:rPr>
          <w:szCs w:val="24"/>
        </w:rPr>
      </w:pPr>
      <w:r w:rsidRPr="00AE1AC5">
        <w:rPr>
          <w:szCs w:val="24"/>
        </w:rPr>
        <w:t>Several dried spices (</w:t>
      </w:r>
      <w:r w:rsidRPr="00AE1AC5">
        <w:rPr>
          <w:rFonts w:eastAsia="Times New Roman"/>
          <w:color w:val="000000"/>
          <w:szCs w:val="24"/>
          <w:lang w:val="en-IE" w:eastAsia="en-IE"/>
        </w:rPr>
        <w:t>nutmeg, mace and cardamoms</w:t>
      </w:r>
      <w:r w:rsidRPr="00AE1AC5">
        <w:rPr>
          <w:noProof/>
          <w:szCs w:val="24"/>
          <w:lang w:eastAsia="en-GB"/>
        </w:rPr>
        <w:t>)</w:t>
      </w:r>
      <w:r w:rsidRPr="00AE1AC5">
        <w:rPr>
          <w:szCs w:val="24"/>
        </w:rPr>
        <w:t xml:space="preserve"> from India are listed in point 1 of Annex II to Implementing Regulation (EU) 2019/1793 in one entry. To allow for a better evaluation of the data from official controls performed by the Member States and to establish more targeted measures for those dried spices from India which may cause public health concerns, it is necessary to divide the entry by commodities and CN codes. </w:t>
      </w:r>
    </w:p>
    <w:p w14:paraId="5FF76274" w14:textId="3C2662E0" w:rsidR="006B0D2A" w:rsidRPr="00AE1AC5" w:rsidRDefault="006B0D2A" w:rsidP="006B0D2A">
      <w:pPr>
        <w:pStyle w:val="Considrant"/>
        <w:rPr>
          <w:szCs w:val="24"/>
        </w:rPr>
      </w:pPr>
      <w:r w:rsidRPr="00AE1AC5">
        <w:rPr>
          <w:szCs w:val="24"/>
        </w:rPr>
        <w:t>Several dried spices (</w:t>
      </w:r>
      <w:r w:rsidRPr="00AE1AC5">
        <w:rPr>
          <w:rFonts w:eastAsia="Times New Roman"/>
          <w:color w:val="000000"/>
          <w:szCs w:val="24"/>
          <w:lang w:val="en-IE" w:eastAsia="en-IE"/>
        </w:rPr>
        <w:t>seeds of anise, badian, fennel, coriander, cumin or caraway, juniper berries</w:t>
      </w:r>
      <w:r w:rsidRPr="00AE1AC5">
        <w:rPr>
          <w:noProof/>
          <w:szCs w:val="24"/>
          <w:lang w:eastAsia="en-GB"/>
        </w:rPr>
        <w:t>)</w:t>
      </w:r>
      <w:r w:rsidRPr="00AE1AC5">
        <w:rPr>
          <w:szCs w:val="24"/>
        </w:rPr>
        <w:t xml:space="preserve"> from India are listed in point 1 of Annex II to Implementing Regulation (EU) 2019/1793 in one entry. To allow for a better evaluation of the data from official controls performed by the Member States and to establish more targeted measures for those dried spices from India which may cause public health concerns, it is necessary to divide the entry by commodities and CN codes.</w:t>
      </w:r>
    </w:p>
    <w:p w14:paraId="6C99E5A6" w14:textId="27ABF03C" w:rsidR="006B0D2A" w:rsidRPr="00AE1AC5" w:rsidRDefault="006B0D2A" w:rsidP="006B0D2A">
      <w:pPr>
        <w:pStyle w:val="Considrant"/>
        <w:rPr>
          <w:szCs w:val="24"/>
        </w:rPr>
      </w:pPr>
      <w:r w:rsidRPr="00AE1AC5">
        <w:rPr>
          <w:szCs w:val="24"/>
        </w:rPr>
        <w:t>Several dried spices (</w:t>
      </w:r>
      <w:r w:rsidRPr="00AE1AC5">
        <w:rPr>
          <w:rFonts w:eastAsia="Times New Roman"/>
          <w:color w:val="000000"/>
          <w:szCs w:val="24"/>
          <w:lang w:val="en-IE" w:eastAsia="en-IE"/>
        </w:rPr>
        <w:t>ginger, saffron, turmeric (curcuma), thyme, bay leaves, curry and other spices</w:t>
      </w:r>
      <w:r w:rsidRPr="00AE1AC5">
        <w:rPr>
          <w:noProof/>
          <w:szCs w:val="24"/>
          <w:lang w:eastAsia="en-GB"/>
        </w:rPr>
        <w:t>)</w:t>
      </w:r>
      <w:r w:rsidRPr="00AE1AC5">
        <w:rPr>
          <w:szCs w:val="24"/>
        </w:rPr>
        <w:t xml:space="preserve"> from India are listed in point 1 of Annex II to Implementing Regulation (EU) 2019/1793 in one entry. To allow for a better evaluation of the data from official controls performed by the Member States and to establish more targeted measures for those dried spices from India which may cause public health concerns, it is necessary to divide the entry by commodities and CN codes.</w:t>
      </w:r>
    </w:p>
    <w:p w14:paraId="71B543D1" w14:textId="77777777" w:rsidR="006B0D2A" w:rsidRPr="00AE1AC5" w:rsidRDefault="006B0D2A" w:rsidP="006B0D2A">
      <w:pPr>
        <w:pStyle w:val="Considrant"/>
        <w:rPr>
          <w:szCs w:val="24"/>
        </w:rPr>
      </w:pPr>
      <w:r w:rsidRPr="00AE1AC5" w:rsidDel="00687029">
        <w:rPr>
          <w:szCs w:val="24"/>
        </w:rPr>
        <w:t>Implementing Regulation (EU) 2019/1793 should therefore be amended accordingly</w:t>
      </w:r>
      <w:r w:rsidRPr="00AE1AC5">
        <w:rPr>
          <w:szCs w:val="24"/>
        </w:rPr>
        <w:t>.</w:t>
      </w:r>
    </w:p>
    <w:p w14:paraId="37B86133" w14:textId="77777777" w:rsidR="006B0D2A" w:rsidRPr="00AE1AC5" w:rsidRDefault="006B0D2A" w:rsidP="006B0D2A">
      <w:pPr>
        <w:pStyle w:val="Considrant"/>
        <w:rPr>
          <w:szCs w:val="24"/>
        </w:rPr>
      </w:pPr>
      <w:r w:rsidRPr="00AE1AC5">
        <w:rPr>
          <w:szCs w:val="24"/>
        </w:rPr>
        <w:t>The measures provided for in this Regulation are in accordance with the opinion of the Standing Committee on Plants, Animals, Food and Feed,</w:t>
      </w:r>
    </w:p>
    <w:p w14:paraId="5945F9A6" w14:textId="77777777" w:rsidR="006B0D2A" w:rsidRPr="00922C91" w:rsidRDefault="006B0D2A" w:rsidP="004E1EF9">
      <w:pPr>
        <w:pStyle w:val="Formuledadoption"/>
      </w:pPr>
      <w:r w:rsidRPr="00922C91">
        <w:t>HAS ADOPTED THIS REGULATION:</w:t>
      </w:r>
    </w:p>
    <w:p w14:paraId="6C8740D3" w14:textId="77777777" w:rsidR="006B0D2A" w:rsidRPr="00922C91" w:rsidRDefault="006B0D2A" w:rsidP="004E1EF9">
      <w:pPr>
        <w:pStyle w:val="Titrearticle"/>
      </w:pPr>
      <w:r w:rsidRPr="00922C91">
        <w:t>Article 1</w:t>
      </w:r>
    </w:p>
    <w:p w14:paraId="3EDE8B14" w14:textId="77777777" w:rsidR="006B0D2A" w:rsidRPr="00237E29" w:rsidRDefault="006B0D2A" w:rsidP="006B0D2A">
      <w:bookmarkStart w:id="1" w:name="_Hlk132631411"/>
      <w:r w:rsidRPr="00237E29">
        <w:t>Annexes I and II to Implementing Regulation (EU) 2019/1793 are replaced by the text set out in the Annex to this Regulation.</w:t>
      </w:r>
    </w:p>
    <w:bookmarkEnd w:id="1"/>
    <w:p w14:paraId="684B8045" w14:textId="659C2E07" w:rsidR="006B0D2A" w:rsidRPr="00922C91" w:rsidRDefault="006B0D2A" w:rsidP="004E1EF9">
      <w:pPr>
        <w:pStyle w:val="Titrearticle"/>
      </w:pPr>
      <w:r w:rsidRPr="00922C91">
        <w:t xml:space="preserve">Article </w:t>
      </w:r>
      <w:r>
        <w:t>2</w:t>
      </w:r>
    </w:p>
    <w:p w14:paraId="3384BEEB" w14:textId="01EAC5E8" w:rsidR="006B0D2A" w:rsidRPr="00922C91" w:rsidRDefault="006B0D2A" w:rsidP="004E1EF9">
      <w:r w:rsidRPr="00922C91">
        <w:t xml:space="preserve">This Regulation shall enter into force on the </w:t>
      </w:r>
      <w:r w:rsidRPr="00237E29">
        <w:t>twentieth</w:t>
      </w:r>
      <w:r w:rsidRPr="00922C91">
        <w:t xml:space="preserve"> day following that of its publication in the </w:t>
      </w:r>
      <w:r w:rsidRPr="00922C91">
        <w:rPr>
          <w:i/>
        </w:rPr>
        <w:t>Official Journal of the European Union</w:t>
      </w:r>
      <w:r w:rsidRPr="00922C91">
        <w:t>.</w:t>
      </w:r>
    </w:p>
    <w:p w14:paraId="52261495" w14:textId="77777777" w:rsidR="006B0D2A" w:rsidRPr="00922C91" w:rsidRDefault="006B0D2A" w:rsidP="004E1EF9">
      <w:pPr>
        <w:pStyle w:val="Applicationdirecte"/>
      </w:pPr>
      <w:r w:rsidRPr="00922C91">
        <w:t>This Regulation shall be binding in its entirety and directly applicable in all Member States.</w:t>
      </w:r>
    </w:p>
    <w:p w14:paraId="3B53661B" w14:textId="7C43975E" w:rsidR="006B0D2A" w:rsidRDefault="00813CF7" w:rsidP="00813CF7">
      <w:pPr>
        <w:pStyle w:val="Fait"/>
      </w:pPr>
      <w:r w:rsidRPr="00813CF7">
        <w:t>Done at Brussels,</w:t>
      </w:r>
    </w:p>
    <w:p w14:paraId="0980FB4B" w14:textId="77777777" w:rsidR="006B0D2A" w:rsidRDefault="006B0D2A" w:rsidP="006B0D2A">
      <w:pPr>
        <w:pStyle w:val="Institutionquisigne"/>
      </w:pPr>
      <w:r w:rsidRPr="006B0D2A">
        <w:tab/>
        <w:t>For the Commission</w:t>
      </w:r>
    </w:p>
    <w:p w14:paraId="5050A349" w14:textId="77777777" w:rsidR="003F41D4" w:rsidRDefault="006B0D2A" w:rsidP="006B0D2A">
      <w:pPr>
        <w:pStyle w:val="Personnequisigne"/>
      </w:pPr>
      <w:r w:rsidRPr="006B0D2A">
        <w:tab/>
        <w:t>The President</w:t>
      </w:r>
    </w:p>
    <w:p w14:paraId="34352BC9" w14:textId="03257D9D" w:rsidR="006B0D2A" w:rsidRPr="006B0D2A" w:rsidRDefault="006B0D2A" w:rsidP="006B0D2A">
      <w:pPr>
        <w:pStyle w:val="Personnequisigne"/>
      </w:pPr>
      <w:r w:rsidRPr="006B0D2A">
        <w:tab/>
      </w:r>
      <w:r w:rsidRPr="004F1795">
        <w:t>Ursula VON DER LEYEN</w:t>
      </w:r>
    </w:p>
    <w:sectPr w:rsidR="006B0D2A" w:rsidRPr="006B0D2A" w:rsidSect="006C3CB2">
      <w:headerReference w:type="even" r:id="rId17"/>
      <w:footerReference w:type="even" r:id="rId18"/>
      <w:footerReference w:type="default" r:id="rId19"/>
      <w:headerReference w:type="first" r:id="rId20"/>
      <w:footerReference w:type="first" r:id="rId2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03562" w14:textId="77777777" w:rsidR="00057166" w:rsidRDefault="00057166" w:rsidP="006B0D2A">
      <w:pPr>
        <w:spacing w:before="0" w:after="0"/>
      </w:pPr>
      <w:r>
        <w:separator/>
      </w:r>
    </w:p>
  </w:endnote>
  <w:endnote w:type="continuationSeparator" w:id="0">
    <w:p w14:paraId="4B4941E0" w14:textId="77777777" w:rsidR="00057166" w:rsidRDefault="00057166" w:rsidP="006B0D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7800F" w14:textId="6AF3EB8B" w:rsidR="00813CF7" w:rsidRPr="006C3CB2" w:rsidRDefault="006C3CB2" w:rsidP="006C3CB2">
    <w:pPr>
      <w:pStyle w:val="Sidefod"/>
      <w:rPr>
        <w:rFonts w:ascii="Arial" w:hAnsi="Arial" w:cs="Arial"/>
        <w:b/>
        <w:sz w:val="48"/>
      </w:rPr>
    </w:pPr>
    <w:r w:rsidRPr="006C3CB2">
      <w:rPr>
        <w:rFonts w:ascii="Arial" w:hAnsi="Arial" w:cs="Arial"/>
        <w:b/>
        <w:sz w:val="48"/>
      </w:rPr>
      <w:t>EN</w:t>
    </w:r>
    <w:r w:rsidRPr="006C3CB2">
      <w:rPr>
        <w:rFonts w:ascii="Arial" w:hAnsi="Arial" w:cs="Arial"/>
        <w:b/>
        <w:sz w:val="48"/>
      </w:rPr>
      <w:tab/>
    </w:r>
    <w:r w:rsidRPr="006C3CB2">
      <w:rPr>
        <w:rFonts w:ascii="Arial" w:hAnsi="Arial" w:cs="Arial"/>
        <w:b/>
        <w:sz w:val="48"/>
      </w:rPr>
      <w:tab/>
    </w:r>
    <w:r w:rsidRPr="006C3CB2">
      <w:tab/>
    </w:r>
    <w:r w:rsidRPr="006C3CB2">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0447" w14:textId="4C27A812" w:rsidR="00813CF7" w:rsidRPr="006C3CB2" w:rsidRDefault="006C3CB2" w:rsidP="006C3CB2">
    <w:pPr>
      <w:pStyle w:val="Sidefod"/>
      <w:rPr>
        <w:rFonts w:ascii="Arial" w:hAnsi="Arial" w:cs="Arial"/>
        <w:b/>
        <w:sz w:val="48"/>
      </w:rPr>
    </w:pPr>
    <w:r w:rsidRPr="006C3CB2">
      <w:rPr>
        <w:rFonts w:ascii="Arial" w:hAnsi="Arial" w:cs="Arial"/>
        <w:b/>
        <w:sz w:val="48"/>
      </w:rPr>
      <w:t>EN</w:t>
    </w:r>
    <w:r w:rsidRPr="006C3CB2">
      <w:rPr>
        <w:rFonts w:ascii="Arial" w:hAnsi="Arial" w:cs="Arial"/>
        <w:b/>
        <w:sz w:val="48"/>
      </w:rPr>
      <w:tab/>
    </w:r>
    <w:r w:rsidRPr="006C3CB2">
      <w:rPr>
        <w:rFonts w:ascii="Arial" w:hAnsi="Arial" w:cs="Arial"/>
        <w:b/>
        <w:sz w:val="48"/>
      </w:rPr>
      <w:tab/>
    </w:r>
    <w:r w:rsidRPr="006C3CB2">
      <w:tab/>
    </w:r>
    <w:r w:rsidRPr="006C3CB2">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9F60" w14:textId="77777777" w:rsidR="00813CF7" w:rsidRPr="006C3CB2" w:rsidRDefault="00813CF7" w:rsidP="006C3CB2">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AA5E" w14:textId="77777777" w:rsidR="00FA6433" w:rsidRPr="006B0D2A" w:rsidRDefault="00FA6433" w:rsidP="006B0D2A">
    <w:pPr>
      <w:pStyle w:val="Sidefod"/>
      <w:rPr>
        <w:rFonts w:ascii="Arial" w:hAnsi="Arial" w:cs="Arial"/>
        <w:b/>
        <w:sz w:val="48"/>
      </w:rPr>
    </w:pPr>
    <w:r w:rsidRPr="006B0D2A">
      <w:rPr>
        <w:rFonts w:ascii="Arial" w:hAnsi="Arial" w:cs="Arial"/>
        <w:b/>
        <w:sz w:val="48"/>
      </w:rPr>
      <w:t>EN</w:t>
    </w:r>
    <w:r w:rsidRPr="006B0D2A">
      <w:rPr>
        <w:rFonts w:ascii="Arial" w:hAnsi="Arial" w:cs="Arial"/>
        <w:b/>
        <w:sz w:val="48"/>
      </w:rPr>
      <w:tab/>
    </w:r>
    <w:r w:rsidRPr="006B0D2A">
      <w:rPr>
        <w:rFonts w:ascii="Arial" w:hAnsi="Arial" w:cs="Arial"/>
        <w:b/>
        <w:sz w:val="48"/>
      </w:rPr>
      <w:tab/>
    </w:r>
    <w:r w:rsidRPr="006B0D2A">
      <w:tab/>
    </w:r>
    <w:r w:rsidRPr="006B0D2A">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56E2" w14:textId="208340D2" w:rsidR="006C3CB2" w:rsidRPr="006C3CB2" w:rsidRDefault="006C3CB2" w:rsidP="006C3CB2">
    <w:pPr>
      <w:pStyle w:val="Sidefod"/>
      <w:rPr>
        <w:rFonts w:ascii="Arial" w:hAnsi="Arial" w:cs="Arial"/>
        <w:b/>
        <w:sz w:val="48"/>
      </w:rPr>
    </w:pPr>
    <w:r w:rsidRPr="006C3CB2">
      <w:rPr>
        <w:rFonts w:ascii="Arial" w:hAnsi="Arial" w:cs="Arial"/>
        <w:b/>
        <w:sz w:val="48"/>
      </w:rPr>
      <w:t>EN</w:t>
    </w:r>
    <w:r w:rsidRPr="006C3CB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C3CB2">
      <w:tab/>
    </w:r>
    <w:r w:rsidRPr="006C3CB2">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B36FF" w14:textId="77777777" w:rsidR="00FA6433" w:rsidRDefault="00FA6433" w:rsidP="006C3CB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8C3B1" w14:textId="77777777" w:rsidR="00057166" w:rsidRDefault="00057166" w:rsidP="006B0D2A">
      <w:pPr>
        <w:spacing w:before="0" w:after="0"/>
      </w:pPr>
      <w:r>
        <w:separator/>
      </w:r>
    </w:p>
  </w:footnote>
  <w:footnote w:type="continuationSeparator" w:id="0">
    <w:p w14:paraId="3CEB7F59" w14:textId="77777777" w:rsidR="00057166" w:rsidRDefault="00057166" w:rsidP="006B0D2A">
      <w:pPr>
        <w:spacing w:before="0" w:after="0"/>
      </w:pPr>
      <w:r>
        <w:continuationSeparator/>
      </w:r>
    </w:p>
  </w:footnote>
  <w:footnote w:id="1">
    <w:p w14:paraId="603D2EE4" w14:textId="77777777" w:rsidR="006B0D2A" w:rsidRPr="00AD15A1" w:rsidRDefault="006B0D2A" w:rsidP="006B0D2A">
      <w:pPr>
        <w:pStyle w:val="Fodnotetekst"/>
        <w:rPr>
          <w:lang w:val="it-IT"/>
        </w:rPr>
      </w:pPr>
      <w:r w:rsidRPr="00A84AA9">
        <w:rPr>
          <w:rStyle w:val="Fodnotehenvisning"/>
        </w:rPr>
        <w:footnoteRef/>
      </w:r>
      <w:r w:rsidRPr="00AD15A1">
        <w:rPr>
          <w:lang w:val="it-IT"/>
        </w:rPr>
        <w:tab/>
        <w:t>OJ L 31, 1.2.2002, p. 1</w:t>
      </w:r>
      <w:bookmarkStart w:id="0" w:name="_Hlk149219625"/>
      <w:r w:rsidRPr="00AD15A1">
        <w:rPr>
          <w:lang w:val="it-IT"/>
        </w:rPr>
        <w:t xml:space="preserve">, ELI: </w:t>
      </w:r>
      <w:hyperlink r:id="rId1" w:history="1">
        <w:r w:rsidRPr="00AD15A1">
          <w:rPr>
            <w:rStyle w:val="Hyperlink"/>
            <w:lang w:val="it-IT"/>
          </w:rPr>
          <w:t>http://data.europa.eu/eli/reg/2002/178/oj</w:t>
        </w:r>
      </w:hyperlink>
      <w:bookmarkEnd w:id="0"/>
      <w:r w:rsidRPr="00AD15A1">
        <w:rPr>
          <w:lang w:val="it-IT"/>
        </w:rPr>
        <w:t>.</w:t>
      </w:r>
    </w:p>
  </w:footnote>
  <w:footnote w:id="2">
    <w:p w14:paraId="263CC90E" w14:textId="77777777" w:rsidR="006B0D2A" w:rsidRPr="00AD15A1" w:rsidRDefault="006B0D2A" w:rsidP="006B0D2A">
      <w:pPr>
        <w:pStyle w:val="Fodnotetekst"/>
        <w:rPr>
          <w:lang w:val="it-IT"/>
        </w:rPr>
      </w:pPr>
      <w:r w:rsidRPr="00A84AA9">
        <w:rPr>
          <w:rStyle w:val="Fodnotehenvisning"/>
        </w:rPr>
        <w:footnoteRef/>
      </w:r>
      <w:r w:rsidRPr="00AD15A1">
        <w:rPr>
          <w:lang w:val="it-IT"/>
        </w:rPr>
        <w:tab/>
        <w:t>OJ L 95, 7.4.2017, p. 1, ELI:</w:t>
      </w:r>
      <w:r w:rsidRPr="00AD15A1">
        <w:rPr>
          <w:sz w:val="24"/>
          <w:szCs w:val="22"/>
          <w:lang w:val="it-IT"/>
        </w:rPr>
        <w:t xml:space="preserve"> </w:t>
      </w:r>
      <w:hyperlink r:id="rId2" w:tooltip="Gives access to this document through its ELI URI." w:history="1">
        <w:r w:rsidRPr="00AD15A1">
          <w:rPr>
            <w:rStyle w:val="Hyperlink"/>
            <w:lang w:val="it-IT"/>
          </w:rPr>
          <w:t>http://data.europa.eu/eli/reg/2017/625/oj</w:t>
        </w:r>
      </w:hyperlink>
      <w:r w:rsidRPr="00AD15A1">
        <w:rPr>
          <w:lang w:val="it-IT"/>
        </w:rPr>
        <w:t>.</w:t>
      </w:r>
    </w:p>
  </w:footnote>
  <w:footnote w:id="3">
    <w:p w14:paraId="15EB58E6" w14:textId="77777777" w:rsidR="006B0D2A" w:rsidRPr="00F845BF" w:rsidRDefault="006B0D2A" w:rsidP="006B0D2A">
      <w:pPr>
        <w:pStyle w:val="Fodnotetekst"/>
      </w:pPr>
      <w:r w:rsidRPr="00A84AA9">
        <w:rPr>
          <w:rStyle w:val="Fodnotehenvisning"/>
        </w:rPr>
        <w:footnoteRef/>
      </w:r>
      <w:r w:rsidRPr="00A84AA9">
        <w:tab/>
        <w:t xml:space="preserve">Commission Implementing Regulation (EU) 2019/1793 of 22 October 2019 on the temporary increase of official controls and emergency measures governing the entry into the Union of certain goods from certain third countries implementing Regulations (EU) 2017/625 and (EC) No 178/2002 of the European Parliament and of the Council and repealing Commission Regulations (EC) No 669/2009, (EU) No 884/2014, (EU) 2015/175, (EU) 2017/186 and (EU) 2018/1660 (OJ L 277, 29.10.2019, p. 89, ELI: </w:t>
      </w:r>
      <w:hyperlink r:id="rId3" w:history="1">
        <w:r w:rsidRPr="00A84AA9">
          <w:rPr>
            <w:rStyle w:val="Hyperlink"/>
          </w:rPr>
          <w:t>http://data.europa.eu/eli/reg_impl/2019/1793/oj</w:t>
        </w:r>
      </w:hyperlink>
      <w:r w:rsidRPr="00A84AA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698B" w14:textId="77777777" w:rsidR="00813CF7" w:rsidRPr="006C3CB2" w:rsidRDefault="00813CF7" w:rsidP="006C3CB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A253" w14:textId="77777777" w:rsidR="00813CF7" w:rsidRPr="006C3CB2" w:rsidRDefault="00813CF7" w:rsidP="006C3CB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7BF81" w14:textId="77777777" w:rsidR="00813CF7" w:rsidRPr="006C3CB2" w:rsidRDefault="00813CF7" w:rsidP="006C3CB2">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0817" w14:textId="77777777" w:rsidR="00FA6433" w:rsidRDefault="00FA6433">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8CD7" w14:textId="77777777" w:rsidR="00FA6433" w:rsidRDefault="00FA643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3B680D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1C20A6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DD88FE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Overskrift1"/>
      <w:lvlText w:val="%1."/>
      <w:lvlJc w:val="left"/>
      <w:pPr>
        <w:tabs>
          <w:tab w:val="num" w:pos="850"/>
        </w:tabs>
        <w:ind w:left="850" w:hanging="850"/>
      </w:pPr>
    </w:lvl>
    <w:lvl w:ilvl="1">
      <w:start w:val="1"/>
      <w:numFmt w:val="decimal"/>
      <w:pStyle w:val="Overskrift2"/>
      <w:lvlText w:val="%1.%2."/>
      <w:lvlJc w:val="left"/>
      <w:pPr>
        <w:tabs>
          <w:tab w:val="num" w:pos="850"/>
        </w:tabs>
        <w:ind w:left="850" w:hanging="850"/>
      </w:pPr>
    </w:lvl>
    <w:lvl w:ilvl="2">
      <w:start w:val="1"/>
      <w:numFmt w:val="decimal"/>
      <w:pStyle w:val="Overskrift3"/>
      <w:lvlText w:val="%1.%2.%3."/>
      <w:lvlJc w:val="left"/>
      <w:pPr>
        <w:tabs>
          <w:tab w:val="num" w:pos="850"/>
        </w:tabs>
        <w:ind w:left="850" w:hanging="850"/>
      </w:pPr>
    </w:lvl>
    <w:lvl w:ilvl="3">
      <w:start w:val="1"/>
      <w:numFmt w:val="decimal"/>
      <w:pStyle w:val="Overskrift4"/>
      <w:lvlText w:val="%1.%2.%3.%4."/>
      <w:lvlJc w:val="left"/>
      <w:pPr>
        <w:tabs>
          <w:tab w:val="num" w:pos="850"/>
        </w:tabs>
        <w:ind w:left="850" w:hanging="850"/>
      </w:pPr>
    </w:lvl>
    <w:lvl w:ilvl="4">
      <w:start w:val="1"/>
      <w:numFmt w:val="decimal"/>
      <w:pStyle w:val="Overskrift5"/>
      <w:lvlText w:val="%1.%2.%3.%4.%5."/>
      <w:lvlJc w:val="left"/>
      <w:pPr>
        <w:tabs>
          <w:tab w:val="num" w:pos="1417"/>
        </w:tabs>
        <w:ind w:left="1417" w:hanging="1417"/>
      </w:pPr>
    </w:lvl>
    <w:lvl w:ilvl="5">
      <w:start w:val="1"/>
      <w:numFmt w:val="decimal"/>
      <w:pStyle w:val="Overskrift6"/>
      <w:lvlText w:val="%1.%2.%3.%4.%5.%6."/>
      <w:lvlJc w:val="left"/>
      <w:pPr>
        <w:tabs>
          <w:tab w:val="num" w:pos="1417"/>
        </w:tabs>
        <w:ind w:left="1417" w:hanging="1417"/>
      </w:pPr>
    </w:lvl>
    <w:lvl w:ilvl="6">
      <w:start w:val="1"/>
      <w:numFmt w:val="decimal"/>
      <w:pStyle w:val="Overskrift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998263700">
    <w:abstractNumId w:val="3"/>
  </w:num>
  <w:num w:numId="2" w16cid:durableId="1359508088">
    <w:abstractNumId w:val="18"/>
    <w:lvlOverride w:ilvl="0">
      <w:startOverride w:val="1"/>
    </w:lvlOverride>
  </w:num>
  <w:num w:numId="3" w16cid:durableId="1505048935">
    <w:abstractNumId w:val="2"/>
  </w:num>
  <w:num w:numId="4" w16cid:durableId="178130432">
    <w:abstractNumId w:val="1"/>
  </w:num>
  <w:num w:numId="5" w16cid:durableId="2015984749">
    <w:abstractNumId w:val="0"/>
  </w:num>
  <w:num w:numId="6" w16cid:durableId="2089693441">
    <w:abstractNumId w:val="15"/>
  </w:num>
  <w:num w:numId="7" w16cid:durableId="1693998065">
    <w:abstractNumId w:val="8"/>
  </w:num>
  <w:num w:numId="8" w16cid:durableId="788817884">
    <w:abstractNumId w:val="17"/>
  </w:num>
  <w:num w:numId="9" w16cid:durableId="1535464848">
    <w:abstractNumId w:val="7"/>
  </w:num>
  <w:num w:numId="10" w16cid:durableId="639657071">
    <w:abstractNumId w:val="9"/>
  </w:num>
  <w:num w:numId="11" w16cid:durableId="361050661">
    <w:abstractNumId w:val="10"/>
  </w:num>
  <w:num w:numId="12" w16cid:durableId="472790552">
    <w:abstractNumId w:val="5"/>
  </w:num>
  <w:num w:numId="13" w16cid:durableId="384646725">
    <w:abstractNumId w:val="16"/>
  </w:num>
  <w:num w:numId="14" w16cid:durableId="2031682509">
    <w:abstractNumId w:val="4"/>
  </w:num>
  <w:num w:numId="15" w16cid:durableId="150604668">
    <w:abstractNumId w:val="11"/>
  </w:num>
  <w:num w:numId="16" w16cid:durableId="472332852">
    <w:abstractNumId w:val="13"/>
  </w:num>
  <w:num w:numId="17" w16cid:durableId="1298296966">
    <w:abstractNumId w:val="14"/>
  </w:num>
  <w:num w:numId="18" w16cid:durableId="1306230484">
    <w:abstractNumId w:val="6"/>
  </w:num>
  <w:num w:numId="19" w16cid:durableId="24066917">
    <w:abstractNumId w:val="12"/>
  </w:num>
  <w:num w:numId="20" w16cid:durableId="48543658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6-04-21 14:20:4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C6AE4596-5F35-42F1-98BD-A3150FBA1E46"/>
    <w:docVar w:name="LW_COVERPAGE_TYPE" w:val="1"/>
    <w:docVar w:name="LW_CreatedUtc" w:val="2026-02-23T09:55:39.3355566Z"/>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4"/>
    <w:docVar w:name="LW_ID_DOCSIGNATURE" w:val="SJ-004"/>
    <w:docVar w:name="LW_ID_DOCSTRUCTURE" w:val="COM/AA"/>
    <w:docVar w:name="LW_ID_DOCTYPE" w:val="SJ-004"/>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6) XXX"/>
    <w:docVar w:name="LW_REF.INTERNE" w:val="PLAN/492/2026 (POOL/G4/2026/492/492-EN.docx)"/>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Implementing Regulation (EU) 2019/1793 as regards the temporary increase of official controls and emergency measures governing the entry into the Union of certain goods from certain third countries"/>
    <w:docVar w:name="LW_TYPE.DOC.CP" w:val="COMMISSION IMPLEMENTING REGULATION (EU) \u8230?/..."/>
  </w:docVars>
  <w:rsids>
    <w:rsidRoot w:val="006B0D2A"/>
    <w:rsid w:val="00011502"/>
    <w:rsid w:val="00015F6A"/>
    <w:rsid w:val="00022185"/>
    <w:rsid w:val="00057166"/>
    <w:rsid w:val="000A43AA"/>
    <w:rsid w:val="000D6FB7"/>
    <w:rsid w:val="000E1CB2"/>
    <w:rsid w:val="000F71E0"/>
    <w:rsid w:val="00103E1C"/>
    <w:rsid w:val="001065F5"/>
    <w:rsid w:val="001228E2"/>
    <w:rsid w:val="001238EF"/>
    <w:rsid w:val="00145EB4"/>
    <w:rsid w:val="0017337A"/>
    <w:rsid w:val="00197613"/>
    <w:rsid w:val="002069C7"/>
    <w:rsid w:val="00233DC7"/>
    <w:rsid w:val="00247779"/>
    <w:rsid w:val="00277279"/>
    <w:rsid w:val="00285BEE"/>
    <w:rsid w:val="0029533F"/>
    <w:rsid w:val="002A2A6A"/>
    <w:rsid w:val="002A569D"/>
    <w:rsid w:val="002B30AF"/>
    <w:rsid w:val="0033107E"/>
    <w:rsid w:val="0033344A"/>
    <w:rsid w:val="00334C39"/>
    <w:rsid w:val="00345D2C"/>
    <w:rsid w:val="003513F4"/>
    <w:rsid w:val="003C503F"/>
    <w:rsid w:val="003F41D4"/>
    <w:rsid w:val="003F7BE4"/>
    <w:rsid w:val="00413B84"/>
    <w:rsid w:val="0042648E"/>
    <w:rsid w:val="00460ED7"/>
    <w:rsid w:val="0047744C"/>
    <w:rsid w:val="004857DA"/>
    <w:rsid w:val="004936D2"/>
    <w:rsid w:val="00495F63"/>
    <w:rsid w:val="004C387F"/>
    <w:rsid w:val="004C690B"/>
    <w:rsid w:val="004E420C"/>
    <w:rsid w:val="005266B6"/>
    <w:rsid w:val="00587012"/>
    <w:rsid w:val="005A48B9"/>
    <w:rsid w:val="005B1EB6"/>
    <w:rsid w:val="005C1A1D"/>
    <w:rsid w:val="005D1F90"/>
    <w:rsid w:val="005E2DDD"/>
    <w:rsid w:val="005E7779"/>
    <w:rsid w:val="00635366"/>
    <w:rsid w:val="00637EC3"/>
    <w:rsid w:val="00684474"/>
    <w:rsid w:val="0069336B"/>
    <w:rsid w:val="006951F4"/>
    <w:rsid w:val="006A1585"/>
    <w:rsid w:val="006B0D2A"/>
    <w:rsid w:val="006B1AC5"/>
    <w:rsid w:val="006C3CB2"/>
    <w:rsid w:val="00702946"/>
    <w:rsid w:val="007130C3"/>
    <w:rsid w:val="00734B64"/>
    <w:rsid w:val="00757CBB"/>
    <w:rsid w:val="00773331"/>
    <w:rsid w:val="007932EF"/>
    <w:rsid w:val="007B1BF0"/>
    <w:rsid w:val="007C55EE"/>
    <w:rsid w:val="007E05B0"/>
    <w:rsid w:val="0080375F"/>
    <w:rsid w:val="00805E8B"/>
    <w:rsid w:val="00813CF7"/>
    <w:rsid w:val="00874D22"/>
    <w:rsid w:val="008A2914"/>
    <w:rsid w:val="008B3469"/>
    <w:rsid w:val="008C23E5"/>
    <w:rsid w:val="008E2251"/>
    <w:rsid w:val="008E4D8E"/>
    <w:rsid w:val="00954FEA"/>
    <w:rsid w:val="00991CB9"/>
    <w:rsid w:val="009F4C84"/>
    <w:rsid w:val="00A41BD7"/>
    <w:rsid w:val="00A650F3"/>
    <w:rsid w:val="00A7305F"/>
    <w:rsid w:val="00A73699"/>
    <w:rsid w:val="00A73BDC"/>
    <w:rsid w:val="00AD15A1"/>
    <w:rsid w:val="00AE1AC5"/>
    <w:rsid w:val="00AF0990"/>
    <w:rsid w:val="00AF6731"/>
    <w:rsid w:val="00B15ED0"/>
    <w:rsid w:val="00B319EF"/>
    <w:rsid w:val="00BB5916"/>
    <w:rsid w:val="00C12301"/>
    <w:rsid w:val="00C4723B"/>
    <w:rsid w:val="00C83498"/>
    <w:rsid w:val="00CA37D6"/>
    <w:rsid w:val="00CD019D"/>
    <w:rsid w:val="00D20381"/>
    <w:rsid w:val="00D37C32"/>
    <w:rsid w:val="00D42FE3"/>
    <w:rsid w:val="00D67FC8"/>
    <w:rsid w:val="00D90E73"/>
    <w:rsid w:val="00DE7442"/>
    <w:rsid w:val="00E56106"/>
    <w:rsid w:val="00E664ED"/>
    <w:rsid w:val="00F14897"/>
    <w:rsid w:val="00F36CC4"/>
    <w:rsid w:val="00F91FB4"/>
    <w:rsid w:val="00F958DE"/>
    <w:rsid w:val="00FA6433"/>
    <w:rsid w:val="00FC38F8"/>
    <w:rsid w:val="00FC393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73777"/>
  <w15:docId w15:val="{ECD5F441-CF10-49F3-8061-4B3BB60A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Overskrift1">
    <w:name w:val="heading 1"/>
    <w:basedOn w:val="Normal"/>
    <w:next w:val="Text1"/>
    <w:link w:val="Overskrift1Tegn"/>
    <w:uiPriority w:val="9"/>
    <w:qFormat/>
    <w:pPr>
      <w:keepNext/>
      <w:numPr>
        <w:numId w:val="13"/>
      </w:numPr>
      <w:spacing w:before="360"/>
      <w:outlineLvl w:val="0"/>
    </w:pPr>
    <w:rPr>
      <w:rFonts w:eastAsiaTheme="majorEastAsia"/>
      <w:b/>
      <w:bCs/>
      <w:smallCaps/>
      <w:szCs w:val="28"/>
    </w:rPr>
  </w:style>
  <w:style w:type="paragraph" w:styleId="Overskrift2">
    <w:name w:val="heading 2"/>
    <w:basedOn w:val="Normal"/>
    <w:next w:val="Text1"/>
    <w:link w:val="Overskrift2Tegn"/>
    <w:uiPriority w:val="9"/>
    <w:semiHidden/>
    <w:unhideWhenUsed/>
    <w:qFormat/>
    <w:pPr>
      <w:keepNext/>
      <w:numPr>
        <w:ilvl w:val="1"/>
        <w:numId w:val="13"/>
      </w:numPr>
      <w:outlineLvl w:val="1"/>
    </w:pPr>
    <w:rPr>
      <w:rFonts w:eastAsiaTheme="majorEastAsia"/>
      <w:b/>
      <w:bCs/>
      <w:szCs w:val="26"/>
    </w:rPr>
  </w:style>
  <w:style w:type="paragraph" w:styleId="Overskrift3">
    <w:name w:val="heading 3"/>
    <w:basedOn w:val="Normal"/>
    <w:next w:val="Text1"/>
    <w:link w:val="Overskrift3Tegn"/>
    <w:uiPriority w:val="9"/>
    <w:semiHidden/>
    <w:unhideWhenUsed/>
    <w:qFormat/>
    <w:pPr>
      <w:keepNext/>
      <w:numPr>
        <w:ilvl w:val="2"/>
        <w:numId w:val="13"/>
      </w:numPr>
      <w:outlineLvl w:val="2"/>
    </w:pPr>
    <w:rPr>
      <w:rFonts w:eastAsiaTheme="majorEastAsia"/>
      <w:bCs/>
      <w:i/>
    </w:rPr>
  </w:style>
  <w:style w:type="paragraph" w:styleId="Overskrift4">
    <w:name w:val="heading 4"/>
    <w:basedOn w:val="Normal"/>
    <w:next w:val="Text1"/>
    <w:link w:val="Overskrift4Tegn"/>
    <w:uiPriority w:val="9"/>
    <w:semiHidden/>
    <w:unhideWhenUsed/>
    <w:qFormat/>
    <w:pPr>
      <w:keepNext/>
      <w:numPr>
        <w:ilvl w:val="3"/>
        <w:numId w:val="13"/>
      </w:numPr>
      <w:outlineLvl w:val="3"/>
    </w:pPr>
    <w:rPr>
      <w:rFonts w:eastAsiaTheme="majorEastAsia"/>
      <w:bCs/>
      <w:iCs/>
    </w:rPr>
  </w:style>
  <w:style w:type="paragraph" w:styleId="Overskrift5">
    <w:name w:val="heading 5"/>
    <w:basedOn w:val="Normal"/>
    <w:next w:val="Text2"/>
    <w:link w:val="Overskrift5Tegn"/>
    <w:uiPriority w:val="9"/>
    <w:semiHidden/>
    <w:unhideWhenUsed/>
    <w:qFormat/>
    <w:pPr>
      <w:keepNext/>
      <w:numPr>
        <w:ilvl w:val="4"/>
        <w:numId w:val="13"/>
      </w:numPr>
      <w:outlineLvl w:val="4"/>
    </w:pPr>
    <w:rPr>
      <w:rFonts w:eastAsiaTheme="majorEastAsia"/>
    </w:rPr>
  </w:style>
  <w:style w:type="paragraph" w:styleId="Overskrift6">
    <w:name w:val="heading 6"/>
    <w:basedOn w:val="Normal"/>
    <w:next w:val="Text2"/>
    <w:link w:val="Overskrift6Tegn"/>
    <w:uiPriority w:val="9"/>
    <w:semiHidden/>
    <w:unhideWhenUsed/>
    <w:qFormat/>
    <w:pPr>
      <w:keepNext/>
      <w:numPr>
        <w:ilvl w:val="5"/>
        <w:numId w:val="13"/>
      </w:numPr>
      <w:outlineLvl w:val="5"/>
    </w:pPr>
    <w:rPr>
      <w:rFonts w:eastAsiaTheme="majorEastAsia"/>
      <w:iCs/>
    </w:rPr>
  </w:style>
  <w:style w:type="paragraph" w:styleId="Overskrift7">
    <w:name w:val="heading 7"/>
    <w:basedOn w:val="Normal"/>
    <w:next w:val="Text2"/>
    <w:link w:val="Overskrift7Tegn"/>
    <w:uiPriority w:val="9"/>
    <w:semiHidden/>
    <w:unhideWhenUsed/>
    <w:qFormat/>
    <w:pPr>
      <w:keepNext/>
      <w:numPr>
        <w:ilvl w:val="6"/>
        <w:numId w:val="13"/>
      </w:numPr>
      <w:outlineLvl w:val="6"/>
    </w:pPr>
    <w:rPr>
      <w:rFonts w:eastAsiaTheme="majorEastAsia"/>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Opstilling-punkttegn">
    <w:name w:val="List Bullet"/>
    <w:basedOn w:val="Normal"/>
    <w:rsid w:val="006B0D2A"/>
    <w:pPr>
      <w:numPr>
        <w:numId w:val="1"/>
      </w:numPr>
      <w:tabs>
        <w:tab w:val="clear" w:pos="360"/>
      </w:tabs>
      <w:ind w:left="0" w:firstLine="0"/>
    </w:pPr>
    <w:rPr>
      <w:rFonts w:eastAsia="Times New Roman"/>
      <w:lang w:eastAsia="en-GB"/>
    </w:rPr>
  </w:style>
  <w:style w:type="character" w:styleId="Hyperlink">
    <w:name w:val="Hyperlink"/>
    <w:basedOn w:val="Standardskrifttypeiafsnit"/>
    <w:uiPriority w:val="99"/>
    <w:unhideWhenUsed/>
    <w:rsid w:val="006B0D2A"/>
    <w:rPr>
      <w:color w:val="0000FF" w:themeColor="hyperlink"/>
      <w:u w:val="single"/>
    </w:rPr>
  </w:style>
  <w:style w:type="paragraph" w:styleId="Opstilling-punkttegn2">
    <w:name w:val="List Bullet 2"/>
    <w:basedOn w:val="Normal"/>
    <w:uiPriority w:val="99"/>
    <w:semiHidden/>
    <w:unhideWhenUsed/>
    <w:rsid w:val="00FA6433"/>
    <w:pPr>
      <w:numPr>
        <w:numId w:val="3"/>
      </w:numPr>
      <w:contextualSpacing/>
    </w:pPr>
  </w:style>
  <w:style w:type="paragraph" w:styleId="Opstilling-punkttegn3">
    <w:name w:val="List Bullet 3"/>
    <w:basedOn w:val="Normal"/>
    <w:uiPriority w:val="99"/>
    <w:semiHidden/>
    <w:unhideWhenUsed/>
    <w:rsid w:val="00FA6433"/>
    <w:pPr>
      <w:numPr>
        <w:numId w:val="4"/>
      </w:numPr>
      <w:contextualSpacing/>
    </w:pPr>
  </w:style>
  <w:style w:type="paragraph" w:styleId="Opstilling-punkttegn4">
    <w:name w:val="List Bullet 4"/>
    <w:basedOn w:val="Normal"/>
    <w:uiPriority w:val="99"/>
    <w:semiHidden/>
    <w:unhideWhenUsed/>
    <w:rsid w:val="00FA6433"/>
    <w:pPr>
      <w:numPr>
        <w:numId w:val="5"/>
      </w:numPr>
      <w:contextualSpacing/>
    </w:pPr>
  </w:style>
  <w:style w:type="character" w:styleId="Kommentarhenvisning">
    <w:name w:val="annotation reference"/>
    <w:basedOn w:val="Standardskrifttypeiafsnit"/>
    <w:uiPriority w:val="99"/>
    <w:semiHidden/>
    <w:unhideWhenUsed/>
    <w:rsid w:val="000E1CB2"/>
    <w:rPr>
      <w:sz w:val="16"/>
      <w:szCs w:val="16"/>
    </w:rPr>
  </w:style>
  <w:style w:type="paragraph" w:styleId="Kommentartekst">
    <w:name w:val="annotation text"/>
    <w:basedOn w:val="Normal"/>
    <w:link w:val="KommentartekstTegn"/>
    <w:uiPriority w:val="99"/>
    <w:unhideWhenUsed/>
    <w:rsid w:val="000E1CB2"/>
    <w:rPr>
      <w:sz w:val="20"/>
      <w:szCs w:val="20"/>
    </w:rPr>
  </w:style>
  <w:style w:type="character" w:customStyle="1" w:styleId="KommentartekstTegn">
    <w:name w:val="Kommentartekst Tegn"/>
    <w:basedOn w:val="Standardskrifttypeiafsnit"/>
    <w:link w:val="Kommentartekst"/>
    <w:uiPriority w:val="99"/>
    <w:rsid w:val="000E1CB2"/>
    <w:rPr>
      <w:rFonts w:ascii="Times New Roman" w:hAnsi="Times New Roman" w:cs="Times New Roman"/>
      <w:sz w:val="20"/>
      <w:szCs w:val="20"/>
      <w:lang w:val="en-GB"/>
    </w:rPr>
  </w:style>
  <w:style w:type="paragraph" w:styleId="Kommentaremne">
    <w:name w:val="annotation subject"/>
    <w:basedOn w:val="Kommentartekst"/>
    <w:next w:val="Kommentartekst"/>
    <w:link w:val="KommentaremneTegn"/>
    <w:uiPriority w:val="99"/>
    <w:semiHidden/>
    <w:unhideWhenUsed/>
    <w:rsid w:val="000E1CB2"/>
    <w:rPr>
      <w:b/>
      <w:bCs/>
    </w:rPr>
  </w:style>
  <w:style w:type="character" w:customStyle="1" w:styleId="KommentaremneTegn">
    <w:name w:val="Kommentaremne Tegn"/>
    <w:basedOn w:val="KommentartekstTegn"/>
    <w:link w:val="Kommentaremne"/>
    <w:uiPriority w:val="99"/>
    <w:semiHidden/>
    <w:rsid w:val="000E1CB2"/>
    <w:rPr>
      <w:rFonts w:ascii="Times New Roman" w:hAnsi="Times New Roman" w:cs="Times New Roman"/>
      <w:b/>
      <w:bCs/>
      <w:sz w:val="20"/>
      <w:szCs w:val="20"/>
      <w:lang w:val="en-GB"/>
    </w:rPr>
  </w:style>
  <w:style w:type="paragraph" w:styleId="Korrektur">
    <w:name w:val="Revision"/>
    <w:hidden/>
    <w:uiPriority w:val="99"/>
    <w:semiHidden/>
    <w:rsid w:val="00F91FB4"/>
    <w:pPr>
      <w:spacing w:after="0" w:line="240" w:lineRule="auto"/>
    </w:pPr>
    <w:rPr>
      <w:rFonts w:ascii="Times New Roman" w:hAnsi="Times New Roman" w:cs="Times New Roman"/>
      <w:sz w:val="24"/>
      <w:lang w:val="en-GB"/>
    </w:rPr>
  </w:style>
  <w:style w:type="paragraph" w:styleId="Sidehoved">
    <w:name w:val="header"/>
    <w:basedOn w:val="Normal"/>
    <w:link w:val="SidehovedTegn"/>
    <w:uiPriority w:val="99"/>
    <w:semiHidden/>
    <w:unhideWhenUsed/>
    <w:pPr>
      <w:tabs>
        <w:tab w:val="center" w:pos="4535"/>
        <w:tab w:val="right" w:pos="9071"/>
      </w:tabs>
      <w:spacing w:before="0"/>
    </w:pPr>
  </w:style>
  <w:style w:type="character" w:customStyle="1" w:styleId="SidehovedTegn">
    <w:name w:val="Sidehoved Tegn"/>
    <w:basedOn w:val="Standardskrifttypeiafsnit"/>
    <w:link w:val="Sidehoved"/>
    <w:uiPriority w:val="99"/>
    <w:semiHidden/>
    <w:rPr>
      <w:rFonts w:ascii="Times New Roman" w:hAnsi="Times New Roman" w:cs="Times New Roman"/>
      <w:sz w:val="24"/>
      <w:shd w:val="clear" w:color="auto" w:fill="auto"/>
      <w:lang w:val="en-GB"/>
    </w:rPr>
  </w:style>
  <w:style w:type="paragraph" w:styleId="Sidefod">
    <w:name w:val="footer"/>
    <w:basedOn w:val="Normal"/>
    <w:link w:val="SidefodTegn"/>
    <w:uiPriority w:val="99"/>
    <w:semiHidden/>
    <w:unhideWhenUsed/>
    <w:pPr>
      <w:tabs>
        <w:tab w:val="center" w:pos="4535"/>
        <w:tab w:val="right" w:pos="9071"/>
        <w:tab w:val="right" w:pos="9921"/>
      </w:tabs>
      <w:spacing w:before="360" w:after="0"/>
      <w:ind w:left="-850" w:right="-850"/>
      <w:jc w:val="left"/>
    </w:pPr>
  </w:style>
  <w:style w:type="character" w:customStyle="1" w:styleId="SidefodTegn">
    <w:name w:val="Sidefod Tegn"/>
    <w:basedOn w:val="Standardskrifttypeiafsnit"/>
    <w:link w:val="Sidefod"/>
    <w:uiPriority w:val="99"/>
    <w:semiHidden/>
    <w:rPr>
      <w:rFonts w:ascii="Times New Roman" w:hAnsi="Times New Roman" w:cs="Times New Roman"/>
      <w:sz w:val="24"/>
      <w:shd w:val="clear" w:color="auto" w:fill="auto"/>
      <w:lang w:val="en-GB"/>
    </w:rPr>
  </w:style>
  <w:style w:type="paragraph" w:styleId="Fodnotetekst">
    <w:name w:val="footnote text"/>
    <w:basedOn w:val="Normal"/>
    <w:link w:val="FodnotetekstTegn"/>
    <w:uiPriority w:val="99"/>
    <w:semiHidden/>
    <w:unhideWhenUsed/>
    <w:pPr>
      <w:spacing w:before="0" w:after="0"/>
      <w:ind w:left="720" w:hanging="720"/>
    </w:pPr>
    <w:rPr>
      <w:sz w:val="20"/>
      <w:szCs w:val="20"/>
    </w:rPr>
  </w:style>
  <w:style w:type="character" w:customStyle="1" w:styleId="FodnotetekstTegn">
    <w:name w:val="Fodnotetekst Tegn"/>
    <w:basedOn w:val="Standardskrifttypeiafsnit"/>
    <w:link w:val="Fodnotetekst"/>
    <w:uiPriority w:val="99"/>
    <w:semiHidden/>
    <w:rPr>
      <w:rFonts w:ascii="Times New Roman" w:hAnsi="Times New Roman" w:cs="Times New Roman"/>
      <w:sz w:val="20"/>
      <w:szCs w:val="20"/>
      <w:shd w:val="clear" w:color="auto" w:fill="auto"/>
      <w:lang w:val="en-GB"/>
    </w:rPr>
  </w:style>
  <w:style w:type="character" w:customStyle="1" w:styleId="Overskrift1Tegn">
    <w:name w:val="Overskrift 1 Tegn"/>
    <w:basedOn w:val="Standardskrifttypeiafsnit"/>
    <w:link w:val="Overskrift1"/>
    <w:uiPriority w:val="9"/>
    <w:rPr>
      <w:rFonts w:ascii="Times New Roman" w:eastAsiaTheme="majorEastAsia" w:hAnsi="Times New Roman" w:cs="Times New Roman"/>
      <w:b/>
      <w:bCs/>
      <w:smallCaps/>
      <w:sz w:val="24"/>
      <w:szCs w:val="28"/>
      <w:lang w:val="en-GB"/>
    </w:rPr>
  </w:style>
  <w:style w:type="character" w:customStyle="1" w:styleId="Overskrift2Tegn">
    <w:name w:val="Overskrift 2 Tegn"/>
    <w:basedOn w:val="Standardskrifttypeiafsnit"/>
    <w:link w:val="Overskrift2"/>
    <w:uiPriority w:val="9"/>
    <w:semiHidden/>
    <w:rPr>
      <w:rFonts w:ascii="Times New Roman" w:eastAsiaTheme="majorEastAsia" w:hAnsi="Times New Roman" w:cs="Times New Roman"/>
      <w:b/>
      <w:bCs/>
      <w:sz w:val="24"/>
      <w:szCs w:val="26"/>
      <w:lang w:val="en-GB"/>
    </w:rPr>
  </w:style>
  <w:style w:type="character" w:customStyle="1" w:styleId="Overskrift3Tegn">
    <w:name w:val="Overskrift 3 Tegn"/>
    <w:basedOn w:val="Standardskrifttypeiafsnit"/>
    <w:link w:val="Overskrift3"/>
    <w:uiPriority w:val="9"/>
    <w:semiHidden/>
    <w:rPr>
      <w:rFonts w:ascii="Times New Roman" w:eastAsiaTheme="majorEastAsia" w:hAnsi="Times New Roman" w:cs="Times New Roman"/>
      <w:bCs/>
      <w:i/>
      <w:sz w:val="24"/>
      <w:lang w:val="en-GB"/>
    </w:rPr>
  </w:style>
  <w:style w:type="character" w:customStyle="1" w:styleId="Overskrift4Tegn">
    <w:name w:val="Overskrift 4 Tegn"/>
    <w:basedOn w:val="Standardskrifttypeiafsnit"/>
    <w:link w:val="Overskrift4"/>
    <w:uiPriority w:val="9"/>
    <w:semiHidden/>
    <w:rPr>
      <w:rFonts w:ascii="Times New Roman" w:eastAsiaTheme="majorEastAsia" w:hAnsi="Times New Roman" w:cs="Times New Roman"/>
      <w:bCs/>
      <w:iCs/>
      <w:sz w:val="24"/>
      <w:lang w:val="en-GB"/>
    </w:rPr>
  </w:style>
  <w:style w:type="character" w:customStyle="1" w:styleId="Overskrift5Tegn">
    <w:name w:val="Overskrift 5 Tegn"/>
    <w:basedOn w:val="Standardskrifttypeiafsnit"/>
    <w:link w:val="Overskrift5"/>
    <w:uiPriority w:val="9"/>
    <w:semiHidden/>
    <w:rPr>
      <w:rFonts w:ascii="Times New Roman" w:eastAsiaTheme="majorEastAsia" w:hAnsi="Times New Roman" w:cs="Times New Roman"/>
      <w:sz w:val="24"/>
      <w:lang w:val="en-GB"/>
    </w:rPr>
  </w:style>
  <w:style w:type="character" w:customStyle="1" w:styleId="Overskrift6Tegn">
    <w:name w:val="Overskrift 6 Tegn"/>
    <w:basedOn w:val="Standardskrifttypeiafsnit"/>
    <w:link w:val="Overskrift6"/>
    <w:uiPriority w:val="9"/>
    <w:semiHidden/>
    <w:rPr>
      <w:rFonts w:ascii="Times New Roman" w:eastAsiaTheme="majorEastAsia" w:hAnsi="Times New Roman" w:cs="Times New Roman"/>
      <w:iCs/>
      <w:sz w:val="24"/>
      <w:lang w:val="en-GB"/>
    </w:rPr>
  </w:style>
  <w:style w:type="character" w:customStyle="1" w:styleId="Overskrift7Tegn">
    <w:name w:val="Overskrift 7 Tegn"/>
    <w:basedOn w:val="Standardskrifttypeiafsnit"/>
    <w:link w:val="Overskrift7"/>
    <w:uiPriority w:val="9"/>
    <w:semiHidden/>
    <w:rPr>
      <w:rFonts w:ascii="Times New Roman" w:eastAsiaTheme="majorEastAsia" w:hAnsi="Times New Roman" w:cs="Times New Roman"/>
      <w:iCs/>
      <w:sz w:val="24"/>
      <w:lang w:val="en-GB"/>
    </w:rPr>
  </w:style>
  <w:style w:type="paragraph" w:styleId="Overskrift">
    <w:name w:val="TOC Heading"/>
    <w:basedOn w:val="Normal"/>
    <w:next w:val="Normal"/>
    <w:uiPriority w:val="39"/>
    <w:semiHidden/>
    <w:unhideWhenUsed/>
    <w:qFormat/>
    <w:pPr>
      <w:spacing w:after="240"/>
      <w:jc w:val="center"/>
    </w:pPr>
    <w:rPr>
      <w:b/>
      <w:sz w:val="28"/>
    </w:rPr>
  </w:style>
  <w:style w:type="paragraph" w:styleId="Indholdsfortegnelse1">
    <w:name w:val="toc 1"/>
    <w:basedOn w:val="Normal"/>
    <w:next w:val="Normal"/>
    <w:uiPriority w:val="39"/>
    <w:semiHidden/>
    <w:unhideWhenUsed/>
    <w:pPr>
      <w:tabs>
        <w:tab w:val="right" w:leader="dot" w:pos="9071"/>
      </w:tabs>
      <w:spacing w:before="60"/>
      <w:ind w:left="850" w:hanging="850"/>
      <w:jc w:val="left"/>
    </w:pPr>
  </w:style>
  <w:style w:type="paragraph" w:styleId="Indholdsfortegnelse2">
    <w:name w:val="toc 2"/>
    <w:basedOn w:val="Normal"/>
    <w:next w:val="Normal"/>
    <w:uiPriority w:val="39"/>
    <w:semiHidden/>
    <w:unhideWhenUsed/>
    <w:pPr>
      <w:tabs>
        <w:tab w:val="right" w:leader="dot" w:pos="9071"/>
      </w:tabs>
      <w:spacing w:before="60"/>
      <w:ind w:left="850" w:hanging="850"/>
      <w:jc w:val="left"/>
    </w:pPr>
  </w:style>
  <w:style w:type="paragraph" w:styleId="Indholdsfortegnelse3">
    <w:name w:val="toc 3"/>
    <w:basedOn w:val="Normal"/>
    <w:next w:val="Normal"/>
    <w:uiPriority w:val="39"/>
    <w:semiHidden/>
    <w:unhideWhenUsed/>
    <w:pPr>
      <w:tabs>
        <w:tab w:val="right" w:leader="dot" w:pos="9071"/>
      </w:tabs>
      <w:spacing w:before="60"/>
      <w:ind w:left="850" w:hanging="850"/>
      <w:jc w:val="left"/>
    </w:pPr>
  </w:style>
  <w:style w:type="paragraph" w:styleId="Indholdsfortegnelse4">
    <w:name w:val="toc 4"/>
    <w:basedOn w:val="Normal"/>
    <w:next w:val="Normal"/>
    <w:uiPriority w:val="39"/>
    <w:semiHidden/>
    <w:unhideWhenUsed/>
    <w:pPr>
      <w:tabs>
        <w:tab w:val="right" w:leader="dot" w:pos="9071"/>
      </w:tabs>
      <w:spacing w:before="60"/>
      <w:ind w:left="850" w:hanging="850"/>
      <w:jc w:val="left"/>
    </w:pPr>
  </w:style>
  <w:style w:type="paragraph" w:styleId="Indholdsfortegnelse5">
    <w:name w:val="toc 5"/>
    <w:basedOn w:val="Normal"/>
    <w:next w:val="Normal"/>
    <w:uiPriority w:val="39"/>
    <w:semiHidden/>
    <w:unhideWhenUsed/>
    <w:pPr>
      <w:tabs>
        <w:tab w:val="right" w:leader="dot" w:pos="9071"/>
      </w:tabs>
      <w:spacing w:before="300"/>
      <w:jc w:val="left"/>
    </w:pPr>
  </w:style>
  <w:style w:type="paragraph" w:styleId="Indholdsfortegnelse6">
    <w:name w:val="toc 6"/>
    <w:basedOn w:val="Normal"/>
    <w:next w:val="Normal"/>
    <w:uiPriority w:val="39"/>
    <w:semiHidden/>
    <w:unhideWhenUsed/>
    <w:pPr>
      <w:tabs>
        <w:tab w:val="right" w:leader="dot" w:pos="9071"/>
      </w:tabs>
      <w:spacing w:before="240"/>
      <w:jc w:val="left"/>
    </w:pPr>
  </w:style>
  <w:style w:type="paragraph" w:styleId="Indholdsfortegnelse7">
    <w:name w:val="toc 7"/>
    <w:basedOn w:val="Normal"/>
    <w:next w:val="Normal"/>
    <w:uiPriority w:val="39"/>
    <w:semiHidden/>
    <w:unhideWhenUsed/>
    <w:pPr>
      <w:tabs>
        <w:tab w:val="right" w:leader="dot" w:pos="9071"/>
      </w:tabs>
      <w:spacing w:before="180"/>
      <w:jc w:val="left"/>
    </w:pPr>
  </w:style>
  <w:style w:type="paragraph" w:styleId="Indholdsfortegnelse8">
    <w:name w:val="toc 8"/>
    <w:basedOn w:val="Normal"/>
    <w:next w:val="Normal"/>
    <w:uiPriority w:val="39"/>
    <w:semiHidden/>
    <w:unhideWhenUsed/>
    <w:pPr>
      <w:tabs>
        <w:tab w:val="right" w:leader="dot" w:pos="9071"/>
      </w:tabs>
      <w:jc w:val="left"/>
    </w:pPr>
  </w:style>
  <w:style w:type="paragraph" w:styleId="Indholdsfortegnelse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dnotehenvisning">
    <w:name w:val="footnote reference"/>
    <w:basedOn w:val="Standardskrifttypeiafsni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6"/>
      </w:numPr>
    </w:pPr>
  </w:style>
  <w:style w:type="paragraph" w:customStyle="1" w:styleId="Tiret1">
    <w:name w:val="Tiret 1"/>
    <w:basedOn w:val="Point1"/>
    <w:pPr>
      <w:numPr>
        <w:numId w:val="7"/>
      </w:numPr>
    </w:pPr>
  </w:style>
  <w:style w:type="paragraph" w:customStyle="1" w:styleId="Tiret2">
    <w:name w:val="Tiret 2"/>
    <w:basedOn w:val="Point2"/>
    <w:pPr>
      <w:numPr>
        <w:numId w:val="8"/>
      </w:numPr>
    </w:pPr>
  </w:style>
  <w:style w:type="paragraph" w:customStyle="1" w:styleId="Tiret3">
    <w:name w:val="Tiret 3"/>
    <w:basedOn w:val="Point3"/>
    <w:pPr>
      <w:numPr>
        <w:numId w:val="9"/>
      </w:numPr>
    </w:pPr>
  </w:style>
  <w:style w:type="paragraph" w:customStyle="1" w:styleId="Tiret4">
    <w:name w:val="Tiret 4"/>
    <w:basedOn w:val="Point4"/>
    <w:pPr>
      <w:numPr>
        <w:numId w:val="10"/>
      </w:numPr>
    </w:pPr>
  </w:style>
  <w:style w:type="paragraph" w:customStyle="1" w:styleId="Tiret5">
    <w:name w:val="Tiret 5"/>
    <w:basedOn w:val="Point5"/>
    <w:pPr>
      <w:numPr>
        <w:numId w:val="1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2"/>
      </w:numPr>
    </w:pPr>
  </w:style>
  <w:style w:type="paragraph" w:customStyle="1" w:styleId="NumPar2">
    <w:name w:val="NumPar 2"/>
    <w:basedOn w:val="Normal"/>
    <w:next w:val="Text1"/>
    <w:pPr>
      <w:numPr>
        <w:ilvl w:val="1"/>
        <w:numId w:val="12"/>
      </w:numPr>
    </w:pPr>
  </w:style>
  <w:style w:type="paragraph" w:customStyle="1" w:styleId="NumPar3">
    <w:name w:val="NumPar 3"/>
    <w:basedOn w:val="Normal"/>
    <w:next w:val="Text1"/>
    <w:pPr>
      <w:numPr>
        <w:ilvl w:val="2"/>
        <w:numId w:val="12"/>
      </w:numPr>
    </w:pPr>
  </w:style>
  <w:style w:type="paragraph" w:customStyle="1" w:styleId="NumPar4">
    <w:name w:val="NumPar 4"/>
    <w:basedOn w:val="Normal"/>
    <w:next w:val="Text1"/>
    <w:pPr>
      <w:numPr>
        <w:ilvl w:val="3"/>
        <w:numId w:val="12"/>
      </w:numPr>
    </w:pPr>
  </w:style>
  <w:style w:type="paragraph" w:customStyle="1" w:styleId="NumPar5">
    <w:name w:val="NumPar 5"/>
    <w:basedOn w:val="Normal"/>
    <w:next w:val="Text2"/>
    <w:pPr>
      <w:numPr>
        <w:ilvl w:val="4"/>
        <w:numId w:val="12"/>
      </w:numPr>
    </w:pPr>
  </w:style>
  <w:style w:type="paragraph" w:customStyle="1" w:styleId="NumPar6">
    <w:name w:val="NumPar 6"/>
    <w:basedOn w:val="Normal"/>
    <w:next w:val="Text2"/>
    <w:pPr>
      <w:numPr>
        <w:ilvl w:val="5"/>
        <w:numId w:val="12"/>
      </w:numPr>
    </w:pPr>
  </w:style>
  <w:style w:type="paragraph" w:customStyle="1" w:styleId="NumPar7">
    <w:name w:val="NumPar 7"/>
    <w:basedOn w:val="Normal"/>
    <w:next w:val="Text2"/>
    <w:pPr>
      <w:numPr>
        <w:ilvl w:val="6"/>
        <w:numId w:val="1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Overskrift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Standardskrifttypeiafsnit"/>
    <w:rPr>
      <w:color w:val="0000FF"/>
      <w:shd w:val="clear" w:color="auto" w:fill="auto"/>
    </w:rPr>
  </w:style>
  <w:style w:type="character" w:customStyle="1" w:styleId="Marker1">
    <w:name w:val="Marker1"/>
    <w:basedOn w:val="Standardskrifttypeiafsnit"/>
    <w:rPr>
      <w:color w:val="008000"/>
      <w:shd w:val="clear" w:color="auto" w:fill="auto"/>
    </w:rPr>
  </w:style>
  <w:style w:type="character" w:customStyle="1" w:styleId="Marker2">
    <w:name w:val="Marker2"/>
    <w:basedOn w:val="Standardskrifttypeiafsnit"/>
    <w:rPr>
      <w:color w:val="FF0000"/>
      <w:shd w:val="clear" w:color="auto" w:fill="auto"/>
    </w:rPr>
  </w:style>
  <w:style w:type="paragraph" w:customStyle="1" w:styleId="Point0number">
    <w:name w:val="Point 0 (number)"/>
    <w:basedOn w:val="Normal"/>
    <w:pPr>
      <w:numPr>
        <w:numId w:val="14"/>
      </w:numPr>
    </w:pPr>
  </w:style>
  <w:style w:type="paragraph" w:customStyle="1" w:styleId="Point1number">
    <w:name w:val="Point 1 (number)"/>
    <w:basedOn w:val="Normal"/>
    <w:pPr>
      <w:numPr>
        <w:ilvl w:val="2"/>
        <w:numId w:val="14"/>
      </w:numPr>
    </w:pPr>
  </w:style>
  <w:style w:type="paragraph" w:customStyle="1" w:styleId="Point2number">
    <w:name w:val="Point 2 (number)"/>
    <w:basedOn w:val="Normal"/>
    <w:pPr>
      <w:numPr>
        <w:ilvl w:val="4"/>
        <w:numId w:val="14"/>
      </w:numPr>
    </w:pPr>
  </w:style>
  <w:style w:type="paragraph" w:customStyle="1" w:styleId="Point3number">
    <w:name w:val="Point 3 (number)"/>
    <w:basedOn w:val="Normal"/>
    <w:pPr>
      <w:numPr>
        <w:ilvl w:val="6"/>
        <w:numId w:val="14"/>
      </w:numPr>
    </w:pPr>
  </w:style>
  <w:style w:type="paragraph" w:customStyle="1" w:styleId="Point0letter">
    <w:name w:val="Point 0 (letter)"/>
    <w:basedOn w:val="Normal"/>
    <w:pPr>
      <w:numPr>
        <w:ilvl w:val="1"/>
        <w:numId w:val="14"/>
      </w:numPr>
    </w:pPr>
  </w:style>
  <w:style w:type="paragraph" w:customStyle="1" w:styleId="Point1letter">
    <w:name w:val="Point 1 (letter)"/>
    <w:basedOn w:val="Normal"/>
    <w:pPr>
      <w:numPr>
        <w:ilvl w:val="3"/>
        <w:numId w:val="14"/>
      </w:numPr>
    </w:pPr>
  </w:style>
  <w:style w:type="paragraph" w:customStyle="1" w:styleId="Point2letter">
    <w:name w:val="Point 2 (letter)"/>
    <w:basedOn w:val="Normal"/>
    <w:pPr>
      <w:numPr>
        <w:ilvl w:val="5"/>
        <w:numId w:val="14"/>
      </w:numPr>
    </w:pPr>
  </w:style>
  <w:style w:type="paragraph" w:customStyle="1" w:styleId="Point3letter">
    <w:name w:val="Point 3 (letter)"/>
    <w:basedOn w:val="Normal"/>
    <w:pPr>
      <w:numPr>
        <w:ilvl w:val="7"/>
        <w:numId w:val="14"/>
      </w:numPr>
    </w:pPr>
  </w:style>
  <w:style w:type="paragraph" w:customStyle="1" w:styleId="Point4letter">
    <w:name w:val="Point 4 (letter)"/>
    <w:basedOn w:val="Normal"/>
    <w:pPr>
      <w:numPr>
        <w:ilvl w:val="8"/>
        <w:numId w:val="14"/>
      </w:numPr>
    </w:pPr>
  </w:style>
  <w:style w:type="paragraph" w:customStyle="1" w:styleId="Bullet0">
    <w:name w:val="Bullet 0"/>
    <w:basedOn w:val="Normal"/>
    <w:pPr>
      <w:numPr>
        <w:numId w:val="15"/>
      </w:numPr>
    </w:pPr>
  </w:style>
  <w:style w:type="paragraph" w:customStyle="1" w:styleId="Bullet1">
    <w:name w:val="Bullet 1"/>
    <w:basedOn w:val="Normal"/>
    <w:pPr>
      <w:numPr>
        <w:numId w:val="16"/>
      </w:numPr>
    </w:pPr>
  </w:style>
  <w:style w:type="paragraph" w:customStyle="1" w:styleId="Bullet2">
    <w:name w:val="Bullet 2"/>
    <w:basedOn w:val="Normal"/>
    <w:pPr>
      <w:numPr>
        <w:numId w:val="17"/>
      </w:numPr>
    </w:pPr>
  </w:style>
  <w:style w:type="paragraph" w:customStyle="1" w:styleId="Bullet3">
    <w:name w:val="Bullet 3"/>
    <w:basedOn w:val="Normal"/>
    <w:pPr>
      <w:numPr>
        <w:numId w:val="18"/>
      </w:numPr>
    </w:pPr>
  </w:style>
  <w:style w:type="paragraph" w:customStyle="1" w:styleId="Bullet4">
    <w:name w:val="Bullet 4"/>
    <w:basedOn w:val="Normal"/>
    <w:pPr>
      <w:numPr>
        <w:numId w:val="1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Standardskrifttypeiafsnit"/>
    <w:rPr>
      <w:b/>
      <w:u w:val="single"/>
      <w:shd w:val="clear" w:color="auto" w:fill="auto"/>
    </w:rPr>
  </w:style>
  <w:style w:type="character" w:customStyle="1" w:styleId="Deleted">
    <w:name w:val="Deleted"/>
    <w:basedOn w:val="Standardskrifttypeiafsni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impl/2019/1793/oj" TargetMode="External"/><Relationship Id="rId2" Type="http://schemas.openxmlformats.org/officeDocument/2006/relationships/hyperlink" Target="http://data.europa.eu/eli/reg/2017/625/oj" TargetMode="External"/><Relationship Id="rId1" Type="http://schemas.openxmlformats.org/officeDocument/2006/relationships/hyperlink" Target="http://data.europa.eu/eli/reg/2002/178/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21d0a0e06688d09e97f4165f03ece64c">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8f85106d4a88386bc052a7e1d0ca7ee0"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lcf76f155ced4ddcb4097134ff3c332f>
    <TaxCatchAll xmlns="144c03d0-0f03-451f-9d46-5279004462a4" xsi:nil="true"/>
  </documentManagement>
</p:properties>
</file>

<file path=customXml/itemProps1.xml><?xml version="1.0" encoding="utf-8"?>
<ds:datastoreItem xmlns:ds="http://schemas.openxmlformats.org/officeDocument/2006/customXml" ds:itemID="{FD4F4694-AE45-43E6-A7B9-0C8F4EF6DBDB}">
  <ds:schemaRefs>
    <ds:schemaRef ds:uri="http://schemas.microsoft.com/sharepoint/v3/contenttype/forms"/>
  </ds:schemaRefs>
</ds:datastoreItem>
</file>

<file path=customXml/itemProps2.xml><?xml version="1.0" encoding="utf-8"?>
<ds:datastoreItem xmlns:ds="http://schemas.openxmlformats.org/officeDocument/2006/customXml" ds:itemID="{8AD4C034-2782-4913-9777-42369F697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047D8C-4A31-4A79-B823-B11A3E3A1E0B}">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docProps/app.xml><?xml version="1.0" encoding="utf-8"?>
<Properties xmlns="http://schemas.openxmlformats.org/officeDocument/2006/extended-properties" xmlns:vt="http://schemas.openxmlformats.org/officeDocument/2006/docPropsVTypes">
  <Template>COM.dotm</Template>
  <TotalTime>13</TotalTime>
  <Pages>5</Pages>
  <Words>1940</Words>
  <Characters>10538</Characters>
  <Application>Microsoft Office Word</Application>
  <DocSecurity>0</DocSecurity>
  <Lines>169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CELMS Ingus (SANTE)</dc:creator>
  <cp:keywords/>
  <dc:description/>
  <cp:lastModifiedBy>Josephine Manzenski Hansen</cp:lastModifiedBy>
  <cp:revision>2</cp:revision>
  <dcterms:created xsi:type="dcterms:W3CDTF">2026-04-30T08:56:00Z</dcterms:created>
  <dcterms:modified xsi:type="dcterms:W3CDTF">2026-04-30T08:56:00Z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9.2, Build 20250828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2026-02-23T10:03:43Z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c016cd56-09a3-4358-955c-995be0444e09</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ContentTypeId">
    <vt:lpwstr>0x010100BAD999D84E12C74482EA5120F5227F6F00217DECAAC21D6B43958DFE68658C192E</vt:lpwstr>
  </property>
  <property fmtid="{D5CDD505-2E9C-101B-9397-08002B2CF9AE}" pid="19" name="MediaServiceImageTags">
    <vt:lpwstr/>
  </property>
  <property fmtid="{D5CDD505-2E9C-101B-9397-08002B2CF9AE}" pid="20" name="DQCStatus">
    <vt:lpwstr>Green (DQC version 03)</vt:lpwstr>
  </property>
</Properties>
</file>