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C4" w:rsidRPr="007F2418" w:rsidRDefault="002634C4" w:rsidP="007F4997">
      <w:pPr>
        <w:widowControl/>
        <w:spacing w:line="288" w:lineRule="auto"/>
        <w:jc w:val="both"/>
        <w:rPr>
          <w:sz w:val="24"/>
        </w:rPr>
      </w:pPr>
      <w:r w:rsidRPr="007F2418">
        <w:rPr>
          <w:sz w:val="24"/>
        </w:rPr>
        <w:t>Skatteministeriet</w:t>
      </w:r>
      <w:r w:rsidR="00FE5FE8" w:rsidRPr="007F2418">
        <w:rPr>
          <w:sz w:val="24"/>
        </w:rPr>
        <w:t xml:space="preserve">, </w:t>
      </w:r>
      <w:r w:rsidR="00EB2D0D">
        <w:rPr>
          <w:sz w:val="24"/>
        </w:rPr>
        <w:t xml:space="preserve">8. </w:t>
      </w:r>
      <w:r w:rsidR="00AD7871" w:rsidRPr="007F2418">
        <w:rPr>
          <w:sz w:val="24"/>
        </w:rPr>
        <w:t>oktober</w:t>
      </w:r>
      <w:r w:rsidR="00FE5FE8" w:rsidRPr="007F2418">
        <w:rPr>
          <w:sz w:val="24"/>
        </w:rPr>
        <w:t xml:space="preserve"> 2012</w:t>
      </w:r>
      <w:r w:rsidR="00FE5FE8" w:rsidRPr="007F2418">
        <w:rPr>
          <w:sz w:val="24"/>
        </w:rPr>
        <w:tab/>
      </w:r>
      <w:r w:rsidR="00FE5FE8" w:rsidRPr="007F2418">
        <w:rPr>
          <w:sz w:val="24"/>
        </w:rPr>
        <w:tab/>
      </w:r>
      <w:r w:rsidR="00FE5FE8" w:rsidRPr="007F2418">
        <w:rPr>
          <w:sz w:val="24"/>
        </w:rPr>
        <w:tab/>
      </w:r>
      <w:r w:rsidRPr="007F2418">
        <w:rPr>
          <w:sz w:val="24"/>
        </w:rPr>
        <w:t xml:space="preserve">J. nr. </w:t>
      </w:r>
      <w:bookmarkStart w:id="0" w:name="sagsnr"/>
      <w:bookmarkEnd w:id="0"/>
      <w:r w:rsidR="00912835" w:rsidRPr="007F2418">
        <w:rPr>
          <w:sz w:val="24"/>
        </w:rPr>
        <w:t>12-</w:t>
      </w:r>
      <w:r w:rsidR="00ED6E42" w:rsidRPr="007F2418">
        <w:rPr>
          <w:sz w:val="24"/>
        </w:rPr>
        <w:t>0177381</w:t>
      </w:r>
      <w:r w:rsidR="00912835" w:rsidRPr="007F2418">
        <w:rPr>
          <w:sz w:val="24"/>
        </w:rPr>
        <w:t>.</w:t>
      </w:r>
    </w:p>
    <w:p w:rsidR="002634C4" w:rsidRPr="007F2418" w:rsidRDefault="00246759" w:rsidP="002634C4">
      <w:pPr>
        <w:widowControl/>
        <w:spacing w:line="288" w:lineRule="auto"/>
        <w:rPr>
          <w:b/>
          <w:sz w:val="24"/>
        </w:rPr>
      </w:pPr>
      <w:r w:rsidRPr="007F2418">
        <w:rPr>
          <w:sz w:val="24"/>
        </w:rPr>
        <w:t xml:space="preserve">Udkast </w:t>
      </w:r>
    </w:p>
    <w:p w:rsidR="002634C4" w:rsidRPr="007F2418" w:rsidRDefault="002634C4" w:rsidP="002634C4">
      <w:pPr>
        <w:widowControl/>
        <w:spacing w:line="288" w:lineRule="auto"/>
        <w:jc w:val="both"/>
        <w:rPr>
          <w:sz w:val="24"/>
        </w:rPr>
      </w:pPr>
      <w:bookmarkStart w:id="1" w:name="dagsdato_dk"/>
      <w:bookmarkEnd w:id="1"/>
    </w:p>
    <w:p w:rsidR="00E2288F" w:rsidRPr="007F2418" w:rsidRDefault="00E2288F" w:rsidP="002634C4">
      <w:pPr>
        <w:jc w:val="center"/>
        <w:rPr>
          <w:b/>
          <w:bCs/>
          <w:sz w:val="24"/>
        </w:rPr>
      </w:pPr>
      <w:r w:rsidRPr="007F2418">
        <w:rPr>
          <w:b/>
          <w:bCs/>
          <w:sz w:val="24"/>
        </w:rPr>
        <w:t xml:space="preserve">  </w:t>
      </w:r>
    </w:p>
    <w:p w:rsidR="00E2288F" w:rsidRPr="007F2418" w:rsidRDefault="00E2288F" w:rsidP="002634C4">
      <w:pPr>
        <w:jc w:val="center"/>
        <w:rPr>
          <w:b/>
          <w:bCs/>
          <w:sz w:val="24"/>
        </w:rPr>
      </w:pPr>
    </w:p>
    <w:p w:rsidR="002634C4" w:rsidRPr="007F2418" w:rsidRDefault="002634C4" w:rsidP="002634C4">
      <w:pPr>
        <w:jc w:val="center"/>
        <w:rPr>
          <w:b/>
          <w:bCs/>
          <w:sz w:val="24"/>
        </w:rPr>
      </w:pPr>
      <w:r w:rsidRPr="007F2418">
        <w:rPr>
          <w:b/>
          <w:bCs/>
          <w:sz w:val="24"/>
        </w:rPr>
        <w:t xml:space="preserve">Forslag </w:t>
      </w:r>
    </w:p>
    <w:p w:rsidR="002634C4" w:rsidRPr="007F2418" w:rsidRDefault="002634C4" w:rsidP="002634C4">
      <w:pPr>
        <w:jc w:val="center"/>
        <w:rPr>
          <w:sz w:val="24"/>
        </w:rPr>
      </w:pPr>
      <w:r w:rsidRPr="007F2418">
        <w:rPr>
          <w:sz w:val="24"/>
        </w:rPr>
        <w:t xml:space="preserve">til </w:t>
      </w:r>
    </w:p>
    <w:p w:rsidR="002634C4" w:rsidRPr="007F2418" w:rsidRDefault="00912835" w:rsidP="002634C4">
      <w:pPr>
        <w:jc w:val="center"/>
        <w:rPr>
          <w:bCs/>
          <w:sz w:val="24"/>
          <w:vertAlign w:val="superscript"/>
        </w:rPr>
      </w:pPr>
      <w:r w:rsidRPr="007F2418">
        <w:rPr>
          <w:bCs/>
          <w:sz w:val="24"/>
        </w:rPr>
        <w:t xml:space="preserve">Lov om </w:t>
      </w:r>
      <w:r w:rsidR="00757ECC" w:rsidRPr="007F2418">
        <w:rPr>
          <w:bCs/>
          <w:sz w:val="24"/>
        </w:rPr>
        <w:t xml:space="preserve">ændring af lov om afgift af stenkul, brunkul og koks m.v. og </w:t>
      </w:r>
      <w:r w:rsidR="004365E6" w:rsidRPr="007F2418">
        <w:rPr>
          <w:bCs/>
          <w:sz w:val="24"/>
        </w:rPr>
        <w:t>l</w:t>
      </w:r>
      <w:r w:rsidR="00757ECC" w:rsidRPr="007F2418">
        <w:rPr>
          <w:bCs/>
          <w:sz w:val="24"/>
        </w:rPr>
        <w:t>ov om kuldioxid</w:t>
      </w:r>
      <w:r w:rsidR="000B5E57" w:rsidRPr="007F2418">
        <w:rPr>
          <w:bCs/>
          <w:sz w:val="24"/>
        </w:rPr>
        <w:t>afgift</w:t>
      </w:r>
      <w:r w:rsidR="00757ECC" w:rsidRPr="007F2418">
        <w:rPr>
          <w:bCs/>
          <w:sz w:val="24"/>
        </w:rPr>
        <w:t xml:space="preserve"> </w:t>
      </w:r>
      <w:r w:rsidR="004365E6" w:rsidRPr="007F2418">
        <w:rPr>
          <w:bCs/>
          <w:sz w:val="24"/>
        </w:rPr>
        <w:t>af visse energiprodukter</w:t>
      </w:r>
      <w:r w:rsidR="00942523" w:rsidRPr="007F2418">
        <w:rPr>
          <w:bCs/>
          <w:sz w:val="24"/>
        </w:rPr>
        <w:t xml:space="preserve"> </w:t>
      </w:r>
      <w:r w:rsidR="00942523" w:rsidRPr="007F2418">
        <w:rPr>
          <w:rStyle w:val="Fodnotehenvisning"/>
          <w:bCs/>
          <w:sz w:val="24"/>
        </w:rPr>
        <w:footnoteReference w:id="1"/>
      </w:r>
      <w:r w:rsidR="00942523" w:rsidRPr="007F2418">
        <w:rPr>
          <w:bCs/>
          <w:sz w:val="24"/>
          <w:vertAlign w:val="superscript"/>
        </w:rPr>
        <w:t>)</w:t>
      </w:r>
    </w:p>
    <w:p w:rsidR="00F47FC5" w:rsidRPr="007F2418" w:rsidRDefault="00F47FC5" w:rsidP="002634C4">
      <w:pPr>
        <w:jc w:val="center"/>
        <w:rPr>
          <w:bCs/>
          <w:sz w:val="24"/>
        </w:rPr>
      </w:pPr>
      <w:r w:rsidRPr="007F2418">
        <w:rPr>
          <w:bCs/>
          <w:sz w:val="24"/>
        </w:rPr>
        <w:t>(</w:t>
      </w:r>
      <w:r w:rsidR="00EC195B" w:rsidRPr="007F2418">
        <w:rPr>
          <w:bCs/>
          <w:sz w:val="24"/>
        </w:rPr>
        <w:t>T</w:t>
      </w:r>
      <w:r w:rsidR="00AE50FA" w:rsidRPr="007F2418">
        <w:rPr>
          <w:bCs/>
          <w:sz w:val="24"/>
        </w:rPr>
        <w:t>ilpasninger</w:t>
      </w:r>
      <w:r w:rsidRPr="007F2418">
        <w:rPr>
          <w:bCs/>
          <w:sz w:val="24"/>
        </w:rPr>
        <w:t xml:space="preserve"> som følge af </w:t>
      </w:r>
      <w:r w:rsidR="006B1725" w:rsidRPr="007F2418">
        <w:rPr>
          <w:bCs/>
          <w:sz w:val="24"/>
        </w:rPr>
        <w:t xml:space="preserve">at større </w:t>
      </w:r>
      <w:r w:rsidR="003149F5" w:rsidRPr="007F2418">
        <w:rPr>
          <w:bCs/>
          <w:sz w:val="24"/>
        </w:rPr>
        <w:t xml:space="preserve">affaldsforbrændingsanlæg </w:t>
      </w:r>
      <w:r w:rsidR="00B03D43" w:rsidRPr="007F2418">
        <w:rPr>
          <w:bCs/>
          <w:sz w:val="24"/>
        </w:rPr>
        <w:t>indgår i</w:t>
      </w:r>
      <w:r w:rsidR="0073031D" w:rsidRPr="007F2418">
        <w:rPr>
          <w:bCs/>
          <w:sz w:val="24"/>
        </w:rPr>
        <w:t xml:space="preserve"> CO</w:t>
      </w:r>
      <w:r w:rsidR="0073031D" w:rsidRPr="007F2418">
        <w:rPr>
          <w:bCs/>
          <w:sz w:val="24"/>
          <w:vertAlign w:val="subscript"/>
        </w:rPr>
        <w:t>2</w:t>
      </w:r>
      <w:r w:rsidR="0073031D" w:rsidRPr="007F2418">
        <w:rPr>
          <w:bCs/>
          <w:sz w:val="24"/>
        </w:rPr>
        <w:t>-kvote</w:t>
      </w:r>
      <w:r w:rsidR="006B1725" w:rsidRPr="007F2418">
        <w:rPr>
          <w:bCs/>
          <w:sz w:val="24"/>
        </w:rPr>
        <w:t xml:space="preserve">sektoren </w:t>
      </w:r>
      <w:r w:rsidR="00022D63" w:rsidRPr="007F2418">
        <w:rPr>
          <w:bCs/>
          <w:sz w:val="24"/>
        </w:rPr>
        <w:t xml:space="preserve"> fra og med</w:t>
      </w:r>
      <w:r w:rsidR="006B1725" w:rsidRPr="007F2418">
        <w:rPr>
          <w:bCs/>
          <w:sz w:val="24"/>
        </w:rPr>
        <w:t xml:space="preserve"> 2013</w:t>
      </w:r>
      <w:r w:rsidRPr="007F2418">
        <w:rPr>
          <w:bCs/>
          <w:sz w:val="24"/>
        </w:rPr>
        <w:t>)</w:t>
      </w:r>
    </w:p>
    <w:p w:rsidR="0068583B" w:rsidRPr="007F2418" w:rsidRDefault="0068583B" w:rsidP="002634C4">
      <w:pPr>
        <w:jc w:val="center"/>
        <w:rPr>
          <w:sz w:val="24"/>
        </w:rPr>
      </w:pPr>
    </w:p>
    <w:p w:rsidR="002634C4" w:rsidRPr="007F2418" w:rsidRDefault="002634C4" w:rsidP="00C33FDC">
      <w:pPr>
        <w:pStyle w:val="Sidehoved"/>
        <w:tabs>
          <w:tab w:val="clear" w:pos="4819"/>
          <w:tab w:val="clear" w:pos="9638"/>
        </w:tabs>
        <w:rPr>
          <w:b/>
          <w:bCs/>
          <w:sz w:val="24"/>
        </w:rPr>
      </w:pPr>
    </w:p>
    <w:p w:rsidR="002634C4" w:rsidRPr="007F2418" w:rsidRDefault="002634C4" w:rsidP="002634C4">
      <w:pPr>
        <w:jc w:val="center"/>
        <w:rPr>
          <w:sz w:val="24"/>
        </w:rPr>
      </w:pPr>
    </w:p>
    <w:p w:rsidR="002634C4" w:rsidRPr="007F2418" w:rsidRDefault="002634C4" w:rsidP="002634C4">
      <w:pPr>
        <w:tabs>
          <w:tab w:val="left" w:pos="360"/>
        </w:tabs>
        <w:rPr>
          <w:i/>
          <w:iCs/>
          <w:sz w:val="24"/>
        </w:rPr>
      </w:pPr>
      <w:r w:rsidRPr="007F2418">
        <w:rPr>
          <w:i/>
          <w:iCs/>
          <w:sz w:val="24"/>
        </w:rPr>
        <w:tab/>
      </w:r>
    </w:p>
    <w:p w:rsidR="00B40EE5" w:rsidRPr="007F2418" w:rsidRDefault="00B40EE5" w:rsidP="0007358C">
      <w:pPr>
        <w:widowControl/>
        <w:tabs>
          <w:tab w:val="left" w:pos="284"/>
        </w:tabs>
        <w:spacing w:after="240"/>
        <w:rPr>
          <w:color w:val="000000"/>
          <w:sz w:val="24"/>
        </w:rPr>
      </w:pPr>
      <w:r w:rsidRPr="007F2418">
        <w:rPr>
          <w:b/>
          <w:bCs/>
          <w:sz w:val="24"/>
        </w:rPr>
        <w:t xml:space="preserve">                   </w:t>
      </w:r>
      <w:r w:rsidRPr="007F2418">
        <w:rPr>
          <w:b/>
          <w:bCs/>
          <w:sz w:val="24"/>
        </w:rPr>
        <w:tab/>
      </w:r>
      <w:r w:rsidRPr="007F2418">
        <w:rPr>
          <w:b/>
          <w:bCs/>
          <w:sz w:val="24"/>
        </w:rPr>
        <w:tab/>
      </w:r>
      <w:r w:rsidR="00C43F2E" w:rsidRPr="007F2418">
        <w:rPr>
          <w:b/>
          <w:bCs/>
          <w:sz w:val="24"/>
        </w:rPr>
        <w:tab/>
      </w:r>
      <w:r w:rsidR="002634C4" w:rsidRPr="007F2418">
        <w:rPr>
          <w:b/>
          <w:bCs/>
          <w:sz w:val="24"/>
        </w:rPr>
        <w:t xml:space="preserve">§ </w:t>
      </w:r>
      <w:r w:rsidR="000C1E52" w:rsidRPr="007F2418">
        <w:rPr>
          <w:b/>
          <w:bCs/>
          <w:sz w:val="24"/>
        </w:rPr>
        <w:t>1</w:t>
      </w:r>
    </w:p>
    <w:p w:rsidR="0007358C" w:rsidRPr="007F2418" w:rsidRDefault="00DD070B" w:rsidP="00DD070B">
      <w:pPr>
        <w:pStyle w:val="Listeafsnit"/>
        <w:widowControl/>
        <w:tabs>
          <w:tab w:val="left" w:pos="284"/>
        </w:tabs>
        <w:spacing w:after="240" w:line="288" w:lineRule="auto"/>
        <w:ind w:left="0"/>
        <w:rPr>
          <w:sz w:val="24"/>
        </w:rPr>
      </w:pPr>
      <w:r w:rsidRPr="007F2418">
        <w:rPr>
          <w:sz w:val="24"/>
        </w:rPr>
        <w:t xml:space="preserve"> </w:t>
      </w:r>
      <w:r w:rsidR="000C1E52" w:rsidRPr="007F2418">
        <w:rPr>
          <w:sz w:val="24"/>
        </w:rPr>
        <w:t xml:space="preserve">I lov om af afgift af stenkul, brunkul og koks m.v., jf. lovbekendtgørelse nr. 1292 af 17. november 2010, som ændret </w:t>
      </w:r>
      <w:r w:rsidR="006C2290" w:rsidRPr="007F2418">
        <w:rPr>
          <w:sz w:val="24"/>
        </w:rPr>
        <w:t>senest ved</w:t>
      </w:r>
      <w:r w:rsidR="001453B1" w:rsidRPr="007F2418">
        <w:rPr>
          <w:sz w:val="24"/>
        </w:rPr>
        <w:t xml:space="preserve"> § 5 i lov nr. 481 af 30. maj 2012</w:t>
      </w:r>
      <w:r w:rsidR="000C1E52" w:rsidRPr="007F2418">
        <w:rPr>
          <w:sz w:val="24"/>
        </w:rPr>
        <w:t>, foretages følgende ændring</w:t>
      </w:r>
      <w:r w:rsidR="006C2290" w:rsidRPr="007F2418">
        <w:rPr>
          <w:sz w:val="24"/>
        </w:rPr>
        <w:t>e</w:t>
      </w:r>
      <w:r w:rsidR="000C1E52" w:rsidRPr="007F2418">
        <w:rPr>
          <w:sz w:val="24"/>
        </w:rPr>
        <w:t>r:</w:t>
      </w:r>
    </w:p>
    <w:p w:rsidR="00DD070B" w:rsidRPr="007F2418" w:rsidRDefault="00DD070B" w:rsidP="00DD070B">
      <w:pPr>
        <w:pStyle w:val="Listeafsnit"/>
        <w:widowControl/>
        <w:tabs>
          <w:tab w:val="left" w:pos="284"/>
        </w:tabs>
        <w:spacing w:after="240" w:line="288" w:lineRule="auto"/>
        <w:ind w:left="0"/>
        <w:rPr>
          <w:sz w:val="24"/>
        </w:rPr>
      </w:pPr>
    </w:p>
    <w:p w:rsidR="001646D7" w:rsidRPr="007F2418" w:rsidRDefault="001646D7" w:rsidP="001646D7">
      <w:pPr>
        <w:pStyle w:val="Listeafsnit"/>
        <w:widowControl/>
        <w:numPr>
          <w:ilvl w:val="0"/>
          <w:numId w:val="6"/>
        </w:numPr>
        <w:tabs>
          <w:tab w:val="left" w:pos="284"/>
        </w:tabs>
        <w:spacing w:after="240" w:line="288" w:lineRule="auto"/>
        <w:ind w:left="0" w:hanging="11"/>
        <w:rPr>
          <w:sz w:val="24"/>
        </w:rPr>
      </w:pPr>
      <w:r w:rsidRPr="007F2418">
        <w:rPr>
          <w:i/>
          <w:sz w:val="24"/>
        </w:rPr>
        <w:t>§ 5, stk. 3, 6. pkt.,</w:t>
      </w:r>
      <w:r w:rsidRPr="007F2418">
        <w:rPr>
          <w:sz w:val="24"/>
        </w:rPr>
        <w:t xml:space="preserve"> </w:t>
      </w:r>
      <w:r w:rsidR="007A07F9" w:rsidRPr="007F2418">
        <w:rPr>
          <w:sz w:val="24"/>
        </w:rPr>
        <w:t>ophæves</w:t>
      </w:r>
      <w:r w:rsidR="00022D63" w:rsidRPr="007F2418">
        <w:rPr>
          <w:sz w:val="24"/>
        </w:rPr>
        <w:t>, og i stedet indsættes</w:t>
      </w:r>
      <w:r w:rsidRPr="007F2418">
        <w:rPr>
          <w:sz w:val="24"/>
        </w:rPr>
        <w:t>:</w:t>
      </w:r>
      <w:r w:rsidR="00916DFD" w:rsidRPr="007F2418">
        <w:rPr>
          <w:sz w:val="24"/>
        </w:rPr>
        <w:br/>
      </w:r>
      <w:r w:rsidR="00052EC6" w:rsidRPr="007F2418">
        <w:rPr>
          <w:sz w:val="24"/>
        </w:rPr>
        <w:t xml:space="preserve"> </w:t>
      </w:r>
      <w:r w:rsidRPr="007F2418">
        <w:rPr>
          <w:sz w:val="24"/>
        </w:rPr>
        <w:t>”Hvis det faktiske energiindhold i affaldet, jf. 4. pkt., ikke opgøres i forbindelse med opgørelsen af udledt</w:t>
      </w:r>
      <w:r w:rsidR="005C22B5" w:rsidRPr="007F2418">
        <w:rPr>
          <w:sz w:val="24"/>
        </w:rPr>
        <w:t xml:space="preserve"> CO</w:t>
      </w:r>
      <w:r w:rsidR="005C22B5" w:rsidRPr="00F31EDD">
        <w:rPr>
          <w:sz w:val="24"/>
          <w:vertAlign w:val="subscript"/>
        </w:rPr>
        <w:t>2</w:t>
      </w:r>
      <w:r w:rsidRPr="007F2418">
        <w:rPr>
          <w:sz w:val="24"/>
        </w:rPr>
        <w:t>, jf. lov om CO</w:t>
      </w:r>
      <w:r w:rsidRPr="007F2418">
        <w:rPr>
          <w:sz w:val="24"/>
          <w:vertAlign w:val="subscript"/>
        </w:rPr>
        <w:t>2</w:t>
      </w:r>
      <w:r w:rsidRPr="007F2418">
        <w:rPr>
          <w:sz w:val="24"/>
        </w:rPr>
        <w:t xml:space="preserve">-kvoter, opgøres den afgiftspligtige mængde for virksomheder, som er omfattet af bilag 1 til denne lov, og som producerer både varme og elektricitet, som leveret varme ganget med energiindholdet i det afgiftspligtige affald divideret med det samlede energiindhold i brændslerne. Energiindholdet i det afgiftspligtige affald beregnes som summen af leveret varme, bortkølet varme og produceret elektricitet divideret med 0,85, hvorpå fratrækkes energiindholdet i andre brændsler, mens det samlede energiindhold i brændslerne beregnes som summen af leveret varme, bortkølet varme og produceret elektricitet divideret med 0,85. Hvis energiindholdet i andre brændsler, jf. 1., 3. og </w:t>
      </w:r>
      <w:r w:rsidR="005E0AD2" w:rsidRPr="007F2418">
        <w:rPr>
          <w:sz w:val="24"/>
        </w:rPr>
        <w:t>7</w:t>
      </w:r>
      <w:r w:rsidRPr="007F2418">
        <w:rPr>
          <w:sz w:val="24"/>
        </w:rPr>
        <w:t>. pkt.</w:t>
      </w:r>
      <w:r w:rsidR="00022D63" w:rsidRPr="007F2418">
        <w:rPr>
          <w:sz w:val="24"/>
        </w:rPr>
        <w:t>,</w:t>
      </w:r>
      <w:r w:rsidRPr="007F2418">
        <w:rPr>
          <w:sz w:val="24"/>
        </w:rPr>
        <w:t xml:space="preserve"> ikke kan dokumenteres, anvendes energiindholdet nævnt i § 7, stk.</w:t>
      </w:r>
      <w:r w:rsidR="0003038B" w:rsidRPr="007F2418">
        <w:rPr>
          <w:sz w:val="24"/>
        </w:rPr>
        <w:t xml:space="preserve"> 1.</w:t>
      </w:r>
      <w:r w:rsidRPr="007F2418">
        <w:rPr>
          <w:sz w:val="24"/>
        </w:rPr>
        <w:t>”</w:t>
      </w:r>
    </w:p>
    <w:p w:rsidR="00052EC6" w:rsidRPr="007F2418" w:rsidRDefault="00052EC6" w:rsidP="001453B1">
      <w:pPr>
        <w:pStyle w:val="Listeafsnit"/>
        <w:widowControl/>
        <w:tabs>
          <w:tab w:val="left" w:pos="284"/>
        </w:tabs>
        <w:spacing w:after="240"/>
        <w:ind w:left="0"/>
        <w:rPr>
          <w:color w:val="000000"/>
          <w:sz w:val="24"/>
        </w:rPr>
      </w:pPr>
    </w:p>
    <w:p w:rsidR="00052EC6" w:rsidRPr="007F2418" w:rsidRDefault="004C21F7" w:rsidP="00052EC6">
      <w:pPr>
        <w:pStyle w:val="Listeafsnit"/>
        <w:widowControl/>
        <w:numPr>
          <w:ilvl w:val="0"/>
          <w:numId w:val="6"/>
        </w:numPr>
        <w:tabs>
          <w:tab w:val="left" w:pos="284"/>
        </w:tabs>
        <w:spacing w:after="240" w:line="288" w:lineRule="auto"/>
        <w:ind w:left="0" w:hanging="11"/>
        <w:rPr>
          <w:sz w:val="24"/>
        </w:rPr>
      </w:pPr>
      <w:r w:rsidRPr="007F2418">
        <w:rPr>
          <w:sz w:val="24"/>
        </w:rPr>
        <w:t xml:space="preserve">I </w:t>
      </w:r>
      <w:r w:rsidRPr="007F2418">
        <w:rPr>
          <w:i/>
          <w:sz w:val="24"/>
        </w:rPr>
        <w:t>§ 5, stk. 3,</w:t>
      </w:r>
      <w:r w:rsidRPr="007F2418">
        <w:rPr>
          <w:sz w:val="24"/>
        </w:rPr>
        <w:t xml:space="preserve"> indsættes</w:t>
      </w:r>
      <w:r w:rsidR="00FD2B0F" w:rsidRPr="007F2418">
        <w:rPr>
          <w:sz w:val="24"/>
        </w:rPr>
        <w:t xml:space="preserve"> efter 9. pkt., der bliver 11. pkt., som </w:t>
      </w:r>
      <w:r w:rsidR="00FD2B0F" w:rsidRPr="00F31EDD">
        <w:rPr>
          <w:i/>
          <w:sz w:val="24"/>
        </w:rPr>
        <w:t>1</w:t>
      </w:r>
      <w:r w:rsidR="00F364BD">
        <w:rPr>
          <w:i/>
          <w:sz w:val="24"/>
        </w:rPr>
        <w:t xml:space="preserve">2. </w:t>
      </w:r>
      <w:r w:rsidR="00F364BD" w:rsidRPr="00EB2D0D">
        <w:rPr>
          <w:sz w:val="24"/>
        </w:rPr>
        <w:t>og</w:t>
      </w:r>
      <w:r w:rsidR="00F364BD">
        <w:rPr>
          <w:i/>
          <w:sz w:val="24"/>
        </w:rPr>
        <w:t xml:space="preserve"> 1</w:t>
      </w:r>
      <w:r w:rsidR="000B2DF4">
        <w:rPr>
          <w:i/>
          <w:sz w:val="24"/>
        </w:rPr>
        <w:t>3</w:t>
      </w:r>
      <w:r w:rsidR="00FD2B0F" w:rsidRPr="00F31EDD">
        <w:rPr>
          <w:i/>
          <w:sz w:val="24"/>
        </w:rPr>
        <w:t>. pkt.</w:t>
      </w:r>
      <w:r w:rsidR="00FD2B0F" w:rsidRPr="007F2418">
        <w:rPr>
          <w:sz w:val="24"/>
        </w:rPr>
        <w:t>:</w:t>
      </w:r>
    </w:p>
    <w:p w:rsidR="00DD417A" w:rsidRPr="007F2418" w:rsidRDefault="00052EC6" w:rsidP="00052EC6">
      <w:pPr>
        <w:pStyle w:val="Listeafsnit"/>
        <w:widowControl/>
        <w:tabs>
          <w:tab w:val="left" w:pos="284"/>
        </w:tabs>
        <w:spacing w:after="240" w:line="288" w:lineRule="auto"/>
        <w:ind w:left="0"/>
        <w:rPr>
          <w:sz w:val="24"/>
        </w:rPr>
      </w:pPr>
      <w:r w:rsidRPr="007F2418">
        <w:rPr>
          <w:sz w:val="24"/>
        </w:rPr>
        <w:t xml:space="preserve"> </w:t>
      </w:r>
      <w:r w:rsidR="00DD417A" w:rsidRPr="007F2418">
        <w:rPr>
          <w:sz w:val="24"/>
        </w:rPr>
        <w:t>”Når der foretages opgørelse af det faktiske energiindhold, jf. 4. pkt., og opgørelsen dækker en periode, jf. lov om CO</w:t>
      </w:r>
      <w:r w:rsidR="00DD417A" w:rsidRPr="007F2418">
        <w:rPr>
          <w:sz w:val="24"/>
          <w:vertAlign w:val="subscript"/>
        </w:rPr>
        <w:t>2</w:t>
      </w:r>
      <w:r w:rsidR="00DD417A" w:rsidRPr="007F2418">
        <w:rPr>
          <w:sz w:val="24"/>
        </w:rPr>
        <w:t>-kvoter, som er af længere varighed end afgiftsperioden, foretages for hver af de af denne periode omfattede afgiftsperioder en foreløbig opgørelse af energiindholdet.</w:t>
      </w:r>
      <w:r w:rsidR="000B2DF4">
        <w:rPr>
          <w:sz w:val="24"/>
        </w:rPr>
        <w:t xml:space="preserve"> Hvis der foreligger verificerede oplysninger om energiindholdet, jf. 4. pkt., i overensstemmelse med CO</w:t>
      </w:r>
      <w:r w:rsidR="000B2DF4" w:rsidRPr="001128EC">
        <w:rPr>
          <w:sz w:val="24"/>
          <w:vertAlign w:val="subscript"/>
        </w:rPr>
        <w:t>2</w:t>
      </w:r>
      <w:r w:rsidR="000B2DF4">
        <w:rPr>
          <w:sz w:val="24"/>
        </w:rPr>
        <w:t xml:space="preserve">-kvotelovgivningen for </w:t>
      </w:r>
      <w:r w:rsidR="00EA6E84">
        <w:rPr>
          <w:sz w:val="24"/>
        </w:rPr>
        <w:t xml:space="preserve">en </w:t>
      </w:r>
      <w:r w:rsidR="000B2DF4">
        <w:rPr>
          <w:sz w:val="24"/>
        </w:rPr>
        <w:t>afgift</w:t>
      </w:r>
      <w:r w:rsidR="00F364BD">
        <w:rPr>
          <w:sz w:val="24"/>
        </w:rPr>
        <w:t>s</w:t>
      </w:r>
      <w:r w:rsidR="000B2DF4">
        <w:rPr>
          <w:sz w:val="24"/>
        </w:rPr>
        <w:t>periode, anvendes disse oplysninger ved opgørelsen for afgiftsperioden.</w:t>
      </w:r>
      <w:r w:rsidR="00DD417A" w:rsidRPr="007F2418">
        <w:rPr>
          <w:sz w:val="24"/>
        </w:rPr>
        <w:t>”</w:t>
      </w:r>
    </w:p>
    <w:p w:rsidR="00D40103" w:rsidRPr="007F2418" w:rsidRDefault="00D40103" w:rsidP="00D40103">
      <w:pPr>
        <w:pStyle w:val="Listeafsnit"/>
        <w:widowControl/>
        <w:tabs>
          <w:tab w:val="left" w:pos="284"/>
        </w:tabs>
        <w:spacing w:after="240"/>
        <w:ind w:left="360"/>
        <w:rPr>
          <w:color w:val="000000"/>
          <w:sz w:val="24"/>
        </w:rPr>
      </w:pPr>
    </w:p>
    <w:p w:rsidR="0082213B" w:rsidRPr="007F2418" w:rsidRDefault="0082213B" w:rsidP="005E4856">
      <w:pPr>
        <w:pStyle w:val="Listeafsnit"/>
        <w:widowControl/>
        <w:numPr>
          <w:ilvl w:val="0"/>
          <w:numId w:val="6"/>
        </w:numPr>
        <w:tabs>
          <w:tab w:val="left" w:pos="284"/>
        </w:tabs>
        <w:spacing w:after="240" w:line="288" w:lineRule="auto"/>
        <w:rPr>
          <w:sz w:val="24"/>
        </w:rPr>
      </w:pPr>
      <w:r w:rsidRPr="007F2418">
        <w:rPr>
          <w:sz w:val="24"/>
        </w:rPr>
        <w:t xml:space="preserve">I </w:t>
      </w:r>
      <w:r w:rsidRPr="007F2418">
        <w:rPr>
          <w:i/>
          <w:sz w:val="24"/>
        </w:rPr>
        <w:t>§ 5, stk. 5</w:t>
      </w:r>
      <w:r w:rsidR="00D903CB" w:rsidRPr="007F2418">
        <w:rPr>
          <w:sz w:val="24"/>
        </w:rPr>
        <w:t xml:space="preserve">, indsættes </w:t>
      </w:r>
      <w:r w:rsidR="00057F50" w:rsidRPr="007F2418">
        <w:rPr>
          <w:sz w:val="24"/>
        </w:rPr>
        <w:t xml:space="preserve">som </w:t>
      </w:r>
      <w:r w:rsidR="00057F50" w:rsidRPr="00F31EDD">
        <w:rPr>
          <w:i/>
          <w:sz w:val="24"/>
        </w:rPr>
        <w:t>4.-</w:t>
      </w:r>
      <w:r w:rsidR="000B2DF4">
        <w:rPr>
          <w:i/>
          <w:sz w:val="24"/>
        </w:rPr>
        <w:t>7</w:t>
      </w:r>
      <w:r w:rsidR="00057F50" w:rsidRPr="00F31EDD">
        <w:rPr>
          <w:i/>
          <w:sz w:val="24"/>
        </w:rPr>
        <w:t>. pkt</w:t>
      </w:r>
      <w:r w:rsidR="00057F50" w:rsidRPr="007F2418">
        <w:rPr>
          <w:sz w:val="24"/>
        </w:rPr>
        <w:t>.:</w:t>
      </w:r>
      <w:bookmarkStart w:id="2" w:name="_GoBack"/>
      <w:bookmarkEnd w:id="2"/>
    </w:p>
    <w:p w:rsidR="0082213B" w:rsidRPr="007F2418" w:rsidRDefault="005E4856" w:rsidP="004703BF">
      <w:pPr>
        <w:pStyle w:val="Listeafsnit"/>
        <w:widowControl/>
        <w:tabs>
          <w:tab w:val="left" w:pos="284"/>
        </w:tabs>
        <w:spacing w:after="240" w:line="288" w:lineRule="auto"/>
        <w:ind w:left="0"/>
        <w:rPr>
          <w:sz w:val="24"/>
        </w:rPr>
      </w:pPr>
      <w:r w:rsidRPr="007F2418">
        <w:rPr>
          <w:sz w:val="24"/>
        </w:rPr>
        <w:lastRenderedPageBreak/>
        <w:t xml:space="preserve"> </w:t>
      </w:r>
      <w:r w:rsidR="0082213B" w:rsidRPr="007F2418">
        <w:rPr>
          <w:sz w:val="24"/>
        </w:rPr>
        <w:t xml:space="preserve">”Hvis </w:t>
      </w:r>
      <w:r w:rsidR="009D35FA" w:rsidRPr="007F2418">
        <w:rPr>
          <w:sz w:val="24"/>
        </w:rPr>
        <w:t xml:space="preserve">det faktiske </w:t>
      </w:r>
      <w:r w:rsidR="0082213B" w:rsidRPr="007F2418">
        <w:rPr>
          <w:sz w:val="24"/>
        </w:rPr>
        <w:t>energiindhold i den indfyrede mængde afgiftspligtigt affald for anlægget</w:t>
      </w:r>
      <w:r w:rsidR="00A202E0">
        <w:rPr>
          <w:sz w:val="24"/>
        </w:rPr>
        <w:t>, jf. 1. pkt.,</w:t>
      </w:r>
      <w:r w:rsidR="0082213B" w:rsidRPr="007F2418">
        <w:rPr>
          <w:sz w:val="24"/>
        </w:rPr>
        <w:t xml:space="preserve"> ikke opgøres i forbindelse med opgørelsen af udledt</w:t>
      </w:r>
      <w:r w:rsidR="005C22B5" w:rsidRPr="007F2418">
        <w:rPr>
          <w:sz w:val="24"/>
        </w:rPr>
        <w:t xml:space="preserve"> CO</w:t>
      </w:r>
      <w:r w:rsidR="005C22B5" w:rsidRPr="00F31EDD">
        <w:rPr>
          <w:sz w:val="24"/>
          <w:vertAlign w:val="subscript"/>
        </w:rPr>
        <w:t>2</w:t>
      </w:r>
      <w:r w:rsidR="0082213B" w:rsidRPr="007F2418">
        <w:rPr>
          <w:sz w:val="24"/>
        </w:rPr>
        <w:t>, jf. lov om CO</w:t>
      </w:r>
      <w:r w:rsidR="0082213B" w:rsidRPr="007F2418">
        <w:rPr>
          <w:sz w:val="24"/>
          <w:vertAlign w:val="subscript"/>
        </w:rPr>
        <w:t>2</w:t>
      </w:r>
      <w:r w:rsidR="0082213B" w:rsidRPr="007F2418">
        <w:rPr>
          <w:sz w:val="24"/>
        </w:rPr>
        <w:t>-kvoter, opgøres den afgiftspligtige mængde, hvoraf der skal betales afgift efter § 1, stk. 2, nr. 3, som om virksomheden ikke har tilladelse til udledning af CO</w:t>
      </w:r>
      <w:r w:rsidR="0082213B" w:rsidRPr="007F2418">
        <w:rPr>
          <w:sz w:val="24"/>
          <w:vertAlign w:val="subscript"/>
        </w:rPr>
        <w:t>2</w:t>
      </w:r>
      <w:r w:rsidR="0082213B" w:rsidRPr="007F2418">
        <w:rPr>
          <w:sz w:val="24"/>
        </w:rPr>
        <w:t>, jf. lov om CO</w:t>
      </w:r>
      <w:r w:rsidR="0082213B" w:rsidRPr="007F2418">
        <w:rPr>
          <w:sz w:val="24"/>
          <w:vertAlign w:val="subscript"/>
        </w:rPr>
        <w:t>2</w:t>
      </w:r>
      <w:r w:rsidR="0082213B" w:rsidRPr="007F2418">
        <w:rPr>
          <w:sz w:val="24"/>
        </w:rPr>
        <w:t>-kvoter. Virksomheder, som ikke kunne anvende reglerne i stk. 11, 2.-6. pkt., i perioden 2010-2012, kan dog heller ikke efterfølgende anvende disse regler. Når der foretages opgørelse af det faktiske energiindhold, jf. 1. pkt., og opgørelsen dækker en periode, jf. lov om CO</w:t>
      </w:r>
      <w:r w:rsidR="0082213B" w:rsidRPr="007F2418">
        <w:rPr>
          <w:sz w:val="24"/>
          <w:vertAlign w:val="subscript"/>
        </w:rPr>
        <w:t>2</w:t>
      </w:r>
      <w:r w:rsidR="0082213B" w:rsidRPr="007F2418">
        <w:rPr>
          <w:sz w:val="24"/>
        </w:rPr>
        <w:t xml:space="preserve">-kvoter, som er af længere varighed end afgiftsperioden, foretages for hver af de af denne periode omfattede afgiftsperioder en foreløbig </w:t>
      </w:r>
      <w:r w:rsidR="002B6348" w:rsidRPr="007F2418">
        <w:rPr>
          <w:sz w:val="24"/>
        </w:rPr>
        <w:t>opgørelse af energiindholdet.</w:t>
      </w:r>
      <w:r w:rsidR="00943A05">
        <w:rPr>
          <w:sz w:val="24"/>
        </w:rPr>
        <w:t xml:space="preserve"> Hvis der foreligger verificerede oplysninger om energiindholdet, jf. 1. pkt., i overensstemmelse med CO</w:t>
      </w:r>
      <w:r w:rsidR="00943A05" w:rsidRPr="003A09DF">
        <w:rPr>
          <w:sz w:val="24"/>
          <w:vertAlign w:val="subscript"/>
        </w:rPr>
        <w:t>2</w:t>
      </w:r>
      <w:r w:rsidR="00943A05">
        <w:rPr>
          <w:sz w:val="24"/>
        </w:rPr>
        <w:t xml:space="preserve">-kvotelovgivningen for </w:t>
      </w:r>
      <w:r w:rsidR="00EA6E84">
        <w:rPr>
          <w:sz w:val="24"/>
        </w:rPr>
        <w:t xml:space="preserve">en </w:t>
      </w:r>
      <w:r w:rsidR="00943A05">
        <w:rPr>
          <w:sz w:val="24"/>
        </w:rPr>
        <w:t>afgift</w:t>
      </w:r>
      <w:r w:rsidR="00A877B9">
        <w:rPr>
          <w:sz w:val="24"/>
        </w:rPr>
        <w:t>s</w:t>
      </w:r>
      <w:r w:rsidR="00943A05">
        <w:rPr>
          <w:sz w:val="24"/>
        </w:rPr>
        <w:t>periode, anvendes disse oplysninger ved opgørelsen for afgiftsperioden.</w:t>
      </w:r>
      <w:r w:rsidR="002B6348" w:rsidRPr="007F2418">
        <w:rPr>
          <w:sz w:val="24"/>
        </w:rPr>
        <w:t>”</w:t>
      </w:r>
    </w:p>
    <w:p w:rsidR="0082213B" w:rsidRPr="007F2418" w:rsidRDefault="0082213B" w:rsidP="0082213B">
      <w:pPr>
        <w:tabs>
          <w:tab w:val="left" w:pos="284"/>
        </w:tabs>
        <w:rPr>
          <w:bCs/>
          <w:sz w:val="24"/>
        </w:rPr>
      </w:pPr>
    </w:p>
    <w:p w:rsidR="0082213B" w:rsidRPr="007F2418" w:rsidRDefault="0082213B" w:rsidP="00761597">
      <w:pPr>
        <w:pStyle w:val="Listeafsnit"/>
        <w:widowControl/>
        <w:numPr>
          <w:ilvl w:val="0"/>
          <w:numId w:val="6"/>
        </w:numPr>
        <w:tabs>
          <w:tab w:val="left" w:pos="284"/>
        </w:tabs>
        <w:spacing w:after="240" w:line="288" w:lineRule="auto"/>
        <w:rPr>
          <w:sz w:val="24"/>
        </w:rPr>
      </w:pPr>
      <w:r w:rsidRPr="007F2418">
        <w:rPr>
          <w:sz w:val="24"/>
        </w:rPr>
        <w:t xml:space="preserve">I </w:t>
      </w:r>
      <w:r w:rsidRPr="00F31EDD">
        <w:rPr>
          <w:i/>
          <w:sz w:val="24"/>
        </w:rPr>
        <w:t>§ 5, stk. 6,</w:t>
      </w:r>
      <w:r w:rsidRPr="007F2418">
        <w:rPr>
          <w:sz w:val="24"/>
        </w:rPr>
        <w:t xml:space="preserve"> indsættes </w:t>
      </w:r>
      <w:r w:rsidR="00A04E25" w:rsidRPr="007F2418">
        <w:rPr>
          <w:sz w:val="24"/>
        </w:rPr>
        <w:t xml:space="preserve">som </w:t>
      </w:r>
      <w:r w:rsidR="00A04E25" w:rsidRPr="00F31EDD">
        <w:rPr>
          <w:i/>
          <w:sz w:val="24"/>
        </w:rPr>
        <w:t>4.-</w:t>
      </w:r>
      <w:r w:rsidR="000B2DF4">
        <w:rPr>
          <w:i/>
          <w:sz w:val="24"/>
        </w:rPr>
        <w:t>8</w:t>
      </w:r>
      <w:r w:rsidR="00A04E25" w:rsidRPr="00F31EDD">
        <w:rPr>
          <w:i/>
          <w:sz w:val="24"/>
        </w:rPr>
        <w:t>. pkt</w:t>
      </w:r>
      <w:r w:rsidR="00A04E25" w:rsidRPr="007F2418">
        <w:rPr>
          <w:sz w:val="24"/>
        </w:rPr>
        <w:t>.:</w:t>
      </w:r>
      <w:r w:rsidRPr="007F2418">
        <w:rPr>
          <w:sz w:val="24"/>
        </w:rPr>
        <w:t xml:space="preserve"> </w:t>
      </w:r>
    </w:p>
    <w:p w:rsidR="0082213B" w:rsidRPr="007F2418" w:rsidRDefault="00761597" w:rsidP="00761597">
      <w:pPr>
        <w:pStyle w:val="Listeafsnit"/>
        <w:widowControl/>
        <w:tabs>
          <w:tab w:val="left" w:pos="284"/>
        </w:tabs>
        <w:spacing w:after="240" w:line="288" w:lineRule="auto"/>
        <w:ind w:left="0"/>
        <w:rPr>
          <w:sz w:val="24"/>
        </w:rPr>
      </w:pPr>
      <w:r w:rsidRPr="007F2418">
        <w:rPr>
          <w:sz w:val="24"/>
        </w:rPr>
        <w:t xml:space="preserve"> </w:t>
      </w:r>
      <w:r w:rsidR="0082213B" w:rsidRPr="007F2418">
        <w:rPr>
          <w:sz w:val="24"/>
        </w:rPr>
        <w:t>”Virksomheder, som i perioden 2010-2012 kunne anvende reglerne i stk. 11, 2.-6. pkt.</w:t>
      </w:r>
      <w:r w:rsidR="00A04E25" w:rsidRPr="007F2418">
        <w:rPr>
          <w:sz w:val="24"/>
        </w:rPr>
        <w:t>,</w:t>
      </w:r>
      <w:r w:rsidR="0082213B" w:rsidRPr="007F2418">
        <w:rPr>
          <w:sz w:val="24"/>
        </w:rPr>
        <w:t xml:space="preserve"> </w:t>
      </w:r>
      <w:r w:rsidR="005A6028" w:rsidRPr="007F2418">
        <w:rPr>
          <w:sz w:val="24"/>
        </w:rPr>
        <w:t>om</w:t>
      </w:r>
      <w:r w:rsidR="0082213B" w:rsidRPr="007F2418">
        <w:rPr>
          <w:sz w:val="24"/>
        </w:rPr>
        <w:t xml:space="preserve"> </w:t>
      </w:r>
      <w:r w:rsidR="005A6028" w:rsidRPr="007F2418">
        <w:rPr>
          <w:sz w:val="24"/>
        </w:rPr>
        <w:t>varmereduktion vedrørende</w:t>
      </w:r>
      <w:r w:rsidR="0082213B" w:rsidRPr="007F2418">
        <w:rPr>
          <w:sz w:val="24"/>
        </w:rPr>
        <w:t xml:space="preserve"> den afgiftspligtige mængde for et anlæg, kan opnå en reduktion i den afgiftspligtige mængde for anlægget i overensstemmelse med disse regler</w:t>
      </w:r>
      <w:r w:rsidR="00E707B3" w:rsidRPr="007F2418">
        <w:rPr>
          <w:sz w:val="24"/>
        </w:rPr>
        <w:t xml:space="preserve"> divideret med 0,85</w:t>
      </w:r>
      <w:r w:rsidR="0082213B" w:rsidRPr="007F2418">
        <w:rPr>
          <w:sz w:val="24"/>
        </w:rPr>
        <w:t xml:space="preserve">. Hvis </w:t>
      </w:r>
      <w:r w:rsidR="009C3EFE" w:rsidRPr="007F2418">
        <w:rPr>
          <w:sz w:val="24"/>
        </w:rPr>
        <w:t xml:space="preserve">det faktiske </w:t>
      </w:r>
      <w:r w:rsidR="0082213B" w:rsidRPr="007F2418">
        <w:rPr>
          <w:sz w:val="24"/>
        </w:rPr>
        <w:t>energiindhold i den indfyrede mængde afgiftspligtigt affald for anlægget</w:t>
      </w:r>
      <w:r w:rsidR="008D178B">
        <w:rPr>
          <w:sz w:val="24"/>
        </w:rPr>
        <w:t>, jf. 1. pkt.,</w:t>
      </w:r>
      <w:r w:rsidR="0082213B" w:rsidRPr="007F2418">
        <w:rPr>
          <w:sz w:val="24"/>
        </w:rPr>
        <w:t xml:space="preserve"> ikke opgøres i forbindelse med opgørelsen af udledt</w:t>
      </w:r>
      <w:r w:rsidR="005C22B5" w:rsidRPr="007F2418">
        <w:rPr>
          <w:sz w:val="24"/>
        </w:rPr>
        <w:t xml:space="preserve"> CO</w:t>
      </w:r>
      <w:r w:rsidR="005C22B5" w:rsidRPr="00F31EDD">
        <w:rPr>
          <w:sz w:val="24"/>
          <w:vertAlign w:val="subscript"/>
        </w:rPr>
        <w:t>2</w:t>
      </w:r>
      <w:r w:rsidR="0082213B" w:rsidRPr="007F2418">
        <w:rPr>
          <w:sz w:val="24"/>
        </w:rPr>
        <w:t>, jf. lov om CO</w:t>
      </w:r>
      <w:r w:rsidR="0082213B" w:rsidRPr="007F2418">
        <w:rPr>
          <w:sz w:val="24"/>
          <w:vertAlign w:val="subscript"/>
        </w:rPr>
        <w:t>2</w:t>
      </w:r>
      <w:r w:rsidR="0082213B" w:rsidRPr="007F2418">
        <w:rPr>
          <w:sz w:val="24"/>
        </w:rPr>
        <w:t>-kvoter, opgøres den afgiftspligtige mængde, hvoraf der skal betales afgift efter § 1, stk. 2, nr. 3, som om virksomheden ikke har tilladelse til udledning af CO</w:t>
      </w:r>
      <w:r w:rsidR="0082213B" w:rsidRPr="007F2418">
        <w:rPr>
          <w:sz w:val="24"/>
          <w:vertAlign w:val="subscript"/>
        </w:rPr>
        <w:t>2</w:t>
      </w:r>
      <w:r w:rsidR="0082213B" w:rsidRPr="007F2418">
        <w:rPr>
          <w:sz w:val="24"/>
        </w:rPr>
        <w:t>, jf. lov om CO</w:t>
      </w:r>
      <w:r w:rsidR="0082213B" w:rsidRPr="007F2418">
        <w:rPr>
          <w:sz w:val="24"/>
          <w:vertAlign w:val="subscript"/>
        </w:rPr>
        <w:t>2</w:t>
      </w:r>
      <w:r w:rsidR="0082213B" w:rsidRPr="007F2418">
        <w:rPr>
          <w:sz w:val="24"/>
        </w:rPr>
        <w:t>-kvoter. Virksomheder, som ikke kunne anvende reglerne i stk. 11, 2.-6. pkt.</w:t>
      </w:r>
      <w:r w:rsidR="00A04E25" w:rsidRPr="007F2418">
        <w:rPr>
          <w:sz w:val="24"/>
        </w:rPr>
        <w:t>,</w:t>
      </w:r>
      <w:r w:rsidR="0082213B" w:rsidRPr="007F2418">
        <w:rPr>
          <w:sz w:val="24"/>
        </w:rPr>
        <w:t xml:space="preserve"> i perioden 2010-2012, kan dog heller ikke efterfølgende anvende disse regler. Når der foretages opgørelse af det faktiske energiindhold, jf. 1. pkt., og opgørelsen dækker en periode, jf. lov om CO</w:t>
      </w:r>
      <w:r w:rsidR="0082213B" w:rsidRPr="007F2418">
        <w:rPr>
          <w:sz w:val="24"/>
          <w:vertAlign w:val="subscript"/>
        </w:rPr>
        <w:t>2</w:t>
      </w:r>
      <w:r w:rsidR="0082213B" w:rsidRPr="007F2418">
        <w:rPr>
          <w:sz w:val="24"/>
        </w:rPr>
        <w:t>-kvoter, som er af længere varighed end afgiftsperioden, foretages for hver af de af denne periode omfattede afgiftsperioder en foreløbig opgørelse af energiindholdet.</w:t>
      </w:r>
      <w:r w:rsidR="000B2DF4">
        <w:rPr>
          <w:sz w:val="24"/>
        </w:rPr>
        <w:t xml:space="preserve"> Hvis der foreligger verificerede oplysninger om energiindholdet, jf. 1. pkt., i overensstemmelse med CO</w:t>
      </w:r>
      <w:r w:rsidR="000B2DF4" w:rsidRPr="001128EC">
        <w:rPr>
          <w:sz w:val="24"/>
          <w:vertAlign w:val="subscript"/>
        </w:rPr>
        <w:t>2</w:t>
      </w:r>
      <w:r w:rsidR="000B2DF4">
        <w:rPr>
          <w:sz w:val="24"/>
        </w:rPr>
        <w:t xml:space="preserve">-kvotelovgivningen for </w:t>
      </w:r>
      <w:r w:rsidR="00EA6E84">
        <w:rPr>
          <w:sz w:val="24"/>
        </w:rPr>
        <w:t xml:space="preserve">en </w:t>
      </w:r>
      <w:r w:rsidR="000B2DF4">
        <w:rPr>
          <w:sz w:val="24"/>
        </w:rPr>
        <w:t>afgift</w:t>
      </w:r>
      <w:r w:rsidR="00A877B9">
        <w:rPr>
          <w:sz w:val="24"/>
        </w:rPr>
        <w:t>s</w:t>
      </w:r>
      <w:r w:rsidR="000B2DF4">
        <w:rPr>
          <w:sz w:val="24"/>
        </w:rPr>
        <w:t>periode, anvendes disse oplysninger ved opgørelsen for afgiftsperioden.</w:t>
      </w:r>
      <w:r w:rsidR="0082213B" w:rsidRPr="007F2418">
        <w:rPr>
          <w:sz w:val="24"/>
        </w:rPr>
        <w:t>”</w:t>
      </w:r>
    </w:p>
    <w:p w:rsidR="00453C34" w:rsidRPr="007F2418" w:rsidRDefault="00453C34" w:rsidP="00453C34">
      <w:pPr>
        <w:rPr>
          <w:bCs/>
          <w:sz w:val="24"/>
        </w:rPr>
      </w:pPr>
    </w:p>
    <w:p w:rsidR="002634C4" w:rsidRPr="007F2418" w:rsidRDefault="002634C4" w:rsidP="002634C4">
      <w:pPr>
        <w:tabs>
          <w:tab w:val="left" w:pos="360"/>
        </w:tabs>
        <w:rPr>
          <w:b/>
          <w:bCs/>
          <w:sz w:val="24"/>
        </w:rPr>
      </w:pPr>
    </w:p>
    <w:p w:rsidR="002634C4" w:rsidRPr="007F2418" w:rsidRDefault="002634C4" w:rsidP="002634C4">
      <w:pPr>
        <w:tabs>
          <w:tab w:val="left" w:pos="360"/>
        </w:tabs>
        <w:rPr>
          <w:b/>
          <w:bCs/>
          <w:sz w:val="24"/>
        </w:rPr>
      </w:pPr>
      <w:r w:rsidRPr="007F2418">
        <w:rPr>
          <w:b/>
          <w:bCs/>
          <w:sz w:val="24"/>
        </w:rPr>
        <w:tab/>
      </w:r>
    </w:p>
    <w:p w:rsidR="00B40EE5" w:rsidRPr="007F2418" w:rsidRDefault="00B40EE5" w:rsidP="00C43F2E">
      <w:pPr>
        <w:widowControl/>
        <w:tabs>
          <w:tab w:val="left" w:pos="284"/>
        </w:tabs>
        <w:spacing w:after="240"/>
        <w:rPr>
          <w:color w:val="000000"/>
          <w:sz w:val="24"/>
        </w:rPr>
      </w:pPr>
      <w:r w:rsidRPr="007F2418">
        <w:rPr>
          <w:b/>
          <w:bCs/>
          <w:sz w:val="24"/>
        </w:rPr>
        <w:tab/>
      </w:r>
      <w:r w:rsidRPr="007F2418">
        <w:rPr>
          <w:b/>
          <w:bCs/>
          <w:sz w:val="24"/>
        </w:rPr>
        <w:tab/>
      </w:r>
      <w:r w:rsidRPr="007F2418">
        <w:rPr>
          <w:b/>
          <w:bCs/>
          <w:sz w:val="24"/>
        </w:rPr>
        <w:tab/>
      </w:r>
      <w:r w:rsidR="00C43F2E" w:rsidRPr="007F2418">
        <w:rPr>
          <w:b/>
          <w:bCs/>
          <w:sz w:val="24"/>
        </w:rPr>
        <w:tab/>
      </w:r>
      <w:r w:rsidR="002634C4" w:rsidRPr="007F2418">
        <w:rPr>
          <w:b/>
          <w:bCs/>
          <w:sz w:val="24"/>
        </w:rPr>
        <w:t xml:space="preserve">§ </w:t>
      </w:r>
      <w:r w:rsidR="00C43F2E" w:rsidRPr="007F2418">
        <w:rPr>
          <w:b/>
          <w:bCs/>
          <w:sz w:val="24"/>
        </w:rPr>
        <w:t>2</w:t>
      </w:r>
    </w:p>
    <w:p w:rsidR="0032101B" w:rsidRPr="007F2418" w:rsidRDefault="00D903CB" w:rsidP="00761597">
      <w:pPr>
        <w:pStyle w:val="Listeafsnit"/>
        <w:widowControl/>
        <w:tabs>
          <w:tab w:val="left" w:pos="284"/>
        </w:tabs>
        <w:spacing w:after="240" w:line="288" w:lineRule="auto"/>
        <w:ind w:left="0"/>
        <w:rPr>
          <w:sz w:val="24"/>
        </w:rPr>
      </w:pPr>
      <w:r w:rsidRPr="007F2418">
        <w:rPr>
          <w:sz w:val="24"/>
        </w:rPr>
        <w:t xml:space="preserve"> </w:t>
      </w:r>
      <w:r w:rsidR="00C43F2E" w:rsidRPr="007F2418">
        <w:rPr>
          <w:sz w:val="24"/>
        </w:rPr>
        <w:t>I lov om kuldioxidafgift af visse energiprodukter, jf. lovbekendtgørelse nr. 321 af 4. april 2011, som ændret ved § 5 i lov nr. 722 af 25. juni 2010, § 5 i lov 1564 af 21. december 2010 og § 5 i lov nr. 625 af 14. juni 2011, foretages følgende ændring:</w:t>
      </w:r>
    </w:p>
    <w:p w:rsidR="0032101B" w:rsidRPr="007F2418" w:rsidRDefault="0032101B" w:rsidP="0032101B">
      <w:pPr>
        <w:pStyle w:val="Listeafsnit"/>
        <w:tabs>
          <w:tab w:val="left" w:pos="360"/>
        </w:tabs>
        <w:ind w:left="0"/>
        <w:rPr>
          <w:b/>
          <w:bCs/>
          <w:sz w:val="24"/>
        </w:rPr>
      </w:pPr>
    </w:p>
    <w:p w:rsidR="00094D24" w:rsidRPr="007F2418" w:rsidRDefault="00ED1347" w:rsidP="00ED1347">
      <w:pPr>
        <w:pStyle w:val="Listeafsnit"/>
        <w:widowControl/>
        <w:tabs>
          <w:tab w:val="left" w:pos="284"/>
        </w:tabs>
        <w:spacing w:after="240" w:line="288" w:lineRule="auto"/>
        <w:ind w:left="0"/>
        <w:rPr>
          <w:sz w:val="24"/>
        </w:rPr>
      </w:pPr>
      <w:r w:rsidRPr="007F2418">
        <w:rPr>
          <w:b/>
          <w:sz w:val="24"/>
        </w:rPr>
        <w:t>1.</w:t>
      </w:r>
      <w:r w:rsidR="00942523" w:rsidRPr="007F2418">
        <w:rPr>
          <w:sz w:val="24"/>
        </w:rPr>
        <w:tab/>
      </w:r>
      <w:r w:rsidRPr="007F2418">
        <w:rPr>
          <w:sz w:val="24"/>
        </w:rPr>
        <w:t xml:space="preserve"> </w:t>
      </w:r>
      <w:r w:rsidR="00094D24" w:rsidRPr="007F2418">
        <w:rPr>
          <w:sz w:val="24"/>
        </w:rPr>
        <w:t xml:space="preserve">I </w:t>
      </w:r>
      <w:r w:rsidR="00094D24" w:rsidRPr="007F2418">
        <w:rPr>
          <w:i/>
          <w:sz w:val="24"/>
        </w:rPr>
        <w:t>§ 5, stk. 2,</w:t>
      </w:r>
      <w:r w:rsidR="00094D24" w:rsidRPr="007F2418">
        <w:rPr>
          <w:sz w:val="24"/>
        </w:rPr>
        <w:t xml:space="preserve"> indsættes </w:t>
      </w:r>
      <w:r w:rsidR="00A04E25" w:rsidRPr="007F2418">
        <w:rPr>
          <w:sz w:val="24"/>
        </w:rPr>
        <w:t xml:space="preserve">som </w:t>
      </w:r>
      <w:r w:rsidR="00A04E25" w:rsidRPr="00F31EDD">
        <w:rPr>
          <w:i/>
          <w:sz w:val="24"/>
        </w:rPr>
        <w:t>6.-1</w:t>
      </w:r>
      <w:r w:rsidR="00856378">
        <w:rPr>
          <w:i/>
          <w:sz w:val="24"/>
        </w:rPr>
        <w:t>5</w:t>
      </w:r>
      <w:r w:rsidR="00A04E25" w:rsidRPr="00F31EDD">
        <w:rPr>
          <w:i/>
          <w:sz w:val="24"/>
        </w:rPr>
        <w:t>. pkt.</w:t>
      </w:r>
      <w:r w:rsidR="00A04E25" w:rsidRPr="007F2418">
        <w:rPr>
          <w:sz w:val="24"/>
        </w:rPr>
        <w:t>:</w:t>
      </w:r>
    </w:p>
    <w:p w:rsidR="000932A4" w:rsidRPr="007F2418" w:rsidRDefault="00830D87" w:rsidP="00ED1347">
      <w:pPr>
        <w:pStyle w:val="Listeafsnit"/>
        <w:widowControl/>
        <w:tabs>
          <w:tab w:val="left" w:pos="284"/>
        </w:tabs>
        <w:spacing w:after="240" w:line="288" w:lineRule="auto"/>
        <w:ind w:left="0"/>
        <w:rPr>
          <w:sz w:val="24"/>
        </w:rPr>
      </w:pPr>
      <w:r w:rsidRPr="007F2418">
        <w:rPr>
          <w:sz w:val="24"/>
        </w:rPr>
        <w:lastRenderedPageBreak/>
        <w:t xml:space="preserve"> ”Hvis affaldets faktiske emissionsfaktor</w:t>
      </w:r>
      <w:r w:rsidR="005A3138" w:rsidRPr="007F2418">
        <w:rPr>
          <w:sz w:val="24"/>
        </w:rPr>
        <w:t>, jf. 1. pkt.,</w:t>
      </w:r>
      <w:r w:rsidR="00275E32" w:rsidRPr="007F2418">
        <w:rPr>
          <w:sz w:val="24"/>
        </w:rPr>
        <w:t xml:space="preserve"> ikke opgøres i overensstemmelse med lov om CO</w:t>
      </w:r>
      <w:r w:rsidR="00275E32" w:rsidRPr="007F2418">
        <w:rPr>
          <w:sz w:val="24"/>
          <w:vertAlign w:val="subscript"/>
        </w:rPr>
        <w:t>2</w:t>
      </w:r>
      <w:r w:rsidR="00275E32" w:rsidRPr="007F2418">
        <w:rPr>
          <w:sz w:val="24"/>
        </w:rPr>
        <w:t xml:space="preserve"> kvoter</w:t>
      </w:r>
      <w:r w:rsidR="005A3138" w:rsidRPr="007F2418">
        <w:rPr>
          <w:sz w:val="24"/>
        </w:rPr>
        <w:t xml:space="preserve">, </w:t>
      </w:r>
      <w:r w:rsidR="00275E32" w:rsidRPr="007F2418">
        <w:rPr>
          <w:sz w:val="24"/>
        </w:rPr>
        <w:t xml:space="preserve">så anvendes </w:t>
      </w:r>
      <w:r w:rsidR="005A3138" w:rsidRPr="007F2418">
        <w:rPr>
          <w:sz w:val="24"/>
        </w:rPr>
        <w:t>en emissionsfaktor på 37,0 kg CO</w:t>
      </w:r>
      <w:r w:rsidR="005A3138" w:rsidRPr="00F31EDD">
        <w:rPr>
          <w:sz w:val="24"/>
          <w:vertAlign w:val="subscript"/>
        </w:rPr>
        <w:t>2</w:t>
      </w:r>
      <w:r w:rsidR="005A3138" w:rsidRPr="007F2418">
        <w:rPr>
          <w:sz w:val="24"/>
        </w:rPr>
        <w:t>/GJ for affaldet</w:t>
      </w:r>
      <w:r w:rsidR="009B2014">
        <w:rPr>
          <w:sz w:val="24"/>
        </w:rPr>
        <w:t>, jf. 1. pkt</w:t>
      </w:r>
      <w:r w:rsidR="005A3138" w:rsidRPr="007F2418">
        <w:rPr>
          <w:sz w:val="24"/>
        </w:rPr>
        <w:t>.</w:t>
      </w:r>
      <w:r w:rsidR="00A54B84" w:rsidRPr="007F2418">
        <w:rPr>
          <w:sz w:val="24"/>
        </w:rPr>
        <w:t xml:space="preserve"> </w:t>
      </w:r>
      <w:r w:rsidR="000932A4" w:rsidRPr="007F2418">
        <w:rPr>
          <w:sz w:val="24"/>
        </w:rPr>
        <w:t xml:space="preserve">Virksomheder, </w:t>
      </w:r>
      <w:r w:rsidR="00EE20EC" w:rsidRPr="007F2418">
        <w:rPr>
          <w:sz w:val="24"/>
        </w:rPr>
        <w:t xml:space="preserve">der anvender ikke bionedbrydeligt affald som brændsel, </w:t>
      </w:r>
      <w:r w:rsidR="000932A4" w:rsidRPr="007F2418">
        <w:rPr>
          <w:sz w:val="24"/>
        </w:rPr>
        <w:t>som har tilladelse til udledning af CO</w:t>
      </w:r>
      <w:r w:rsidR="000932A4" w:rsidRPr="007F2418">
        <w:rPr>
          <w:sz w:val="24"/>
          <w:vertAlign w:val="subscript"/>
        </w:rPr>
        <w:t>2</w:t>
      </w:r>
      <w:r w:rsidR="000932A4" w:rsidRPr="007F2418">
        <w:rPr>
          <w:sz w:val="24"/>
        </w:rPr>
        <w:t>, jf. lov om CO</w:t>
      </w:r>
      <w:r w:rsidR="000932A4" w:rsidRPr="007F2418">
        <w:rPr>
          <w:sz w:val="24"/>
          <w:vertAlign w:val="subscript"/>
        </w:rPr>
        <w:t>2</w:t>
      </w:r>
      <w:r w:rsidR="000932A4" w:rsidRPr="007F2418">
        <w:rPr>
          <w:sz w:val="24"/>
        </w:rPr>
        <w:t xml:space="preserve">-kvoter, </w:t>
      </w:r>
      <w:r w:rsidR="00E7317F" w:rsidRPr="007F2418">
        <w:rPr>
          <w:sz w:val="24"/>
        </w:rPr>
        <w:t xml:space="preserve">og som foretager direkte </w:t>
      </w:r>
      <w:r w:rsidR="00916DFD" w:rsidRPr="007F2418">
        <w:rPr>
          <w:sz w:val="24"/>
        </w:rPr>
        <w:t xml:space="preserve">opgørelse </w:t>
      </w:r>
      <w:r w:rsidR="00446926">
        <w:rPr>
          <w:sz w:val="24"/>
        </w:rPr>
        <w:t xml:space="preserve">af </w:t>
      </w:r>
      <w:r w:rsidR="00E7317F" w:rsidRPr="007F2418">
        <w:rPr>
          <w:sz w:val="24"/>
        </w:rPr>
        <w:t>ton</w:t>
      </w:r>
      <w:r w:rsidR="00A04E25" w:rsidRPr="007F2418">
        <w:rPr>
          <w:sz w:val="24"/>
        </w:rPr>
        <w:t>s</w:t>
      </w:r>
      <w:r w:rsidR="00E7317F" w:rsidRPr="007F2418">
        <w:rPr>
          <w:sz w:val="24"/>
        </w:rPr>
        <w:t xml:space="preserve"> udledt CO</w:t>
      </w:r>
      <w:r w:rsidR="00E7317F" w:rsidRPr="007F2418">
        <w:rPr>
          <w:sz w:val="24"/>
          <w:vertAlign w:val="subscript"/>
        </w:rPr>
        <w:t>2</w:t>
      </w:r>
      <w:r w:rsidR="00E7317F" w:rsidRPr="007F2418">
        <w:rPr>
          <w:sz w:val="24"/>
        </w:rPr>
        <w:t xml:space="preserve"> i overensstemmelse med lov om CO</w:t>
      </w:r>
      <w:r w:rsidR="00E7317F" w:rsidRPr="007F2418">
        <w:rPr>
          <w:sz w:val="24"/>
          <w:vertAlign w:val="subscript"/>
        </w:rPr>
        <w:t>2</w:t>
      </w:r>
      <w:r w:rsidR="00DD3504" w:rsidRPr="007F2418">
        <w:rPr>
          <w:sz w:val="24"/>
        </w:rPr>
        <w:t>-</w:t>
      </w:r>
      <w:r w:rsidR="00E7317F" w:rsidRPr="007F2418">
        <w:rPr>
          <w:sz w:val="24"/>
        </w:rPr>
        <w:t xml:space="preserve">kvoter, </w:t>
      </w:r>
      <w:r w:rsidR="006B3EA7" w:rsidRPr="007F2418">
        <w:rPr>
          <w:sz w:val="24"/>
        </w:rPr>
        <w:t xml:space="preserve">skal </w:t>
      </w:r>
      <w:r w:rsidR="00C109DD" w:rsidRPr="007F2418">
        <w:rPr>
          <w:sz w:val="24"/>
        </w:rPr>
        <w:t>uanset 1.-</w:t>
      </w:r>
      <w:r w:rsidR="005A3138" w:rsidRPr="007F2418">
        <w:rPr>
          <w:sz w:val="24"/>
        </w:rPr>
        <w:t>6</w:t>
      </w:r>
      <w:r w:rsidR="00C109DD" w:rsidRPr="007F2418">
        <w:rPr>
          <w:sz w:val="24"/>
        </w:rPr>
        <w:t xml:space="preserve">. pkt. </w:t>
      </w:r>
      <w:r w:rsidR="00EE20EC" w:rsidRPr="007F2418">
        <w:rPr>
          <w:sz w:val="24"/>
        </w:rPr>
        <w:t>anvende</w:t>
      </w:r>
      <w:r w:rsidR="00E7317F" w:rsidRPr="007F2418">
        <w:rPr>
          <w:sz w:val="24"/>
        </w:rPr>
        <w:t xml:space="preserve"> den</w:t>
      </w:r>
      <w:r w:rsidR="00EE20EC" w:rsidRPr="007F2418">
        <w:rPr>
          <w:sz w:val="24"/>
        </w:rPr>
        <w:t>ne</w:t>
      </w:r>
      <w:r w:rsidR="00E7317F" w:rsidRPr="007F2418">
        <w:rPr>
          <w:sz w:val="24"/>
        </w:rPr>
        <w:t xml:space="preserve"> direkte opgørelse som</w:t>
      </w:r>
      <w:r w:rsidR="00C109DD" w:rsidRPr="007F2418">
        <w:rPr>
          <w:sz w:val="24"/>
        </w:rPr>
        <w:t xml:space="preserve"> en </w:t>
      </w:r>
      <w:r w:rsidR="00E7317F" w:rsidRPr="007F2418">
        <w:rPr>
          <w:sz w:val="24"/>
        </w:rPr>
        <w:t xml:space="preserve">opgørelse af </w:t>
      </w:r>
      <w:r w:rsidR="000932A4" w:rsidRPr="007F2418">
        <w:rPr>
          <w:sz w:val="24"/>
        </w:rPr>
        <w:t>den afgiftspligtige mængde CO</w:t>
      </w:r>
      <w:r w:rsidR="000932A4" w:rsidRPr="007F2418">
        <w:rPr>
          <w:sz w:val="24"/>
          <w:vertAlign w:val="subscript"/>
        </w:rPr>
        <w:t>2</w:t>
      </w:r>
      <w:r w:rsidR="0073031D" w:rsidRPr="007F2418">
        <w:rPr>
          <w:sz w:val="24"/>
        </w:rPr>
        <w:t xml:space="preserve"> for ikke bionedbrydeligt affald,</w:t>
      </w:r>
      <w:r w:rsidR="000932A4" w:rsidRPr="007F2418">
        <w:rPr>
          <w:sz w:val="24"/>
        </w:rPr>
        <w:t xml:space="preserve"> hvoraf der skal betales af</w:t>
      </w:r>
      <w:r w:rsidR="00E7317F" w:rsidRPr="007F2418">
        <w:rPr>
          <w:sz w:val="24"/>
        </w:rPr>
        <w:t>gift efter § 2, stk. 1, nr. 15.</w:t>
      </w:r>
      <w:r w:rsidR="00735B1D" w:rsidRPr="007F2418">
        <w:rPr>
          <w:sz w:val="24"/>
        </w:rPr>
        <w:t xml:space="preserve"> </w:t>
      </w:r>
      <w:r w:rsidR="000932A4" w:rsidRPr="007F2418">
        <w:rPr>
          <w:sz w:val="24"/>
        </w:rPr>
        <w:t xml:space="preserve">Der </w:t>
      </w:r>
      <w:r w:rsidR="000763C4" w:rsidRPr="007F2418">
        <w:rPr>
          <w:sz w:val="24"/>
        </w:rPr>
        <w:t>foretages</w:t>
      </w:r>
      <w:r w:rsidR="000932A4" w:rsidRPr="007F2418">
        <w:rPr>
          <w:sz w:val="24"/>
        </w:rPr>
        <w:t xml:space="preserve"> </w:t>
      </w:r>
      <w:r w:rsidR="00063575" w:rsidRPr="007F2418">
        <w:rPr>
          <w:sz w:val="24"/>
        </w:rPr>
        <w:t xml:space="preserve">dog </w:t>
      </w:r>
      <w:r w:rsidR="000932A4" w:rsidRPr="007F2418">
        <w:rPr>
          <w:sz w:val="24"/>
        </w:rPr>
        <w:t>fradrag i den afgiftspligtige mængde svarende til andelen af udledningerne, som vedrører produktion af elektricitet. Andelen beregne</w:t>
      </w:r>
      <w:r w:rsidR="00D5778A" w:rsidRPr="007F2418">
        <w:rPr>
          <w:sz w:val="24"/>
        </w:rPr>
        <w:t xml:space="preserve">s </w:t>
      </w:r>
      <w:r w:rsidR="000932A4" w:rsidRPr="007F2418">
        <w:rPr>
          <w:sz w:val="24"/>
        </w:rPr>
        <w:t xml:space="preserve">efter fordelingsreglerne i § 7, stk. 1, i lov om afgift af stenkul, brunkul og koks m.v. </w:t>
      </w:r>
      <w:r w:rsidR="006D2C70" w:rsidRPr="007F2418">
        <w:rPr>
          <w:sz w:val="24"/>
        </w:rPr>
        <w:t>Ved denne beregning opgøres energiindholdet i ikke bionedbrydeligt affaldsbrændsel som</w:t>
      </w:r>
      <w:r w:rsidR="00087619" w:rsidRPr="007F2418">
        <w:rPr>
          <w:sz w:val="24"/>
        </w:rPr>
        <w:t xml:space="preserve"> </w:t>
      </w:r>
      <w:r w:rsidR="006D2C70" w:rsidRPr="007F2418">
        <w:rPr>
          <w:sz w:val="24"/>
        </w:rPr>
        <w:t xml:space="preserve">summen af leveret varme, bortkølet varme og produceret elektricitet divideret med 0,85 og </w:t>
      </w:r>
      <w:r w:rsidR="0003038B" w:rsidRPr="007F2418">
        <w:rPr>
          <w:sz w:val="24"/>
        </w:rPr>
        <w:t xml:space="preserve">derpå </w:t>
      </w:r>
      <w:r w:rsidR="006D2C70" w:rsidRPr="007F2418">
        <w:rPr>
          <w:sz w:val="24"/>
        </w:rPr>
        <w:t xml:space="preserve">fratrukket energiindholdet i andre brændsler, mens kraft-varme-produktionen opgøres som summen af leveret varme og bortkølet varme. </w:t>
      </w:r>
      <w:r w:rsidR="000932A4" w:rsidRPr="007F2418">
        <w:rPr>
          <w:sz w:val="24"/>
        </w:rPr>
        <w:t>Der</w:t>
      </w:r>
      <w:r w:rsidR="00DD3504" w:rsidRPr="007F2418">
        <w:rPr>
          <w:sz w:val="24"/>
        </w:rPr>
        <w:t>efter</w:t>
      </w:r>
      <w:r w:rsidR="000932A4" w:rsidRPr="007F2418">
        <w:rPr>
          <w:sz w:val="24"/>
        </w:rPr>
        <w:t xml:space="preserve"> kan</w:t>
      </w:r>
      <w:r w:rsidR="000763C4" w:rsidRPr="007F2418">
        <w:rPr>
          <w:sz w:val="24"/>
        </w:rPr>
        <w:t xml:space="preserve"> </w:t>
      </w:r>
      <w:r w:rsidR="000932A4" w:rsidRPr="007F2418">
        <w:rPr>
          <w:sz w:val="24"/>
        </w:rPr>
        <w:t>foretages fradrag i den afgiftspligtige mængde for varme, som forbruges af virksomheden selv, og som opfylder betingelserne for tilbagebetaling i § 9 a. Fradraget beregnes som en andel svarende til</w:t>
      </w:r>
      <w:r w:rsidR="0003038B" w:rsidRPr="007F2418">
        <w:rPr>
          <w:sz w:val="24"/>
        </w:rPr>
        <w:t xml:space="preserve"> sidstnævnte</w:t>
      </w:r>
      <w:r w:rsidR="000932A4" w:rsidRPr="007F2418">
        <w:rPr>
          <w:sz w:val="24"/>
        </w:rPr>
        <w:t xml:space="preserve"> varme divideret med den samlede produktion af varme</w:t>
      </w:r>
      <w:r w:rsidR="009C3EFE" w:rsidRPr="007F2418">
        <w:rPr>
          <w:sz w:val="24"/>
        </w:rPr>
        <w:t>, herunder bortkølet varme</w:t>
      </w:r>
      <w:r w:rsidR="000932A4" w:rsidRPr="007F2418">
        <w:rPr>
          <w:sz w:val="24"/>
        </w:rPr>
        <w:t>.  Ved beregning af afgift efter § 2, stk. 1, nr. 15</w:t>
      </w:r>
      <w:r w:rsidR="00087619" w:rsidRPr="007F2418">
        <w:rPr>
          <w:sz w:val="24"/>
        </w:rPr>
        <w:t>,</w:t>
      </w:r>
      <w:r w:rsidR="000932A4" w:rsidRPr="007F2418">
        <w:rPr>
          <w:sz w:val="24"/>
        </w:rPr>
        <w:t xml:space="preserve"> </w:t>
      </w:r>
      <w:r w:rsidR="00D66496" w:rsidRPr="007F2418">
        <w:rPr>
          <w:sz w:val="24"/>
        </w:rPr>
        <w:t>på grundlag af den afgiftspligtige mængde opgjort efter</w:t>
      </w:r>
      <w:r w:rsidR="00A54B84" w:rsidRPr="007F2418">
        <w:rPr>
          <w:sz w:val="24"/>
        </w:rPr>
        <w:t xml:space="preserve"> 7</w:t>
      </w:r>
      <w:r w:rsidR="00063575" w:rsidRPr="007F2418">
        <w:rPr>
          <w:sz w:val="24"/>
        </w:rPr>
        <w:t xml:space="preserve">.- </w:t>
      </w:r>
      <w:r w:rsidR="00605011" w:rsidRPr="007F2418">
        <w:rPr>
          <w:sz w:val="24"/>
        </w:rPr>
        <w:t>1</w:t>
      </w:r>
      <w:r w:rsidR="00A54B84" w:rsidRPr="007F2418">
        <w:rPr>
          <w:sz w:val="24"/>
        </w:rPr>
        <w:t>2</w:t>
      </w:r>
      <w:r w:rsidR="00063575" w:rsidRPr="007F2418">
        <w:rPr>
          <w:sz w:val="24"/>
        </w:rPr>
        <w:t xml:space="preserve">. pkt. </w:t>
      </w:r>
      <w:r w:rsidR="000932A4" w:rsidRPr="007F2418">
        <w:rPr>
          <w:sz w:val="24"/>
        </w:rPr>
        <w:t>fradrages afgift for afgiftsperioden, som virksomheden ellers ikke har fradraget eller fået tilbagebetalt, på andre brændsler end ikke bionedbrydeligt affald for hvilke</w:t>
      </w:r>
      <w:r w:rsidR="0073031D" w:rsidRPr="007F2418">
        <w:rPr>
          <w:sz w:val="24"/>
        </w:rPr>
        <w:t>, der er udledt CO</w:t>
      </w:r>
      <w:r w:rsidR="0073031D" w:rsidRPr="007F2418">
        <w:rPr>
          <w:sz w:val="24"/>
          <w:vertAlign w:val="subscript"/>
        </w:rPr>
        <w:t>2</w:t>
      </w:r>
      <w:r w:rsidR="0073031D" w:rsidRPr="007F2418">
        <w:rPr>
          <w:sz w:val="24"/>
        </w:rPr>
        <w:t xml:space="preserve"> i overensstemmelse med lov om CO</w:t>
      </w:r>
      <w:r w:rsidR="0073031D" w:rsidRPr="00F31EDD">
        <w:rPr>
          <w:sz w:val="24"/>
          <w:vertAlign w:val="subscript"/>
        </w:rPr>
        <w:t>2</w:t>
      </w:r>
      <w:r w:rsidR="0073031D" w:rsidRPr="007F2418">
        <w:rPr>
          <w:sz w:val="24"/>
        </w:rPr>
        <w:t>-kvoter.</w:t>
      </w:r>
      <w:r w:rsidR="000932A4" w:rsidRPr="007F2418">
        <w:rPr>
          <w:sz w:val="24"/>
        </w:rPr>
        <w:t xml:space="preserve"> Hvis </w:t>
      </w:r>
      <w:r w:rsidR="00126FA8" w:rsidRPr="007F2418">
        <w:rPr>
          <w:sz w:val="24"/>
        </w:rPr>
        <w:t>opgørelse</w:t>
      </w:r>
      <w:r w:rsidR="00DD3504" w:rsidRPr="007F2418">
        <w:rPr>
          <w:sz w:val="24"/>
        </w:rPr>
        <w:t>n</w:t>
      </w:r>
      <w:r w:rsidR="00126FA8" w:rsidRPr="007F2418">
        <w:rPr>
          <w:sz w:val="24"/>
        </w:rPr>
        <w:t xml:space="preserve"> efter lov om CO</w:t>
      </w:r>
      <w:r w:rsidR="00126FA8" w:rsidRPr="00F31EDD">
        <w:rPr>
          <w:sz w:val="24"/>
          <w:vertAlign w:val="subscript"/>
        </w:rPr>
        <w:t>2</w:t>
      </w:r>
      <w:r w:rsidR="00126FA8" w:rsidRPr="007F2418">
        <w:rPr>
          <w:sz w:val="24"/>
        </w:rPr>
        <w:t>-kvoter</w:t>
      </w:r>
      <w:r w:rsidR="00605011" w:rsidRPr="007F2418">
        <w:rPr>
          <w:sz w:val="24"/>
        </w:rPr>
        <w:t xml:space="preserve"> </w:t>
      </w:r>
      <w:r w:rsidR="000932A4" w:rsidRPr="007F2418">
        <w:rPr>
          <w:sz w:val="24"/>
        </w:rPr>
        <w:t xml:space="preserve">dækker en periode, som er af længere varighed end afgiftsperioden, </w:t>
      </w:r>
      <w:r w:rsidR="00605011" w:rsidRPr="007F2418">
        <w:rPr>
          <w:sz w:val="24"/>
        </w:rPr>
        <w:t xml:space="preserve">og virksomheden derfor ikke før førstnævnte periodes afslutning </w:t>
      </w:r>
      <w:r w:rsidR="006B1A50" w:rsidRPr="007F2418">
        <w:rPr>
          <w:sz w:val="24"/>
        </w:rPr>
        <w:t xml:space="preserve">kan foretage </w:t>
      </w:r>
      <w:r w:rsidR="00605011" w:rsidRPr="007F2418">
        <w:rPr>
          <w:sz w:val="24"/>
        </w:rPr>
        <w:t xml:space="preserve">opgørelse af afgift, </w:t>
      </w:r>
      <w:r w:rsidR="000932A4" w:rsidRPr="007F2418">
        <w:rPr>
          <w:sz w:val="24"/>
        </w:rPr>
        <w:t>foretages for hver af de af den</w:t>
      </w:r>
      <w:r w:rsidR="00605011" w:rsidRPr="007F2418">
        <w:rPr>
          <w:sz w:val="24"/>
        </w:rPr>
        <w:t xml:space="preserve"> førstnævnte</w:t>
      </w:r>
      <w:r w:rsidR="000932A4" w:rsidRPr="007F2418">
        <w:rPr>
          <w:sz w:val="24"/>
        </w:rPr>
        <w:t xml:space="preserve"> periode omfattede afgiftsperioder en foreløbig opgørelse af afgift</w:t>
      </w:r>
      <w:r w:rsidR="007174AC" w:rsidRPr="007F2418">
        <w:rPr>
          <w:sz w:val="24"/>
        </w:rPr>
        <w:t>en efter § 2, stk. 1, nr. 15.</w:t>
      </w:r>
      <w:r w:rsidR="00A100A5">
        <w:rPr>
          <w:sz w:val="24"/>
        </w:rPr>
        <w:t xml:space="preserve"> </w:t>
      </w:r>
      <w:r w:rsidR="00856378">
        <w:rPr>
          <w:sz w:val="24"/>
        </w:rPr>
        <w:t xml:space="preserve">Hvis der foreligger verificerede </w:t>
      </w:r>
      <w:r w:rsidR="0040600F">
        <w:rPr>
          <w:sz w:val="24"/>
        </w:rPr>
        <w:t>oplysninger</w:t>
      </w:r>
      <w:r w:rsidR="00856378">
        <w:rPr>
          <w:sz w:val="24"/>
        </w:rPr>
        <w:t xml:space="preserve"> </w:t>
      </w:r>
      <w:r w:rsidR="0040600F">
        <w:rPr>
          <w:sz w:val="24"/>
        </w:rPr>
        <w:t xml:space="preserve">til brug for opgørelsen af den afgiftspligtige mængde </w:t>
      </w:r>
      <w:r w:rsidR="00856378">
        <w:rPr>
          <w:sz w:val="24"/>
        </w:rPr>
        <w:t>i overensstemmelse med CO</w:t>
      </w:r>
      <w:r w:rsidR="00856378" w:rsidRPr="001128EC">
        <w:rPr>
          <w:sz w:val="24"/>
          <w:vertAlign w:val="subscript"/>
        </w:rPr>
        <w:t>2</w:t>
      </w:r>
      <w:r w:rsidR="00856378">
        <w:rPr>
          <w:sz w:val="24"/>
        </w:rPr>
        <w:t xml:space="preserve">-kvotelovgivningen for </w:t>
      </w:r>
      <w:r w:rsidR="00E665C4">
        <w:rPr>
          <w:sz w:val="24"/>
        </w:rPr>
        <w:t xml:space="preserve">en </w:t>
      </w:r>
      <w:r w:rsidR="00856378">
        <w:rPr>
          <w:sz w:val="24"/>
        </w:rPr>
        <w:t>afgift</w:t>
      </w:r>
      <w:r w:rsidR="003A09DF">
        <w:rPr>
          <w:sz w:val="24"/>
        </w:rPr>
        <w:t>s</w:t>
      </w:r>
      <w:r w:rsidR="00856378">
        <w:rPr>
          <w:sz w:val="24"/>
        </w:rPr>
        <w:t>periode, anvendes disse oplysninger ved opgørelsen for afgiftsperioden.</w:t>
      </w:r>
      <w:r w:rsidR="007174AC" w:rsidRPr="007F2418">
        <w:rPr>
          <w:sz w:val="24"/>
        </w:rPr>
        <w:t>”</w:t>
      </w:r>
    </w:p>
    <w:p w:rsidR="00C10CD1" w:rsidRPr="007F2418" w:rsidRDefault="00C10CD1" w:rsidP="00132D03">
      <w:pPr>
        <w:spacing w:line="288" w:lineRule="auto"/>
        <w:rPr>
          <w:sz w:val="24"/>
        </w:rPr>
      </w:pPr>
    </w:p>
    <w:p w:rsidR="00B40EE5" w:rsidRPr="007F2418" w:rsidRDefault="00B40EE5" w:rsidP="00B40EE5">
      <w:pPr>
        <w:spacing w:line="288" w:lineRule="auto"/>
        <w:ind w:left="2608" w:firstLine="1304"/>
        <w:rPr>
          <w:b/>
          <w:sz w:val="24"/>
        </w:rPr>
      </w:pPr>
      <w:r w:rsidRPr="007F2418">
        <w:rPr>
          <w:b/>
          <w:sz w:val="24"/>
        </w:rPr>
        <w:t>§ 3</w:t>
      </w:r>
    </w:p>
    <w:p w:rsidR="00B40EE5" w:rsidRPr="007F2418" w:rsidRDefault="00B40EE5" w:rsidP="000F121D">
      <w:pPr>
        <w:spacing w:line="288" w:lineRule="auto"/>
        <w:rPr>
          <w:sz w:val="24"/>
        </w:rPr>
      </w:pPr>
    </w:p>
    <w:p w:rsidR="000F121D" w:rsidRPr="007F2418" w:rsidRDefault="000F121D" w:rsidP="000F121D">
      <w:pPr>
        <w:spacing w:line="288" w:lineRule="auto"/>
        <w:rPr>
          <w:sz w:val="24"/>
        </w:rPr>
      </w:pPr>
      <w:r w:rsidRPr="007F2418">
        <w:rPr>
          <w:sz w:val="24"/>
        </w:rPr>
        <w:t>Loven træder i kraft den 1. januar 201</w:t>
      </w:r>
      <w:r w:rsidR="00B40EE5" w:rsidRPr="007F2418">
        <w:rPr>
          <w:sz w:val="24"/>
        </w:rPr>
        <w:t>3</w:t>
      </w:r>
      <w:r w:rsidRPr="007F2418">
        <w:rPr>
          <w:sz w:val="24"/>
        </w:rPr>
        <w:t>.</w:t>
      </w:r>
    </w:p>
    <w:p w:rsidR="0020428C" w:rsidRPr="007F2418" w:rsidRDefault="0020428C" w:rsidP="00132D03">
      <w:pPr>
        <w:spacing w:line="288" w:lineRule="auto"/>
        <w:rPr>
          <w:sz w:val="24"/>
        </w:rPr>
      </w:pPr>
    </w:p>
    <w:p w:rsidR="0020428C" w:rsidRPr="007F2418" w:rsidRDefault="0020428C" w:rsidP="00132D03">
      <w:pPr>
        <w:spacing w:line="288" w:lineRule="auto"/>
        <w:rPr>
          <w:sz w:val="24"/>
        </w:rPr>
      </w:pPr>
    </w:p>
    <w:p w:rsidR="0082213B" w:rsidRPr="007F2418" w:rsidRDefault="00B40EE5" w:rsidP="00697FF5">
      <w:pPr>
        <w:pStyle w:val="Listeafsnit"/>
        <w:tabs>
          <w:tab w:val="left" w:pos="360"/>
        </w:tabs>
        <w:ind w:left="0"/>
        <w:rPr>
          <w:bCs/>
          <w:sz w:val="24"/>
        </w:rPr>
      </w:pPr>
      <w:r w:rsidRPr="007F2418">
        <w:rPr>
          <w:bCs/>
          <w:sz w:val="24"/>
        </w:rPr>
        <w:t xml:space="preserve"> </w:t>
      </w:r>
    </w:p>
    <w:p w:rsidR="00FA111A" w:rsidRPr="007F2418" w:rsidRDefault="00FA111A" w:rsidP="00697FF5">
      <w:pPr>
        <w:rPr>
          <w:bCs/>
          <w:sz w:val="24"/>
        </w:rPr>
      </w:pPr>
    </w:p>
    <w:p w:rsidR="002634C4" w:rsidRPr="00D15AAE" w:rsidRDefault="002634C4" w:rsidP="00D15AAE">
      <w:pPr>
        <w:spacing w:line="276" w:lineRule="auto"/>
        <w:rPr>
          <w:i/>
          <w:iCs/>
          <w:sz w:val="24"/>
        </w:rPr>
      </w:pPr>
      <w:r w:rsidRPr="00963123">
        <w:rPr>
          <w:i/>
          <w:iCs/>
          <w:sz w:val="22"/>
          <w:szCs w:val="22"/>
        </w:rPr>
        <w:br w:type="page"/>
      </w:r>
      <w:r w:rsidRPr="00D15AAE">
        <w:rPr>
          <w:i/>
          <w:iCs/>
          <w:sz w:val="24"/>
        </w:rPr>
        <w:lastRenderedPageBreak/>
        <w:t>Bemærkninger til lovforslaget</w:t>
      </w:r>
    </w:p>
    <w:p w:rsidR="00945F5A" w:rsidRPr="00D15AAE" w:rsidRDefault="00945F5A" w:rsidP="00D15AAE">
      <w:pPr>
        <w:spacing w:line="276" w:lineRule="auto"/>
        <w:rPr>
          <w:i/>
          <w:iCs/>
          <w:sz w:val="24"/>
        </w:rPr>
      </w:pPr>
    </w:p>
    <w:p w:rsidR="002634C4" w:rsidRPr="00D15AAE" w:rsidRDefault="002634C4" w:rsidP="00D15AAE">
      <w:pPr>
        <w:spacing w:line="276" w:lineRule="auto"/>
        <w:jc w:val="center"/>
        <w:rPr>
          <w:i/>
          <w:sz w:val="24"/>
        </w:rPr>
      </w:pPr>
    </w:p>
    <w:p w:rsidR="002634C4" w:rsidRPr="00D15AAE" w:rsidRDefault="002634C4" w:rsidP="00D15AAE">
      <w:pPr>
        <w:spacing w:line="276" w:lineRule="auto"/>
        <w:jc w:val="center"/>
        <w:rPr>
          <w:i/>
          <w:sz w:val="24"/>
        </w:rPr>
      </w:pPr>
      <w:r w:rsidRPr="00D15AAE">
        <w:rPr>
          <w:i/>
          <w:sz w:val="24"/>
        </w:rPr>
        <w:t>Almindelige bemærkninger</w:t>
      </w:r>
    </w:p>
    <w:p w:rsidR="002634C4" w:rsidRPr="00D15AAE" w:rsidRDefault="002634C4" w:rsidP="00D15AAE">
      <w:pPr>
        <w:spacing w:line="276" w:lineRule="auto"/>
        <w:rPr>
          <w:i/>
          <w:iCs/>
          <w:sz w:val="24"/>
        </w:rPr>
      </w:pPr>
    </w:p>
    <w:p w:rsidR="002634C4" w:rsidRPr="00D15AAE" w:rsidRDefault="002634C4" w:rsidP="00D15AAE">
      <w:pPr>
        <w:spacing w:line="276" w:lineRule="auto"/>
        <w:rPr>
          <w:i/>
          <w:iCs/>
          <w:sz w:val="24"/>
        </w:rPr>
      </w:pPr>
    </w:p>
    <w:p w:rsidR="002634C4" w:rsidRPr="00D15AAE" w:rsidRDefault="002634C4" w:rsidP="00D15AAE">
      <w:pPr>
        <w:spacing w:line="276" w:lineRule="auto"/>
        <w:rPr>
          <w:i/>
          <w:iCs/>
          <w:sz w:val="24"/>
        </w:rPr>
      </w:pPr>
      <w:r w:rsidRPr="00D15AAE">
        <w:rPr>
          <w:i/>
          <w:iCs/>
          <w:sz w:val="24"/>
        </w:rPr>
        <w:t>1. Indledning</w:t>
      </w:r>
    </w:p>
    <w:p w:rsidR="00262BDB" w:rsidRPr="00D15AAE" w:rsidRDefault="00262BDB" w:rsidP="00D15AAE">
      <w:pPr>
        <w:widowControl/>
        <w:tabs>
          <w:tab w:val="left" w:pos="284"/>
        </w:tabs>
        <w:spacing w:after="240" w:line="276" w:lineRule="auto"/>
        <w:rPr>
          <w:color w:val="000000"/>
          <w:sz w:val="24"/>
        </w:rPr>
      </w:pPr>
      <w:r w:rsidRPr="00D15AAE">
        <w:rPr>
          <w:color w:val="000000"/>
          <w:sz w:val="24"/>
        </w:rPr>
        <w:t>Med dette lovforslag foreslås forskellige tilpasninger af kulafgiftsloven og CO</w:t>
      </w:r>
      <w:r w:rsidRPr="00D15AAE">
        <w:rPr>
          <w:color w:val="000000"/>
          <w:sz w:val="24"/>
          <w:vertAlign w:val="subscript"/>
        </w:rPr>
        <w:t>2</w:t>
      </w:r>
      <w:r w:rsidRPr="00D15AAE">
        <w:rPr>
          <w:color w:val="000000"/>
          <w:sz w:val="24"/>
        </w:rPr>
        <w:t>-afgiftsloven som følge af, at en række større affaldsforbrændingsanlæg indgår i CO</w:t>
      </w:r>
      <w:r w:rsidRPr="00D15AAE">
        <w:rPr>
          <w:color w:val="000000"/>
          <w:sz w:val="24"/>
          <w:vertAlign w:val="subscript"/>
        </w:rPr>
        <w:t>2</w:t>
      </w:r>
      <w:r w:rsidR="00DD3504">
        <w:rPr>
          <w:color w:val="000000"/>
          <w:sz w:val="24"/>
        </w:rPr>
        <w:t>-</w:t>
      </w:r>
      <w:r w:rsidRPr="00D15AAE">
        <w:rPr>
          <w:color w:val="000000"/>
          <w:sz w:val="24"/>
        </w:rPr>
        <w:t xml:space="preserve">kvotesektoren </w:t>
      </w:r>
      <w:r w:rsidR="00DD3504">
        <w:rPr>
          <w:color w:val="000000"/>
          <w:sz w:val="24"/>
        </w:rPr>
        <w:t xml:space="preserve"> fra og med</w:t>
      </w:r>
      <w:r w:rsidRPr="00D15AAE">
        <w:rPr>
          <w:color w:val="000000"/>
          <w:sz w:val="24"/>
        </w:rPr>
        <w:t xml:space="preserve"> 2013. </w:t>
      </w:r>
      <w:r w:rsidR="002F6C28" w:rsidRPr="00D15AAE">
        <w:rPr>
          <w:color w:val="000000"/>
          <w:sz w:val="24"/>
        </w:rPr>
        <w:t>Der er alene tale om tekniske tilpasninger i forbindelse med opgørelse af de eksisterende afgifter på affaldsforbrænding.</w:t>
      </w:r>
    </w:p>
    <w:p w:rsidR="002634C4" w:rsidRPr="00D15AAE" w:rsidRDefault="002634C4" w:rsidP="00D15AAE">
      <w:pPr>
        <w:spacing w:line="276" w:lineRule="auto"/>
        <w:rPr>
          <w:i/>
          <w:iCs/>
          <w:sz w:val="24"/>
        </w:rPr>
      </w:pPr>
      <w:r w:rsidRPr="00D15AAE">
        <w:rPr>
          <w:i/>
          <w:iCs/>
          <w:sz w:val="24"/>
        </w:rPr>
        <w:t xml:space="preserve">2. Lovforslagets formål og baggrund </w:t>
      </w:r>
    </w:p>
    <w:p w:rsidR="00B34905" w:rsidRPr="00D15AAE" w:rsidRDefault="00E4577E" w:rsidP="00D15AAE">
      <w:pPr>
        <w:widowControl/>
        <w:tabs>
          <w:tab w:val="left" w:pos="284"/>
        </w:tabs>
        <w:spacing w:after="240" w:line="276" w:lineRule="auto"/>
        <w:rPr>
          <w:color w:val="000000"/>
          <w:sz w:val="24"/>
        </w:rPr>
      </w:pPr>
      <w:r w:rsidRPr="00D15AAE">
        <w:rPr>
          <w:color w:val="000000"/>
          <w:sz w:val="24"/>
        </w:rPr>
        <w:t>Lovforslaget har til formål at tilpasse kulafgiftslovens og CO</w:t>
      </w:r>
      <w:r w:rsidRPr="00D15AAE">
        <w:rPr>
          <w:color w:val="000000"/>
          <w:sz w:val="24"/>
          <w:vertAlign w:val="subscript"/>
        </w:rPr>
        <w:t>2</w:t>
      </w:r>
      <w:r w:rsidRPr="00D15AAE">
        <w:rPr>
          <w:color w:val="000000"/>
          <w:sz w:val="24"/>
        </w:rPr>
        <w:t>-afgiftslovens regler for opgørelse af afgifter på affaldsforbrænding til den situation, som fremkommer i 2013, hvor en række større affaldsforbrændingsanlæg bliver CO</w:t>
      </w:r>
      <w:r w:rsidRPr="00D15AAE">
        <w:rPr>
          <w:color w:val="000000"/>
          <w:sz w:val="24"/>
          <w:vertAlign w:val="subscript"/>
        </w:rPr>
        <w:t>2</w:t>
      </w:r>
      <w:r w:rsidR="00DD3504">
        <w:rPr>
          <w:color w:val="000000"/>
          <w:sz w:val="24"/>
        </w:rPr>
        <w:t>-</w:t>
      </w:r>
      <w:r w:rsidRPr="00D15AAE">
        <w:rPr>
          <w:color w:val="000000"/>
          <w:sz w:val="24"/>
        </w:rPr>
        <w:t>kvoteomfattede.</w:t>
      </w:r>
      <w:r w:rsidRPr="00D15AAE">
        <w:rPr>
          <w:color w:val="000000"/>
          <w:sz w:val="24"/>
        </w:rPr>
        <w:br/>
        <w:t xml:space="preserve">    Fra og med den 1. januar 2013 gælder de almindelige regler om udledningstilladelser efter lov om CO</w:t>
      </w:r>
      <w:r w:rsidRPr="00D15AAE">
        <w:rPr>
          <w:color w:val="000000"/>
          <w:sz w:val="24"/>
          <w:vertAlign w:val="subscript"/>
        </w:rPr>
        <w:t>2</w:t>
      </w:r>
      <w:r w:rsidRPr="00D15AAE">
        <w:rPr>
          <w:color w:val="000000"/>
          <w:sz w:val="24"/>
        </w:rPr>
        <w:t xml:space="preserve">-kvoter for affaldsforbrændingsanlæg af en vis størrelse, bortset fra produktionsenheder der udelukkende har til hovedformål at forbrænde farligt affald eller husholdningsaffald. Det betyder, at </w:t>
      </w:r>
      <w:r w:rsidR="00324BEE" w:rsidRPr="00D15AAE">
        <w:rPr>
          <w:color w:val="000000"/>
          <w:sz w:val="24"/>
        </w:rPr>
        <w:t xml:space="preserve">en række </w:t>
      </w:r>
      <w:r w:rsidRPr="00D15AAE">
        <w:rPr>
          <w:color w:val="000000"/>
          <w:sz w:val="24"/>
        </w:rPr>
        <w:t>større affaldsforbrændingsanlæg bliver CO</w:t>
      </w:r>
      <w:r w:rsidRPr="00D15AAE">
        <w:rPr>
          <w:color w:val="000000"/>
          <w:sz w:val="24"/>
          <w:vertAlign w:val="subscript"/>
        </w:rPr>
        <w:t>2</w:t>
      </w:r>
      <w:r w:rsidRPr="00D15AAE">
        <w:rPr>
          <w:color w:val="000000"/>
          <w:sz w:val="24"/>
        </w:rPr>
        <w:t>-kvoteomfattede i 2013.</w:t>
      </w:r>
      <w:r w:rsidR="00E34728" w:rsidRPr="00D15AAE">
        <w:rPr>
          <w:color w:val="000000"/>
          <w:sz w:val="24"/>
        </w:rPr>
        <w:t xml:space="preserve"> Disse virksomheder har hidtil betalt afgifter af affaldsforbrænding </w:t>
      </w:r>
      <w:r w:rsidR="00324BEE" w:rsidRPr="00D15AAE">
        <w:rPr>
          <w:color w:val="000000"/>
          <w:sz w:val="24"/>
        </w:rPr>
        <w:t xml:space="preserve">efter særlige regler </w:t>
      </w:r>
      <w:r w:rsidR="00E34728" w:rsidRPr="00D15AAE">
        <w:rPr>
          <w:color w:val="000000"/>
          <w:sz w:val="24"/>
        </w:rPr>
        <w:t xml:space="preserve">for </w:t>
      </w:r>
      <w:r w:rsidR="00324BEE" w:rsidRPr="00D15AAE">
        <w:rPr>
          <w:color w:val="000000"/>
          <w:sz w:val="24"/>
        </w:rPr>
        <w:t>affaldsforbrændingsanlæg</w:t>
      </w:r>
      <w:r w:rsidR="00E34728" w:rsidRPr="00D15AAE">
        <w:rPr>
          <w:color w:val="000000"/>
          <w:sz w:val="24"/>
        </w:rPr>
        <w:t xml:space="preserve"> uden</w:t>
      </w:r>
      <w:r w:rsidR="00DD3504">
        <w:rPr>
          <w:color w:val="000000"/>
          <w:sz w:val="24"/>
        </w:rPr>
        <w:t xml:space="preserve"> </w:t>
      </w:r>
      <w:r w:rsidR="00E34728" w:rsidRPr="00D15AAE">
        <w:rPr>
          <w:color w:val="000000"/>
          <w:sz w:val="24"/>
        </w:rPr>
        <w:t>for CO</w:t>
      </w:r>
      <w:r w:rsidR="00E34728" w:rsidRPr="00D15AAE">
        <w:rPr>
          <w:color w:val="000000"/>
          <w:sz w:val="24"/>
          <w:vertAlign w:val="subscript"/>
        </w:rPr>
        <w:t>2</w:t>
      </w:r>
      <w:r w:rsidR="00E34728" w:rsidRPr="00D15AAE">
        <w:rPr>
          <w:color w:val="000000"/>
          <w:sz w:val="24"/>
        </w:rPr>
        <w:t xml:space="preserve">-kvotesektoren, men fra og med den 1. januar 2013 vil de </w:t>
      </w:r>
      <w:r w:rsidR="00627312" w:rsidRPr="00D15AAE">
        <w:rPr>
          <w:color w:val="000000"/>
          <w:sz w:val="24"/>
        </w:rPr>
        <w:t xml:space="preserve">som noget nyt </w:t>
      </w:r>
      <w:r w:rsidR="00E34728" w:rsidRPr="00D15AAE">
        <w:rPr>
          <w:color w:val="000000"/>
          <w:sz w:val="24"/>
        </w:rPr>
        <w:t xml:space="preserve">skulle betale afgifter af affaldsforbrænding efter de </w:t>
      </w:r>
      <w:r w:rsidR="00324BEE" w:rsidRPr="00D15AAE">
        <w:rPr>
          <w:color w:val="000000"/>
          <w:sz w:val="24"/>
        </w:rPr>
        <w:t>særlige afgifts</w:t>
      </w:r>
      <w:r w:rsidR="00E34728" w:rsidRPr="00D15AAE">
        <w:rPr>
          <w:color w:val="000000"/>
          <w:sz w:val="24"/>
        </w:rPr>
        <w:t>regler, som gælder for CO</w:t>
      </w:r>
      <w:r w:rsidR="00E34728" w:rsidRPr="00D15AAE">
        <w:rPr>
          <w:color w:val="000000"/>
          <w:sz w:val="24"/>
          <w:vertAlign w:val="subscript"/>
        </w:rPr>
        <w:t>2</w:t>
      </w:r>
      <w:r w:rsidR="00E34728" w:rsidRPr="00D15AAE">
        <w:rPr>
          <w:color w:val="000000"/>
          <w:sz w:val="24"/>
        </w:rPr>
        <w:t>-kvoteomfattede virksomheder</w:t>
      </w:r>
      <w:r w:rsidR="00C828AD" w:rsidRPr="00D15AAE">
        <w:rPr>
          <w:color w:val="000000"/>
          <w:sz w:val="24"/>
        </w:rPr>
        <w:t>, som foretager affaldsforbrænding</w:t>
      </w:r>
      <w:r w:rsidR="00E34728" w:rsidRPr="00D15AAE">
        <w:rPr>
          <w:color w:val="000000"/>
          <w:sz w:val="24"/>
        </w:rPr>
        <w:t>.</w:t>
      </w:r>
      <w:r w:rsidR="004B0F9E" w:rsidRPr="00D15AAE">
        <w:rPr>
          <w:color w:val="000000"/>
          <w:sz w:val="24"/>
        </w:rPr>
        <w:t xml:space="preserve"> Dette gælder</w:t>
      </w:r>
      <w:r w:rsidR="008D0075" w:rsidRPr="00D15AAE">
        <w:rPr>
          <w:color w:val="000000"/>
          <w:sz w:val="24"/>
        </w:rPr>
        <w:t xml:space="preserve"> for</w:t>
      </w:r>
      <w:r w:rsidR="004B0F9E" w:rsidRPr="00D15AAE">
        <w:rPr>
          <w:color w:val="000000"/>
          <w:sz w:val="24"/>
        </w:rPr>
        <w:t xml:space="preserve"> afgifter efter både kulafgiftsloven og CO</w:t>
      </w:r>
      <w:r w:rsidR="004B0F9E" w:rsidRPr="00D15AAE">
        <w:rPr>
          <w:color w:val="000000"/>
          <w:sz w:val="24"/>
          <w:vertAlign w:val="subscript"/>
        </w:rPr>
        <w:t>2</w:t>
      </w:r>
      <w:r w:rsidR="004B0F9E" w:rsidRPr="00D15AAE">
        <w:rPr>
          <w:color w:val="000000"/>
          <w:sz w:val="24"/>
        </w:rPr>
        <w:t>-afgiftsloven.</w:t>
      </w:r>
      <w:r w:rsidR="005E7793" w:rsidRPr="00D15AAE">
        <w:rPr>
          <w:color w:val="000000"/>
          <w:sz w:val="24"/>
        </w:rPr>
        <w:br/>
        <w:t xml:space="preserve"> </w:t>
      </w:r>
      <w:r w:rsidR="007262C4" w:rsidRPr="00D15AAE">
        <w:rPr>
          <w:color w:val="000000"/>
          <w:sz w:val="24"/>
        </w:rPr>
        <w:t xml:space="preserve">   De gældende særlige afgiftsregler for CO</w:t>
      </w:r>
      <w:r w:rsidR="007262C4" w:rsidRPr="00D15AAE">
        <w:rPr>
          <w:color w:val="000000"/>
          <w:sz w:val="24"/>
          <w:vertAlign w:val="subscript"/>
        </w:rPr>
        <w:t>2</w:t>
      </w:r>
      <w:r w:rsidR="007262C4" w:rsidRPr="00D15AAE">
        <w:rPr>
          <w:color w:val="000000"/>
          <w:sz w:val="24"/>
        </w:rPr>
        <w:t xml:space="preserve">-kvoteomfattede virksomheder, som foretager affaldsforbrænding, </w:t>
      </w:r>
      <w:r w:rsidR="005032DE" w:rsidRPr="00D15AAE">
        <w:rPr>
          <w:color w:val="000000"/>
          <w:sz w:val="24"/>
        </w:rPr>
        <w:t>bygger</w:t>
      </w:r>
      <w:r w:rsidR="00627312" w:rsidRPr="00D15AAE">
        <w:rPr>
          <w:color w:val="000000"/>
          <w:sz w:val="24"/>
        </w:rPr>
        <w:t xml:space="preserve"> </w:t>
      </w:r>
      <w:r w:rsidR="005032DE" w:rsidRPr="00D15AAE">
        <w:rPr>
          <w:color w:val="000000"/>
          <w:sz w:val="24"/>
        </w:rPr>
        <w:t>til en vis grad på den opgørelse af CO</w:t>
      </w:r>
      <w:r w:rsidR="005032DE" w:rsidRPr="00D15AAE">
        <w:rPr>
          <w:color w:val="000000"/>
          <w:sz w:val="24"/>
          <w:vertAlign w:val="subscript"/>
        </w:rPr>
        <w:t>2</w:t>
      </w:r>
      <w:r w:rsidR="00DA15B1">
        <w:rPr>
          <w:color w:val="000000"/>
          <w:sz w:val="24"/>
        </w:rPr>
        <w:t>-</w:t>
      </w:r>
      <w:r w:rsidR="005032DE" w:rsidRPr="00D15AAE">
        <w:rPr>
          <w:color w:val="000000"/>
          <w:sz w:val="24"/>
        </w:rPr>
        <w:t>udledning, som de CO</w:t>
      </w:r>
      <w:r w:rsidR="005032DE" w:rsidRPr="00D15AAE">
        <w:rPr>
          <w:color w:val="000000"/>
          <w:sz w:val="24"/>
          <w:vertAlign w:val="subscript"/>
        </w:rPr>
        <w:t>2</w:t>
      </w:r>
      <w:r w:rsidR="005032DE" w:rsidRPr="00D15AAE">
        <w:rPr>
          <w:color w:val="000000"/>
          <w:sz w:val="24"/>
        </w:rPr>
        <w:t>-kvoteomfattede virksomheder skal foretage efter lovgivningen om CO</w:t>
      </w:r>
      <w:r w:rsidR="005032DE" w:rsidRPr="00D15AAE">
        <w:rPr>
          <w:color w:val="000000"/>
          <w:sz w:val="24"/>
          <w:vertAlign w:val="subscript"/>
        </w:rPr>
        <w:t>2</w:t>
      </w:r>
      <w:r w:rsidR="005032DE" w:rsidRPr="00D15AAE">
        <w:rPr>
          <w:color w:val="000000"/>
          <w:sz w:val="24"/>
        </w:rPr>
        <w:t>-kvoter</w:t>
      </w:r>
      <w:r w:rsidR="00C8621D" w:rsidRPr="00D15AAE">
        <w:rPr>
          <w:color w:val="000000"/>
          <w:sz w:val="24"/>
        </w:rPr>
        <w:t xml:space="preserve">. Afgiftsreglerne </w:t>
      </w:r>
      <w:r w:rsidR="00174F24" w:rsidRPr="00D15AAE">
        <w:rPr>
          <w:color w:val="000000"/>
          <w:sz w:val="24"/>
        </w:rPr>
        <w:t>benytter</w:t>
      </w:r>
      <w:r w:rsidR="00C8621D" w:rsidRPr="00D15AAE">
        <w:rPr>
          <w:color w:val="000000"/>
          <w:sz w:val="24"/>
        </w:rPr>
        <w:t xml:space="preserve"> således </w:t>
      </w:r>
      <w:r w:rsidR="007262C4" w:rsidRPr="00D15AAE">
        <w:rPr>
          <w:color w:val="000000"/>
          <w:sz w:val="24"/>
        </w:rPr>
        <w:t>mængderne</w:t>
      </w:r>
      <w:r w:rsidR="00C8621D" w:rsidRPr="00D15AAE">
        <w:rPr>
          <w:color w:val="000000"/>
          <w:sz w:val="24"/>
        </w:rPr>
        <w:t xml:space="preserve"> energiindhold i brændsler </w:t>
      </w:r>
      <w:r w:rsidR="00174F24" w:rsidRPr="00D15AAE">
        <w:rPr>
          <w:color w:val="000000"/>
          <w:sz w:val="24"/>
        </w:rPr>
        <w:t xml:space="preserve">(GJ) </w:t>
      </w:r>
      <w:r w:rsidR="00C8621D" w:rsidRPr="00D15AAE">
        <w:rPr>
          <w:color w:val="000000"/>
          <w:sz w:val="24"/>
        </w:rPr>
        <w:t>og brændslers CO</w:t>
      </w:r>
      <w:r w:rsidR="00C8621D" w:rsidRPr="00D15AAE">
        <w:rPr>
          <w:color w:val="000000"/>
          <w:sz w:val="24"/>
          <w:vertAlign w:val="subscript"/>
        </w:rPr>
        <w:t>2</w:t>
      </w:r>
      <w:r w:rsidR="00C8621D" w:rsidRPr="00D15AAE">
        <w:rPr>
          <w:color w:val="000000"/>
          <w:sz w:val="24"/>
        </w:rPr>
        <w:t>-emissionsfaktor</w:t>
      </w:r>
      <w:r w:rsidR="00174F24" w:rsidRPr="00D15AAE">
        <w:rPr>
          <w:color w:val="000000"/>
          <w:sz w:val="24"/>
        </w:rPr>
        <w:t xml:space="preserve"> (kg CO</w:t>
      </w:r>
      <w:r w:rsidR="00174F24" w:rsidRPr="00D15AAE">
        <w:rPr>
          <w:color w:val="000000"/>
          <w:sz w:val="24"/>
          <w:vertAlign w:val="subscript"/>
        </w:rPr>
        <w:t>2</w:t>
      </w:r>
      <w:r w:rsidR="007262C4" w:rsidRPr="00D15AAE">
        <w:rPr>
          <w:color w:val="000000"/>
          <w:sz w:val="24"/>
        </w:rPr>
        <w:t xml:space="preserve">/GJ). Disse </w:t>
      </w:r>
      <w:r w:rsidR="00174F24" w:rsidRPr="00D15AAE">
        <w:rPr>
          <w:color w:val="000000"/>
          <w:sz w:val="24"/>
        </w:rPr>
        <w:t>mængder benyttes</w:t>
      </w:r>
      <w:r w:rsidR="00C8621D" w:rsidRPr="00D15AAE">
        <w:rPr>
          <w:color w:val="000000"/>
          <w:sz w:val="24"/>
        </w:rPr>
        <w:t xml:space="preserve"> </w:t>
      </w:r>
      <w:r w:rsidR="007262C4" w:rsidRPr="00D15AAE">
        <w:rPr>
          <w:color w:val="000000"/>
          <w:sz w:val="24"/>
        </w:rPr>
        <w:t xml:space="preserve">i dag </w:t>
      </w:r>
      <w:r w:rsidR="00DF270E" w:rsidRPr="00D15AAE">
        <w:rPr>
          <w:color w:val="000000"/>
          <w:sz w:val="24"/>
        </w:rPr>
        <w:t>også</w:t>
      </w:r>
      <w:r w:rsidR="007262C4" w:rsidRPr="00D15AAE">
        <w:rPr>
          <w:color w:val="000000"/>
          <w:sz w:val="24"/>
        </w:rPr>
        <w:t xml:space="preserve"> i</w:t>
      </w:r>
      <w:r w:rsidR="00C8621D" w:rsidRPr="00D15AAE">
        <w:rPr>
          <w:color w:val="000000"/>
          <w:sz w:val="24"/>
        </w:rPr>
        <w:t xml:space="preserve"> CO</w:t>
      </w:r>
      <w:r w:rsidR="00C8621D" w:rsidRPr="00D15AAE">
        <w:rPr>
          <w:color w:val="000000"/>
          <w:sz w:val="24"/>
          <w:vertAlign w:val="subscript"/>
        </w:rPr>
        <w:t>2</w:t>
      </w:r>
      <w:r w:rsidR="00DA15B1">
        <w:rPr>
          <w:color w:val="000000"/>
          <w:sz w:val="24"/>
        </w:rPr>
        <w:t>-</w:t>
      </w:r>
      <w:r w:rsidR="00C8621D" w:rsidRPr="00D15AAE">
        <w:rPr>
          <w:color w:val="000000"/>
          <w:sz w:val="24"/>
        </w:rPr>
        <w:t xml:space="preserve"> kvotelovgivningen.</w:t>
      </w:r>
      <w:r w:rsidR="00627312" w:rsidRPr="00D15AAE">
        <w:rPr>
          <w:color w:val="000000"/>
          <w:sz w:val="24"/>
        </w:rPr>
        <w:t xml:space="preserve"> Der er således i dag </w:t>
      </w:r>
      <w:r w:rsidR="009A13D9" w:rsidRPr="00D15AAE">
        <w:rPr>
          <w:color w:val="000000"/>
          <w:sz w:val="24"/>
        </w:rPr>
        <w:t>d</w:t>
      </w:r>
      <w:r w:rsidR="00627312" w:rsidRPr="00D15AAE">
        <w:rPr>
          <w:color w:val="000000"/>
          <w:sz w:val="24"/>
        </w:rPr>
        <w:t>en</w:t>
      </w:r>
      <w:r w:rsidR="009A13D9" w:rsidRPr="00D15AAE">
        <w:rPr>
          <w:color w:val="000000"/>
          <w:sz w:val="24"/>
        </w:rPr>
        <w:t>ne</w:t>
      </w:r>
      <w:r w:rsidR="00627312" w:rsidRPr="00D15AAE">
        <w:rPr>
          <w:color w:val="000000"/>
          <w:sz w:val="24"/>
        </w:rPr>
        <w:t xml:space="preserve"> </w:t>
      </w:r>
      <w:r w:rsidR="007262C4" w:rsidRPr="00D15AAE">
        <w:rPr>
          <w:color w:val="000000"/>
          <w:sz w:val="24"/>
        </w:rPr>
        <w:t>sammenhæng</w:t>
      </w:r>
      <w:r w:rsidR="00627312" w:rsidRPr="00D15AAE">
        <w:rPr>
          <w:color w:val="000000"/>
          <w:sz w:val="24"/>
        </w:rPr>
        <w:t xml:space="preserve"> mellem afgiftsreglerne </w:t>
      </w:r>
      <w:r w:rsidR="007262C4" w:rsidRPr="00D15AAE">
        <w:rPr>
          <w:color w:val="000000"/>
          <w:sz w:val="24"/>
        </w:rPr>
        <w:t xml:space="preserve">for affaldsforbrænding </w:t>
      </w:r>
      <w:r w:rsidR="00627312" w:rsidRPr="00D15AAE">
        <w:rPr>
          <w:color w:val="000000"/>
          <w:sz w:val="24"/>
        </w:rPr>
        <w:t>og CO</w:t>
      </w:r>
      <w:r w:rsidR="00627312" w:rsidRPr="00D15AAE">
        <w:rPr>
          <w:color w:val="000000"/>
          <w:sz w:val="24"/>
          <w:vertAlign w:val="subscript"/>
        </w:rPr>
        <w:t>2</w:t>
      </w:r>
      <w:r w:rsidR="00DA15B1">
        <w:rPr>
          <w:color w:val="000000"/>
          <w:sz w:val="24"/>
        </w:rPr>
        <w:t>-</w:t>
      </w:r>
      <w:r w:rsidR="00627312" w:rsidRPr="00D15AAE">
        <w:rPr>
          <w:color w:val="000000"/>
          <w:sz w:val="24"/>
        </w:rPr>
        <w:t>kvotelovgivningen.</w:t>
      </w:r>
      <w:r w:rsidR="008E0022" w:rsidRPr="00D15AAE">
        <w:rPr>
          <w:color w:val="000000"/>
          <w:sz w:val="24"/>
        </w:rPr>
        <w:t xml:space="preserve">  Europa Kommissionen har udstedt Kommissionens forordning (EU) nr. 601/2012 af 21. juni 2012 om overvågning og rapportering af drivhusgasemissioner i medfør af Europa-Parlamentets og Rådets direktiv 2003/87/EF. Denne forordning skal anvendes fra den 1. januar 2013. Efter forordningen </w:t>
      </w:r>
      <w:r w:rsidR="00861528" w:rsidRPr="00D15AAE">
        <w:rPr>
          <w:color w:val="000000"/>
          <w:sz w:val="24"/>
        </w:rPr>
        <w:t>er der muligh</w:t>
      </w:r>
      <w:r w:rsidR="00D04F35" w:rsidRPr="00D15AAE">
        <w:rPr>
          <w:color w:val="000000"/>
          <w:sz w:val="24"/>
        </w:rPr>
        <w:t>e</w:t>
      </w:r>
      <w:r w:rsidR="00861528" w:rsidRPr="00D15AAE">
        <w:rPr>
          <w:color w:val="000000"/>
          <w:sz w:val="24"/>
        </w:rPr>
        <w:t>der for, at de</w:t>
      </w:r>
      <w:r w:rsidR="008E0022" w:rsidRPr="00D15AAE">
        <w:rPr>
          <w:color w:val="000000"/>
          <w:sz w:val="24"/>
        </w:rPr>
        <w:t xml:space="preserve"> CO</w:t>
      </w:r>
      <w:r w:rsidR="008E0022" w:rsidRPr="00D15AAE">
        <w:rPr>
          <w:color w:val="000000"/>
          <w:sz w:val="24"/>
          <w:vertAlign w:val="subscript"/>
        </w:rPr>
        <w:t>2</w:t>
      </w:r>
      <w:r w:rsidR="008E0022" w:rsidRPr="00D15AAE">
        <w:rPr>
          <w:color w:val="000000"/>
          <w:sz w:val="24"/>
        </w:rPr>
        <w:t xml:space="preserve">-kvoteomfattede virksomheder </w:t>
      </w:r>
      <w:r w:rsidR="00861528" w:rsidRPr="00D15AAE">
        <w:rPr>
          <w:color w:val="000000"/>
          <w:sz w:val="24"/>
        </w:rPr>
        <w:t>anvende</w:t>
      </w:r>
      <w:r w:rsidR="004E00D3" w:rsidRPr="00D15AAE">
        <w:rPr>
          <w:color w:val="000000"/>
          <w:sz w:val="24"/>
        </w:rPr>
        <w:t>r</w:t>
      </w:r>
      <w:r w:rsidR="00861528" w:rsidRPr="00D15AAE">
        <w:rPr>
          <w:color w:val="000000"/>
          <w:sz w:val="24"/>
        </w:rPr>
        <w:t xml:space="preserve"> </w:t>
      </w:r>
      <w:r w:rsidR="002F6C28" w:rsidRPr="00D15AAE">
        <w:rPr>
          <w:color w:val="000000"/>
          <w:sz w:val="24"/>
        </w:rPr>
        <w:t xml:space="preserve">forskellige metoder til opgørelse af </w:t>
      </w:r>
      <w:r w:rsidR="002F6C28" w:rsidRPr="00DA15B1">
        <w:rPr>
          <w:color w:val="000000"/>
          <w:sz w:val="24"/>
        </w:rPr>
        <w:t>drivhusgasemissioner.</w:t>
      </w:r>
      <w:r w:rsidR="00333528" w:rsidRPr="00DA15B1">
        <w:rPr>
          <w:color w:val="000000"/>
          <w:sz w:val="24"/>
        </w:rPr>
        <w:t xml:space="preserve"> F</w:t>
      </w:r>
      <w:r w:rsidR="00861528" w:rsidRPr="00DA15B1">
        <w:rPr>
          <w:color w:val="000000"/>
          <w:sz w:val="24"/>
        </w:rPr>
        <w:t xml:space="preserve">.eks. en metode, hvorefter </w:t>
      </w:r>
      <w:r w:rsidR="00333528" w:rsidRPr="00DA15B1">
        <w:rPr>
          <w:color w:val="000000"/>
          <w:sz w:val="24"/>
        </w:rPr>
        <w:t>CO</w:t>
      </w:r>
      <w:r w:rsidR="00333528" w:rsidRPr="00DA15B1">
        <w:rPr>
          <w:color w:val="000000"/>
          <w:sz w:val="24"/>
          <w:vertAlign w:val="subscript"/>
        </w:rPr>
        <w:t>2</w:t>
      </w:r>
      <w:r w:rsidR="00333528" w:rsidRPr="00DA15B1">
        <w:rPr>
          <w:color w:val="000000"/>
          <w:sz w:val="24"/>
        </w:rPr>
        <w:t>-udledningen</w:t>
      </w:r>
      <w:r w:rsidR="00861528" w:rsidRPr="00DA15B1">
        <w:rPr>
          <w:color w:val="000000"/>
          <w:sz w:val="24"/>
        </w:rPr>
        <w:t xml:space="preserve"> </w:t>
      </w:r>
      <w:r w:rsidR="00333528" w:rsidRPr="00DA15B1">
        <w:rPr>
          <w:color w:val="000000"/>
          <w:sz w:val="24"/>
        </w:rPr>
        <w:t>måles direkte (skorstensmetoden)</w:t>
      </w:r>
      <w:r w:rsidR="00861528" w:rsidRPr="00DA15B1">
        <w:rPr>
          <w:color w:val="000000"/>
          <w:sz w:val="24"/>
        </w:rPr>
        <w:t xml:space="preserve">, </w:t>
      </w:r>
      <w:r w:rsidR="00431F6F" w:rsidRPr="00DA15B1">
        <w:rPr>
          <w:color w:val="000000"/>
          <w:sz w:val="24"/>
        </w:rPr>
        <w:t>hvorved der ikke foretages opgørelse af energiindholdet i brændslet</w:t>
      </w:r>
      <w:r w:rsidR="008240D7">
        <w:rPr>
          <w:color w:val="000000"/>
          <w:sz w:val="24"/>
        </w:rPr>
        <w:t>, herunder affaldsbrændsel</w:t>
      </w:r>
      <w:r w:rsidR="00431F6F" w:rsidRPr="00DA15B1">
        <w:rPr>
          <w:color w:val="000000"/>
          <w:sz w:val="24"/>
        </w:rPr>
        <w:t>. F.eks.</w:t>
      </w:r>
      <w:r w:rsidR="00861528" w:rsidRPr="00DA15B1">
        <w:rPr>
          <w:color w:val="000000"/>
          <w:sz w:val="24"/>
        </w:rPr>
        <w:t xml:space="preserve"> en metode, hvorefter der fastsættes et gennemsnitligt energiindhold (GJ) for almindeligt affald</w:t>
      </w:r>
      <w:r w:rsidR="008240D7">
        <w:rPr>
          <w:color w:val="000000"/>
          <w:sz w:val="24"/>
        </w:rPr>
        <w:t xml:space="preserve">, </w:t>
      </w:r>
      <w:r w:rsidR="00861528" w:rsidRPr="00DA15B1">
        <w:rPr>
          <w:color w:val="000000"/>
          <w:sz w:val="24"/>
        </w:rPr>
        <w:t>som derpå ganges med en relevant emissionsfaktor (kg CO</w:t>
      </w:r>
      <w:r w:rsidR="00861528" w:rsidRPr="00DA15B1">
        <w:rPr>
          <w:color w:val="000000"/>
          <w:sz w:val="24"/>
          <w:vertAlign w:val="subscript"/>
        </w:rPr>
        <w:t>2</w:t>
      </w:r>
      <w:r w:rsidR="00861528" w:rsidRPr="00DA15B1">
        <w:rPr>
          <w:color w:val="000000"/>
          <w:sz w:val="24"/>
        </w:rPr>
        <w:t>/GJ).</w:t>
      </w:r>
      <w:r w:rsidR="008E20E5" w:rsidRPr="00DA15B1">
        <w:rPr>
          <w:color w:val="000000"/>
          <w:sz w:val="24"/>
        </w:rPr>
        <w:t xml:space="preserve"> </w:t>
      </w:r>
      <w:r w:rsidR="00D04F35" w:rsidRPr="00DA15B1">
        <w:rPr>
          <w:color w:val="000000"/>
          <w:sz w:val="24"/>
        </w:rPr>
        <w:t>Ved brug af sidstnævnte metode</w:t>
      </w:r>
      <w:r w:rsidR="00431F6F" w:rsidRPr="00DA15B1">
        <w:rPr>
          <w:color w:val="000000"/>
          <w:sz w:val="24"/>
        </w:rPr>
        <w:t xml:space="preserve"> sker der ikke opgørelse af det faktiske energiindhold i brændslet for det enkelte anlæg, da der anvendes et gennemsnitligt </w:t>
      </w:r>
      <w:r w:rsidR="00431F6F" w:rsidRPr="00DA15B1">
        <w:rPr>
          <w:color w:val="000000"/>
          <w:sz w:val="24"/>
        </w:rPr>
        <w:lastRenderedPageBreak/>
        <w:t>energiindhold for brændsler, som er forbrændt i flere anlæg.</w:t>
      </w:r>
      <w:r w:rsidR="008E20E5" w:rsidRPr="00D15AAE">
        <w:rPr>
          <w:color w:val="000000"/>
          <w:sz w:val="24"/>
        </w:rPr>
        <w:br/>
      </w:r>
      <w:r w:rsidR="00333528" w:rsidRPr="00D15AAE">
        <w:rPr>
          <w:color w:val="000000"/>
          <w:sz w:val="24"/>
        </w:rPr>
        <w:t xml:space="preserve">   </w:t>
      </w:r>
      <w:r w:rsidR="008E20E5" w:rsidRPr="00D15AAE">
        <w:rPr>
          <w:color w:val="000000"/>
          <w:sz w:val="24"/>
        </w:rPr>
        <w:t xml:space="preserve"> </w:t>
      </w:r>
      <w:r w:rsidR="00A31287" w:rsidRPr="00D15AAE">
        <w:rPr>
          <w:color w:val="000000"/>
          <w:sz w:val="24"/>
        </w:rPr>
        <w:t>På den baggrund er det vurderet</w:t>
      </w:r>
      <w:r w:rsidR="008E20E5" w:rsidRPr="00D15AAE">
        <w:rPr>
          <w:color w:val="000000"/>
          <w:sz w:val="24"/>
        </w:rPr>
        <w:t xml:space="preserve"> </w:t>
      </w:r>
      <w:r w:rsidR="00394D4E" w:rsidRPr="00D15AAE">
        <w:rPr>
          <w:color w:val="000000"/>
          <w:sz w:val="24"/>
        </w:rPr>
        <w:t xml:space="preserve">på hvilke områder og </w:t>
      </w:r>
      <w:r w:rsidR="008E20E5" w:rsidRPr="00D15AAE">
        <w:rPr>
          <w:color w:val="000000"/>
          <w:sz w:val="24"/>
        </w:rPr>
        <w:t>i hvilket omfang,</w:t>
      </w:r>
      <w:r w:rsidR="00D943B2" w:rsidRPr="00D15AAE">
        <w:rPr>
          <w:color w:val="000000"/>
          <w:sz w:val="24"/>
        </w:rPr>
        <w:t xml:space="preserve"> </w:t>
      </w:r>
      <w:r w:rsidR="008E20E5" w:rsidRPr="00D15AAE">
        <w:rPr>
          <w:color w:val="000000"/>
          <w:sz w:val="24"/>
        </w:rPr>
        <w:t xml:space="preserve">der bør foretages </w:t>
      </w:r>
      <w:r w:rsidR="00A31287" w:rsidRPr="00D15AAE">
        <w:rPr>
          <w:color w:val="000000"/>
          <w:sz w:val="24"/>
        </w:rPr>
        <w:t>tekniske</w:t>
      </w:r>
      <w:r w:rsidR="008E20E5" w:rsidRPr="00D15AAE">
        <w:rPr>
          <w:color w:val="000000"/>
          <w:sz w:val="24"/>
        </w:rPr>
        <w:t xml:space="preserve"> tilpasninger</w:t>
      </w:r>
      <w:r w:rsidR="00A31287" w:rsidRPr="00D15AAE">
        <w:rPr>
          <w:color w:val="000000"/>
          <w:sz w:val="24"/>
        </w:rPr>
        <w:t xml:space="preserve"> af afgiftsreglerne for opgørelse af gældende afgifter på affaldsforbrænding til den nye situation i 2013</w:t>
      </w:r>
      <w:r w:rsidR="008E20E5" w:rsidRPr="00D15AAE">
        <w:rPr>
          <w:color w:val="000000"/>
          <w:sz w:val="24"/>
        </w:rPr>
        <w:t>.</w:t>
      </w:r>
      <w:r w:rsidR="00B34905" w:rsidRPr="00D15AAE">
        <w:rPr>
          <w:color w:val="000000"/>
          <w:sz w:val="24"/>
        </w:rPr>
        <w:t xml:space="preserve"> Det er </w:t>
      </w:r>
      <w:r w:rsidR="00220FA9" w:rsidRPr="00D15AAE">
        <w:rPr>
          <w:color w:val="000000"/>
          <w:sz w:val="24"/>
        </w:rPr>
        <w:t xml:space="preserve">således </w:t>
      </w:r>
      <w:r w:rsidR="00B34905" w:rsidRPr="00D15AAE">
        <w:rPr>
          <w:color w:val="000000"/>
          <w:sz w:val="24"/>
        </w:rPr>
        <w:t xml:space="preserve">vurderet, </w:t>
      </w:r>
      <w:r w:rsidR="00A31287" w:rsidRPr="00D15AAE">
        <w:rPr>
          <w:color w:val="000000"/>
          <w:sz w:val="24"/>
        </w:rPr>
        <w:t>at der er behov for tilpasninger af</w:t>
      </w:r>
    </w:p>
    <w:p w:rsidR="004E00D3" w:rsidRDefault="004E00D3" w:rsidP="00D15AAE">
      <w:pPr>
        <w:pStyle w:val="Listeafsnit"/>
        <w:widowControl/>
        <w:numPr>
          <w:ilvl w:val="0"/>
          <w:numId w:val="11"/>
        </w:numPr>
        <w:tabs>
          <w:tab w:val="left" w:pos="284"/>
        </w:tabs>
        <w:spacing w:after="240" w:line="276" w:lineRule="auto"/>
        <w:rPr>
          <w:color w:val="000000"/>
          <w:sz w:val="24"/>
        </w:rPr>
      </w:pPr>
      <w:r w:rsidRPr="00D15AAE">
        <w:rPr>
          <w:color w:val="000000"/>
          <w:sz w:val="24"/>
        </w:rPr>
        <w:t>CO</w:t>
      </w:r>
      <w:r w:rsidRPr="00D15AAE">
        <w:rPr>
          <w:color w:val="000000"/>
          <w:sz w:val="24"/>
          <w:vertAlign w:val="subscript"/>
        </w:rPr>
        <w:t>2</w:t>
      </w:r>
      <w:r w:rsidR="00494B55">
        <w:rPr>
          <w:color w:val="000000"/>
          <w:sz w:val="24"/>
        </w:rPr>
        <w:t>-</w:t>
      </w:r>
      <w:r w:rsidRPr="00D15AAE">
        <w:rPr>
          <w:color w:val="000000"/>
          <w:sz w:val="24"/>
        </w:rPr>
        <w:t>afgiften</w:t>
      </w:r>
      <w:r w:rsidR="001C7FD2" w:rsidRPr="00D15AAE">
        <w:rPr>
          <w:color w:val="000000"/>
          <w:sz w:val="24"/>
        </w:rPr>
        <w:t xml:space="preserve"> for</w:t>
      </w:r>
      <w:r w:rsidR="00463514" w:rsidRPr="00D15AAE">
        <w:rPr>
          <w:color w:val="000000"/>
          <w:sz w:val="24"/>
        </w:rPr>
        <w:t xml:space="preserve"> </w:t>
      </w:r>
      <w:r w:rsidR="004B3686" w:rsidRPr="00D15AAE">
        <w:rPr>
          <w:color w:val="000000"/>
          <w:sz w:val="24"/>
        </w:rPr>
        <w:t>CO</w:t>
      </w:r>
      <w:r w:rsidR="004B3686" w:rsidRPr="00D15AAE">
        <w:rPr>
          <w:color w:val="000000"/>
          <w:sz w:val="24"/>
          <w:vertAlign w:val="subscript"/>
        </w:rPr>
        <w:t>2</w:t>
      </w:r>
      <w:r w:rsidR="00494B55">
        <w:rPr>
          <w:color w:val="000000"/>
          <w:sz w:val="24"/>
        </w:rPr>
        <w:t>-</w:t>
      </w:r>
      <w:r w:rsidR="004B3686" w:rsidRPr="00D15AAE">
        <w:rPr>
          <w:color w:val="000000"/>
          <w:sz w:val="24"/>
        </w:rPr>
        <w:t xml:space="preserve">kvoteomfattede </w:t>
      </w:r>
      <w:r w:rsidR="00463514" w:rsidRPr="00D15AAE">
        <w:rPr>
          <w:color w:val="000000"/>
          <w:sz w:val="24"/>
        </w:rPr>
        <w:t>anlæg</w:t>
      </w:r>
      <w:r w:rsidR="00A31287" w:rsidRPr="00D15AAE">
        <w:rPr>
          <w:color w:val="000000"/>
          <w:sz w:val="24"/>
        </w:rPr>
        <w:t>,</w:t>
      </w:r>
      <w:r w:rsidR="00463514" w:rsidRPr="00D15AAE">
        <w:rPr>
          <w:color w:val="000000"/>
          <w:sz w:val="24"/>
        </w:rPr>
        <w:t xml:space="preserve"> </w:t>
      </w:r>
      <w:r w:rsidR="001C7FD2" w:rsidRPr="00D15AAE">
        <w:rPr>
          <w:color w:val="000000"/>
          <w:sz w:val="24"/>
        </w:rPr>
        <w:t xml:space="preserve">der forbrænder affald, og </w:t>
      </w:r>
      <w:r w:rsidR="00463514" w:rsidRPr="00D15AAE">
        <w:rPr>
          <w:color w:val="000000"/>
          <w:sz w:val="24"/>
        </w:rPr>
        <w:t>som ikke opgør det faktiske energiindhold i affaldsbrændsel og/eller emissionsfaktoren for brændslet efter CO</w:t>
      </w:r>
      <w:r w:rsidR="00463514" w:rsidRPr="00D15AAE">
        <w:rPr>
          <w:color w:val="000000"/>
          <w:sz w:val="24"/>
          <w:vertAlign w:val="subscript"/>
        </w:rPr>
        <w:t>2</w:t>
      </w:r>
      <w:r w:rsidR="00494B55">
        <w:rPr>
          <w:color w:val="000000"/>
          <w:sz w:val="24"/>
        </w:rPr>
        <w:t>-</w:t>
      </w:r>
      <w:r w:rsidR="00463514" w:rsidRPr="00D15AAE">
        <w:rPr>
          <w:color w:val="000000"/>
          <w:sz w:val="24"/>
        </w:rPr>
        <w:t>kvotelovgivningen</w:t>
      </w:r>
      <w:r w:rsidR="00FB07DA">
        <w:rPr>
          <w:color w:val="000000"/>
          <w:sz w:val="24"/>
        </w:rPr>
        <w:t>,</w:t>
      </w:r>
    </w:p>
    <w:p w:rsidR="00FB07DA" w:rsidRDefault="00FB07DA" w:rsidP="00D15AAE">
      <w:pPr>
        <w:pStyle w:val="Listeafsnit"/>
        <w:widowControl/>
        <w:numPr>
          <w:ilvl w:val="0"/>
          <w:numId w:val="11"/>
        </w:numPr>
        <w:tabs>
          <w:tab w:val="left" w:pos="284"/>
        </w:tabs>
        <w:spacing w:after="240" w:line="276" w:lineRule="auto"/>
        <w:rPr>
          <w:color w:val="000000"/>
          <w:sz w:val="24"/>
        </w:rPr>
      </w:pPr>
      <w:r w:rsidRPr="00D15AAE">
        <w:rPr>
          <w:color w:val="000000"/>
          <w:sz w:val="24"/>
        </w:rPr>
        <w:t>tillægsafgiften på affaldsforbrænding efter kulafgiftsloven for ethvert CO</w:t>
      </w:r>
      <w:r w:rsidRPr="00D15AAE">
        <w:rPr>
          <w:color w:val="000000"/>
          <w:sz w:val="24"/>
          <w:vertAlign w:val="subscript"/>
        </w:rPr>
        <w:t>2</w:t>
      </w:r>
      <w:r>
        <w:rPr>
          <w:color w:val="000000"/>
          <w:sz w:val="24"/>
        </w:rPr>
        <w:t>-</w:t>
      </w:r>
      <w:r w:rsidRPr="00D15AAE">
        <w:rPr>
          <w:color w:val="000000"/>
          <w:sz w:val="24"/>
        </w:rPr>
        <w:t xml:space="preserve"> kvoteomfattet anlæg, der forbrænder affald, og som ikke opgør det faktiske energiindhold i affaldsbrændslet efter CO</w:t>
      </w:r>
      <w:r w:rsidRPr="00D15AAE">
        <w:rPr>
          <w:color w:val="000000"/>
          <w:sz w:val="24"/>
          <w:vertAlign w:val="subscript"/>
        </w:rPr>
        <w:t>2</w:t>
      </w:r>
      <w:r>
        <w:rPr>
          <w:color w:val="000000"/>
          <w:sz w:val="24"/>
        </w:rPr>
        <w:t>-</w:t>
      </w:r>
      <w:r w:rsidRPr="00D15AAE">
        <w:rPr>
          <w:color w:val="000000"/>
          <w:sz w:val="24"/>
        </w:rPr>
        <w:t>kvotelovgivningen</w:t>
      </w:r>
      <w:r>
        <w:rPr>
          <w:color w:val="000000"/>
          <w:sz w:val="24"/>
        </w:rPr>
        <w:t>, og</w:t>
      </w:r>
    </w:p>
    <w:p w:rsidR="00FB07DA" w:rsidRPr="00D15AAE" w:rsidRDefault="00FB07DA" w:rsidP="00FB07DA">
      <w:pPr>
        <w:pStyle w:val="Listeafsnit"/>
        <w:widowControl/>
        <w:numPr>
          <w:ilvl w:val="0"/>
          <w:numId w:val="11"/>
        </w:numPr>
        <w:tabs>
          <w:tab w:val="left" w:pos="284"/>
        </w:tabs>
        <w:spacing w:after="240" w:line="276" w:lineRule="auto"/>
        <w:rPr>
          <w:color w:val="000000"/>
          <w:sz w:val="24"/>
        </w:rPr>
      </w:pPr>
      <w:r w:rsidRPr="00D15AAE">
        <w:rPr>
          <w:color w:val="000000"/>
          <w:sz w:val="24"/>
        </w:rPr>
        <w:t>affaldsvarmeafgiften i kulafgiftsloven for cent</w:t>
      </w:r>
      <w:r>
        <w:rPr>
          <w:color w:val="000000"/>
          <w:sz w:val="24"/>
        </w:rPr>
        <w:t>rale kraftvarmeværker, som ikke opgør</w:t>
      </w:r>
      <w:r w:rsidRPr="00D15AAE">
        <w:rPr>
          <w:color w:val="000000"/>
          <w:sz w:val="24"/>
        </w:rPr>
        <w:t xml:space="preserve"> det faktiske energiindhold i anvendt affaldsbrændsel efter CO</w:t>
      </w:r>
      <w:r w:rsidRPr="00D15AAE">
        <w:rPr>
          <w:color w:val="000000"/>
          <w:sz w:val="24"/>
          <w:vertAlign w:val="subscript"/>
        </w:rPr>
        <w:t>2</w:t>
      </w:r>
      <w:r>
        <w:rPr>
          <w:color w:val="000000"/>
          <w:sz w:val="24"/>
        </w:rPr>
        <w:t>-kvotelovgivningen.</w:t>
      </w:r>
    </w:p>
    <w:p w:rsidR="00FB07DA" w:rsidRPr="00D15AAE" w:rsidRDefault="006937C7" w:rsidP="00FB07DA">
      <w:pPr>
        <w:widowControl/>
        <w:tabs>
          <w:tab w:val="left" w:pos="284"/>
        </w:tabs>
        <w:spacing w:after="240" w:line="276" w:lineRule="auto"/>
        <w:rPr>
          <w:color w:val="000000"/>
          <w:sz w:val="24"/>
        </w:rPr>
      </w:pPr>
      <w:r>
        <w:rPr>
          <w:color w:val="000000"/>
          <w:sz w:val="24"/>
        </w:rPr>
        <w:t xml:space="preserve">   </w:t>
      </w:r>
      <w:r w:rsidR="00BA2281" w:rsidRPr="00D15AAE">
        <w:rPr>
          <w:color w:val="000000"/>
          <w:sz w:val="24"/>
        </w:rPr>
        <w:t>Med lovforslagets</w:t>
      </w:r>
      <w:r w:rsidR="000B1F57" w:rsidRPr="00D15AAE">
        <w:rPr>
          <w:color w:val="000000"/>
          <w:sz w:val="24"/>
        </w:rPr>
        <w:t xml:space="preserve"> enkelte</w:t>
      </w:r>
      <w:r w:rsidR="00BA2281" w:rsidRPr="00D15AAE">
        <w:rPr>
          <w:color w:val="000000"/>
          <w:sz w:val="24"/>
        </w:rPr>
        <w:t xml:space="preserve"> elementer </w:t>
      </w:r>
      <w:r w:rsidR="00FB07DA">
        <w:rPr>
          <w:color w:val="000000"/>
          <w:sz w:val="24"/>
        </w:rPr>
        <w:t>foreslås</w:t>
      </w:r>
      <w:r w:rsidR="00BA2281" w:rsidRPr="00D15AAE">
        <w:rPr>
          <w:color w:val="000000"/>
          <w:sz w:val="24"/>
        </w:rPr>
        <w:t xml:space="preserve"> </w:t>
      </w:r>
      <w:r w:rsidR="00FB07DA">
        <w:rPr>
          <w:color w:val="000000"/>
          <w:sz w:val="24"/>
        </w:rPr>
        <w:t>herefter nogle</w:t>
      </w:r>
      <w:r w:rsidR="00BA2281" w:rsidRPr="00D15AAE">
        <w:rPr>
          <w:color w:val="000000"/>
          <w:sz w:val="24"/>
        </w:rPr>
        <w:t xml:space="preserve"> tilpasninger </w:t>
      </w:r>
      <w:r w:rsidR="00A31287" w:rsidRPr="00D15AAE">
        <w:rPr>
          <w:color w:val="000000"/>
          <w:sz w:val="24"/>
        </w:rPr>
        <w:t xml:space="preserve">af </w:t>
      </w:r>
      <w:r w:rsidR="00BA2281" w:rsidRPr="00D15AAE">
        <w:rPr>
          <w:color w:val="000000"/>
          <w:sz w:val="24"/>
        </w:rPr>
        <w:t>kulafgiftslovens og CO</w:t>
      </w:r>
      <w:r w:rsidR="00BA2281" w:rsidRPr="00D15AAE">
        <w:rPr>
          <w:color w:val="000000"/>
          <w:sz w:val="24"/>
          <w:vertAlign w:val="subscript"/>
        </w:rPr>
        <w:t>2</w:t>
      </w:r>
      <w:r w:rsidR="00BA2281" w:rsidRPr="00D15AAE">
        <w:rPr>
          <w:color w:val="000000"/>
          <w:sz w:val="24"/>
        </w:rPr>
        <w:t>-afgiftslovens regler for opgørelse af afgifter på affaldsforbrænding.</w:t>
      </w:r>
      <w:r>
        <w:rPr>
          <w:color w:val="000000"/>
          <w:sz w:val="24"/>
        </w:rPr>
        <w:br/>
        <w:t xml:space="preserve">    </w:t>
      </w:r>
      <w:r w:rsidR="00FB07DA">
        <w:rPr>
          <w:color w:val="000000"/>
          <w:sz w:val="24"/>
        </w:rPr>
        <w:t>Overførslen af de større affaldsforbrændingsanlæg til CO</w:t>
      </w:r>
      <w:r w:rsidR="00FB07DA" w:rsidRPr="00FB07DA">
        <w:rPr>
          <w:color w:val="000000"/>
          <w:sz w:val="24"/>
          <w:vertAlign w:val="subscript"/>
        </w:rPr>
        <w:t>2</w:t>
      </w:r>
      <w:r w:rsidR="00FB07DA">
        <w:rPr>
          <w:color w:val="000000"/>
          <w:sz w:val="24"/>
        </w:rPr>
        <w:t>-kvotesektoren fra og med 2013 har hjemmel i CO</w:t>
      </w:r>
      <w:r w:rsidR="00FB07DA" w:rsidRPr="00FB07DA">
        <w:rPr>
          <w:color w:val="000000"/>
          <w:sz w:val="24"/>
          <w:vertAlign w:val="subscript"/>
        </w:rPr>
        <w:t>2</w:t>
      </w:r>
      <w:r w:rsidR="00FB07DA">
        <w:rPr>
          <w:color w:val="000000"/>
          <w:sz w:val="24"/>
        </w:rPr>
        <w:t>-</w:t>
      </w:r>
      <w:r w:rsidR="00446926">
        <w:rPr>
          <w:color w:val="000000"/>
          <w:sz w:val="24"/>
        </w:rPr>
        <w:t>kvote</w:t>
      </w:r>
      <w:r w:rsidR="00FB07DA">
        <w:rPr>
          <w:color w:val="000000"/>
          <w:sz w:val="24"/>
        </w:rPr>
        <w:t>lovgivningen</w:t>
      </w:r>
      <w:r w:rsidR="002105DB">
        <w:rPr>
          <w:color w:val="000000"/>
          <w:sz w:val="24"/>
        </w:rPr>
        <w:t xml:space="preserve">. </w:t>
      </w:r>
      <w:r>
        <w:rPr>
          <w:color w:val="000000"/>
          <w:sz w:val="24"/>
        </w:rPr>
        <w:t>Denne o</w:t>
      </w:r>
      <w:r w:rsidR="00557BDA">
        <w:rPr>
          <w:color w:val="000000"/>
          <w:sz w:val="24"/>
        </w:rPr>
        <w:t>verførs</w:t>
      </w:r>
      <w:r>
        <w:rPr>
          <w:color w:val="000000"/>
          <w:sz w:val="24"/>
        </w:rPr>
        <w:t>e</w:t>
      </w:r>
      <w:r w:rsidR="00557BDA">
        <w:rPr>
          <w:color w:val="000000"/>
          <w:sz w:val="24"/>
        </w:rPr>
        <w:t>l</w:t>
      </w:r>
      <w:r w:rsidR="002105DB">
        <w:rPr>
          <w:color w:val="000000"/>
          <w:sz w:val="24"/>
        </w:rPr>
        <w:t xml:space="preserve"> vil </w:t>
      </w:r>
      <w:r w:rsidR="002400C8">
        <w:rPr>
          <w:color w:val="000000"/>
          <w:sz w:val="24"/>
        </w:rPr>
        <w:t xml:space="preserve">dermed </w:t>
      </w:r>
      <w:r w:rsidR="002105DB">
        <w:rPr>
          <w:color w:val="000000"/>
          <w:sz w:val="24"/>
        </w:rPr>
        <w:t>ske</w:t>
      </w:r>
      <w:r w:rsidR="00FB07DA">
        <w:rPr>
          <w:color w:val="000000"/>
          <w:sz w:val="24"/>
        </w:rPr>
        <w:t xml:space="preserve"> uafhængigt af nærværende </w:t>
      </w:r>
      <w:r w:rsidR="002400C8">
        <w:rPr>
          <w:color w:val="000000"/>
          <w:sz w:val="24"/>
        </w:rPr>
        <w:t>afgifts</w:t>
      </w:r>
      <w:r w:rsidR="00FB07DA">
        <w:rPr>
          <w:color w:val="000000"/>
          <w:sz w:val="24"/>
        </w:rPr>
        <w:t>lovforslag</w:t>
      </w:r>
      <w:r w:rsidR="002105DB">
        <w:rPr>
          <w:color w:val="000000"/>
          <w:sz w:val="24"/>
        </w:rPr>
        <w:t>. Lovforslaget omhandler alene teknisk tilpasning af afgift</w:t>
      </w:r>
      <w:r>
        <w:rPr>
          <w:color w:val="000000"/>
          <w:sz w:val="24"/>
        </w:rPr>
        <w:t>sregler</w:t>
      </w:r>
      <w:r w:rsidR="002105DB">
        <w:rPr>
          <w:color w:val="000000"/>
          <w:sz w:val="24"/>
        </w:rPr>
        <w:t>, som følge af de</w:t>
      </w:r>
      <w:r>
        <w:rPr>
          <w:color w:val="000000"/>
          <w:sz w:val="24"/>
        </w:rPr>
        <w:t xml:space="preserve">n </w:t>
      </w:r>
      <w:r w:rsidR="006C060E">
        <w:rPr>
          <w:color w:val="000000"/>
          <w:sz w:val="24"/>
        </w:rPr>
        <w:t xml:space="preserve">beskrevne </w:t>
      </w:r>
      <w:r>
        <w:rPr>
          <w:color w:val="000000"/>
          <w:sz w:val="24"/>
        </w:rPr>
        <w:t>nye situation fra og med 2013, som de gældende afgiftsregler for CO</w:t>
      </w:r>
      <w:r w:rsidRPr="006937C7">
        <w:rPr>
          <w:color w:val="000000"/>
          <w:sz w:val="24"/>
          <w:vertAlign w:val="subscript"/>
        </w:rPr>
        <w:t>2</w:t>
      </w:r>
      <w:r>
        <w:rPr>
          <w:color w:val="000000"/>
          <w:sz w:val="24"/>
        </w:rPr>
        <w:t xml:space="preserve">-kvoteomfattede virksomheder ikke i tilstrækkelig grad passer til. </w:t>
      </w:r>
    </w:p>
    <w:p w:rsidR="005D07F8" w:rsidRPr="00D15AAE" w:rsidRDefault="005D07F8" w:rsidP="00D15AAE">
      <w:pPr>
        <w:spacing w:line="276" w:lineRule="auto"/>
        <w:rPr>
          <w:i/>
          <w:iCs/>
          <w:sz w:val="24"/>
        </w:rPr>
      </w:pPr>
      <w:r w:rsidRPr="00D15AAE">
        <w:rPr>
          <w:i/>
          <w:iCs/>
          <w:sz w:val="24"/>
        </w:rPr>
        <w:t>3. Lovforslagets enkelte elementer</w:t>
      </w:r>
    </w:p>
    <w:p w:rsidR="005D07F8" w:rsidRPr="00D15AAE" w:rsidRDefault="005D07F8" w:rsidP="00D15AAE">
      <w:pPr>
        <w:spacing w:line="276" w:lineRule="auto"/>
        <w:rPr>
          <w:i/>
          <w:iCs/>
          <w:sz w:val="24"/>
        </w:rPr>
      </w:pPr>
    </w:p>
    <w:p w:rsidR="005D07F8" w:rsidRPr="00D15AAE" w:rsidRDefault="005D07F8" w:rsidP="00D15AAE">
      <w:pPr>
        <w:spacing w:line="276" w:lineRule="auto"/>
        <w:rPr>
          <w:i/>
          <w:iCs/>
          <w:sz w:val="24"/>
        </w:rPr>
      </w:pPr>
      <w:r w:rsidRPr="00D15AAE">
        <w:rPr>
          <w:i/>
          <w:iCs/>
          <w:sz w:val="24"/>
        </w:rPr>
        <w:t>3.1. Affaldsvarmeafgiften i kulafgiftsloven</w:t>
      </w:r>
    </w:p>
    <w:p w:rsidR="005D07F8" w:rsidRPr="00D15AAE" w:rsidRDefault="005D07F8" w:rsidP="00D15AAE">
      <w:pPr>
        <w:spacing w:line="276" w:lineRule="auto"/>
        <w:rPr>
          <w:i/>
          <w:iCs/>
          <w:sz w:val="24"/>
        </w:rPr>
      </w:pPr>
    </w:p>
    <w:p w:rsidR="00945F5A" w:rsidRPr="00D15AAE" w:rsidRDefault="005D07F8" w:rsidP="00D15AAE">
      <w:pPr>
        <w:spacing w:line="276" w:lineRule="auto"/>
        <w:rPr>
          <w:i/>
          <w:iCs/>
          <w:sz w:val="24"/>
        </w:rPr>
      </w:pPr>
      <w:r w:rsidRPr="00D15AAE">
        <w:rPr>
          <w:i/>
          <w:iCs/>
          <w:sz w:val="24"/>
        </w:rPr>
        <w:t>3.1.1. Gældende ret</w:t>
      </w:r>
    </w:p>
    <w:p w:rsidR="00945F5A" w:rsidRPr="00D15AAE" w:rsidRDefault="00945F5A" w:rsidP="00D15AAE">
      <w:pPr>
        <w:spacing w:line="276" w:lineRule="auto"/>
        <w:rPr>
          <w:sz w:val="24"/>
        </w:rPr>
      </w:pPr>
      <w:r w:rsidRPr="00D15AAE">
        <w:rPr>
          <w:sz w:val="24"/>
        </w:rPr>
        <w:t>Den gældende bestemmelse i § 5, stk. 3, i kulafgiftsloven vedrører opgørelse af affaldsvarmeafgiften i forbindelse med affaldsforbrænding, når der fyres med en kombination af afgiftspligtigt affald og andre brændsler. Det fremgår af bestemmelsens 4. pkt., at der gælder en særlig regel for de centrale kraftvarmeværker, som er nævnt i bilag 1 til kulafgiftsloven, og som producerer både varme og elektricitet. Ifølge denne regel skal de centrale værker opgøre affaldsvarmeafgiften med udgangspunkt i det faktiske energiindhold i den indfyrede mængde afgiftspligtigt affald</w:t>
      </w:r>
      <w:r w:rsidR="00014489" w:rsidRPr="00D15AAE">
        <w:rPr>
          <w:sz w:val="24"/>
        </w:rPr>
        <w:t>. Der foretages dog</w:t>
      </w:r>
      <w:r w:rsidRPr="00D15AAE">
        <w:rPr>
          <w:sz w:val="24"/>
        </w:rPr>
        <w:t xml:space="preserve"> fradrag</w:t>
      </w:r>
      <w:r w:rsidR="00014489" w:rsidRPr="00D15AAE">
        <w:rPr>
          <w:sz w:val="24"/>
        </w:rPr>
        <w:t xml:space="preserve"> vedrørende</w:t>
      </w:r>
      <w:r w:rsidRPr="00D15AAE">
        <w:rPr>
          <w:sz w:val="24"/>
        </w:rPr>
        <w:t xml:space="preserve"> produktion af elektricitet</w:t>
      </w:r>
      <w:r w:rsidR="00014489" w:rsidRPr="00D15AAE">
        <w:rPr>
          <w:sz w:val="24"/>
        </w:rPr>
        <w:t>, så det kun er den producerede varme, som pålægges afgift.</w:t>
      </w:r>
      <w:r w:rsidRPr="00D15AAE">
        <w:rPr>
          <w:sz w:val="24"/>
        </w:rPr>
        <w:t xml:space="preserve"> </w:t>
      </w:r>
      <w:r w:rsidR="00DD3908" w:rsidRPr="00D15AAE">
        <w:rPr>
          <w:sz w:val="24"/>
        </w:rPr>
        <w:t>Det er</w:t>
      </w:r>
      <w:r w:rsidR="00A40A03" w:rsidRPr="00D15AAE">
        <w:rPr>
          <w:sz w:val="24"/>
        </w:rPr>
        <w:t xml:space="preserve"> dermed</w:t>
      </w:r>
      <w:r w:rsidR="00DD3908" w:rsidRPr="00D15AAE">
        <w:rPr>
          <w:sz w:val="24"/>
        </w:rPr>
        <w:t xml:space="preserve"> forudsat, at de</w:t>
      </w:r>
      <w:r w:rsidR="00C76D28" w:rsidRPr="00D15AAE">
        <w:rPr>
          <w:sz w:val="24"/>
        </w:rPr>
        <w:t>t enkelte</w:t>
      </w:r>
      <w:r w:rsidR="00DD3908" w:rsidRPr="00D15AAE">
        <w:rPr>
          <w:sz w:val="24"/>
        </w:rPr>
        <w:t xml:space="preserve"> centrale værk kan opgøre </w:t>
      </w:r>
      <w:r w:rsidR="00C76D28" w:rsidRPr="00D15AAE">
        <w:rPr>
          <w:sz w:val="24"/>
        </w:rPr>
        <w:t xml:space="preserve">det faktiske </w:t>
      </w:r>
      <w:r w:rsidR="00DD3908" w:rsidRPr="00D15AAE">
        <w:rPr>
          <w:sz w:val="24"/>
        </w:rPr>
        <w:t>energiindhold i den indfyrede mængde afgiftspligtigt affald</w:t>
      </w:r>
      <w:r w:rsidR="009E6227">
        <w:rPr>
          <w:sz w:val="24"/>
        </w:rPr>
        <w:t xml:space="preserve"> </w:t>
      </w:r>
      <w:r w:rsidR="005C16B3">
        <w:rPr>
          <w:sz w:val="24"/>
        </w:rPr>
        <w:t xml:space="preserve">efter </w:t>
      </w:r>
      <w:r w:rsidR="009E6227">
        <w:rPr>
          <w:sz w:val="24"/>
        </w:rPr>
        <w:t>§ 5, stk. 3, 4. pkt., i kulafgiftsloven</w:t>
      </w:r>
      <w:r w:rsidR="00DD3908" w:rsidRPr="00D15AAE">
        <w:rPr>
          <w:sz w:val="24"/>
        </w:rPr>
        <w:t xml:space="preserve">. </w:t>
      </w:r>
      <w:r w:rsidR="00CD1B40" w:rsidRPr="00D15AAE">
        <w:rPr>
          <w:sz w:val="24"/>
        </w:rPr>
        <w:t xml:space="preserve"> </w:t>
      </w:r>
      <w:r w:rsidR="000F120D" w:rsidRPr="00D15AAE">
        <w:rPr>
          <w:sz w:val="24"/>
        </w:rPr>
        <w:br/>
        <w:t xml:space="preserve">    </w:t>
      </w:r>
      <w:r w:rsidR="00CD1B40" w:rsidRPr="00D15AAE">
        <w:rPr>
          <w:sz w:val="24"/>
        </w:rPr>
        <w:t>Ovennævnte regel i § 5, stk. 3, 4. pkt., i kulafgiftsloven blev indsat i kulafgift</w:t>
      </w:r>
      <w:r w:rsidR="006B2B4D" w:rsidRPr="00D15AAE">
        <w:rPr>
          <w:sz w:val="24"/>
        </w:rPr>
        <w:t>s</w:t>
      </w:r>
      <w:r w:rsidR="00CD1B40" w:rsidRPr="00D15AAE">
        <w:rPr>
          <w:sz w:val="24"/>
        </w:rPr>
        <w:t>loven ved § 2, nr. 12, i lov nr. 461 af 12. juni 2009</w:t>
      </w:r>
      <w:r w:rsidR="00494B55">
        <w:rPr>
          <w:sz w:val="24"/>
        </w:rPr>
        <w:t xml:space="preserve"> om omlægning af affaldsforbrændingsafgiften</w:t>
      </w:r>
      <w:r w:rsidR="00CD1B40" w:rsidRPr="00D15AAE">
        <w:rPr>
          <w:sz w:val="24"/>
        </w:rPr>
        <w:t xml:space="preserve">. </w:t>
      </w:r>
      <w:r w:rsidR="00ED6496" w:rsidRPr="00D15AAE">
        <w:rPr>
          <w:sz w:val="24"/>
        </w:rPr>
        <w:t>Forarbejderne til</w:t>
      </w:r>
      <w:r w:rsidR="006B2B4D" w:rsidRPr="00D15AAE">
        <w:rPr>
          <w:sz w:val="24"/>
        </w:rPr>
        <w:t xml:space="preserve"> </w:t>
      </w:r>
      <w:r w:rsidR="00A40A03" w:rsidRPr="00D15AAE">
        <w:rPr>
          <w:sz w:val="24"/>
        </w:rPr>
        <w:t xml:space="preserve">sidstnævnte </w:t>
      </w:r>
      <w:r w:rsidR="00DF7C1A" w:rsidRPr="00D15AAE">
        <w:rPr>
          <w:sz w:val="24"/>
        </w:rPr>
        <w:t xml:space="preserve">lov </w:t>
      </w:r>
      <w:r w:rsidR="006B2B4D" w:rsidRPr="00D15AAE">
        <w:rPr>
          <w:sz w:val="24"/>
        </w:rPr>
        <w:t>fremgår a</w:t>
      </w:r>
      <w:r w:rsidR="00ED6496" w:rsidRPr="00D15AAE">
        <w:rPr>
          <w:sz w:val="24"/>
        </w:rPr>
        <w:t>f</w:t>
      </w:r>
      <w:r w:rsidR="006B2B4D" w:rsidRPr="00D15AAE">
        <w:rPr>
          <w:sz w:val="24"/>
        </w:rPr>
        <w:t xml:space="preserve"> lovforslag</w:t>
      </w:r>
      <w:r w:rsidR="00494B55">
        <w:rPr>
          <w:sz w:val="24"/>
        </w:rPr>
        <w:t xml:space="preserve"> nr.</w:t>
      </w:r>
      <w:r w:rsidR="006B2B4D" w:rsidRPr="00D15AAE">
        <w:rPr>
          <w:sz w:val="24"/>
        </w:rPr>
        <w:t xml:space="preserve"> L 126, </w:t>
      </w:r>
      <w:r w:rsidR="00494B55">
        <w:rPr>
          <w:sz w:val="24"/>
        </w:rPr>
        <w:t xml:space="preserve">Folketingsåret 2008-2009, </w:t>
      </w:r>
      <w:r w:rsidR="006B2B4D" w:rsidRPr="00D15AAE">
        <w:rPr>
          <w:sz w:val="24"/>
        </w:rPr>
        <w:t>som blev fremsat af ska</w:t>
      </w:r>
      <w:r w:rsidR="00ED6496" w:rsidRPr="00D15AAE">
        <w:rPr>
          <w:sz w:val="24"/>
        </w:rPr>
        <w:t>t</w:t>
      </w:r>
      <w:r w:rsidR="006B2B4D" w:rsidRPr="00D15AAE">
        <w:rPr>
          <w:sz w:val="24"/>
        </w:rPr>
        <w:t>teministeren</w:t>
      </w:r>
      <w:r w:rsidR="00ED6496" w:rsidRPr="00D15AAE">
        <w:rPr>
          <w:sz w:val="24"/>
        </w:rPr>
        <w:t xml:space="preserve"> </w:t>
      </w:r>
      <w:r w:rsidR="00DD3908" w:rsidRPr="00D15AAE">
        <w:rPr>
          <w:sz w:val="24"/>
        </w:rPr>
        <w:t>den 4. februar 2009.</w:t>
      </w:r>
      <w:r w:rsidR="006B2B4D" w:rsidRPr="00D15AAE">
        <w:rPr>
          <w:sz w:val="24"/>
        </w:rPr>
        <w:t xml:space="preserve"> </w:t>
      </w:r>
      <w:r w:rsidR="00736411" w:rsidRPr="00D15AAE">
        <w:rPr>
          <w:sz w:val="24"/>
        </w:rPr>
        <w:t>Af</w:t>
      </w:r>
      <w:r w:rsidR="00DD3908" w:rsidRPr="00D15AAE">
        <w:rPr>
          <w:sz w:val="24"/>
        </w:rPr>
        <w:t xml:space="preserve"> </w:t>
      </w:r>
      <w:r w:rsidR="00627878" w:rsidRPr="00D15AAE">
        <w:rPr>
          <w:sz w:val="24"/>
        </w:rPr>
        <w:t>lov</w:t>
      </w:r>
      <w:r w:rsidR="00736411" w:rsidRPr="00D15AAE">
        <w:rPr>
          <w:sz w:val="24"/>
        </w:rPr>
        <w:t>forslagets side 29 og 30 fremgår et eksempel på beregning af tillægsafgiften for et centralt CO</w:t>
      </w:r>
      <w:r w:rsidR="00736411" w:rsidRPr="00D15AAE">
        <w:rPr>
          <w:sz w:val="24"/>
          <w:vertAlign w:val="subscript"/>
        </w:rPr>
        <w:t>2</w:t>
      </w:r>
      <w:r w:rsidR="00494B55">
        <w:rPr>
          <w:sz w:val="24"/>
        </w:rPr>
        <w:t>-</w:t>
      </w:r>
      <w:r w:rsidR="00736411" w:rsidRPr="00D15AAE">
        <w:rPr>
          <w:sz w:val="24"/>
        </w:rPr>
        <w:t xml:space="preserve">kvoteomfattet </w:t>
      </w:r>
      <w:r w:rsidR="00736411" w:rsidRPr="00D15AAE">
        <w:rPr>
          <w:sz w:val="24"/>
        </w:rPr>
        <w:lastRenderedPageBreak/>
        <w:t xml:space="preserve">kraftvarmeværk, hvoraf det fremgår, at </w:t>
      </w:r>
      <w:r w:rsidR="00627878" w:rsidRPr="00D15AAE">
        <w:rPr>
          <w:sz w:val="24"/>
        </w:rPr>
        <w:t xml:space="preserve">dette </w:t>
      </w:r>
      <w:r w:rsidR="00736411" w:rsidRPr="00D15AAE">
        <w:rPr>
          <w:sz w:val="24"/>
        </w:rPr>
        <w:t>værk opgør den faktiske brændværdi i den indfyrede mængde affald.</w:t>
      </w:r>
    </w:p>
    <w:p w:rsidR="005D07F8" w:rsidRPr="00D15AAE" w:rsidRDefault="005D07F8" w:rsidP="00D15AAE">
      <w:pPr>
        <w:spacing w:line="276" w:lineRule="auto"/>
        <w:rPr>
          <w:iCs/>
          <w:sz w:val="24"/>
        </w:rPr>
      </w:pPr>
    </w:p>
    <w:p w:rsidR="005D07F8" w:rsidRPr="00D15AAE" w:rsidRDefault="005D07F8" w:rsidP="00D15AAE">
      <w:pPr>
        <w:spacing w:line="276" w:lineRule="auto"/>
        <w:rPr>
          <w:i/>
          <w:iCs/>
          <w:sz w:val="24"/>
        </w:rPr>
      </w:pPr>
      <w:r w:rsidRPr="00D15AAE">
        <w:rPr>
          <w:i/>
          <w:iCs/>
          <w:sz w:val="24"/>
        </w:rPr>
        <w:t>3.1.2.</w:t>
      </w:r>
      <w:r w:rsidR="00984A57" w:rsidRPr="00D15AAE">
        <w:rPr>
          <w:i/>
          <w:iCs/>
          <w:sz w:val="24"/>
        </w:rPr>
        <w:t xml:space="preserve"> </w:t>
      </w:r>
      <w:r w:rsidRPr="00D15AAE">
        <w:rPr>
          <w:i/>
          <w:iCs/>
          <w:sz w:val="24"/>
        </w:rPr>
        <w:t xml:space="preserve">Lovforslaget </w:t>
      </w:r>
    </w:p>
    <w:p w:rsidR="00F00A79" w:rsidRPr="00D15AAE" w:rsidRDefault="006E470F" w:rsidP="00962E36">
      <w:pPr>
        <w:spacing w:line="276" w:lineRule="auto"/>
        <w:rPr>
          <w:i/>
          <w:iCs/>
          <w:sz w:val="24"/>
        </w:rPr>
      </w:pPr>
      <w:r w:rsidRPr="00D15AAE">
        <w:rPr>
          <w:sz w:val="24"/>
        </w:rPr>
        <w:t xml:space="preserve">Ved forslaget gives regler for det tilfælde, at der i 2013 eller senere kan være situationer, hvor et eller flere af de </w:t>
      </w:r>
      <w:r w:rsidR="00962E36">
        <w:rPr>
          <w:sz w:val="24"/>
        </w:rPr>
        <w:t>relevante</w:t>
      </w:r>
      <w:r w:rsidRPr="00D15AAE">
        <w:rPr>
          <w:sz w:val="24"/>
        </w:rPr>
        <w:t xml:space="preserve"> centrale værker ikke opgør det faktiske energiindhold i affaldsbrændslet som CO</w:t>
      </w:r>
      <w:r w:rsidRPr="00D15AAE">
        <w:rPr>
          <w:sz w:val="24"/>
          <w:vertAlign w:val="subscript"/>
        </w:rPr>
        <w:t>2</w:t>
      </w:r>
      <w:r w:rsidR="004417AC">
        <w:rPr>
          <w:sz w:val="24"/>
        </w:rPr>
        <w:t>-</w:t>
      </w:r>
      <w:r w:rsidRPr="00D15AAE">
        <w:rPr>
          <w:sz w:val="24"/>
        </w:rPr>
        <w:t xml:space="preserve">kvoteomfattet virksomhed.  </w:t>
      </w:r>
      <w:r w:rsidR="00FE5F29" w:rsidRPr="00D15AAE">
        <w:rPr>
          <w:sz w:val="24"/>
        </w:rPr>
        <w:t xml:space="preserve">Der foreslås </w:t>
      </w:r>
      <w:r w:rsidR="004417AC">
        <w:rPr>
          <w:sz w:val="24"/>
        </w:rPr>
        <w:t>på den baggrund</w:t>
      </w:r>
      <w:r w:rsidR="00681956" w:rsidRPr="00D15AAE">
        <w:rPr>
          <w:sz w:val="24"/>
        </w:rPr>
        <w:t xml:space="preserve"> </w:t>
      </w:r>
      <w:r w:rsidR="00FE5F29" w:rsidRPr="00D15AAE">
        <w:rPr>
          <w:sz w:val="24"/>
        </w:rPr>
        <w:t>en supplerende bestemmelse til kulafgiftslovens § 5, stk. 3, 4. pkt. Det foreslås</w:t>
      </w:r>
      <w:r w:rsidR="000F120D" w:rsidRPr="00D15AAE">
        <w:rPr>
          <w:sz w:val="24"/>
        </w:rPr>
        <w:t xml:space="preserve"> således</w:t>
      </w:r>
      <w:r w:rsidR="00FE5F29" w:rsidRPr="00D15AAE">
        <w:rPr>
          <w:sz w:val="24"/>
        </w:rPr>
        <w:t>, at hvis det faktiske energiindhold i den indfyrede mængde afgiftspligtigt affald ikke opgøres i forbindelse med opgørelsen af udledt</w:t>
      </w:r>
      <w:r w:rsidR="00962E36">
        <w:rPr>
          <w:sz w:val="24"/>
        </w:rPr>
        <w:t xml:space="preserve"> CO</w:t>
      </w:r>
      <w:r w:rsidR="00962E36" w:rsidRPr="00962E36">
        <w:rPr>
          <w:sz w:val="24"/>
          <w:vertAlign w:val="subscript"/>
        </w:rPr>
        <w:t>2</w:t>
      </w:r>
      <w:r w:rsidR="00FE5F29" w:rsidRPr="00D15AAE">
        <w:rPr>
          <w:sz w:val="24"/>
        </w:rPr>
        <w:t>, jf. lov om CO</w:t>
      </w:r>
      <w:r w:rsidR="00FE5F29" w:rsidRPr="00D15AAE">
        <w:rPr>
          <w:sz w:val="24"/>
          <w:vertAlign w:val="subscript"/>
        </w:rPr>
        <w:t>2</w:t>
      </w:r>
      <w:r w:rsidR="00FE5F29" w:rsidRPr="00D15AAE">
        <w:rPr>
          <w:sz w:val="24"/>
        </w:rPr>
        <w:t>-kvoter, så opgøres det som summen af leveret varme, bortkølet varme og produceret elektricitet divideret med 0,85 og fratrukket energiindholdet i andre brændsler</w:t>
      </w:r>
      <w:r w:rsidR="00962E36">
        <w:rPr>
          <w:sz w:val="24"/>
        </w:rPr>
        <w:t>,</w:t>
      </w:r>
      <w:r w:rsidR="00FE5F29" w:rsidRPr="00D15AAE">
        <w:rPr>
          <w:sz w:val="24"/>
        </w:rPr>
        <w:t xml:space="preserve"> hvorved mængden af afgiftspligtig varme fremkommer</w:t>
      </w:r>
      <w:r w:rsidR="0052417A">
        <w:rPr>
          <w:sz w:val="24"/>
        </w:rPr>
        <w:t xml:space="preserve"> efter kulafgiftslovens § 5, stk. 3.</w:t>
      </w:r>
      <w:r w:rsidR="00FE5F29" w:rsidRPr="00D15AAE">
        <w:rPr>
          <w:sz w:val="24"/>
        </w:rPr>
        <w:t xml:space="preserve"> </w:t>
      </w:r>
      <w:r w:rsidR="002219FC" w:rsidRPr="00D15AAE">
        <w:rPr>
          <w:sz w:val="24"/>
        </w:rPr>
        <w:br/>
        <w:t xml:space="preserve">   </w:t>
      </w:r>
    </w:p>
    <w:p w:rsidR="005D07F8" w:rsidRPr="00D15AAE" w:rsidRDefault="005D07F8" w:rsidP="00D15AAE">
      <w:pPr>
        <w:spacing w:line="276" w:lineRule="auto"/>
        <w:rPr>
          <w:i/>
          <w:sz w:val="24"/>
        </w:rPr>
      </w:pPr>
      <w:r w:rsidRPr="00D15AAE">
        <w:rPr>
          <w:i/>
          <w:iCs/>
          <w:sz w:val="24"/>
        </w:rPr>
        <w:t>3.2. Tillægsafgift</w:t>
      </w:r>
      <w:r w:rsidR="003261AE" w:rsidRPr="00D15AAE">
        <w:rPr>
          <w:i/>
          <w:iCs/>
          <w:sz w:val="24"/>
        </w:rPr>
        <w:t>en ved affaldsforbrænding</w:t>
      </w:r>
      <w:r w:rsidRPr="00D15AAE">
        <w:rPr>
          <w:i/>
          <w:iCs/>
          <w:sz w:val="24"/>
        </w:rPr>
        <w:t xml:space="preserve"> </w:t>
      </w:r>
      <w:r w:rsidR="003261AE" w:rsidRPr="00D15AAE">
        <w:rPr>
          <w:i/>
          <w:iCs/>
          <w:sz w:val="24"/>
        </w:rPr>
        <w:t>efter</w:t>
      </w:r>
      <w:r w:rsidRPr="00D15AAE">
        <w:rPr>
          <w:i/>
          <w:iCs/>
          <w:sz w:val="24"/>
        </w:rPr>
        <w:t xml:space="preserve"> kulafgiftsloven</w:t>
      </w:r>
    </w:p>
    <w:p w:rsidR="008F13EF" w:rsidRPr="00D15AAE" w:rsidRDefault="008F13EF" w:rsidP="00D15AAE">
      <w:pPr>
        <w:spacing w:line="276" w:lineRule="auto"/>
        <w:rPr>
          <w:i/>
          <w:iCs/>
          <w:sz w:val="24"/>
        </w:rPr>
      </w:pPr>
    </w:p>
    <w:p w:rsidR="005D07F8" w:rsidRPr="00D15AAE" w:rsidRDefault="005D07F8" w:rsidP="00D15AAE">
      <w:pPr>
        <w:spacing w:line="276" w:lineRule="auto"/>
        <w:rPr>
          <w:i/>
          <w:iCs/>
          <w:sz w:val="24"/>
        </w:rPr>
      </w:pPr>
      <w:r w:rsidRPr="00D15AAE">
        <w:rPr>
          <w:i/>
          <w:iCs/>
          <w:sz w:val="24"/>
        </w:rPr>
        <w:t>3.2.1. Gældende ret</w:t>
      </w:r>
    </w:p>
    <w:p w:rsidR="00432685" w:rsidRPr="00D15AAE" w:rsidRDefault="00B45FCF" w:rsidP="00D15AAE">
      <w:pPr>
        <w:spacing w:line="276" w:lineRule="auto"/>
        <w:rPr>
          <w:sz w:val="24"/>
        </w:rPr>
      </w:pPr>
      <w:r w:rsidRPr="00D15AAE">
        <w:rPr>
          <w:iCs/>
          <w:sz w:val="24"/>
        </w:rPr>
        <w:t xml:space="preserve">Alle </w:t>
      </w:r>
      <w:r w:rsidR="005727FB" w:rsidRPr="00D15AAE">
        <w:rPr>
          <w:iCs/>
          <w:sz w:val="24"/>
        </w:rPr>
        <w:t xml:space="preserve">forbrændingsanlæg, </w:t>
      </w:r>
      <w:r w:rsidR="00621332" w:rsidRPr="00D15AAE">
        <w:rPr>
          <w:iCs/>
          <w:sz w:val="24"/>
        </w:rPr>
        <w:t xml:space="preserve">hvorpå der forbrændes affald, og </w:t>
      </w:r>
      <w:r w:rsidR="005727FB" w:rsidRPr="00D15AAE">
        <w:rPr>
          <w:iCs/>
          <w:sz w:val="24"/>
        </w:rPr>
        <w:t>som i dag ikke er CO</w:t>
      </w:r>
      <w:r w:rsidR="005727FB" w:rsidRPr="00D15AAE">
        <w:rPr>
          <w:iCs/>
          <w:sz w:val="24"/>
          <w:vertAlign w:val="subscript"/>
        </w:rPr>
        <w:t>2</w:t>
      </w:r>
      <w:r w:rsidR="00911E5E">
        <w:rPr>
          <w:iCs/>
          <w:sz w:val="24"/>
        </w:rPr>
        <w:t>-</w:t>
      </w:r>
      <w:r w:rsidR="005727FB" w:rsidRPr="00D15AAE">
        <w:rPr>
          <w:iCs/>
          <w:sz w:val="24"/>
        </w:rPr>
        <w:t xml:space="preserve"> kvoteomfattede, </w:t>
      </w:r>
      <w:r w:rsidRPr="00D15AAE">
        <w:rPr>
          <w:iCs/>
          <w:sz w:val="24"/>
        </w:rPr>
        <w:t>herunder de</w:t>
      </w:r>
      <w:r w:rsidR="005727FB" w:rsidRPr="00D15AAE">
        <w:rPr>
          <w:iCs/>
          <w:sz w:val="24"/>
        </w:rPr>
        <w:t xml:space="preserve"> </w:t>
      </w:r>
      <w:r w:rsidR="00621332" w:rsidRPr="00D15AAE">
        <w:rPr>
          <w:iCs/>
          <w:sz w:val="24"/>
        </w:rPr>
        <w:t xml:space="preserve">affaldsforbrændingsanlæg </w:t>
      </w:r>
      <w:r w:rsidR="005727FB" w:rsidRPr="00D15AAE">
        <w:rPr>
          <w:iCs/>
          <w:sz w:val="24"/>
        </w:rPr>
        <w:t>som bliver CO</w:t>
      </w:r>
      <w:r w:rsidR="005727FB" w:rsidRPr="00D15AAE">
        <w:rPr>
          <w:iCs/>
          <w:sz w:val="24"/>
          <w:vertAlign w:val="subscript"/>
        </w:rPr>
        <w:t>2</w:t>
      </w:r>
      <w:r w:rsidR="00911E5E">
        <w:rPr>
          <w:iCs/>
          <w:sz w:val="24"/>
        </w:rPr>
        <w:t>-</w:t>
      </w:r>
      <w:r w:rsidR="005727FB" w:rsidRPr="00D15AAE">
        <w:rPr>
          <w:iCs/>
          <w:sz w:val="24"/>
        </w:rPr>
        <w:t>kvoteomfattede i 2013,</w:t>
      </w:r>
      <w:r w:rsidR="001F0771" w:rsidRPr="00D15AAE">
        <w:rPr>
          <w:iCs/>
          <w:sz w:val="24"/>
        </w:rPr>
        <w:t xml:space="preserve"> </w:t>
      </w:r>
      <w:r w:rsidR="005727FB" w:rsidRPr="00D15AAE">
        <w:rPr>
          <w:iCs/>
          <w:sz w:val="24"/>
        </w:rPr>
        <w:t>opgør</w:t>
      </w:r>
      <w:r w:rsidR="001F0771" w:rsidRPr="00D15AAE">
        <w:rPr>
          <w:iCs/>
          <w:sz w:val="24"/>
        </w:rPr>
        <w:t xml:space="preserve"> i dag</w:t>
      </w:r>
      <w:r w:rsidR="005727FB" w:rsidRPr="00D15AAE">
        <w:rPr>
          <w:iCs/>
          <w:sz w:val="24"/>
        </w:rPr>
        <w:t xml:space="preserve"> </w:t>
      </w:r>
      <w:r w:rsidR="00BF20CD" w:rsidRPr="00D15AAE">
        <w:rPr>
          <w:iCs/>
          <w:sz w:val="24"/>
        </w:rPr>
        <w:t>d</w:t>
      </w:r>
      <w:r w:rsidR="003261AE" w:rsidRPr="00D15AAE">
        <w:rPr>
          <w:iCs/>
          <w:sz w:val="24"/>
        </w:rPr>
        <w:t xml:space="preserve">en afgiftspligtige mængde, hvoraf der skal betales </w:t>
      </w:r>
      <w:r w:rsidR="005727FB" w:rsidRPr="00D15AAE">
        <w:rPr>
          <w:iCs/>
          <w:sz w:val="24"/>
        </w:rPr>
        <w:t>tillægsafgift</w:t>
      </w:r>
      <w:r w:rsidR="00911E5E">
        <w:rPr>
          <w:iCs/>
          <w:sz w:val="24"/>
        </w:rPr>
        <w:t>,</w:t>
      </w:r>
      <w:r w:rsidR="005727FB" w:rsidRPr="00D15AAE">
        <w:rPr>
          <w:iCs/>
          <w:sz w:val="24"/>
        </w:rPr>
        <w:t xml:space="preserve"> efter reglerne i kulafgiftslovens § 5, stk. 7-13. </w:t>
      </w:r>
      <w:r w:rsidRPr="00D15AAE">
        <w:rPr>
          <w:iCs/>
          <w:sz w:val="24"/>
        </w:rPr>
        <w:t>Opgørelsesr</w:t>
      </w:r>
      <w:r w:rsidR="00144679" w:rsidRPr="00D15AAE">
        <w:rPr>
          <w:iCs/>
          <w:sz w:val="24"/>
        </w:rPr>
        <w:t xml:space="preserve">eglernes udgangspunkt er den målte producerede </w:t>
      </w:r>
      <w:r w:rsidRPr="00D15AAE">
        <w:rPr>
          <w:iCs/>
          <w:sz w:val="24"/>
        </w:rPr>
        <w:t>energi</w:t>
      </w:r>
      <w:r w:rsidR="00144679" w:rsidRPr="00D15AAE">
        <w:rPr>
          <w:iCs/>
          <w:sz w:val="24"/>
        </w:rPr>
        <w:t>, herunder bortkølet varme. Denne mængde omregnes til energiindholdet i brændslerne ved brug af</w:t>
      </w:r>
      <w:r w:rsidR="00525FB9" w:rsidRPr="00D15AAE">
        <w:rPr>
          <w:iCs/>
          <w:sz w:val="24"/>
        </w:rPr>
        <w:t xml:space="preserve"> en virkningsgrad</w:t>
      </w:r>
      <w:r w:rsidR="00621332" w:rsidRPr="00D15AAE">
        <w:rPr>
          <w:iCs/>
          <w:sz w:val="24"/>
        </w:rPr>
        <w:t xml:space="preserve">. Derpå foretages </w:t>
      </w:r>
      <w:r w:rsidR="00144679" w:rsidRPr="00D15AAE">
        <w:rPr>
          <w:iCs/>
          <w:sz w:val="24"/>
        </w:rPr>
        <w:t xml:space="preserve">fradrag for </w:t>
      </w:r>
      <w:r w:rsidRPr="00D15AAE">
        <w:rPr>
          <w:iCs/>
          <w:sz w:val="24"/>
        </w:rPr>
        <w:t>brug af andre brændsler,</w:t>
      </w:r>
      <w:r w:rsidR="00525FB9" w:rsidRPr="00D15AAE">
        <w:rPr>
          <w:iCs/>
          <w:sz w:val="24"/>
        </w:rPr>
        <w:t xml:space="preserve"> </w:t>
      </w:r>
      <w:r w:rsidR="00144679" w:rsidRPr="00D15AAE">
        <w:rPr>
          <w:iCs/>
          <w:sz w:val="24"/>
        </w:rPr>
        <w:t>elfremstilling og procesforbrug</w:t>
      </w:r>
      <w:r w:rsidR="00525FB9" w:rsidRPr="00D15AAE">
        <w:rPr>
          <w:iCs/>
          <w:sz w:val="24"/>
        </w:rPr>
        <w:t xml:space="preserve"> af varme i virksomheden</w:t>
      </w:r>
      <w:r w:rsidR="00621332" w:rsidRPr="00D15AAE">
        <w:rPr>
          <w:iCs/>
          <w:sz w:val="24"/>
        </w:rPr>
        <w:t>, hvorefter den afgiftspligtige mængde fremkommer.</w:t>
      </w:r>
      <w:r w:rsidR="00432685" w:rsidRPr="00D15AAE">
        <w:rPr>
          <w:sz w:val="24"/>
        </w:rPr>
        <w:t xml:space="preserve"> Der gælder</w:t>
      </w:r>
      <w:r w:rsidR="00091271">
        <w:rPr>
          <w:sz w:val="24"/>
        </w:rPr>
        <w:t xml:space="preserve"> dog også</w:t>
      </w:r>
      <w:r w:rsidR="00432685" w:rsidRPr="00D15AAE">
        <w:rPr>
          <w:sz w:val="24"/>
        </w:rPr>
        <w:t xml:space="preserve"> et særligt fradrag for bortkølet varme på visse betingelser. Det gælder i praksis for en meget begrænset kreds af virksomheder.</w:t>
      </w:r>
    </w:p>
    <w:p w:rsidR="00B96496" w:rsidRPr="00D15AAE" w:rsidRDefault="005028CD" w:rsidP="00D15AAE">
      <w:pPr>
        <w:spacing w:line="276" w:lineRule="auto"/>
        <w:rPr>
          <w:sz w:val="24"/>
        </w:rPr>
      </w:pPr>
      <w:r w:rsidRPr="00D15AAE">
        <w:rPr>
          <w:iCs/>
          <w:sz w:val="24"/>
        </w:rPr>
        <w:t xml:space="preserve">   Når de større</w:t>
      </w:r>
      <w:r w:rsidR="00144679" w:rsidRPr="00D15AAE">
        <w:rPr>
          <w:iCs/>
          <w:sz w:val="24"/>
        </w:rPr>
        <w:t xml:space="preserve"> affaldsforbrændingsanlæg bliver CO</w:t>
      </w:r>
      <w:r w:rsidR="00144679" w:rsidRPr="00D15AAE">
        <w:rPr>
          <w:iCs/>
          <w:sz w:val="24"/>
          <w:vertAlign w:val="subscript"/>
        </w:rPr>
        <w:t>2</w:t>
      </w:r>
      <w:r w:rsidR="00911E5E">
        <w:rPr>
          <w:iCs/>
          <w:sz w:val="24"/>
        </w:rPr>
        <w:t>-</w:t>
      </w:r>
      <w:r w:rsidR="00552017">
        <w:rPr>
          <w:iCs/>
          <w:sz w:val="24"/>
        </w:rPr>
        <w:t>kvoteomfattede fra og med</w:t>
      </w:r>
      <w:r w:rsidR="00144679" w:rsidRPr="00D15AAE">
        <w:rPr>
          <w:iCs/>
          <w:sz w:val="24"/>
        </w:rPr>
        <w:t xml:space="preserve"> 2013, vil de</w:t>
      </w:r>
      <w:r w:rsidRPr="00D15AAE">
        <w:rPr>
          <w:iCs/>
          <w:sz w:val="24"/>
        </w:rPr>
        <w:t xml:space="preserve"> </w:t>
      </w:r>
      <w:r w:rsidR="00144679" w:rsidRPr="00D15AAE">
        <w:rPr>
          <w:iCs/>
          <w:sz w:val="24"/>
        </w:rPr>
        <w:t>automatisk blive omfattet af reglerne for CO</w:t>
      </w:r>
      <w:r w:rsidR="00144679" w:rsidRPr="00D15AAE">
        <w:rPr>
          <w:iCs/>
          <w:sz w:val="24"/>
          <w:vertAlign w:val="subscript"/>
        </w:rPr>
        <w:t>2</w:t>
      </w:r>
      <w:r w:rsidR="00911E5E">
        <w:rPr>
          <w:iCs/>
          <w:sz w:val="24"/>
        </w:rPr>
        <w:t>-</w:t>
      </w:r>
      <w:r w:rsidR="00144679" w:rsidRPr="00D15AAE">
        <w:rPr>
          <w:iCs/>
          <w:sz w:val="24"/>
        </w:rPr>
        <w:t>kvoteomfattede værkers opgørelse af tillægsafgift</w:t>
      </w:r>
      <w:r w:rsidR="00E32A57" w:rsidRPr="00D15AAE">
        <w:rPr>
          <w:iCs/>
          <w:sz w:val="24"/>
        </w:rPr>
        <w:t xml:space="preserve"> i kulafgiftslovens § 5, stk. 6.</w:t>
      </w:r>
      <w:r w:rsidR="00144679" w:rsidRPr="00D15AAE">
        <w:rPr>
          <w:iCs/>
          <w:sz w:val="24"/>
        </w:rPr>
        <w:t xml:space="preserve"> </w:t>
      </w:r>
      <w:r w:rsidR="00E32A57" w:rsidRPr="00D15AAE">
        <w:rPr>
          <w:iCs/>
          <w:sz w:val="24"/>
        </w:rPr>
        <w:t>Denne bestemmelse omfatter</w:t>
      </w:r>
      <w:r w:rsidR="001E0FC2" w:rsidRPr="00D15AAE">
        <w:rPr>
          <w:iCs/>
          <w:sz w:val="24"/>
        </w:rPr>
        <w:t xml:space="preserve"> de</w:t>
      </w:r>
      <w:r w:rsidR="00E32A57" w:rsidRPr="00D15AAE">
        <w:rPr>
          <w:iCs/>
          <w:sz w:val="24"/>
        </w:rPr>
        <w:t xml:space="preserve"> ikke centrale værker, som er CO</w:t>
      </w:r>
      <w:r w:rsidR="00E32A57" w:rsidRPr="00D15AAE">
        <w:rPr>
          <w:iCs/>
          <w:sz w:val="24"/>
          <w:vertAlign w:val="subscript"/>
        </w:rPr>
        <w:t>2</w:t>
      </w:r>
      <w:r w:rsidR="00911E5E">
        <w:rPr>
          <w:iCs/>
          <w:sz w:val="24"/>
        </w:rPr>
        <w:t>-</w:t>
      </w:r>
      <w:r w:rsidR="00E32A57" w:rsidRPr="00D15AAE">
        <w:rPr>
          <w:iCs/>
          <w:sz w:val="24"/>
        </w:rPr>
        <w:t>kvoteomfattede, mens kulafgiftslovens § 5, stk. 5,</w:t>
      </w:r>
      <w:r w:rsidR="00552017">
        <w:rPr>
          <w:iCs/>
          <w:sz w:val="24"/>
        </w:rPr>
        <w:t xml:space="preserve"> </w:t>
      </w:r>
      <w:r w:rsidR="00E32A57" w:rsidRPr="00D15AAE">
        <w:rPr>
          <w:iCs/>
          <w:sz w:val="24"/>
        </w:rPr>
        <w:t xml:space="preserve">omfatter de centrale værker, som er </w:t>
      </w:r>
      <w:r w:rsidR="00BF20CD" w:rsidRPr="00D15AAE">
        <w:rPr>
          <w:iCs/>
          <w:sz w:val="24"/>
        </w:rPr>
        <w:t>CO</w:t>
      </w:r>
      <w:r w:rsidR="00BF20CD" w:rsidRPr="00D15AAE">
        <w:rPr>
          <w:iCs/>
          <w:sz w:val="24"/>
          <w:vertAlign w:val="subscript"/>
        </w:rPr>
        <w:t>2</w:t>
      </w:r>
      <w:r w:rsidR="00911E5E">
        <w:rPr>
          <w:iCs/>
          <w:sz w:val="24"/>
          <w:vertAlign w:val="subscript"/>
        </w:rPr>
        <w:t>-</w:t>
      </w:r>
      <w:r w:rsidR="00E32A57" w:rsidRPr="00D15AAE">
        <w:rPr>
          <w:iCs/>
          <w:sz w:val="24"/>
        </w:rPr>
        <w:t>kvoteomfattede. De to bestemmelser har i dag samme indhold.</w:t>
      </w:r>
      <w:r w:rsidR="00317885" w:rsidRPr="00D15AAE">
        <w:rPr>
          <w:sz w:val="24"/>
        </w:rPr>
        <w:t xml:space="preserve"> </w:t>
      </w:r>
      <w:r w:rsidR="00632654" w:rsidRPr="00D15AAE">
        <w:rPr>
          <w:sz w:val="24"/>
        </w:rPr>
        <w:t>Begge typer CO</w:t>
      </w:r>
      <w:r w:rsidR="00632654" w:rsidRPr="00D15AAE">
        <w:rPr>
          <w:sz w:val="24"/>
          <w:vertAlign w:val="subscript"/>
        </w:rPr>
        <w:t>2</w:t>
      </w:r>
      <w:r w:rsidR="00911E5E">
        <w:rPr>
          <w:sz w:val="24"/>
          <w:vertAlign w:val="subscript"/>
        </w:rPr>
        <w:t>-</w:t>
      </w:r>
      <w:r w:rsidR="00632654" w:rsidRPr="00D15AAE">
        <w:rPr>
          <w:sz w:val="24"/>
        </w:rPr>
        <w:t>k</w:t>
      </w:r>
      <w:r w:rsidR="00B96496" w:rsidRPr="00D15AAE">
        <w:rPr>
          <w:sz w:val="24"/>
        </w:rPr>
        <w:t>voteomfattede virksomheder skal efter de gældende regler opgøre tillægsafgiften med udgangspunkt i det faktiske energiindhold i det indfyrede afgiftspligtige affald for anlægget. Det er herved forudsat, at disse virksomheder som CO</w:t>
      </w:r>
      <w:r w:rsidR="00B96496" w:rsidRPr="00D15AAE">
        <w:rPr>
          <w:sz w:val="24"/>
          <w:vertAlign w:val="subscript"/>
        </w:rPr>
        <w:t>2</w:t>
      </w:r>
      <w:r w:rsidR="00911E5E">
        <w:rPr>
          <w:sz w:val="24"/>
        </w:rPr>
        <w:t>-</w:t>
      </w:r>
      <w:r w:rsidR="00B96496" w:rsidRPr="00D15AAE">
        <w:rPr>
          <w:sz w:val="24"/>
        </w:rPr>
        <w:t xml:space="preserve"> kvotevirksomheder skal opgøre dette faktiske energiindhold efter CO</w:t>
      </w:r>
      <w:r w:rsidR="00B96496" w:rsidRPr="00D15AAE">
        <w:rPr>
          <w:sz w:val="24"/>
          <w:vertAlign w:val="subscript"/>
        </w:rPr>
        <w:t>2</w:t>
      </w:r>
      <w:r w:rsidR="00911E5E">
        <w:rPr>
          <w:sz w:val="24"/>
        </w:rPr>
        <w:t>-</w:t>
      </w:r>
      <w:r w:rsidR="00B96496" w:rsidRPr="00D15AAE">
        <w:rPr>
          <w:sz w:val="24"/>
        </w:rPr>
        <w:t>kvotereglerne. Denne forudsætning nævnes i forarbejderne til bestemmelserne, som fremgår af lovforslag</w:t>
      </w:r>
      <w:r w:rsidR="00911E5E">
        <w:rPr>
          <w:sz w:val="24"/>
        </w:rPr>
        <w:t xml:space="preserve"> nr.</w:t>
      </w:r>
      <w:r w:rsidR="00B96496" w:rsidRPr="00D15AAE">
        <w:rPr>
          <w:sz w:val="24"/>
        </w:rPr>
        <w:t xml:space="preserve"> L 126, </w:t>
      </w:r>
      <w:r w:rsidR="00911E5E">
        <w:rPr>
          <w:sz w:val="24"/>
        </w:rPr>
        <w:t>Folketingsåret 2008-2009,</w:t>
      </w:r>
      <w:r w:rsidR="00B96496" w:rsidRPr="00D15AAE">
        <w:rPr>
          <w:sz w:val="24"/>
        </w:rPr>
        <w:t xml:space="preserve"> jf. side 29 i forslaget.</w:t>
      </w:r>
      <w:r w:rsidR="00FE590E" w:rsidRPr="00D15AAE">
        <w:rPr>
          <w:sz w:val="24"/>
        </w:rPr>
        <w:t xml:space="preserve"> </w:t>
      </w:r>
      <w:r w:rsidR="00BF20CD" w:rsidRPr="00D15AAE">
        <w:rPr>
          <w:sz w:val="24"/>
        </w:rPr>
        <w:t xml:space="preserve">Der </w:t>
      </w:r>
      <w:r w:rsidR="00432685" w:rsidRPr="00D15AAE">
        <w:rPr>
          <w:sz w:val="24"/>
        </w:rPr>
        <w:t xml:space="preserve">gælder </w:t>
      </w:r>
      <w:r w:rsidR="00034428" w:rsidRPr="00D15AAE">
        <w:rPr>
          <w:sz w:val="24"/>
        </w:rPr>
        <w:t xml:space="preserve">i øvrigt </w:t>
      </w:r>
      <w:r w:rsidR="00432685" w:rsidRPr="00D15AAE">
        <w:rPr>
          <w:sz w:val="24"/>
        </w:rPr>
        <w:t xml:space="preserve">fradrag for </w:t>
      </w:r>
      <w:r w:rsidR="00BF20CD" w:rsidRPr="00D15AAE">
        <w:rPr>
          <w:sz w:val="24"/>
        </w:rPr>
        <w:t>elfremstilling</w:t>
      </w:r>
      <w:r w:rsidR="00432685" w:rsidRPr="00D15AAE">
        <w:rPr>
          <w:sz w:val="24"/>
        </w:rPr>
        <w:t xml:space="preserve"> m.v.</w:t>
      </w:r>
    </w:p>
    <w:p w:rsidR="005727FB" w:rsidRPr="00D15AAE" w:rsidRDefault="005727FB" w:rsidP="00D15AAE">
      <w:pPr>
        <w:spacing w:line="276" w:lineRule="auto"/>
        <w:rPr>
          <w:i/>
          <w:iCs/>
          <w:sz w:val="24"/>
        </w:rPr>
      </w:pPr>
    </w:p>
    <w:p w:rsidR="005D07F8" w:rsidRPr="00D15AAE" w:rsidRDefault="005D07F8" w:rsidP="00D15AAE">
      <w:pPr>
        <w:spacing w:line="276" w:lineRule="auto"/>
        <w:rPr>
          <w:i/>
          <w:iCs/>
          <w:sz w:val="24"/>
        </w:rPr>
      </w:pPr>
      <w:r w:rsidRPr="00D15AAE">
        <w:rPr>
          <w:i/>
          <w:iCs/>
          <w:sz w:val="24"/>
        </w:rPr>
        <w:t>3.2.2. Lovforslaget</w:t>
      </w:r>
    </w:p>
    <w:p w:rsidR="003820FA" w:rsidRPr="00D15AAE" w:rsidRDefault="003820FA" w:rsidP="00D15AAE">
      <w:pPr>
        <w:spacing w:line="276" w:lineRule="auto"/>
        <w:rPr>
          <w:iCs/>
          <w:sz w:val="24"/>
        </w:rPr>
      </w:pPr>
      <w:r w:rsidRPr="00D15AAE">
        <w:rPr>
          <w:iCs/>
          <w:sz w:val="24"/>
        </w:rPr>
        <w:t>Der foreslås tilføjelse</w:t>
      </w:r>
      <w:r w:rsidR="001474C3">
        <w:rPr>
          <w:iCs/>
          <w:sz w:val="24"/>
        </w:rPr>
        <w:t>r</w:t>
      </w:r>
      <w:r w:rsidR="00C1004F">
        <w:rPr>
          <w:iCs/>
          <w:sz w:val="24"/>
        </w:rPr>
        <w:t xml:space="preserve"> til både </w:t>
      </w:r>
      <w:r w:rsidRPr="00D15AAE">
        <w:rPr>
          <w:iCs/>
          <w:sz w:val="24"/>
        </w:rPr>
        <w:t>stk. 5 og stk. 6 i § 5 i kulafgiftsloven. Tilføjelserne vedrører den situation, hvor CO</w:t>
      </w:r>
      <w:r w:rsidRPr="00D15AAE">
        <w:rPr>
          <w:iCs/>
          <w:sz w:val="24"/>
          <w:vertAlign w:val="subscript"/>
        </w:rPr>
        <w:t>2</w:t>
      </w:r>
      <w:r w:rsidR="00911E5E">
        <w:rPr>
          <w:iCs/>
          <w:sz w:val="24"/>
        </w:rPr>
        <w:t>-</w:t>
      </w:r>
      <w:r w:rsidRPr="00D15AAE">
        <w:rPr>
          <w:iCs/>
          <w:sz w:val="24"/>
        </w:rPr>
        <w:t xml:space="preserve">kvoteomfattede virksomheder, der forbrænder affald, ikke opgør det </w:t>
      </w:r>
      <w:r w:rsidRPr="00D15AAE">
        <w:rPr>
          <w:iCs/>
          <w:sz w:val="24"/>
        </w:rPr>
        <w:lastRenderedPageBreak/>
        <w:t xml:space="preserve">faktiske energiindhold i den indfyrede mængde afgiftspligtigt affald i forbindelse med opgørelsen af udledt </w:t>
      </w:r>
      <w:r w:rsidR="001474C3">
        <w:rPr>
          <w:iCs/>
          <w:sz w:val="24"/>
        </w:rPr>
        <w:t>CO</w:t>
      </w:r>
      <w:r w:rsidR="001474C3" w:rsidRPr="00F31EDD">
        <w:rPr>
          <w:iCs/>
          <w:sz w:val="24"/>
          <w:vertAlign w:val="subscript"/>
        </w:rPr>
        <w:t>2</w:t>
      </w:r>
      <w:r w:rsidR="001474C3">
        <w:rPr>
          <w:iCs/>
          <w:sz w:val="24"/>
        </w:rPr>
        <w:t xml:space="preserve">, </w:t>
      </w:r>
      <w:r w:rsidRPr="00D15AAE">
        <w:rPr>
          <w:iCs/>
          <w:sz w:val="24"/>
        </w:rPr>
        <w:t>jf. lov om CO</w:t>
      </w:r>
      <w:r w:rsidRPr="00F31EDD">
        <w:rPr>
          <w:iCs/>
          <w:sz w:val="24"/>
          <w:vertAlign w:val="subscript"/>
        </w:rPr>
        <w:t>2</w:t>
      </w:r>
      <w:r w:rsidRPr="00D15AAE">
        <w:rPr>
          <w:iCs/>
          <w:sz w:val="24"/>
        </w:rPr>
        <w:t>-kvoter. Det foreslås således, at den afgiftspligtige mængde for denne situation skal opgøres efter de</w:t>
      </w:r>
      <w:r w:rsidR="00E4465F" w:rsidRPr="00D15AAE">
        <w:rPr>
          <w:iCs/>
          <w:sz w:val="24"/>
        </w:rPr>
        <w:t xml:space="preserve"> samme</w:t>
      </w:r>
      <w:r w:rsidRPr="00D15AAE">
        <w:rPr>
          <w:iCs/>
          <w:sz w:val="24"/>
        </w:rPr>
        <w:t xml:space="preserve"> regler, som gælder for affaldsforbrændingsanlæg, som ikke er CO</w:t>
      </w:r>
      <w:r w:rsidRPr="00F31EDD">
        <w:rPr>
          <w:iCs/>
          <w:sz w:val="24"/>
          <w:vertAlign w:val="subscript"/>
        </w:rPr>
        <w:t>2</w:t>
      </w:r>
      <w:r w:rsidR="00911E5E">
        <w:rPr>
          <w:iCs/>
          <w:sz w:val="24"/>
        </w:rPr>
        <w:t>-</w:t>
      </w:r>
      <w:r w:rsidRPr="00D15AAE">
        <w:rPr>
          <w:iCs/>
          <w:sz w:val="24"/>
        </w:rPr>
        <w:t xml:space="preserve">kvoteomfattede. Det vil sige aktuelt efter reglerne i § 5, stk. 7-13, i kulafgiftsloven. For så vidt angår det særlige fradrag for bortkølet varme foreslås dog, at fradraget fastholdes til kun at gælde for den kreds af virksomheder, som kan opnå det i dag. </w:t>
      </w:r>
    </w:p>
    <w:p w:rsidR="003820FA" w:rsidRPr="00D15AAE" w:rsidRDefault="003820FA" w:rsidP="00D15AAE">
      <w:pPr>
        <w:spacing w:line="276" w:lineRule="auto"/>
        <w:rPr>
          <w:iCs/>
          <w:sz w:val="24"/>
        </w:rPr>
      </w:pPr>
      <w:r w:rsidRPr="00D15AAE">
        <w:rPr>
          <w:iCs/>
          <w:sz w:val="24"/>
        </w:rPr>
        <w:t xml:space="preserve">    Ovenstående betyder</w:t>
      </w:r>
      <w:r w:rsidR="000458C5">
        <w:rPr>
          <w:iCs/>
          <w:sz w:val="24"/>
        </w:rPr>
        <w:t xml:space="preserve"> bl.a.</w:t>
      </w:r>
      <w:r w:rsidRPr="00D15AAE">
        <w:rPr>
          <w:iCs/>
          <w:sz w:val="24"/>
        </w:rPr>
        <w:t>, at et større affaldsforbrændingsanlæg, der indgår i CO</w:t>
      </w:r>
      <w:r w:rsidRPr="00F31EDD">
        <w:rPr>
          <w:iCs/>
          <w:sz w:val="24"/>
          <w:vertAlign w:val="subscript"/>
        </w:rPr>
        <w:t>2</w:t>
      </w:r>
      <w:r w:rsidR="00911E5E">
        <w:rPr>
          <w:iCs/>
          <w:sz w:val="24"/>
        </w:rPr>
        <w:t>-</w:t>
      </w:r>
      <w:r w:rsidR="000458C5">
        <w:rPr>
          <w:iCs/>
          <w:sz w:val="24"/>
        </w:rPr>
        <w:t>kvotesektoren fra og med</w:t>
      </w:r>
      <w:r w:rsidRPr="00D15AAE">
        <w:rPr>
          <w:iCs/>
          <w:sz w:val="24"/>
        </w:rPr>
        <w:t xml:space="preserve"> 2013, og som ikke opgør det faktiske energiindhold i de anvendte affaldsbrændsler, vil fortsætte med at </w:t>
      </w:r>
      <w:r w:rsidR="000458C5">
        <w:rPr>
          <w:iCs/>
          <w:sz w:val="24"/>
        </w:rPr>
        <w:t xml:space="preserve">skulle </w:t>
      </w:r>
      <w:r w:rsidRPr="00D15AAE">
        <w:rPr>
          <w:iCs/>
          <w:sz w:val="24"/>
        </w:rPr>
        <w:t xml:space="preserve">opgøre </w:t>
      </w:r>
      <w:r w:rsidR="00D044EE" w:rsidRPr="00D15AAE">
        <w:rPr>
          <w:iCs/>
          <w:sz w:val="24"/>
        </w:rPr>
        <w:t>til</w:t>
      </w:r>
      <w:r w:rsidR="00E4465F" w:rsidRPr="00D15AAE">
        <w:rPr>
          <w:iCs/>
          <w:sz w:val="24"/>
        </w:rPr>
        <w:t xml:space="preserve">lægsafgiften efter den </w:t>
      </w:r>
      <w:r w:rsidR="00D044EE" w:rsidRPr="00D15AAE">
        <w:rPr>
          <w:iCs/>
          <w:sz w:val="24"/>
        </w:rPr>
        <w:t xml:space="preserve">samme </w:t>
      </w:r>
      <w:r w:rsidR="00E4465F" w:rsidRPr="00D15AAE">
        <w:rPr>
          <w:iCs/>
          <w:sz w:val="24"/>
        </w:rPr>
        <w:t xml:space="preserve">type </w:t>
      </w:r>
      <w:r w:rsidR="00D044EE" w:rsidRPr="00D15AAE">
        <w:rPr>
          <w:iCs/>
          <w:sz w:val="24"/>
        </w:rPr>
        <w:t xml:space="preserve">regelsæt som </w:t>
      </w:r>
      <w:r w:rsidR="000458C5">
        <w:rPr>
          <w:iCs/>
          <w:sz w:val="24"/>
        </w:rPr>
        <w:t>tidligere</w:t>
      </w:r>
      <w:r w:rsidR="00D044EE" w:rsidRPr="00D15AAE">
        <w:rPr>
          <w:iCs/>
          <w:sz w:val="24"/>
        </w:rPr>
        <w:t xml:space="preserve"> og dermed ligesom de </w:t>
      </w:r>
      <w:r w:rsidR="00073CF6">
        <w:rPr>
          <w:iCs/>
          <w:sz w:val="24"/>
        </w:rPr>
        <w:t>affaldsforbrændings</w:t>
      </w:r>
      <w:r w:rsidR="00D044EE" w:rsidRPr="00D15AAE">
        <w:rPr>
          <w:iCs/>
          <w:sz w:val="24"/>
        </w:rPr>
        <w:t xml:space="preserve">anlæg, der </w:t>
      </w:r>
      <w:r w:rsidR="00E4465F" w:rsidRPr="00D15AAE">
        <w:rPr>
          <w:iCs/>
          <w:sz w:val="24"/>
        </w:rPr>
        <w:t xml:space="preserve">fortsat </w:t>
      </w:r>
      <w:r w:rsidR="00073CF6">
        <w:rPr>
          <w:iCs/>
          <w:sz w:val="24"/>
        </w:rPr>
        <w:t xml:space="preserve">vil </w:t>
      </w:r>
      <w:r w:rsidR="008A0758" w:rsidRPr="00D15AAE">
        <w:rPr>
          <w:iCs/>
          <w:sz w:val="24"/>
        </w:rPr>
        <w:t>stå</w:t>
      </w:r>
      <w:r w:rsidR="00D044EE" w:rsidRPr="00D15AAE">
        <w:rPr>
          <w:iCs/>
          <w:sz w:val="24"/>
        </w:rPr>
        <w:t xml:space="preserve"> uden</w:t>
      </w:r>
      <w:r w:rsidR="00911E5E">
        <w:rPr>
          <w:iCs/>
          <w:sz w:val="24"/>
        </w:rPr>
        <w:t xml:space="preserve"> </w:t>
      </w:r>
      <w:r w:rsidR="00D044EE" w:rsidRPr="00D15AAE">
        <w:rPr>
          <w:iCs/>
          <w:sz w:val="24"/>
        </w:rPr>
        <w:t>for CO</w:t>
      </w:r>
      <w:r w:rsidR="00D044EE" w:rsidRPr="00D15AAE">
        <w:rPr>
          <w:iCs/>
          <w:sz w:val="24"/>
          <w:vertAlign w:val="subscript"/>
        </w:rPr>
        <w:t>2</w:t>
      </w:r>
      <w:r w:rsidR="00911E5E">
        <w:rPr>
          <w:iCs/>
          <w:sz w:val="24"/>
        </w:rPr>
        <w:t>-</w:t>
      </w:r>
      <w:r w:rsidR="00D044EE" w:rsidRPr="00D15AAE">
        <w:rPr>
          <w:iCs/>
          <w:sz w:val="24"/>
        </w:rPr>
        <w:t xml:space="preserve"> kvotesektoren.</w:t>
      </w:r>
    </w:p>
    <w:p w:rsidR="003820FA" w:rsidRPr="00D15AAE" w:rsidRDefault="003820FA" w:rsidP="00D15AAE">
      <w:pPr>
        <w:spacing w:line="276" w:lineRule="auto"/>
        <w:rPr>
          <w:iCs/>
          <w:sz w:val="24"/>
        </w:rPr>
      </w:pPr>
    </w:p>
    <w:p w:rsidR="005D07F8" w:rsidRPr="00D15AAE" w:rsidRDefault="005D07F8" w:rsidP="00D15AAE">
      <w:pPr>
        <w:spacing w:line="276" w:lineRule="auto"/>
        <w:rPr>
          <w:i/>
          <w:iCs/>
          <w:sz w:val="24"/>
        </w:rPr>
      </w:pPr>
      <w:r w:rsidRPr="00D15AAE">
        <w:rPr>
          <w:i/>
          <w:iCs/>
          <w:sz w:val="24"/>
        </w:rPr>
        <w:t>3.3. CO</w:t>
      </w:r>
      <w:r w:rsidRPr="00D15AAE">
        <w:rPr>
          <w:i/>
          <w:iCs/>
          <w:sz w:val="24"/>
          <w:vertAlign w:val="subscript"/>
        </w:rPr>
        <w:t>2</w:t>
      </w:r>
      <w:r w:rsidRPr="00D15AAE">
        <w:rPr>
          <w:i/>
          <w:iCs/>
          <w:sz w:val="24"/>
        </w:rPr>
        <w:t>-afgiften ved affaldsforbrænding</w:t>
      </w:r>
    </w:p>
    <w:p w:rsidR="00AD0844" w:rsidRPr="00D15AAE" w:rsidRDefault="00AD0844" w:rsidP="00D15AAE">
      <w:pPr>
        <w:spacing w:line="276" w:lineRule="auto"/>
        <w:rPr>
          <w:i/>
          <w:iCs/>
          <w:sz w:val="24"/>
        </w:rPr>
      </w:pPr>
    </w:p>
    <w:p w:rsidR="00E31864" w:rsidRPr="00D15AAE" w:rsidRDefault="005D07F8" w:rsidP="00D15AAE">
      <w:pPr>
        <w:spacing w:line="276" w:lineRule="auto"/>
        <w:rPr>
          <w:sz w:val="24"/>
        </w:rPr>
      </w:pPr>
      <w:r w:rsidRPr="00D15AAE">
        <w:rPr>
          <w:i/>
          <w:iCs/>
          <w:sz w:val="24"/>
        </w:rPr>
        <w:t>3.3.1. Gældende ret</w:t>
      </w:r>
      <w:r w:rsidR="00E31864" w:rsidRPr="00D15AAE">
        <w:rPr>
          <w:i/>
          <w:iCs/>
          <w:sz w:val="24"/>
        </w:rPr>
        <w:br/>
      </w:r>
      <w:r w:rsidR="00B6470C" w:rsidRPr="00D15AAE">
        <w:rPr>
          <w:iCs/>
          <w:sz w:val="24"/>
        </w:rPr>
        <w:t>Alle affaldsforbrændingsanlæg, som i dag ikke er CO</w:t>
      </w:r>
      <w:r w:rsidR="00B6470C" w:rsidRPr="00D15AAE">
        <w:rPr>
          <w:iCs/>
          <w:sz w:val="24"/>
          <w:vertAlign w:val="subscript"/>
        </w:rPr>
        <w:t>2</w:t>
      </w:r>
      <w:r w:rsidR="001D21B9">
        <w:rPr>
          <w:iCs/>
          <w:sz w:val="24"/>
        </w:rPr>
        <w:t>-</w:t>
      </w:r>
      <w:r w:rsidR="00B6470C" w:rsidRPr="00D15AAE">
        <w:rPr>
          <w:iCs/>
          <w:sz w:val="24"/>
        </w:rPr>
        <w:t>kvoteomfattede, herunder de som bliver CO</w:t>
      </w:r>
      <w:r w:rsidR="00B6470C" w:rsidRPr="00D15AAE">
        <w:rPr>
          <w:iCs/>
          <w:sz w:val="24"/>
          <w:vertAlign w:val="subscript"/>
        </w:rPr>
        <w:t>2</w:t>
      </w:r>
      <w:r w:rsidR="001D21B9">
        <w:rPr>
          <w:iCs/>
          <w:sz w:val="24"/>
        </w:rPr>
        <w:t>-</w:t>
      </w:r>
      <w:r w:rsidR="0018393E">
        <w:rPr>
          <w:iCs/>
          <w:sz w:val="24"/>
        </w:rPr>
        <w:t>kvoteomfattede fra og med</w:t>
      </w:r>
      <w:r w:rsidR="00B6470C" w:rsidRPr="00D15AAE">
        <w:rPr>
          <w:iCs/>
          <w:sz w:val="24"/>
        </w:rPr>
        <w:t xml:space="preserve"> 2013, opgør i dag den afgiftspligtige mængde, hvoraf der skal betales CO</w:t>
      </w:r>
      <w:r w:rsidR="00B6470C" w:rsidRPr="00F31EDD">
        <w:rPr>
          <w:iCs/>
          <w:sz w:val="24"/>
          <w:vertAlign w:val="subscript"/>
        </w:rPr>
        <w:t>2</w:t>
      </w:r>
      <w:r w:rsidR="001D21B9">
        <w:rPr>
          <w:iCs/>
          <w:sz w:val="24"/>
        </w:rPr>
        <w:t>-</w:t>
      </w:r>
      <w:r w:rsidR="00B6470C" w:rsidRPr="00D15AAE">
        <w:rPr>
          <w:iCs/>
          <w:sz w:val="24"/>
        </w:rPr>
        <w:t>afgift</w:t>
      </w:r>
      <w:r w:rsidR="001D21B9">
        <w:rPr>
          <w:iCs/>
          <w:sz w:val="24"/>
        </w:rPr>
        <w:t>,</w:t>
      </w:r>
      <w:r w:rsidR="00911C73" w:rsidRPr="00D15AAE">
        <w:rPr>
          <w:iCs/>
          <w:sz w:val="24"/>
        </w:rPr>
        <w:t xml:space="preserve"> efter reglern</w:t>
      </w:r>
      <w:r w:rsidR="00B6470C" w:rsidRPr="00D15AAE">
        <w:rPr>
          <w:iCs/>
          <w:sz w:val="24"/>
        </w:rPr>
        <w:t>e i CO</w:t>
      </w:r>
      <w:r w:rsidR="00B6470C" w:rsidRPr="00F31EDD">
        <w:rPr>
          <w:iCs/>
          <w:sz w:val="24"/>
          <w:vertAlign w:val="subscript"/>
        </w:rPr>
        <w:t>2</w:t>
      </w:r>
      <w:r w:rsidR="00B6470C" w:rsidRPr="00D15AAE">
        <w:rPr>
          <w:iCs/>
          <w:sz w:val="24"/>
        </w:rPr>
        <w:t>-afgiftslovens § 5, stk. 3.</w:t>
      </w:r>
      <w:r w:rsidR="00911C73" w:rsidRPr="00D15AAE">
        <w:rPr>
          <w:iCs/>
          <w:sz w:val="24"/>
        </w:rPr>
        <w:t xml:space="preserve"> Den afgiftspligtige mængde udgøres af energiindholdet (GJ) i den samlede indfyrede mængde affald ganget med en standardemissionsfaktor på 28,34 kg CO</w:t>
      </w:r>
      <w:r w:rsidR="00911C73" w:rsidRPr="0018393E">
        <w:rPr>
          <w:iCs/>
          <w:sz w:val="24"/>
          <w:vertAlign w:val="subscript"/>
        </w:rPr>
        <w:t>2</w:t>
      </w:r>
      <w:r w:rsidR="00911C73" w:rsidRPr="00D15AAE">
        <w:rPr>
          <w:iCs/>
          <w:sz w:val="24"/>
        </w:rPr>
        <w:t xml:space="preserve">/GJ for affaldet. Dette energiindhold kender virksomhederne </w:t>
      </w:r>
      <w:r w:rsidR="003C2401" w:rsidRPr="00D15AAE">
        <w:rPr>
          <w:iCs/>
          <w:sz w:val="24"/>
        </w:rPr>
        <w:t xml:space="preserve">allerede </w:t>
      </w:r>
      <w:r w:rsidR="00911C73" w:rsidRPr="00D15AAE">
        <w:rPr>
          <w:iCs/>
          <w:sz w:val="24"/>
        </w:rPr>
        <w:t>fra deres opgørelse af tillægsafgiften på affaldsforbrænding efter kulafgiftsloven.</w:t>
      </w:r>
      <w:r w:rsidR="003C2401" w:rsidRPr="00D15AAE">
        <w:rPr>
          <w:iCs/>
          <w:sz w:val="24"/>
        </w:rPr>
        <w:t xml:space="preserve"> Der foretages fradrag for affald med et vægtindhold af ikke bionedbrydeligt affald på mindre end 1 pct.</w:t>
      </w:r>
      <w:r w:rsidR="00750399" w:rsidRPr="00D15AAE">
        <w:rPr>
          <w:iCs/>
          <w:sz w:val="24"/>
        </w:rPr>
        <w:t xml:space="preserve"> Der foretages ikke fradrag for elf</w:t>
      </w:r>
      <w:r w:rsidR="00047256" w:rsidRPr="00D15AAE">
        <w:rPr>
          <w:iCs/>
          <w:sz w:val="24"/>
        </w:rPr>
        <w:t>r</w:t>
      </w:r>
      <w:r w:rsidR="00750399" w:rsidRPr="00D15AAE">
        <w:rPr>
          <w:iCs/>
          <w:sz w:val="24"/>
        </w:rPr>
        <w:t>emstilling</w:t>
      </w:r>
      <w:r w:rsidR="0018393E">
        <w:rPr>
          <w:iCs/>
          <w:sz w:val="24"/>
        </w:rPr>
        <w:t xml:space="preserve"> eller proces i virksomheden</w:t>
      </w:r>
      <w:r w:rsidR="00750399" w:rsidRPr="00D15AAE">
        <w:rPr>
          <w:iCs/>
          <w:sz w:val="24"/>
        </w:rPr>
        <w:t>.</w:t>
      </w:r>
      <w:r w:rsidR="00750399" w:rsidRPr="00D15AAE">
        <w:rPr>
          <w:iCs/>
          <w:sz w:val="24"/>
        </w:rPr>
        <w:br/>
        <w:t xml:space="preserve">     </w:t>
      </w:r>
      <w:r w:rsidR="00AD0844" w:rsidRPr="00D15AAE">
        <w:rPr>
          <w:sz w:val="24"/>
        </w:rPr>
        <w:t>For så vidt angår de CO</w:t>
      </w:r>
      <w:r w:rsidR="00AD0844" w:rsidRPr="00D15AAE">
        <w:rPr>
          <w:sz w:val="24"/>
          <w:vertAlign w:val="subscript"/>
        </w:rPr>
        <w:t>2</w:t>
      </w:r>
      <w:r w:rsidR="001D21B9">
        <w:rPr>
          <w:sz w:val="24"/>
        </w:rPr>
        <w:t>-</w:t>
      </w:r>
      <w:r w:rsidR="00AD0844" w:rsidRPr="00D15AAE">
        <w:rPr>
          <w:sz w:val="24"/>
        </w:rPr>
        <w:t xml:space="preserve">kvoteomfattede virksomheder, som forbrænder ikke bionedbrydeligt affald, gælder der andre regler.  </w:t>
      </w:r>
      <w:r w:rsidR="00E31864" w:rsidRPr="00D15AAE">
        <w:rPr>
          <w:sz w:val="24"/>
        </w:rPr>
        <w:t xml:space="preserve">Efter </w:t>
      </w:r>
      <w:r w:rsidR="008D7DED" w:rsidRPr="00D15AAE">
        <w:rPr>
          <w:sz w:val="24"/>
        </w:rPr>
        <w:t xml:space="preserve">de </w:t>
      </w:r>
      <w:r w:rsidR="00573267" w:rsidRPr="00D15AAE">
        <w:rPr>
          <w:sz w:val="24"/>
        </w:rPr>
        <w:t xml:space="preserve">gældende </w:t>
      </w:r>
      <w:r w:rsidR="00E31864" w:rsidRPr="00D15AAE">
        <w:rPr>
          <w:sz w:val="24"/>
        </w:rPr>
        <w:t>regler</w:t>
      </w:r>
      <w:r w:rsidR="0018393E">
        <w:rPr>
          <w:sz w:val="24"/>
        </w:rPr>
        <w:t xml:space="preserve"> </w:t>
      </w:r>
      <w:r w:rsidR="008D7DED" w:rsidRPr="00D15AAE">
        <w:rPr>
          <w:sz w:val="24"/>
        </w:rPr>
        <w:t>i § 5, stk. 2, i CO</w:t>
      </w:r>
      <w:r w:rsidR="008D7DED" w:rsidRPr="00D15AAE">
        <w:rPr>
          <w:sz w:val="24"/>
          <w:vertAlign w:val="subscript"/>
        </w:rPr>
        <w:t>2</w:t>
      </w:r>
      <w:r w:rsidR="001D21B9">
        <w:rPr>
          <w:sz w:val="24"/>
        </w:rPr>
        <w:t>-</w:t>
      </w:r>
      <w:r w:rsidR="008D7DED" w:rsidRPr="00D15AAE">
        <w:rPr>
          <w:sz w:val="24"/>
        </w:rPr>
        <w:t xml:space="preserve">afgiftsloven </w:t>
      </w:r>
      <w:r w:rsidR="00E31864" w:rsidRPr="00D15AAE">
        <w:rPr>
          <w:sz w:val="24"/>
        </w:rPr>
        <w:t>opgør</w:t>
      </w:r>
      <w:r w:rsidR="00AD0844" w:rsidRPr="00D15AAE">
        <w:rPr>
          <w:sz w:val="24"/>
        </w:rPr>
        <w:t xml:space="preserve"> disse virksomheder</w:t>
      </w:r>
      <w:r w:rsidR="00E31864" w:rsidRPr="00D15AAE">
        <w:rPr>
          <w:sz w:val="24"/>
        </w:rPr>
        <w:t xml:space="preserve"> den CO</w:t>
      </w:r>
      <w:r w:rsidR="00E31864" w:rsidRPr="00D15AAE">
        <w:rPr>
          <w:sz w:val="24"/>
          <w:vertAlign w:val="subscript"/>
        </w:rPr>
        <w:t>2</w:t>
      </w:r>
      <w:r w:rsidR="00E31864" w:rsidRPr="00D15AAE">
        <w:rPr>
          <w:sz w:val="24"/>
        </w:rPr>
        <w:t xml:space="preserve">-afgiftspligtige mængde </w:t>
      </w:r>
      <w:r w:rsidR="00573267" w:rsidRPr="00D15AAE">
        <w:rPr>
          <w:sz w:val="24"/>
        </w:rPr>
        <w:t>udledt CO</w:t>
      </w:r>
      <w:r w:rsidR="00573267" w:rsidRPr="00D15AAE">
        <w:rPr>
          <w:sz w:val="24"/>
          <w:vertAlign w:val="subscript"/>
        </w:rPr>
        <w:t>2</w:t>
      </w:r>
      <w:r w:rsidR="00573267" w:rsidRPr="00D15AAE">
        <w:rPr>
          <w:sz w:val="24"/>
        </w:rPr>
        <w:t xml:space="preserve"> </w:t>
      </w:r>
      <w:r w:rsidR="00E31864" w:rsidRPr="00D15AAE">
        <w:rPr>
          <w:sz w:val="24"/>
        </w:rPr>
        <w:t>med udgangspunkt i energiindhold</w:t>
      </w:r>
      <w:r w:rsidR="00812B00">
        <w:rPr>
          <w:sz w:val="24"/>
        </w:rPr>
        <w:t>et</w:t>
      </w:r>
      <w:r w:rsidR="00E31864" w:rsidRPr="00D15AAE">
        <w:rPr>
          <w:sz w:val="24"/>
        </w:rPr>
        <w:t xml:space="preserve"> (GJ) i affaldsbrændslet ganget med dets faktiske emissionsfaktor </w:t>
      </w:r>
      <w:r w:rsidR="00E31864" w:rsidRPr="00D15AAE">
        <w:rPr>
          <w:color w:val="000000"/>
          <w:sz w:val="24"/>
        </w:rPr>
        <w:t>(kg CO</w:t>
      </w:r>
      <w:r w:rsidR="00E31864" w:rsidRPr="00D15AAE">
        <w:rPr>
          <w:color w:val="000000"/>
          <w:sz w:val="24"/>
          <w:vertAlign w:val="subscript"/>
        </w:rPr>
        <w:t>2</w:t>
      </w:r>
      <w:r w:rsidR="00E31864" w:rsidRPr="00D15AAE">
        <w:rPr>
          <w:color w:val="000000"/>
          <w:sz w:val="24"/>
        </w:rPr>
        <w:t>/GJ).</w:t>
      </w:r>
      <w:r w:rsidR="00812B00">
        <w:rPr>
          <w:color w:val="000000"/>
          <w:sz w:val="24"/>
        </w:rPr>
        <w:t xml:space="preserve"> Dette energiindhold i affaldsbrændslet opgøres ligesom energiindholdet til beregningen af </w:t>
      </w:r>
      <w:r w:rsidR="00517476">
        <w:rPr>
          <w:color w:val="000000"/>
          <w:sz w:val="24"/>
        </w:rPr>
        <w:t xml:space="preserve">førnævnte </w:t>
      </w:r>
      <w:r w:rsidR="00812B00">
        <w:rPr>
          <w:color w:val="000000"/>
          <w:sz w:val="24"/>
        </w:rPr>
        <w:t>tillægsafgift via henvisninger i CO</w:t>
      </w:r>
      <w:r w:rsidR="00812B00" w:rsidRPr="00F31EDD">
        <w:rPr>
          <w:color w:val="000000"/>
          <w:sz w:val="24"/>
          <w:vertAlign w:val="subscript"/>
        </w:rPr>
        <w:t>2</w:t>
      </w:r>
      <w:r w:rsidR="00812B00">
        <w:rPr>
          <w:color w:val="000000"/>
          <w:sz w:val="24"/>
        </w:rPr>
        <w:t>-afgiftslovens</w:t>
      </w:r>
      <w:r w:rsidR="008F0087" w:rsidRPr="00D15AAE">
        <w:rPr>
          <w:color w:val="000000"/>
          <w:sz w:val="24"/>
        </w:rPr>
        <w:t xml:space="preserve"> </w:t>
      </w:r>
      <w:r w:rsidR="00812B00">
        <w:rPr>
          <w:color w:val="000000"/>
          <w:sz w:val="24"/>
        </w:rPr>
        <w:t>§ 5, stk. 3,</w:t>
      </w:r>
      <w:r w:rsidR="007D6BDF">
        <w:rPr>
          <w:color w:val="000000"/>
          <w:sz w:val="24"/>
        </w:rPr>
        <w:t xml:space="preserve"> til henholdsvis stk. 5 og </w:t>
      </w:r>
      <w:r w:rsidR="00812B00">
        <w:rPr>
          <w:color w:val="000000"/>
          <w:sz w:val="24"/>
        </w:rPr>
        <w:t xml:space="preserve">6 i kulafgiftslovens § 5. </w:t>
      </w:r>
      <w:r w:rsidR="008F0087" w:rsidRPr="00D15AAE">
        <w:rPr>
          <w:iCs/>
          <w:sz w:val="24"/>
        </w:rPr>
        <w:t xml:space="preserve">For disse </w:t>
      </w:r>
      <w:r w:rsidR="008F0087" w:rsidRPr="00D15AAE">
        <w:rPr>
          <w:sz w:val="24"/>
        </w:rPr>
        <w:t>CO</w:t>
      </w:r>
      <w:r w:rsidR="008F0087" w:rsidRPr="00D15AAE">
        <w:rPr>
          <w:sz w:val="24"/>
          <w:vertAlign w:val="subscript"/>
        </w:rPr>
        <w:t>2</w:t>
      </w:r>
      <w:r w:rsidR="001D21B9">
        <w:rPr>
          <w:sz w:val="24"/>
        </w:rPr>
        <w:t>-</w:t>
      </w:r>
      <w:r w:rsidR="008F0087" w:rsidRPr="00D15AAE">
        <w:rPr>
          <w:sz w:val="24"/>
        </w:rPr>
        <w:t xml:space="preserve">kvoteomfattede virksomheder er det </w:t>
      </w:r>
      <w:r w:rsidR="0018393E">
        <w:rPr>
          <w:sz w:val="24"/>
        </w:rPr>
        <w:t xml:space="preserve">hidtil </w:t>
      </w:r>
      <w:r w:rsidR="008F0087" w:rsidRPr="00D15AAE">
        <w:rPr>
          <w:sz w:val="24"/>
        </w:rPr>
        <w:t>forudsat, at de</w:t>
      </w:r>
      <w:r w:rsidR="008D7DED" w:rsidRPr="00D15AAE">
        <w:rPr>
          <w:sz w:val="24"/>
        </w:rPr>
        <w:t xml:space="preserve"> </w:t>
      </w:r>
      <w:r w:rsidR="008F0087" w:rsidRPr="00D15AAE">
        <w:rPr>
          <w:sz w:val="24"/>
        </w:rPr>
        <w:t xml:space="preserve">opgør </w:t>
      </w:r>
      <w:r w:rsidR="00812B00">
        <w:rPr>
          <w:sz w:val="24"/>
        </w:rPr>
        <w:t xml:space="preserve">både energiindholdet og emissionsfaktoren </w:t>
      </w:r>
      <w:r w:rsidR="008F0087" w:rsidRPr="00D15AAE">
        <w:rPr>
          <w:sz w:val="24"/>
        </w:rPr>
        <w:t>efter CO</w:t>
      </w:r>
      <w:r w:rsidR="008F0087" w:rsidRPr="00D15AAE">
        <w:rPr>
          <w:sz w:val="24"/>
          <w:vertAlign w:val="subscript"/>
        </w:rPr>
        <w:t>2</w:t>
      </w:r>
      <w:r w:rsidR="001D21B9">
        <w:rPr>
          <w:sz w:val="24"/>
        </w:rPr>
        <w:t>-</w:t>
      </w:r>
      <w:r w:rsidR="008F0087" w:rsidRPr="00D15AAE">
        <w:rPr>
          <w:sz w:val="24"/>
        </w:rPr>
        <w:t xml:space="preserve">kvotereglerne. Dette fremgår af forarbejderne til bestemmelsen, </w:t>
      </w:r>
      <w:r w:rsidR="008D7DED" w:rsidRPr="00D15AAE">
        <w:rPr>
          <w:sz w:val="24"/>
        </w:rPr>
        <w:t xml:space="preserve">jf. </w:t>
      </w:r>
      <w:r w:rsidR="00D72FBA" w:rsidRPr="00D15AAE">
        <w:rPr>
          <w:sz w:val="24"/>
        </w:rPr>
        <w:t xml:space="preserve">f.eks. </w:t>
      </w:r>
      <w:r w:rsidR="007B2AA8" w:rsidRPr="00D15AAE">
        <w:rPr>
          <w:sz w:val="24"/>
        </w:rPr>
        <w:t xml:space="preserve">side 33 og 34 i </w:t>
      </w:r>
      <w:r w:rsidR="008F0087" w:rsidRPr="00D15AAE">
        <w:rPr>
          <w:sz w:val="24"/>
        </w:rPr>
        <w:t>lovforslag</w:t>
      </w:r>
      <w:r w:rsidR="00387400">
        <w:rPr>
          <w:sz w:val="24"/>
        </w:rPr>
        <w:t xml:space="preserve"> nr.</w:t>
      </w:r>
      <w:r w:rsidR="008F0087" w:rsidRPr="00D15AAE">
        <w:rPr>
          <w:sz w:val="24"/>
        </w:rPr>
        <w:t xml:space="preserve"> L 126, </w:t>
      </w:r>
      <w:r w:rsidR="00387400">
        <w:rPr>
          <w:sz w:val="24"/>
        </w:rPr>
        <w:t>Folketingsåret 2008-2009</w:t>
      </w:r>
      <w:r w:rsidR="008F0087" w:rsidRPr="00D15AAE">
        <w:rPr>
          <w:sz w:val="24"/>
        </w:rPr>
        <w:t xml:space="preserve">. </w:t>
      </w:r>
      <w:r w:rsidR="00AD0844" w:rsidRPr="00D15AAE">
        <w:rPr>
          <w:sz w:val="24"/>
        </w:rPr>
        <w:t xml:space="preserve">Endvidere betales der </w:t>
      </w:r>
      <w:r w:rsidR="00E31864" w:rsidRPr="00D15AAE">
        <w:rPr>
          <w:sz w:val="24"/>
        </w:rPr>
        <w:t xml:space="preserve">kun afgift for brændsel til varmefremstilling, men ikke for brændsel til elfremstilling. Med hensyn til varmefremstillingen kan virksomhederne </w:t>
      </w:r>
      <w:r w:rsidR="00AD0844" w:rsidRPr="00D15AAE">
        <w:rPr>
          <w:sz w:val="24"/>
        </w:rPr>
        <w:t>desuden</w:t>
      </w:r>
      <w:r w:rsidR="00E31864" w:rsidRPr="00D15AAE">
        <w:rPr>
          <w:sz w:val="24"/>
        </w:rPr>
        <w:t xml:space="preserve"> foretage et fradrag i den afgiftspligtige mængde, </w:t>
      </w:r>
      <w:r w:rsidR="00573267" w:rsidRPr="00D15AAE">
        <w:rPr>
          <w:sz w:val="24"/>
        </w:rPr>
        <w:t>hvis</w:t>
      </w:r>
      <w:r w:rsidR="007E39EE" w:rsidRPr="00D15AAE">
        <w:rPr>
          <w:sz w:val="24"/>
        </w:rPr>
        <w:t xml:space="preserve"> affalds</w:t>
      </w:r>
      <w:r w:rsidR="000118C0" w:rsidRPr="00D15AAE">
        <w:rPr>
          <w:sz w:val="24"/>
        </w:rPr>
        <w:t>varme bruges</w:t>
      </w:r>
      <w:r w:rsidR="00573267" w:rsidRPr="00D15AAE">
        <w:rPr>
          <w:sz w:val="24"/>
        </w:rPr>
        <w:t xml:space="preserve"> til proces i virksomheden.</w:t>
      </w:r>
    </w:p>
    <w:p w:rsidR="005D07F8" w:rsidRPr="00D15AAE" w:rsidRDefault="005D07F8" w:rsidP="00D15AAE">
      <w:pPr>
        <w:spacing w:line="276" w:lineRule="auto"/>
        <w:rPr>
          <w:iCs/>
          <w:sz w:val="24"/>
        </w:rPr>
      </w:pPr>
    </w:p>
    <w:p w:rsidR="005D07F8" w:rsidRPr="00D15AAE" w:rsidRDefault="005D07F8" w:rsidP="00D15AAE">
      <w:pPr>
        <w:spacing w:line="276" w:lineRule="auto"/>
        <w:rPr>
          <w:i/>
          <w:iCs/>
          <w:sz w:val="24"/>
        </w:rPr>
      </w:pPr>
      <w:r w:rsidRPr="00D15AAE">
        <w:rPr>
          <w:i/>
          <w:iCs/>
          <w:sz w:val="24"/>
        </w:rPr>
        <w:t>3.3.2. Lovforslaget</w:t>
      </w:r>
    </w:p>
    <w:p w:rsidR="00F415FB" w:rsidRPr="00F31EDD" w:rsidRDefault="00F415FB" w:rsidP="00F415FB">
      <w:pPr>
        <w:spacing w:line="276" w:lineRule="auto"/>
        <w:rPr>
          <w:color w:val="000000"/>
          <w:sz w:val="24"/>
        </w:rPr>
      </w:pPr>
      <w:r w:rsidRPr="00F415FB">
        <w:rPr>
          <w:color w:val="000000"/>
          <w:sz w:val="24"/>
        </w:rPr>
        <w:t xml:space="preserve">Den gældende bestemmelse i </w:t>
      </w:r>
      <w:r w:rsidRPr="00F31EDD">
        <w:rPr>
          <w:color w:val="000000"/>
          <w:sz w:val="24"/>
        </w:rPr>
        <w:t>CO</w:t>
      </w:r>
      <w:r w:rsidRPr="00F31EDD">
        <w:rPr>
          <w:color w:val="000000"/>
          <w:sz w:val="24"/>
          <w:vertAlign w:val="subscript"/>
        </w:rPr>
        <w:t>2</w:t>
      </w:r>
      <w:r w:rsidRPr="00F31EDD">
        <w:rPr>
          <w:color w:val="000000"/>
          <w:sz w:val="24"/>
        </w:rPr>
        <w:t>-afgiftslovens § 5, stk. 3, rummer fire punktummer. Ordlyden af disse fire punktummer foreslås ikk</w:t>
      </w:r>
      <w:r w:rsidR="007D6BDF" w:rsidRPr="007D6BDF">
        <w:rPr>
          <w:color w:val="000000"/>
          <w:sz w:val="24"/>
        </w:rPr>
        <w:t xml:space="preserve">e ændret, men indholdet </w:t>
      </w:r>
      <w:r w:rsidR="007D6BDF">
        <w:rPr>
          <w:color w:val="000000"/>
          <w:sz w:val="24"/>
        </w:rPr>
        <w:t>bliver</w:t>
      </w:r>
      <w:r w:rsidRPr="00F31EDD">
        <w:rPr>
          <w:color w:val="000000"/>
          <w:sz w:val="24"/>
        </w:rPr>
        <w:t xml:space="preserve"> alligevel </w:t>
      </w:r>
      <w:r w:rsidRPr="00F31EDD">
        <w:rPr>
          <w:color w:val="000000"/>
          <w:sz w:val="24"/>
        </w:rPr>
        <w:lastRenderedPageBreak/>
        <w:t>ændret som følge af, at der i bestemmelsen henvises til bestemmelser i kulafgiftsloven, som foreslås ændret. Bestemm</w:t>
      </w:r>
      <w:r w:rsidR="007D6BDF" w:rsidRPr="007D6BDF">
        <w:rPr>
          <w:color w:val="000000"/>
          <w:sz w:val="24"/>
        </w:rPr>
        <w:t>elsens 2.</w:t>
      </w:r>
      <w:r w:rsidR="007D6BDF">
        <w:rPr>
          <w:color w:val="000000"/>
          <w:sz w:val="24"/>
        </w:rPr>
        <w:t xml:space="preserve"> </w:t>
      </w:r>
      <w:r w:rsidRPr="00F31EDD">
        <w:rPr>
          <w:color w:val="000000"/>
          <w:sz w:val="24"/>
        </w:rPr>
        <w:t>og 3. pkt., som vedrører den nærmere opgørelse af energiindholdet i CO</w:t>
      </w:r>
      <w:r w:rsidRPr="00F31EDD">
        <w:rPr>
          <w:color w:val="000000"/>
          <w:sz w:val="24"/>
          <w:vertAlign w:val="subscript"/>
        </w:rPr>
        <w:t xml:space="preserve">2 </w:t>
      </w:r>
      <w:r w:rsidRPr="00F31EDD">
        <w:rPr>
          <w:color w:val="000000"/>
          <w:sz w:val="24"/>
        </w:rPr>
        <w:t>-afgiftspligtig</w:t>
      </w:r>
      <w:r w:rsidR="007D6BDF">
        <w:rPr>
          <w:color w:val="000000"/>
          <w:sz w:val="24"/>
        </w:rPr>
        <w:t>t</w:t>
      </w:r>
      <w:r w:rsidRPr="00F31EDD">
        <w:rPr>
          <w:color w:val="000000"/>
          <w:sz w:val="24"/>
        </w:rPr>
        <w:t xml:space="preserve"> affald, henviser således til regler i henholdsvis stk. 5 og 6 i kulafgiftslovens § 5, som igen vedrører den nærmere opgørelse af energiindholdet i affald i forbindelse med tillægsafgif</w:t>
      </w:r>
      <w:r w:rsidR="007D6BDF" w:rsidRPr="007D6BDF">
        <w:rPr>
          <w:color w:val="000000"/>
          <w:sz w:val="24"/>
        </w:rPr>
        <w:t xml:space="preserve">ten. Sidstnævnte stk. 5 og </w:t>
      </w:r>
      <w:r w:rsidRPr="00F31EDD">
        <w:rPr>
          <w:color w:val="000000"/>
          <w:sz w:val="24"/>
        </w:rPr>
        <w:t>6 i kulafgiftslovens § 5 foreslås som nævnt foran ændret med nogle tilføjelser.</w:t>
      </w:r>
      <w:r w:rsidRPr="00F31EDD">
        <w:rPr>
          <w:iCs/>
          <w:sz w:val="24"/>
        </w:rPr>
        <w:t xml:space="preserve"> Disse tilføjelser betyder</w:t>
      </w:r>
      <w:r w:rsidR="00917213">
        <w:rPr>
          <w:iCs/>
          <w:sz w:val="24"/>
        </w:rPr>
        <w:t xml:space="preserve"> bl.a.</w:t>
      </w:r>
      <w:r w:rsidRPr="00F31EDD">
        <w:rPr>
          <w:iCs/>
          <w:sz w:val="24"/>
        </w:rPr>
        <w:t>, at større affaldsforbrændingsanlæg, der indgår i CO</w:t>
      </w:r>
      <w:r w:rsidRPr="00F31EDD">
        <w:rPr>
          <w:iCs/>
          <w:sz w:val="24"/>
          <w:vertAlign w:val="subscript"/>
        </w:rPr>
        <w:t>2</w:t>
      </w:r>
      <w:r w:rsidR="007D6BDF">
        <w:rPr>
          <w:iCs/>
          <w:sz w:val="24"/>
        </w:rPr>
        <w:t>-</w:t>
      </w:r>
      <w:r w:rsidRPr="00F31EDD">
        <w:rPr>
          <w:iCs/>
          <w:sz w:val="24"/>
        </w:rPr>
        <w:t xml:space="preserve">kvotesektoren </w:t>
      </w:r>
      <w:r w:rsidR="007D6BDF">
        <w:rPr>
          <w:iCs/>
          <w:sz w:val="24"/>
        </w:rPr>
        <w:t>fra og med</w:t>
      </w:r>
      <w:r w:rsidRPr="00F31EDD">
        <w:rPr>
          <w:iCs/>
          <w:sz w:val="24"/>
        </w:rPr>
        <w:t xml:space="preserve"> 2013, og som ikke opgør det faktiske energiindhold i de anvendte affaldsbrændsler, vil skulle fortsætte med at opgøre energiindholdet efter den samme type regelsæt som hidtil og dermed ligesom de affaldsforbrændingsanlæg, der fortsat vil stå uden</w:t>
      </w:r>
      <w:r w:rsidR="007D6BDF">
        <w:rPr>
          <w:iCs/>
          <w:sz w:val="24"/>
        </w:rPr>
        <w:t xml:space="preserve"> </w:t>
      </w:r>
      <w:r w:rsidRPr="00F31EDD">
        <w:rPr>
          <w:iCs/>
          <w:sz w:val="24"/>
        </w:rPr>
        <w:t>for CO</w:t>
      </w:r>
      <w:r w:rsidRPr="00F31EDD">
        <w:rPr>
          <w:iCs/>
          <w:sz w:val="24"/>
          <w:vertAlign w:val="subscript"/>
        </w:rPr>
        <w:t>2</w:t>
      </w:r>
      <w:r w:rsidRPr="00F31EDD">
        <w:rPr>
          <w:iCs/>
          <w:sz w:val="24"/>
        </w:rPr>
        <w:t xml:space="preserve"> kvotesektoren.  Forslaget indebærer, at </w:t>
      </w:r>
      <w:r w:rsidRPr="00F31EDD">
        <w:rPr>
          <w:color w:val="000000"/>
          <w:sz w:val="24"/>
        </w:rPr>
        <w:t>CO</w:t>
      </w:r>
      <w:r w:rsidRPr="00F31EDD">
        <w:rPr>
          <w:color w:val="000000"/>
          <w:sz w:val="24"/>
          <w:vertAlign w:val="subscript"/>
        </w:rPr>
        <w:t>2</w:t>
      </w:r>
      <w:r w:rsidR="007D6BDF">
        <w:rPr>
          <w:color w:val="000000"/>
          <w:sz w:val="24"/>
        </w:rPr>
        <w:t>-</w:t>
      </w:r>
      <w:r w:rsidRPr="00F31EDD">
        <w:rPr>
          <w:color w:val="000000"/>
          <w:sz w:val="24"/>
        </w:rPr>
        <w:t>kvoteomfattede virksomheder, når de skal opgøre energiindholdet i affald til beregning af CO</w:t>
      </w:r>
      <w:r w:rsidRPr="00F31EDD">
        <w:rPr>
          <w:color w:val="000000"/>
          <w:sz w:val="24"/>
          <w:vertAlign w:val="subscript"/>
        </w:rPr>
        <w:t>2</w:t>
      </w:r>
      <w:r w:rsidRPr="00F31EDD">
        <w:rPr>
          <w:color w:val="000000"/>
          <w:sz w:val="24"/>
        </w:rPr>
        <w:t>-afgift, fortsat skal opgøre energiindholdet i affald på samme måde efter bestemmelserne i CO</w:t>
      </w:r>
      <w:r w:rsidRPr="00F31EDD">
        <w:rPr>
          <w:color w:val="000000"/>
          <w:sz w:val="24"/>
          <w:vertAlign w:val="subscript"/>
        </w:rPr>
        <w:t>2</w:t>
      </w:r>
      <w:r w:rsidRPr="00F31EDD">
        <w:rPr>
          <w:color w:val="000000"/>
          <w:sz w:val="24"/>
        </w:rPr>
        <w:t xml:space="preserve">-afgiftsloven og kulafgiftsloven. </w:t>
      </w:r>
    </w:p>
    <w:p w:rsidR="005D07F8" w:rsidRPr="00D15AAE" w:rsidRDefault="00F415FB" w:rsidP="00D15AAE">
      <w:pPr>
        <w:widowControl/>
        <w:tabs>
          <w:tab w:val="left" w:pos="284"/>
        </w:tabs>
        <w:spacing w:after="240" w:line="276" w:lineRule="auto"/>
        <w:rPr>
          <w:color w:val="000000"/>
          <w:sz w:val="24"/>
        </w:rPr>
      </w:pPr>
      <w:r>
        <w:rPr>
          <w:color w:val="000000"/>
          <w:sz w:val="24"/>
        </w:rPr>
        <w:t xml:space="preserve">   </w:t>
      </w:r>
      <w:r w:rsidR="002913A7" w:rsidRPr="00D15AAE">
        <w:rPr>
          <w:color w:val="000000"/>
          <w:sz w:val="24"/>
        </w:rPr>
        <w:t>Der foreslås nogle tilføjelser til de gældende regler i CO</w:t>
      </w:r>
      <w:r w:rsidR="002913A7" w:rsidRPr="00D15AAE">
        <w:rPr>
          <w:color w:val="000000"/>
          <w:sz w:val="24"/>
          <w:vertAlign w:val="subscript"/>
        </w:rPr>
        <w:t>2</w:t>
      </w:r>
      <w:r w:rsidR="002913A7" w:rsidRPr="00D15AAE">
        <w:rPr>
          <w:color w:val="000000"/>
          <w:sz w:val="24"/>
        </w:rPr>
        <w:t>-afgiftslovens § 5, stk.</w:t>
      </w:r>
      <w:r w:rsidR="007D7618">
        <w:rPr>
          <w:color w:val="000000"/>
          <w:sz w:val="24"/>
        </w:rPr>
        <w:t xml:space="preserve"> </w:t>
      </w:r>
      <w:r w:rsidR="002913A7" w:rsidRPr="00D15AAE">
        <w:rPr>
          <w:color w:val="000000"/>
          <w:sz w:val="24"/>
        </w:rPr>
        <w:t>2, for</w:t>
      </w:r>
      <w:r w:rsidR="002913A7" w:rsidRPr="00D15AAE">
        <w:rPr>
          <w:iCs/>
          <w:sz w:val="24"/>
        </w:rPr>
        <w:t xml:space="preserve"> </w:t>
      </w:r>
      <w:r w:rsidR="002913A7" w:rsidRPr="00D15AAE">
        <w:rPr>
          <w:sz w:val="24"/>
        </w:rPr>
        <w:t>de CO</w:t>
      </w:r>
      <w:r w:rsidR="002913A7" w:rsidRPr="00D15AAE">
        <w:rPr>
          <w:sz w:val="24"/>
          <w:vertAlign w:val="subscript"/>
        </w:rPr>
        <w:t>2</w:t>
      </w:r>
      <w:r w:rsidR="001D21B9">
        <w:rPr>
          <w:sz w:val="24"/>
        </w:rPr>
        <w:t>-</w:t>
      </w:r>
      <w:r w:rsidR="002913A7" w:rsidRPr="00D15AAE">
        <w:rPr>
          <w:sz w:val="24"/>
        </w:rPr>
        <w:t>kvoteomfattede virksomheder, som forbrænder ikke bionedbrydeligt affald.</w:t>
      </w:r>
      <w:r w:rsidR="00E5391C" w:rsidRPr="00D15AAE">
        <w:rPr>
          <w:sz w:val="24"/>
        </w:rPr>
        <w:t xml:space="preserve"> </w:t>
      </w:r>
      <w:r w:rsidR="00E5391C" w:rsidRPr="00D15AAE">
        <w:rPr>
          <w:sz w:val="24"/>
        </w:rPr>
        <w:br/>
        <w:t xml:space="preserve">    </w:t>
      </w:r>
      <w:r w:rsidR="00696BB8" w:rsidRPr="00D15AAE">
        <w:rPr>
          <w:color w:val="000000"/>
          <w:sz w:val="24"/>
        </w:rPr>
        <w:t>For det tilfældes skyld, at der vil være CO</w:t>
      </w:r>
      <w:r w:rsidR="00FD79E8" w:rsidRPr="00D15AAE">
        <w:rPr>
          <w:color w:val="000000"/>
          <w:sz w:val="24"/>
          <w:vertAlign w:val="subscript"/>
        </w:rPr>
        <w:t>2</w:t>
      </w:r>
      <w:r w:rsidR="001D21B9">
        <w:rPr>
          <w:color w:val="000000"/>
          <w:sz w:val="24"/>
        </w:rPr>
        <w:t>-</w:t>
      </w:r>
      <w:r w:rsidR="00696BB8" w:rsidRPr="00D15AAE">
        <w:rPr>
          <w:color w:val="000000"/>
          <w:sz w:val="24"/>
        </w:rPr>
        <w:t>kvoteomfattede virksomheder, som</w:t>
      </w:r>
      <w:r>
        <w:rPr>
          <w:color w:val="000000"/>
          <w:sz w:val="24"/>
        </w:rPr>
        <w:t xml:space="preserve"> ikke opgør</w:t>
      </w:r>
      <w:r w:rsidR="00BB1AA3" w:rsidRPr="00D15AAE">
        <w:rPr>
          <w:color w:val="000000"/>
          <w:sz w:val="24"/>
        </w:rPr>
        <w:t xml:space="preserve"> den faktiske emissionsfaktor </w:t>
      </w:r>
      <w:r w:rsidR="00696BB8" w:rsidRPr="00D15AAE">
        <w:rPr>
          <w:color w:val="000000"/>
          <w:sz w:val="24"/>
        </w:rPr>
        <w:t>for affaldet efter CO</w:t>
      </w:r>
      <w:r w:rsidR="00696BB8" w:rsidRPr="00D15AAE">
        <w:rPr>
          <w:color w:val="000000"/>
          <w:sz w:val="24"/>
          <w:vertAlign w:val="subscript"/>
        </w:rPr>
        <w:t>2</w:t>
      </w:r>
      <w:r w:rsidR="001D21B9">
        <w:rPr>
          <w:color w:val="000000"/>
          <w:sz w:val="24"/>
        </w:rPr>
        <w:t>-</w:t>
      </w:r>
      <w:r w:rsidR="00696BB8" w:rsidRPr="00D15AAE">
        <w:rPr>
          <w:color w:val="000000"/>
          <w:sz w:val="24"/>
        </w:rPr>
        <w:t xml:space="preserve">kvotelovgivningen, foreslås, at der ved beregningen af afgiftsgrundlaget anvendes en </w:t>
      </w:r>
      <w:r w:rsidR="00A55A33">
        <w:rPr>
          <w:color w:val="000000"/>
          <w:sz w:val="24"/>
        </w:rPr>
        <w:t>standard</w:t>
      </w:r>
      <w:r w:rsidR="00696BB8" w:rsidRPr="00D15AAE">
        <w:rPr>
          <w:color w:val="000000"/>
          <w:sz w:val="24"/>
        </w:rPr>
        <w:t>emissionsfaktor på 37 kg CO</w:t>
      </w:r>
      <w:r w:rsidR="00696BB8" w:rsidRPr="00F31EDD">
        <w:rPr>
          <w:color w:val="000000"/>
          <w:sz w:val="24"/>
          <w:vertAlign w:val="subscript"/>
        </w:rPr>
        <w:t>2</w:t>
      </w:r>
      <w:r w:rsidR="00696BB8" w:rsidRPr="00D15AAE">
        <w:rPr>
          <w:color w:val="000000"/>
          <w:sz w:val="24"/>
        </w:rPr>
        <w:t xml:space="preserve">/GJ. </w:t>
      </w:r>
      <w:r w:rsidR="00E3350B" w:rsidRPr="00D15AAE">
        <w:rPr>
          <w:color w:val="000000"/>
          <w:sz w:val="24"/>
        </w:rPr>
        <w:br/>
        <w:t xml:space="preserve">    </w:t>
      </w:r>
      <w:r w:rsidR="00E5391C" w:rsidRPr="00D15AAE">
        <w:rPr>
          <w:color w:val="000000"/>
          <w:sz w:val="24"/>
        </w:rPr>
        <w:t xml:space="preserve">Endvidere </w:t>
      </w:r>
      <w:r w:rsidR="004808DF" w:rsidRPr="00D15AAE">
        <w:rPr>
          <w:color w:val="000000"/>
          <w:sz w:val="24"/>
        </w:rPr>
        <w:t>foreslås</w:t>
      </w:r>
      <w:r w:rsidR="00E5391C" w:rsidRPr="00D15AAE">
        <w:rPr>
          <w:color w:val="000000"/>
          <w:sz w:val="24"/>
        </w:rPr>
        <w:t xml:space="preserve"> for de tilfælde, hvor den såkaldte skorstensmetode efter CO</w:t>
      </w:r>
      <w:r w:rsidR="00E5391C" w:rsidRPr="00D15AAE">
        <w:rPr>
          <w:color w:val="000000"/>
          <w:sz w:val="24"/>
          <w:vertAlign w:val="subscript"/>
        </w:rPr>
        <w:t>2</w:t>
      </w:r>
      <w:r w:rsidR="001D21B9">
        <w:rPr>
          <w:color w:val="000000"/>
          <w:sz w:val="24"/>
        </w:rPr>
        <w:t>-</w:t>
      </w:r>
      <w:r w:rsidR="00E5391C" w:rsidRPr="00D15AAE">
        <w:rPr>
          <w:color w:val="000000"/>
          <w:sz w:val="24"/>
        </w:rPr>
        <w:t xml:space="preserve">kvotelovgivningen anvendes, </w:t>
      </w:r>
      <w:r w:rsidR="004808DF" w:rsidRPr="00D15AAE">
        <w:rPr>
          <w:color w:val="000000"/>
          <w:sz w:val="24"/>
        </w:rPr>
        <w:t>at udgangspunktet for opgørelsen af den CO</w:t>
      </w:r>
      <w:r w:rsidR="004808DF" w:rsidRPr="00D15AAE">
        <w:rPr>
          <w:color w:val="000000"/>
          <w:sz w:val="24"/>
          <w:vertAlign w:val="subscript"/>
        </w:rPr>
        <w:t>2</w:t>
      </w:r>
      <w:r w:rsidR="001D21B9">
        <w:rPr>
          <w:color w:val="000000"/>
          <w:sz w:val="24"/>
        </w:rPr>
        <w:t>-</w:t>
      </w:r>
      <w:r w:rsidR="004808DF" w:rsidRPr="00D15AAE">
        <w:rPr>
          <w:color w:val="000000"/>
          <w:sz w:val="24"/>
        </w:rPr>
        <w:t>afgiftspligtige mængde skal være den CO</w:t>
      </w:r>
      <w:r w:rsidR="004808DF" w:rsidRPr="00D15AAE">
        <w:rPr>
          <w:color w:val="000000"/>
          <w:sz w:val="24"/>
          <w:vertAlign w:val="subscript"/>
        </w:rPr>
        <w:t>2</w:t>
      </w:r>
      <w:r w:rsidR="001D21B9">
        <w:rPr>
          <w:color w:val="000000"/>
          <w:sz w:val="24"/>
        </w:rPr>
        <w:t>-</w:t>
      </w:r>
      <w:r w:rsidR="004808DF" w:rsidRPr="00D15AAE">
        <w:rPr>
          <w:color w:val="000000"/>
          <w:sz w:val="24"/>
        </w:rPr>
        <w:t xml:space="preserve">kvoteomfattede virksomheds samlede </w:t>
      </w:r>
      <w:r w:rsidR="00E3350B" w:rsidRPr="00D15AAE">
        <w:rPr>
          <w:color w:val="000000"/>
          <w:sz w:val="24"/>
        </w:rPr>
        <w:t xml:space="preserve">direkte </w:t>
      </w:r>
      <w:r w:rsidR="003B0F1B" w:rsidRPr="00D15AAE">
        <w:rPr>
          <w:color w:val="000000"/>
          <w:sz w:val="24"/>
        </w:rPr>
        <w:t xml:space="preserve">målte </w:t>
      </w:r>
      <w:r w:rsidR="004808DF" w:rsidRPr="00D15AAE">
        <w:rPr>
          <w:color w:val="000000"/>
          <w:sz w:val="24"/>
        </w:rPr>
        <w:t>udled</w:t>
      </w:r>
      <w:r w:rsidR="003B0F1B" w:rsidRPr="00D15AAE">
        <w:rPr>
          <w:color w:val="000000"/>
          <w:sz w:val="24"/>
        </w:rPr>
        <w:t>ninger af ton</w:t>
      </w:r>
      <w:r w:rsidR="001D21B9">
        <w:rPr>
          <w:color w:val="000000"/>
          <w:sz w:val="24"/>
        </w:rPr>
        <w:t>s</w:t>
      </w:r>
      <w:r w:rsidR="003B0F1B" w:rsidRPr="00D15AAE">
        <w:rPr>
          <w:color w:val="000000"/>
          <w:sz w:val="24"/>
        </w:rPr>
        <w:t xml:space="preserve"> </w:t>
      </w:r>
      <w:r w:rsidR="004808DF" w:rsidRPr="00D15AAE">
        <w:rPr>
          <w:color w:val="000000"/>
          <w:sz w:val="24"/>
        </w:rPr>
        <w:t>CO</w:t>
      </w:r>
      <w:r w:rsidR="004808DF" w:rsidRPr="00D15AAE">
        <w:rPr>
          <w:color w:val="000000"/>
          <w:sz w:val="24"/>
          <w:vertAlign w:val="subscript"/>
        </w:rPr>
        <w:t>2</w:t>
      </w:r>
      <w:r w:rsidR="003B0F1B" w:rsidRPr="00D15AAE">
        <w:rPr>
          <w:color w:val="000000"/>
          <w:sz w:val="24"/>
          <w:vertAlign w:val="subscript"/>
        </w:rPr>
        <w:t xml:space="preserve"> </w:t>
      </w:r>
      <w:r w:rsidR="004808DF" w:rsidRPr="00D15AAE">
        <w:rPr>
          <w:color w:val="000000"/>
          <w:sz w:val="24"/>
        </w:rPr>
        <w:t>i overensstemmelse med lov om CO</w:t>
      </w:r>
      <w:r w:rsidR="004808DF" w:rsidRPr="00F31EDD">
        <w:rPr>
          <w:color w:val="000000"/>
          <w:sz w:val="24"/>
          <w:vertAlign w:val="subscript"/>
        </w:rPr>
        <w:t>2</w:t>
      </w:r>
      <w:r w:rsidR="004808DF" w:rsidRPr="00D15AAE">
        <w:rPr>
          <w:color w:val="000000"/>
          <w:sz w:val="24"/>
        </w:rPr>
        <w:t xml:space="preserve">-kvoter. Denne mængde kendes </w:t>
      </w:r>
      <w:r w:rsidR="001D21B9">
        <w:rPr>
          <w:color w:val="000000"/>
          <w:sz w:val="24"/>
        </w:rPr>
        <w:t>i dette tilfælde</w:t>
      </w:r>
      <w:r w:rsidR="004808DF" w:rsidRPr="00D15AAE">
        <w:rPr>
          <w:color w:val="000000"/>
          <w:sz w:val="24"/>
        </w:rPr>
        <w:t xml:space="preserve"> af virksomheden qua den er CO</w:t>
      </w:r>
      <w:r w:rsidR="004808DF" w:rsidRPr="00D15AAE">
        <w:rPr>
          <w:color w:val="000000"/>
          <w:sz w:val="24"/>
          <w:vertAlign w:val="subscript"/>
        </w:rPr>
        <w:t>2</w:t>
      </w:r>
      <w:r w:rsidR="004808DF" w:rsidRPr="00D15AAE">
        <w:rPr>
          <w:color w:val="000000"/>
          <w:sz w:val="24"/>
        </w:rPr>
        <w:t xml:space="preserve">-kvoteomfattet. Desuden foreslås, at der på linje med de nugældende regler kan foretages fradrag for elfremstilling </w:t>
      </w:r>
      <w:r w:rsidR="00BB1AA3" w:rsidRPr="00D15AAE">
        <w:rPr>
          <w:color w:val="000000"/>
          <w:sz w:val="24"/>
        </w:rPr>
        <w:t>og</w:t>
      </w:r>
      <w:r w:rsidR="004808DF" w:rsidRPr="00D15AAE">
        <w:rPr>
          <w:color w:val="000000"/>
          <w:sz w:val="24"/>
        </w:rPr>
        <w:t xml:space="preserve"> for varme, som bruges til proces i virksomheden. Endvidere foreslås, at hvis der anvendes andre afgiftspligtige brændsler end affald, f.eks. naturgas, i forbindelse med affaldsforbrændingen, så fratrækkes CO</w:t>
      </w:r>
      <w:r w:rsidR="004808DF" w:rsidRPr="00D15AAE">
        <w:rPr>
          <w:color w:val="000000"/>
          <w:sz w:val="24"/>
          <w:vertAlign w:val="subscript"/>
        </w:rPr>
        <w:t>2</w:t>
      </w:r>
      <w:r w:rsidR="004808DF" w:rsidRPr="00D15AAE">
        <w:rPr>
          <w:color w:val="000000"/>
          <w:sz w:val="24"/>
        </w:rPr>
        <w:t>-afgiftsbelastningen på de andre brændsler ved beregningen af CO</w:t>
      </w:r>
      <w:r w:rsidR="004808DF" w:rsidRPr="00D15AAE">
        <w:rPr>
          <w:color w:val="000000"/>
          <w:sz w:val="24"/>
          <w:vertAlign w:val="subscript"/>
        </w:rPr>
        <w:t>2</w:t>
      </w:r>
      <w:r w:rsidR="00BB1AA3" w:rsidRPr="00D15AAE">
        <w:rPr>
          <w:color w:val="000000"/>
          <w:sz w:val="24"/>
        </w:rPr>
        <w:t xml:space="preserve">-afgiften </w:t>
      </w:r>
      <w:r w:rsidR="004808DF" w:rsidRPr="00D15AAE">
        <w:rPr>
          <w:color w:val="000000"/>
          <w:sz w:val="24"/>
        </w:rPr>
        <w:t>på affaldet.</w:t>
      </w:r>
      <w:r w:rsidR="00BB7629">
        <w:rPr>
          <w:color w:val="000000"/>
          <w:sz w:val="24"/>
        </w:rPr>
        <w:t xml:space="preserve"> </w:t>
      </w:r>
      <w:r w:rsidR="00FC1923">
        <w:rPr>
          <w:color w:val="000000"/>
          <w:sz w:val="24"/>
        </w:rPr>
        <w:t xml:space="preserve">Det er herved forudsat, at skorstensmetoden </w:t>
      </w:r>
      <w:r w:rsidR="009F6CC7">
        <w:rPr>
          <w:color w:val="000000"/>
          <w:sz w:val="24"/>
        </w:rPr>
        <w:t>medfører</w:t>
      </w:r>
      <w:r w:rsidR="00FC1923">
        <w:rPr>
          <w:color w:val="000000"/>
          <w:sz w:val="24"/>
        </w:rPr>
        <w:t xml:space="preserve"> </w:t>
      </w:r>
      <w:r w:rsidR="009F6CC7">
        <w:rPr>
          <w:color w:val="000000"/>
          <w:sz w:val="24"/>
        </w:rPr>
        <w:t>en tilstrækkelig</w:t>
      </w:r>
      <w:r w:rsidR="007D6BDF">
        <w:rPr>
          <w:color w:val="000000"/>
          <w:sz w:val="24"/>
        </w:rPr>
        <w:t>t</w:t>
      </w:r>
      <w:r w:rsidR="009F6CC7">
        <w:rPr>
          <w:color w:val="000000"/>
          <w:sz w:val="24"/>
        </w:rPr>
        <w:t xml:space="preserve"> præcis </w:t>
      </w:r>
      <w:r w:rsidR="00FC1923">
        <w:rPr>
          <w:color w:val="000000"/>
          <w:sz w:val="24"/>
        </w:rPr>
        <w:t>opgørelse af</w:t>
      </w:r>
      <w:r w:rsidR="009F6CC7">
        <w:rPr>
          <w:color w:val="000000"/>
          <w:sz w:val="24"/>
        </w:rPr>
        <w:t xml:space="preserve"> udledt</w:t>
      </w:r>
      <w:r w:rsidR="00FC1923">
        <w:rPr>
          <w:color w:val="000000"/>
          <w:sz w:val="24"/>
        </w:rPr>
        <w:t xml:space="preserve"> CO</w:t>
      </w:r>
      <w:r w:rsidR="00FC1923" w:rsidRPr="00F31EDD">
        <w:rPr>
          <w:color w:val="000000"/>
          <w:sz w:val="24"/>
          <w:vertAlign w:val="subscript"/>
        </w:rPr>
        <w:t>2</w:t>
      </w:r>
      <w:r w:rsidR="00FC1923">
        <w:rPr>
          <w:color w:val="000000"/>
          <w:sz w:val="24"/>
        </w:rPr>
        <w:t xml:space="preserve"> fra forbrænding af brændsel fra fossile kilder. Regler for skorstensmetoden fremgår af artiklerne 40-46 i</w:t>
      </w:r>
      <w:r w:rsidR="00500124">
        <w:rPr>
          <w:color w:val="000000"/>
          <w:sz w:val="24"/>
        </w:rPr>
        <w:t xml:space="preserve"> </w:t>
      </w:r>
      <w:r w:rsidR="00500124" w:rsidRPr="00D15AAE">
        <w:rPr>
          <w:color w:val="000000"/>
          <w:sz w:val="24"/>
        </w:rPr>
        <w:t xml:space="preserve">Kommissionens forordning (EU) nr. 601/2012 af 21. juni 2012 om overvågning og rapportering af drivhusgasemissioner i medfør af Europa-Parlamentets og Rådets direktiv 2003/87/EF. </w:t>
      </w:r>
      <w:r w:rsidR="00A2169C">
        <w:rPr>
          <w:color w:val="000000"/>
          <w:sz w:val="24"/>
        </w:rPr>
        <w:t>Udtrykket skorstensmetoden er en samlebetegnelse for metoderne efter disse regler.</w:t>
      </w:r>
      <w:r w:rsidR="00FC1923">
        <w:rPr>
          <w:color w:val="000000"/>
          <w:sz w:val="24"/>
        </w:rPr>
        <w:t xml:space="preserve"> </w:t>
      </w:r>
    </w:p>
    <w:p w:rsidR="002634C4" w:rsidRPr="00D15AAE" w:rsidRDefault="00387400" w:rsidP="00D15AAE">
      <w:pPr>
        <w:spacing w:line="276" w:lineRule="auto"/>
        <w:rPr>
          <w:i/>
          <w:iCs/>
          <w:sz w:val="24"/>
        </w:rPr>
      </w:pPr>
      <w:r>
        <w:rPr>
          <w:i/>
          <w:iCs/>
          <w:sz w:val="24"/>
        </w:rPr>
        <w:t>4</w:t>
      </w:r>
      <w:r w:rsidR="002634C4" w:rsidRPr="00D15AAE">
        <w:rPr>
          <w:i/>
          <w:iCs/>
          <w:sz w:val="24"/>
        </w:rPr>
        <w:t xml:space="preserve">. Økonomiske konsekvenser for det offentlige </w:t>
      </w:r>
    </w:p>
    <w:p w:rsidR="005F3F61" w:rsidRPr="00D15AAE" w:rsidRDefault="00AC58AC" w:rsidP="00D15AAE">
      <w:pPr>
        <w:widowControl/>
        <w:tabs>
          <w:tab w:val="left" w:pos="284"/>
        </w:tabs>
        <w:spacing w:after="240" w:line="276" w:lineRule="auto"/>
        <w:rPr>
          <w:sz w:val="24"/>
        </w:rPr>
      </w:pPr>
      <w:r w:rsidRPr="00D15AAE">
        <w:rPr>
          <w:color w:val="000000"/>
          <w:sz w:val="24"/>
        </w:rPr>
        <w:t>Da der er tale om teknisk tilpasning</w:t>
      </w:r>
      <w:r w:rsidR="00B7562A">
        <w:rPr>
          <w:color w:val="000000"/>
          <w:sz w:val="24"/>
        </w:rPr>
        <w:t xml:space="preserve"> af afgiftsregler</w:t>
      </w:r>
      <w:r w:rsidRPr="00D15AAE">
        <w:rPr>
          <w:color w:val="000000"/>
          <w:sz w:val="24"/>
        </w:rPr>
        <w:t xml:space="preserve">, skønnes ingen </w:t>
      </w:r>
      <w:r w:rsidR="00E928BC" w:rsidRPr="00D15AAE">
        <w:rPr>
          <w:color w:val="000000"/>
          <w:sz w:val="24"/>
        </w:rPr>
        <w:t xml:space="preserve">af </w:t>
      </w:r>
      <w:r w:rsidRPr="00D15AAE">
        <w:rPr>
          <w:color w:val="000000"/>
          <w:sz w:val="24"/>
        </w:rPr>
        <w:t xml:space="preserve">lovforslagets elementer </w:t>
      </w:r>
      <w:r w:rsidR="00E928BC" w:rsidRPr="00D15AAE">
        <w:rPr>
          <w:color w:val="000000"/>
          <w:sz w:val="24"/>
        </w:rPr>
        <w:t xml:space="preserve">at have nævneværdige provenuvirkninger. Forslaget medfører </w:t>
      </w:r>
      <w:r w:rsidR="00C04CEA">
        <w:rPr>
          <w:color w:val="000000"/>
          <w:sz w:val="24"/>
        </w:rPr>
        <w:t xml:space="preserve">ligeledes </w:t>
      </w:r>
      <w:r w:rsidR="00E928BC" w:rsidRPr="00D15AAE">
        <w:rPr>
          <w:color w:val="000000"/>
          <w:sz w:val="24"/>
        </w:rPr>
        <w:t>i</w:t>
      </w:r>
      <w:r w:rsidR="003C3007" w:rsidRPr="00D15AAE">
        <w:rPr>
          <w:color w:val="000000"/>
          <w:sz w:val="24"/>
        </w:rPr>
        <w:t>ngen</w:t>
      </w:r>
      <w:r w:rsidR="00E928BC" w:rsidRPr="00D15AAE">
        <w:rPr>
          <w:color w:val="000000"/>
          <w:sz w:val="24"/>
        </w:rPr>
        <w:t xml:space="preserve"> skatteudgifter.  </w:t>
      </w:r>
    </w:p>
    <w:p w:rsidR="002634C4" w:rsidRPr="00D15AAE" w:rsidRDefault="00387400" w:rsidP="00D15AAE">
      <w:pPr>
        <w:spacing w:line="276" w:lineRule="auto"/>
        <w:rPr>
          <w:i/>
          <w:iCs/>
          <w:sz w:val="24"/>
        </w:rPr>
      </w:pPr>
      <w:r>
        <w:rPr>
          <w:i/>
          <w:iCs/>
          <w:sz w:val="24"/>
        </w:rPr>
        <w:t>5</w:t>
      </w:r>
      <w:r w:rsidR="002634C4" w:rsidRPr="00D15AAE">
        <w:rPr>
          <w:i/>
          <w:iCs/>
          <w:sz w:val="24"/>
        </w:rPr>
        <w:t xml:space="preserve">. Administrative konsekvenser for det offentlige </w:t>
      </w:r>
    </w:p>
    <w:p w:rsidR="005F3F61" w:rsidRPr="00D15AAE" w:rsidRDefault="00E928BC" w:rsidP="00D15AAE">
      <w:pPr>
        <w:spacing w:line="276" w:lineRule="auto"/>
        <w:rPr>
          <w:sz w:val="24"/>
        </w:rPr>
      </w:pPr>
      <w:r w:rsidRPr="00D15AAE">
        <w:rPr>
          <w:sz w:val="24"/>
        </w:rPr>
        <w:t>[udestår]</w:t>
      </w:r>
    </w:p>
    <w:p w:rsidR="00E928BC" w:rsidRPr="00D15AAE" w:rsidRDefault="00E928BC" w:rsidP="00D15AAE">
      <w:pPr>
        <w:spacing w:line="276" w:lineRule="auto"/>
        <w:rPr>
          <w:sz w:val="24"/>
        </w:rPr>
      </w:pPr>
    </w:p>
    <w:p w:rsidR="002634C4" w:rsidRPr="00D15AAE" w:rsidRDefault="00387400" w:rsidP="00D15AAE">
      <w:pPr>
        <w:spacing w:line="276" w:lineRule="auto"/>
        <w:rPr>
          <w:i/>
          <w:iCs/>
          <w:sz w:val="24"/>
        </w:rPr>
      </w:pPr>
      <w:r>
        <w:rPr>
          <w:i/>
          <w:iCs/>
          <w:sz w:val="24"/>
        </w:rPr>
        <w:t>6</w:t>
      </w:r>
      <w:r w:rsidR="002634C4" w:rsidRPr="00D15AAE">
        <w:rPr>
          <w:i/>
          <w:iCs/>
          <w:sz w:val="24"/>
        </w:rPr>
        <w:t xml:space="preserve">. Økonomiske konsekvenser for erhvervslivet </w:t>
      </w:r>
    </w:p>
    <w:p w:rsidR="005F3F61" w:rsidRPr="00D15AAE" w:rsidRDefault="003C3007" w:rsidP="00D15AAE">
      <w:pPr>
        <w:spacing w:line="276" w:lineRule="auto"/>
        <w:rPr>
          <w:sz w:val="24"/>
        </w:rPr>
      </w:pPr>
      <w:r w:rsidRPr="00D15AAE">
        <w:rPr>
          <w:sz w:val="24"/>
        </w:rPr>
        <w:lastRenderedPageBreak/>
        <w:t>Lovf</w:t>
      </w:r>
      <w:r w:rsidR="0048639B" w:rsidRPr="00D15AAE">
        <w:rPr>
          <w:sz w:val="24"/>
        </w:rPr>
        <w:t>orslaget</w:t>
      </w:r>
      <w:r w:rsidR="00046BF6">
        <w:rPr>
          <w:sz w:val="24"/>
        </w:rPr>
        <w:t xml:space="preserve"> har ingen</w:t>
      </w:r>
      <w:r w:rsidR="0048639B" w:rsidRPr="00D15AAE">
        <w:rPr>
          <w:sz w:val="24"/>
        </w:rPr>
        <w:t xml:space="preserve"> nævneværdige</w:t>
      </w:r>
      <w:r w:rsidRPr="00D15AAE">
        <w:rPr>
          <w:sz w:val="24"/>
        </w:rPr>
        <w:t xml:space="preserve"> økonomiske </w:t>
      </w:r>
      <w:r w:rsidR="0048639B" w:rsidRPr="00D15AAE">
        <w:rPr>
          <w:sz w:val="24"/>
        </w:rPr>
        <w:t>konsekvenser</w:t>
      </w:r>
      <w:r w:rsidRPr="00D15AAE">
        <w:rPr>
          <w:sz w:val="24"/>
        </w:rPr>
        <w:t xml:space="preserve"> for erhvervslivet</w:t>
      </w:r>
      <w:r w:rsidR="0048639B" w:rsidRPr="00D15AAE">
        <w:rPr>
          <w:sz w:val="24"/>
        </w:rPr>
        <w:t>.</w:t>
      </w:r>
    </w:p>
    <w:p w:rsidR="00C330B7" w:rsidRPr="00D15AAE" w:rsidRDefault="00C330B7" w:rsidP="00D15AAE">
      <w:pPr>
        <w:spacing w:line="276" w:lineRule="auto"/>
        <w:rPr>
          <w:sz w:val="24"/>
        </w:rPr>
      </w:pPr>
    </w:p>
    <w:p w:rsidR="002634C4" w:rsidRPr="00D15AAE" w:rsidRDefault="00387400" w:rsidP="00D15AAE">
      <w:pPr>
        <w:spacing w:line="276" w:lineRule="auto"/>
        <w:rPr>
          <w:i/>
          <w:iCs/>
          <w:sz w:val="24"/>
        </w:rPr>
      </w:pPr>
      <w:r>
        <w:rPr>
          <w:i/>
          <w:iCs/>
          <w:sz w:val="24"/>
        </w:rPr>
        <w:t>7</w:t>
      </w:r>
      <w:r w:rsidR="002634C4" w:rsidRPr="00D15AAE">
        <w:rPr>
          <w:i/>
          <w:iCs/>
          <w:sz w:val="24"/>
        </w:rPr>
        <w:t xml:space="preserve">. Administrative konsekvenser for erhvervslivet </w:t>
      </w:r>
    </w:p>
    <w:p w:rsidR="005F3F61" w:rsidRPr="00D15AAE" w:rsidRDefault="009F6372" w:rsidP="00D15AAE">
      <w:pPr>
        <w:spacing w:line="276" w:lineRule="auto"/>
        <w:rPr>
          <w:sz w:val="24"/>
        </w:rPr>
      </w:pPr>
      <w:r w:rsidRPr="00D15AAE">
        <w:rPr>
          <w:sz w:val="24"/>
        </w:rPr>
        <w:t>Lovforslaget</w:t>
      </w:r>
      <w:r w:rsidR="00046BF6">
        <w:rPr>
          <w:sz w:val="24"/>
        </w:rPr>
        <w:t xml:space="preserve"> har ingen</w:t>
      </w:r>
      <w:r w:rsidRPr="00D15AAE">
        <w:rPr>
          <w:sz w:val="24"/>
        </w:rPr>
        <w:t xml:space="preserve"> nævneværdige administrative konsekvenser.</w:t>
      </w:r>
    </w:p>
    <w:p w:rsidR="003C3007" w:rsidRPr="00D15AAE" w:rsidRDefault="003C3007" w:rsidP="00D15AAE">
      <w:pPr>
        <w:spacing w:line="276" w:lineRule="auto"/>
        <w:rPr>
          <w:sz w:val="24"/>
        </w:rPr>
      </w:pPr>
    </w:p>
    <w:p w:rsidR="002634C4" w:rsidRPr="00D15AAE" w:rsidRDefault="00387400" w:rsidP="00D15AAE">
      <w:pPr>
        <w:spacing w:line="276" w:lineRule="auto"/>
        <w:rPr>
          <w:i/>
          <w:iCs/>
          <w:sz w:val="24"/>
        </w:rPr>
      </w:pPr>
      <w:r>
        <w:rPr>
          <w:i/>
          <w:iCs/>
          <w:sz w:val="24"/>
        </w:rPr>
        <w:t>8</w:t>
      </w:r>
      <w:r w:rsidR="002634C4" w:rsidRPr="00D15AAE">
        <w:rPr>
          <w:i/>
          <w:iCs/>
          <w:sz w:val="24"/>
        </w:rPr>
        <w:t xml:space="preserve">. Administrative konsekvenser for borgerne  </w:t>
      </w:r>
    </w:p>
    <w:p w:rsidR="002634C4" w:rsidRPr="00D15AAE" w:rsidRDefault="00AC696A" w:rsidP="00D15AAE">
      <w:pPr>
        <w:spacing w:line="276" w:lineRule="auto"/>
        <w:rPr>
          <w:sz w:val="24"/>
        </w:rPr>
      </w:pPr>
      <w:r w:rsidRPr="00D15AAE">
        <w:rPr>
          <w:sz w:val="24"/>
        </w:rPr>
        <w:t>Lovforslaget</w:t>
      </w:r>
      <w:r w:rsidR="00046BF6">
        <w:rPr>
          <w:sz w:val="24"/>
        </w:rPr>
        <w:t xml:space="preserve"> har ingen</w:t>
      </w:r>
      <w:r w:rsidR="007B091C" w:rsidRPr="00D15AAE">
        <w:rPr>
          <w:sz w:val="24"/>
        </w:rPr>
        <w:t xml:space="preserve"> </w:t>
      </w:r>
      <w:r w:rsidR="002F47E6" w:rsidRPr="00D15AAE">
        <w:rPr>
          <w:sz w:val="24"/>
        </w:rPr>
        <w:t xml:space="preserve">nævneværdige </w:t>
      </w:r>
      <w:r w:rsidR="007B091C" w:rsidRPr="00D15AAE">
        <w:rPr>
          <w:sz w:val="24"/>
        </w:rPr>
        <w:t xml:space="preserve">administrative konsekvenser for borgerne. </w:t>
      </w:r>
    </w:p>
    <w:p w:rsidR="005F3F61" w:rsidRPr="00D15AAE" w:rsidRDefault="005F3F61" w:rsidP="00D15AAE">
      <w:pPr>
        <w:spacing w:line="276" w:lineRule="auto"/>
        <w:rPr>
          <w:sz w:val="24"/>
        </w:rPr>
      </w:pPr>
    </w:p>
    <w:p w:rsidR="002634C4" w:rsidRPr="00D15AAE" w:rsidRDefault="001B1029" w:rsidP="00D15AAE">
      <w:pPr>
        <w:spacing w:line="276" w:lineRule="auto"/>
        <w:rPr>
          <w:i/>
          <w:iCs/>
          <w:sz w:val="24"/>
        </w:rPr>
      </w:pPr>
      <w:r>
        <w:rPr>
          <w:i/>
          <w:iCs/>
          <w:sz w:val="24"/>
        </w:rPr>
        <w:t>9</w:t>
      </w:r>
      <w:r w:rsidR="002634C4" w:rsidRPr="00D15AAE">
        <w:rPr>
          <w:i/>
          <w:iCs/>
          <w:sz w:val="24"/>
        </w:rPr>
        <w:t>. Miljømæssige konsekvenser</w:t>
      </w:r>
    </w:p>
    <w:p w:rsidR="002F47E6" w:rsidRPr="00D15AAE" w:rsidRDefault="002F47E6" w:rsidP="00D15AAE">
      <w:pPr>
        <w:spacing w:line="276" w:lineRule="auto"/>
        <w:rPr>
          <w:sz w:val="24"/>
        </w:rPr>
      </w:pPr>
      <w:r w:rsidRPr="00D15AAE">
        <w:rPr>
          <w:sz w:val="24"/>
        </w:rPr>
        <w:t>Lovforslaget</w:t>
      </w:r>
      <w:r w:rsidR="00046BF6">
        <w:rPr>
          <w:sz w:val="24"/>
        </w:rPr>
        <w:t xml:space="preserve"> har ingen nævneværdige</w:t>
      </w:r>
      <w:r w:rsidRPr="00D15AAE">
        <w:rPr>
          <w:sz w:val="24"/>
        </w:rPr>
        <w:t xml:space="preserve"> miljømæssige konsekvenser. </w:t>
      </w:r>
    </w:p>
    <w:p w:rsidR="002F47E6" w:rsidRPr="00D15AAE" w:rsidRDefault="002F47E6" w:rsidP="00D15AAE">
      <w:pPr>
        <w:spacing w:line="276" w:lineRule="auto"/>
        <w:rPr>
          <w:sz w:val="24"/>
        </w:rPr>
      </w:pPr>
    </w:p>
    <w:p w:rsidR="002634C4" w:rsidRPr="00D15AAE" w:rsidRDefault="001B1029" w:rsidP="00D15AAE">
      <w:pPr>
        <w:spacing w:line="276" w:lineRule="auto"/>
        <w:rPr>
          <w:i/>
          <w:iCs/>
          <w:sz w:val="24"/>
        </w:rPr>
      </w:pPr>
      <w:r>
        <w:rPr>
          <w:i/>
          <w:iCs/>
          <w:sz w:val="24"/>
        </w:rPr>
        <w:t>10</w:t>
      </w:r>
      <w:r w:rsidR="002634C4" w:rsidRPr="00D15AAE">
        <w:rPr>
          <w:i/>
          <w:iCs/>
          <w:sz w:val="24"/>
        </w:rPr>
        <w:t>. Forholdet til EU-retten</w:t>
      </w:r>
    </w:p>
    <w:p w:rsidR="002634C4" w:rsidRPr="00D15AAE" w:rsidRDefault="002F47E6" w:rsidP="00D15AAE">
      <w:pPr>
        <w:spacing w:line="276" w:lineRule="auto"/>
        <w:rPr>
          <w:iCs/>
          <w:sz w:val="24"/>
        </w:rPr>
      </w:pPr>
      <w:r w:rsidRPr="00D15AAE">
        <w:rPr>
          <w:iCs/>
          <w:sz w:val="24"/>
        </w:rPr>
        <w:t>Forslaget notificeres som udkast i overensstemmelse med Europa-Parlamentets og Rådets direktiv 98/34/EF (informationsproceduredirektivet) som ændret ved direktiv 98/48/EF.</w:t>
      </w:r>
    </w:p>
    <w:p w:rsidR="002F47E6" w:rsidRPr="00D15AAE" w:rsidRDefault="002F47E6" w:rsidP="00D15AAE">
      <w:pPr>
        <w:spacing w:line="276" w:lineRule="auto"/>
        <w:rPr>
          <w:iCs/>
          <w:sz w:val="24"/>
        </w:rPr>
      </w:pPr>
      <w:r w:rsidRPr="00D15AAE">
        <w:rPr>
          <w:iCs/>
          <w:sz w:val="24"/>
        </w:rPr>
        <w:t xml:space="preserve">   Der er tale om en skattemæssig foranstaltning, som ikke er omfattet af en standstill</w:t>
      </w:r>
      <w:r w:rsidR="00046BF6">
        <w:rPr>
          <w:iCs/>
          <w:sz w:val="24"/>
        </w:rPr>
        <w:t>-</w:t>
      </w:r>
      <w:r w:rsidRPr="00D15AAE">
        <w:rPr>
          <w:iCs/>
          <w:sz w:val="24"/>
        </w:rPr>
        <w:t>periode.</w:t>
      </w:r>
    </w:p>
    <w:p w:rsidR="005F3F61" w:rsidRPr="00D15AAE" w:rsidRDefault="005F3F61" w:rsidP="00D15AAE">
      <w:pPr>
        <w:spacing w:line="276" w:lineRule="auto"/>
        <w:rPr>
          <w:i/>
          <w:iCs/>
          <w:sz w:val="24"/>
        </w:rPr>
      </w:pPr>
    </w:p>
    <w:p w:rsidR="002634C4" w:rsidRPr="00D15AAE" w:rsidRDefault="001B1029" w:rsidP="00D15AAE">
      <w:pPr>
        <w:spacing w:line="276" w:lineRule="auto"/>
        <w:rPr>
          <w:i/>
          <w:iCs/>
          <w:sz w:val="24"/>
        </w:rPr>
      </w:pPr>
      <w:r>
        <w:rPr>
          <w:i/>
          <w:iCs/>
          <w:sz w:val="24"/>
        </w:rPr>
        <w:t>11</w:t>
      </w:r>
      <w:r w:rsidR="002634C4" w:rsidRPr="00D15AAE">
        <w:rPr>
          <w:i/>
          <w:iCs/>
          <w:sz w:val="24"/>
        </w:rPr>
        <w:t xml:space="preserve">. Hørte myndigheder og organisationer m.v.  </w:t>
      </w:r>
    </w:p>
    <w:p w:rsidR="00AC696A" w:rsidRPr="00D15AAE" w:rsidRDefault="00AC696A" w:rsidP="00D15AAE">
      <w:pPr>
        <w:spacing w:line="276" w:lineRule="auto"/>
        <w:rPr>
          <w:sz w:val="24"/>
        </w:rPr>
      </w:pPr>
      <w:r w:rsidRPr="00D15AAE">
        <w:rPr>
          <w:sz w:val="24"/>
        </w:rPr>
        <w:t xml:space="preserve">Lovforslaget har fra den </w:t>
      </w:r>
      <w:r w:rsidR="001762AE" w:rsidRPr="00D15AAE">
        <w:rPr>
          <w:sz w:val="24"/>
        </w:rPr>
        <w:t>XX</w:t>
      </w:r>
      <w:r w:rsidRPr="00D15AAE">
        <w:rPr>
          <w:sz w:val="24"/>
        </w:rPr>
        <w:t xml:space="preserve">. </w:t>
      </w:r>
      <w:r w:rsidR="002A1C14" w:rsidRPr="00D15AAE">
        <w:rPr>
          <w:sz w:val="24"/>
        </w:rPr>
        <w:t>XX</w:t>
      </w:r>
      <w:r w:rsidRPr="00D15AAE">
        <w:rPr>
          <w:sz w:val="24"/>
        </w:rPr>
        <w:t xml:space="preserve"> 2012 til den </w:t>
      </w:r>
      <w:r w:rsidR="002A1C14" w:rsidRPr="00D15AAE">
        <w:rPr>
          <w:sz w:val="24"/>
        </w:rPr>
        <w:t>XX.</w:t>
      </w:r>
      <w:r w:rsidR="00DB11DE" w:rsidRPr="00D15AAE">
        <w:rPr>
          <w:sz w:val="24"/>
        </w:rPr>
        <w:t xml:space="preserve"> </w:t>
      </w:r>
      <w:r w:rsidR="002A1C14" w:rsidRPr="00D15AAE">
        <w:rPr>
          <w:sz w:val="24"/>
        </w:rPr>
        <w:t>XX.</w:t>
      </w:r>
      <w:r w:rsidRPr="00D15AAE">
        <w:rPr>
          <w:sz w:val="24"/>
        </w:rPr>
        <w:t xml:space="preserve"> 2012 været sendt i høring hos:</w:t>
      </w:r>
    </w:p>
    <w:p w:rsidR="00AC696A" w:rsidRPr="00D15AAE" w:rsidRDefault="00AC696A" w:rsidP="00D15AAE">
      <w:pPr>
        <w:spacing w:line="276" w:lineRule="auto"/>
        <w:rPr>
          <w:sz w:val="24"/>
        </w:rPr>
      </w:pPr>
    </w:p>
    <w:p w:rsidR="00AC696A" w:rsidRPr="00D15AAE" w:rsidRDefault="00AC696A" w:rsidP="00D15AAE">
      <w:pPr>
        <w:spacing w:line="276" w:lineRule="auto"/>
        <w:rPr>
          <w:sz w:val="24"/>
        </w:rPr>
      </w:pPr>
      <w:r w:rsidRPr="00D15AAE">
        <w:rPr>
          <w:sz w:val="24"/>
        </w:rPr>
        <w:t>[Høringsparter]</w:t>
      </w:r>
    </w:p>
    <w:p w:rsidR="00AC696A" w:rsidRPr="00D15AAE" w:rsidRDefault="00AC696A" w:rsidP="00D15AAE">
      <w:pPr>
        <w:spacing w:line="276" w:lineRule="auto"/>
        <w:rPr>
          <w:sz w:val="24"/>
        </w:rPr>
      </w:pPr>
    </w:p>
    <w:p w:rsidR="00AC696A" w:rsidRPr="00D15AAE" w:rsidRDefault="00AC696A" w:rsidP="00D15AAE">
      <w:pPr>
        <w:spacing w:line="276" w:lineRule="auto"/>
        <w:rPr>
          <w:sz w:val="24"/>
        </w:rPr>
      </w:pPr>
      <w:r w:rsidRPr="00D15AAE">
        <w:rPr>
          <w:sz w:val="24"/>
        </w:rPr>
        <w:t>Høringssvarene vil blive fremsendt til Folketinget ledsaget af de kommentarer, som høringssvarene måtte give anledning til.</w:t>
      </w:r>
    </w:p>
    <w:p w:rsidR="00AC696A" w:rsidRPr="00963123" w:rsidRDefault="00AC696A" w:rsidP="002634C4">
      <w:pPr>
        <w:spacing w:line="288" w:lineRule="auto"/>
        <w:rPr>
          <w:sz w:val="22"/>
          <w:szCs w:val="22"/>
        </w:rPr>
      </w:pPr>
    </w:p>
    <w:p w:rsidR="002634C4" w:rsidRPr="00963123" w:rsidRDefault="001B1029" w:rsidP="002634C4">
      <w:pPr>
        <w:spacing w:line="288" w:lineRule="auto"/>
        <w:rPr>
          <w:i/>
          <w:iCs/>
          <w:sz w:val="22"/>
          <w:szCs w:val="22"/>
        </w:rPr>
      </w:pPr>
      <w:r>
        <w:rPr>
          <w:i/>
          <w:iCs/>
          <w:sz w:val="22"/>
          <w:szCs w:val="22"/>
        </w:rPr>
        <w:t>12</w:t>
      </w:r>
      <w:r w:rsidR="002634C4" w:rsidRPr="00963123">
        <w:rPr>
          <w:i/>
          <w:iCs/>
          <w:sz w:val="22"/>
          <w:szCs w:val="22"/>
        </w:rPr>
        <w:t>. Sammenfattende skema</w:t>
      </w:r>
    </w:p>
    <w:p w:rsidR="002634C4" w:rsidRPr="00963123" w:rsidRDefault="002634C4" w:rsidP="002634C4">
      <w:pPr>
        <w:jc w:val="center"/>
        <w:rPr>
          <w:b/>
          <w:bCs/>
          <w:sz w:val="22"/>
          <w:szCs w:val="22"/>
        </w:rPr>
      </w:pPr>
    </w:p>
    <w:p w:rsidR="002634C4" w:rsidRPr="00D15AAE" w:rsidRDefault="002634C4" w:rsidP="00D15AAE">
      <w:pPr>
        <w:spacing w:line="276" w:lineRule="auto"/>
        <w:jc w:val="center"/>
        <w:rPr>
          <w:b/>
          <w:bCs/>
          <w:sz w:val="24"/>
        </w:rPr>
      </w:pPr>
      <w:r w:rsidRPr="00D15AAE">
        <w:rPr>
          <w:b/>
          <w:bCs/>
          <w:sz w:val="24"/>
        </w:rPr>
        <w:t>Samlet vurdering af konsekvenser af lovforslaget</w:t>
      </w:r>
    </w:p>
    <w:p w:rsidR="002634C4" w:rsidRPr="00D15AAE" w:rsidRDefault="002634C4" w:rsidP="00D15AAE">
      <w:pPr>
        <w:spacing w:line="276" w:lineRule="auto"/>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3250"/>
        <w:gridCol w:w="3122"/>
      </w:tblGrid>
      <w:tr w:rsidR="002634C4" w:rsidRPr="00D15AAE" w:rsidTr="00E2288F">
        <w:tc>
          <w:tcPr>
            <w:tcW w:w="1569" w:type="pct"/>
          </w:tcPr>
          <w:p w:rsidR="002634C4" w:rsidRPr="00D15AAE" w:rsidRDefault="002634C4" w:rsidP="00D15AAE">
            <w:pPr>
              <w:spacing w:line="276" w:lineRule="auto"/>
              <w:rPr>
                <w:sz w:val="24"/>
              </w:rPr>
            </w:pPr>
          </w:p>
        </w:tc>
        <w:tc>
          <w:tcPr>
            <w:tcW w:w="1750" w:type="pct"/>
          </w:tcPr>
          <w:p w:rsidR="002634C4" w:rsidRPr="00D15AAE" w:rsidRDefault="002634C4" w:rsidP="00D15AAE">
            <w:pPr>
              <w:spacing w:line="276" w:lineRule="auto"/>
              <w:rPr>
                <w:sz w:val="24"/>
              </w:rPr>
            </w:pPr>
            <w:r w:rsidRPr="00D15AAE">
              <w:rPr>
                <w:sz w:val="24"/>
              </w:rPr>
              <w:t xml:space="preserve">Positive konsekvenser/ mindre udgifter  </w:t>
            </w:r>
          </w:p>
        </w:tc>
        <w:tc>
          <w:tcPr>
            <w:tcW w:w="1681" w:type="pct"/>
          </w:tcPr>
          <w:p w:rsidR="002634C4" w:rsidRPr="00D15AAE" w:rsidRDefault="002634C4" w:rsidP="00D15AAE">
            <w:pPr>
              <w:spacing w:line="276" w:lineRule="auto"/>
              <w:rPr>
                <w:sz w:val="24"/>
              </w:rPr>
            </w:pPr>
            <w:r w:rsidRPr="00D15AAE">
              <w:rPr>
                <w:sz w:val="24"/>
              </w:rPr>
              <w:t>Negative konsekvenser/ merudgifter</w:t>
            </w:r>
          </w:p>
        </w:tc>
      </w:tr>
      <w:tr w:rsidR="002634C4" w:rsidRPr="00D15AAE" w:rsidTr="00E2288F">
        <w:tc>
          <w:tcPr>
            <w:tcW w:w="1569" w:type="pct"/>
          </w:tcPr>
          <w:p w:rsidR="002634C4" w:rsidRPr="00D15AAE" w:rsidRDefault="002634C4" w:rsidP="00D15AAE">
            <w:pPr>
              <w:spacing w:line="276" w:lineRule="auto"/>
              <w:rPr>
                <w:sz w:val="24"/>
              </w:rPr>
            </w:pPr>
            <w:r w:rsidRPr="00D15AAE">
              <w:rPr>
                <w:sz w:val="24"/>
              </w:rPr>
              <w:t xml:space="preserve">Økonomiske konsekvenser for det offentlige </w:t>
            </w:r>
          </w:p>
        </w:tc>
        <w:tc>
          <w:tcPr>
            <w:tcW w:w="1750" w:type="pct"/>
          </w:tcPr>
          <w:p w:rsidR="002634C4" w:rsidRPr="00D15AAE" w:rsidRDefault="00961673" w:rsidP="00D15AAE">
            <w:pPr>
              <w:pStyle w:val="Sidefod"/>
              <w:tabs>
                <w:tab w:val="clear" w:pos="4819"/>
                <w:tab w:val="clear" w:pos="9638"/>
              </w:tabs>
              <w:spacing w:line="276" w:lineRule="auto"/>
              <w:rPr>
                <w:sz w:val="24"/>
              </w:rPr>
            </w:pPr>
            <w:r w:rsidRPr="00D15AAE">
              <w:rPr>
                <w:sz w:val="24"/>
              </w:rPr>
              <w:t>Ingen</w:t>
            </w:r>
          </w:p>
        </w:tc>
        <w:tc>
          <w:tcPr>
            <w:tcW w:w="1681" w:type="pct"/>
          </w:tcPr>
          <w:p w:rsidR="002634C4" w:rsidRPr="00D15AAE" w:rsidRDefault="00961673" w:rsidP="00D15AAE">
            <w:pPr>
              <w:spacing w:line="276" w:lineRule="auto"/>
              <w:rPr>
                <w:sz w:val="24"/>
              </w:rPr>
            </w:pPr>
            <w:r w:rsidRPr="00D15AAE">
              <w:rPr>
                <w:sz w:val="24"/>
              </w:rPr>
              <w:t>Ingen</w:t>
            </w:r>
          </w:p>
        </w:tc>
      </w:tr>
      <w:tr w:rsidR="002634C4" w:rsidRPr="00D15AAE" w:rsidTr="00E2288F">
        <w:tc>
          <w:tcPr>
            <w:tcW w:w="1569" w:type="pct"/>
          </w:tcPr>
          <w:p w:rsidR="002634C4" w:rsidRPr="00D15AAE" w:rsidRDefault="002634C4" w:rsidP="00D15AAE">
            <w:pPr>
              <w:spacing w:line="276" w:lineRule="auto"/>
              <w:rPr>
                <w:sz w:val="24"/>
              </w:rPr>
            </w:pPr>
            <w:r w:rsidRPr="00D15AAE">
              <w:rPr>
                <w:sz w:val="24"/>
              </w:rPr>
              <w:t>Administrative konsekvenser for det offentlige</w:t>
            </w:r>
          </w:p>
        </w:tc>
        <w:tc>
          <w:tcPr>
            <w:tcW w:w="1750" w:type="pct"/>
          </w:tcPr>
          <w:p w:rsidR="002634C4" w:rsidRPr="00D15AAE" w:rsidRDefault="001C6F6E" w:rsidP="00D15AAE">
            <w:pPr>
              <w:spacing w:line="276" w:lineRule="auto"/>
              <w:rPr>
                <w:sz w:val="24"/>
              </w:rPr>
            </w:pPr>
            <w:r w:rsidRPr="00D15AAE">
              <w:rPr>
                <w:sz w:val="24"/>
              </w:rPr>
              <w:t>[udestår]</w:t>
            </w:r>
          </w:p>
        </w:tc>
        <w:tc>
          <w:tcPr>
            <w:tcW w:w="1681" w:type="pct"/>
          </w:tcPr>
          <w:p w:rsidR="002634C4" w:rsidRPr="00D15AAE" w:rsidRDefault="001C6F6E" w:rsidP="00D15AAE">
            <w:pPr>
              <w:spacing w:line="276" w:lineRule="auto"/>
              <w:rPr>
                <w:sz w:val="24"/>
              </w:rPr>
            </w:pPr>
            <w:r w:rsidRPr="00D15AAE">
              <w:rPr>
                <w:sz w:val="24"/>
              </w:rPr>
              <w:t>[udestår]</w:t>
            </w:r>
          </w:p>
        </w:tc>
      </w:tr>
      <w:tr w:rsidR="002634C4" w:rsidRPr="00D15AAE" w:rsidTr="00E2288F">
        <w:tc>
          <w:tcPr>
            <w:tcW w:w="1569" w:type="pct"/>
          </w:tcPr>
          <w:p w:rsidR="002634C4" w:rsidRPr="00D15AAE" w:rsidRDefault="002634C4" w:rsidP="00D15AAE">
            <w:pPr>
              <w:spacing w:line="276" w:lineRule="auto"/>
              <w:rPr>
                <w:sz w:val="24"/>
              </w:rPr>
            </w:pPr>
            <w:r w:rsidRPr="00D15AAE">
              <w:rPr>
                <w:sz w:val="24"/>
              </w:rPr>
              <w:t>Økonomiske konsekvenser for erhvervslivet</w:t>
            </w:r>
          </w:p>
        </w:tc>
        <w:tc>
          <w:tcPr>
            <w:tcW w:w="1750" w:type="pct"/>
          </w:tcPr>
          <w:p w:rsidR="002634C4" w:rsidRPr="00D15AAE" w:rsidRDefault="00961673" w:rsidP="00D15AAE">
            <w:pPr>
              <w:spacing w:line="276" w:lineRule="auto"/>
              <w:rPr>
                <w:sz w:val="24"/>
              </w:rPr>
            </w:pPr>
            <w:r w:rsidRPr="00D15AAE">
              <w:rPr>
                <w:sz w:val="24"/>
              </w:rPr>
              <w:t>Ingen</w:t>
            </w:r>
          </w:p>
        </w:tc>
        <w:tc>
          <w:tcPr>
            <w:tcW w:w="1681" w:type="pct"/>
          </w:tcPr>
          <w:p w:rsidR="002634C4" w:rsidRPr="00D15AAE" w:rsidRDefault="00961673" w:rsidP="00D15AAE">
            <w:pPr>
              <w:spacing w:line="276" w:lineRule="auto"/>
              <w:rPr>
                <w:sz w:val="24"/>
              </w:rPr>
            </w:pPr>
            <w:r w:rsidRPr="00D15AAE">
              <w:rPr>
                <w:sz w:val="24"/>
              </w:rPr>
              <w:t>Ingen</w:t>
            </w:r>
          </w:p>
        </w:tc>
      </w:tr>
      <w:tr w:rsidR="002634C4" w:rsidRPr="00D15AAE" w:rsidTr="00E2288F">
        <w:tc>
          <w:tcPr>
            <w:tcW w:w="1569" w:type="pct"/>
          </w:tcPr>
          <w:p w:rsidR="002634C4" w:rsidRPr="00D15AAE" w:rsidRDefault="002634C4" w:rsidP="00D15AAE">
            <w:pPr>
              <w:spacing w:line="276" w:lineRule="auto"/>
              <w:rPr>
                <w:sz w:val="24"/>
              </w:rPr>
            </w:pPr>
            <w:r w:rsidRPr="00D15AAE">
              <w:rPr>
                <w:sz w:val="24"/>
              </w:rPr>
              <w:t xml:space="preserve">Administrative konsekvenser for erhvervslivet </w:t>
            </w:r>
          </w:p>
        </w:tc>
        <w:tc>
          <w:tcPr>
            <w:tcW w:w="1750" w:type="pct"/>
          </w:tcPr>
          <w:p w:rsidR="002634C4" w:rsidRPr="00D15AAE" w:rsidRDefault="00961673" w:rsidP="00D15AAE">
            <w:pPr>
              <w:spacing w:line="276" w:lineRule="auto"/>
              <w:rPr>
                <w:sz w:val="24"/>
              </w:rPr>
            </w:pPr>
            <w:r w:rsidRPr="00D15AAE">
              <w:rPr>
                <w:sz w:val="24"/>
              </w:rPr>
              <w:t>Ingen</w:t>
            </w:r>
          </w:p>
        </w:tc>
        <w:tc>
          <w:tcPr>
            <w:tcW w:w="1681" w:type="pct"/>
          </w:tcPr>
          <w:p w:rsidR="002634C4" w:rsidRPr="00D15AAE" w:rsidRDefault="00961673" w:rsidP="00D15AAE">
            <w:pPr>
              <w:spacing w:line="276" w:lineRule="auto"/>
              <w:rPr>
                <w:sz w:val="24"/>
              </w:rPr>
            </w:pPr>
            <w:r w:rsidRPr="00D15AAE">
              <w:rPr>
                <w:sz w:val="24"/>
              </w:rPr>
              <w:t xml:space="preserve">Ingen </w:t>
            </w:r>
          </w:p>
        </w:tc>
      </w:tr>
      <w:tr w:rsidR="002634C4" w:rsidRPr="00D15AAE" w:rsidTr="00E2288F">
        <w:tc>
          <w:tcPr>
            <w:tcW w:w="1569" w:type="pct"/>
          </w:tcPr>
          <w:p w:rsidR="002634C4" w:rsidRPr="00D15AAE" w:rsidRDefault="002634C4" w:rsidP="00D15AAE">
            <w:pPr>
              <w:spacing w:line="276" w:lineRule="auto"/>
              <w:rPr>
                <w:sz w:val="24"/>
              </w:rPr>
            </w:pPr>
            <w:r w:rsidRPr="00D15AAE">
              <w:rPr>
                <w:sz w:val="24"/>
              </w:rPr>
              <w:t xml:space="preserve">Administrative konsekvenser for borgerne  </w:t>
            </w:r>
          </w:p>
        </w:tc>
        <w:tc>
          <w:tcPr>
            <w:tcW w:w="1750" w:type="pct"/>
          </w:tcPr>
          <w:p w:rsidR="002634C4" w:rsidRPr="00D15AAE" w:rsidRDefault="00961673" w:rsidP="00D15AAE">
            <w:pPr>
              <w:spacing w:line="276" w:lineRule="auto"/>
              <w:rPr>
                <w:sz w:val="24"/>
              </w:rPr>
            </w:pPr>
            <w:r w:rsidRPr="00D15AAE">
              <w:rPr>
                <w:sz w:val="24"/>
              </w:rPr>
              <w:t>Ingen</w:t>
            </w:r>
          </w:p>
        </w:tc>
        <w:tc>
          <w:tcPr>
            <w:tcW w:w="1681" w:type="pct"/>
          </w:tcPr>
          <w:p w:rsidR="002634C4" w:rsidRPr="00D15AAE" w:rsidRDefault="00961673" w:rsidP="00D15AAE">
            <w:pPr>
              <w:spacing w:line="276" w:lineRule="auto"/>
              <w:rPr>
                <w:sz w:val="24"/>
              </w:rPr>
            </w:pPr>
            <w:r w:rsidRPr="00D15AAE">
              <w:rPr>
                <w:sz w:val="24"/>
              </w:rPr>
              <w:t>Ingen</w:t>
            </w:r>
          </w:p>
        </w:tc>
      </w:tr>
      <w:tr w:rsidR="002634C4" w:rsidRPr="00D15AAE" w:rsidTr="00E2288F">
        <w:tc>
          <w:tcPr>
            <w:tcW w:w="1569" w:type="pct"/>
          </w:tcPr>
          <w:p w:rsidR="002634C4" w:rsidRPr="00D15AAE" w:rsidRDefault="002634C4" w:rsidP="00D15AAE">
            <w:pPr>
              <w:spacing w:line="276" w:lineRule="auto"/>
              <w:rPr>
                <w:sz w:val="24"/>
              </w:rPr>
            </w:pPr>
            <w:r w:rsidRPr="00D15AAE">
              <w:rPr>
                <w:sz w:val="24"/>
              </w:rPr>
              <w:lastRenderedPageBreak/>
              <w:t xml:space="preserve">Miljømæssige konsekvenser </w:t>
            </w:r>
          </w:p>
        </w:tc>
        <w:tc>
          <w:tcPr>
            <w:tcW w:w="1750" w:type="pct"/>
          </w:tcPr>
          <w:p w:rsidR="002634C4" w:rsidRPr="00D15AAE" w:rsidRDefault="001C6F6E" w:rsidP="00D15AAE">
            <w:pPr>
              <w:spacing w:line="276" w:lineRule="auto"/>
              <w:rPr>
                <w:sz w:val="24"/>
              </w:rPr>
            </w:pPr>
            <w:r w:rsidRPr="00D15AAE">
              <w:rPr>
                <w:sz w:val="24"/>
              </w:rPr>
              <w:t>Ingen</w:t>
            </w:r>
          </w:p>
        </w:tc>
        <w:tc>
          <w:tcPr>
            <w:tcW w:w="1681" w:type="pct"/>
          </w:tcPr>
          <w:p w:rsidR="002634C4" w:rsidRPr="00D15AAE" w:rsidRDefault="001C6F6E" w:rsidP="00D15AAE">
            <w:pPr>
              <w:spacing w:line="276" w:lineRule="auto"/>
              <w:rPr>
                <w:sz w:val="24"/>
              </w:rPr>
            </w:pPr>
            <w:r w:rsidRPr="00D15AAE">
              <w:rPr>
                <w:sz w:val="24"/>
              </w:rPr>
              <w:t>Ingen</w:t>
            </w:r>
          </w:p>
        </w:tc>
      </w:tr>
      <w:tr w:rsidR="002634C4" w:rsidRPr="00D15AAE" w:rsidTr="00E2288F">
        <w:trPr>
          <w:cantSplit/>
        </w:trPr>
        <w:tc>
          <w:tcPr>
            <w:tcW w:w="1569" w:type="pct"/>
          </w:tcPr>
          <w:p w:rsidR="002634C4" w:rsidRPr="00D15AAE" w:rsidRDefault="002634C4" w:rsidP="00D15AAE">
            <w:pPr>
              <w:spacing w:line="276" w:lineRule="auto"/>
              <w:rPr>
                <w:sz w:val="24"/>
              </w:rPr>
            </w:pPr>
            <w:r w:rsidRPr="00D15AAE">
              <w:rPr>
                <w:sz w:val="24"/>
              </w:rPr>
              <w:t xml:space="preserve">Forholdet til EU-retten </w:t>
            </w:r>
          </w:p>
        </w:tc>
        <w:tc>
          <w:tcPr>
            <w:tcW w:w="3431" w:type="pct"/>
            <w:gridSpan w:val="2"/>
          </w:tcPr>
          <w:p w:rsidR="001C6F6E" w:rsidRPr="00D15AAE" w:rsidRDefault="001C6F6E" w:rsidP="00D15AAE">
            <w:pPr>
              <w:spacing w:line="276" w:lineRule="auto"/>
              <w:rPr>
                <w:iCs/>
                <w:sz w:val="24"/>
              </w:rPr>
            </w:pPr>
            <w:r w:rsidRPr="00D15AAE">
              <w:rPr>
                <w:iCs/>
                <w:sz w:val="24"/>
              </w:rPr>
              <w:t xml:space="preserve">Forslaget notificeres som udkast i overensstemmelse med Europa-Parlamentets og Rådets direktiv 98/34/EF </w:t>
            </w:r>
            <w:r w:rsidR="002A4E85">
              <w:rPr>
                <w:iCs/>
                <w:sz w:val="24"/>
              </w:rPr>
              <w:t>(</w:t>
            </w:r>
            <w:r w:rsidRPr="00D15AAE">
              <w:rPr>
                <w:iCs/>
                <w:sz w:val="24"/>
              </w:rPr>
              <w:t>informationsproceduredirektivet) som ændret ved direktiv 98/48/EF.</w:t>
            </w:r>
          </w:p>
          <w:p w:rsidR="001C6F6E" w:rsidRPr="00D15AAE" w:rsidRDefault="001C6F6E" w:rsidP="00D15AAE">
            <w:pPr>
              <w:spacing w:line="276" w:lineRule="auto"/>
              <w:rPr>
                <w:iCs/>
                <w:sz w:val="24"/>
              </w:rPr>
            </w:pPr>
            <w:r w:rsidRPr="00D15AAE">
              <w:rPr>
                <w:iCs/>
                <w:sz w:val="24"/>
              </w:rPr>
              <w:t>Der er tale om en skattemæssig foranstaltning, som ikke er omfattet af en standstill</w:t>
            </w:r>
            <w:r w:rsidR="002A4E85">
              <w:rPr>
                <w:iCs/>
                <w:sz w:val="24"/>
              </w:rPr>
              <w:t>-</w:t>
            </w:r>
            <w:r w:rsidRPr="00D15AAE">
              <w:rPr>
                <w:iCs/>
                <w:sz w:val="24"/>
              </w:rPr>
              <w:t>periode.</w:t>
            </w:r>
          </w:p>
          <w:p w:rsidR="002634C4" w:rsidRPr="00D15AAE" w:rsidRDefault="002634C4" w:rsidP="00D15AAE">
            <w:pPr>
              <w:spacing w:line="276" w:lineRule="auto"/>
              <w:rPr>
                <w:sz w:val="24"/>
              </w:rPr>
            </w:pPr>
          </w:p>
        </w:tc>
      </w:tr>
    </w:tbl>
    <w:p w:rsidR="002634C4" w:rsidRPr="00963123" w:rsidRDefault="002634C4" w:rsidP="002634C4">
      <w:pPr>
        <w:ind w:right="1"/>
        <w:jc w:val="both"/>
        <w:rPr>
          <w:sz w:val="22"/>
          <w:szCs w:val="22"/>
        </w:rPr>
      </w:pPr>
    </w:p>
    <w:p w:rsidR="00DB11DE" w:rsidRDefault="00DB11DE">
      <w:pPr>
        <w:widowControl/>
        <w:autoSpaceDE/>
        <w:autoSpaceDN/>
        <w:adjustRightInd/>
        <w:spacing w:after="200" w:line="276" w:lineRule="auto"/>
        <w:rPr>
          <w:b/>
          <w:sz w:val="22"/>
          <w:szCs w:val="22"/>
        </w:rPr>
      </w:pPr>
      <w:r>
        <w:rPr>
          <w:b/>
          <w:sz w:val="22"/>
          <w:szCs w:val="22"/>
        </w:rPr>
        <w:br w:type="page"/>
      </w:r>
    </w:p>
    <w:p w:rsidR="002634C4" w:rsidRPr="00963123" w:rsidRDefault="002634C4" w:rsidP="002634C4">
      <w:pPr>
        <w:ind w:right="1"/>
        <w:rPr>
          <w:b/>
          <w:sz w:val="22"/>
          <w:szCs w:val="22"/>
        </w:rPr>
      </w:pPr>
    </w:p>
    <w:p w:rsidR="002634C4" w:rsidRPr="00963123" w:rsidRDefault="002634C4" w:rsidP="002634C4">
      <w:pPr>
        <w:ind w:right="1"/>
        <w:jc w:val="both"/>
        <w:rPr>
          <w:sz w:val="22"/>
          <w:szCs w:val="22"/>
        </w:rPr>
      </w:pPr>
    </w:p>
    <w:p w:rsidR="002634C4" w:rsidRPr="00963123" w:rsidRDefault="002634C4" w:rsidP="002634C4">
      <w:pPr>
        <w:ind w:right="1"/>
        <w:jc w:val="both"/>
        <w:rPr>
          <w:sz w:val="22"/>
          <w:szCs w:val="22"/>
        </w:rPr>
      </w:pPr>
    </w:p>
    <w:p w:rsidR="002634C4" w:rsidRPr="00AE384A" w:rsidRDefault="002634C4" w:rsidP="00AE384A">
      <w:pPr>
        <w:spacing w:line="276" w:lineRule="auto"/>
        <w:jc w:val="center"/>
        <w:rPr>
          <w:i/>
          <w:iCs/>
          <w:sz w:val="24"/>
        </w:rPr>
      </w:pPr>
      <w:r w:rsidRPr="00AE384A">
        <w:rPr>
          <w:i/>
          <w:iCs/>
          <w:sz w:val="24"/>
        </w:rPr>
        <w:t>Bemærkninger til lovforslagets enkelte bestemmelser</w:t>
      </w:r>
    </w:p>
    <w:p w:rsidR="002634C4" w:rsidRPr="00AE384A" w:rsidRDefault="002634C4" w:rsidP="00AE384A">
      <w:pPr>
        <w:spacing w:line="276" w:lineRule="auto"/>
        <w:jc w:val="center"/>
        <w:rPr>
          <w:i/>
          <w:iCs/>
          <w:sz w:val="24"/>
        </w:rPr>
      </w:pPr>
    </w:p>
    <w:p w:rsidR="002634C4" w:rsidRPr="00AE384A" w:rsidRDefault="002634C4" w:rsidP="00AE384A">
      <w:pPr>
        <w:spacing w:line="276" w:lineRule="auto"/>
        <w:rPr>
          <w:sz w:val="24"/>
        </w:rPr>
      </w:pPr>
    </w:p>
    <w:p w:rsidR="002634C4" w:rsidRPr="00AE384A" w:rsidRDefault="002634C4" w:rsidP="00AE384A">
      <w:pPr>
        <w:spacing w:line="276" w:lineRule="auto"/>
        <w:jc w:val="center"/>
        <w:rPr>
          <w:i/>
          <w:iCs/>
          <w:sz w:val="24"/>
        </w:rPr>
      </w:pPr>
    </w:p>
    <w:p w:rsidR="002634C4" w:rsidRPr="00AE384A" w:rsidRDefault="002634C4" w:rsidP="00AE384A">
      <w:pPr>
        <w:spacing w:line="276" w:lineRule="auto"/>
        <w:jc w:val="center"/>
        <w:rPr>
          <w:i/>
          <w:iCs/>
          <w:sz w:val="24"/>
        </w:rPr>
      </w:pPr>
      <w:r w:rsidRPr="00AE384A">
        <w:rPr>
          <w:i/>
          <w:iCs/>
          <w:sz w:val="24"/>
        </w:rPr>
        <w:t>Til § 1</w:t>
      </w:r>
    </w:p>
    <w:p w:rsidR="002634C4" w:rsidRPr="00AE384A" w:rsidRDefault="002634C4" w:rsidP="00AE384A">
      <w:pPr>
        <w:spacing w:line="276" w:lineRule="auto"/>
        <w:rPr>
          <w:sz w:val="24"/>
        </w:rPr>
      </w:pPr>
    </w:p>
    <w:p w:rsidR="002634C4" w:rsidRPr="00AE384A" w:rsidRDefault="002634C4" w:rsidP="000757A7">
      <w:pPr>
        <w:spacing w:line="276" w:lineRule="auto"/>
        <w:rPr>
          <w:sz w:val="24"/>
        </w:rPr>
      </w:pPr>
      <w:r w:rsidRPr="00AE384A">
        <w:rPr>
          <w:sz w:val="24"/>
        </w:rPr>
        <w:t xml:space="preserve">Til </w:t>
      </w:r>
      <w:r w:rsidR="00FA1DE1" w:rsidRPr="00AE384A">
        <w:rPr>
          <w:sz w:val="24"/>
        </w:rPr>
        <w:t xml:space="preserve">nr. </w:t>
      </w:r>
      <w:r w:rsidRPr="00AE384A">
        <w:rPr>
          <w:sz w:val="24"/>
        </w:rPr>
        <w:t>1</w:t>
      </w:r>
      <w:r w:rsidR="00794BB6" w:rsidRPr="00AE384A">
        <w:rPr>
          <w:sz w:val="24"/>
        </w:rPr>
        <w:t xml:space="preserve"> </w:t>
      </w:r>
    </w:p>
    <w:p w:rsidR="00945F5A" w:rsidRPr="00AE384A" w:rsidRDefault="00AC30F5" w:rsidP="000757A7">
      <w:pPr>
        <w:spacing w:line="276" w:lineRule="auto"/>
        <w:rPr>
          <w:sz w:val="24"/>
        </w:rPr>
      </w:pPr>
      <w:r w:rsidRPr="00AE384A">
        <w:rPr>
          <w:sz w:val="24"/>
        </w:rPr>
        <w:t xml:space="preserve">Med forslagets nr. 1 foreslås en </w:t>
      </w:r>
      <w:r w:rsidR="00B87DB9" w:rsidRPr="00AE384A">
        <w:rPr>
          <w:sz w:val="24"/>
        </w:rPr>
        <w:t>supplerende bestemmelse</w:t>
      </w:r>
      <w:r w:rsidRPr="00AE384A">
        <w:rPr>
          <w:sz w:val="24"/>
        </w:rPr>
        <w:t xml:space="preserve"> til § 5, stk. 3, 4. pkt., i kulafgiftsloven. Den nugældende bestemmelse i § 5, stk. 3, i kulafgiftsloven vedrører opgørelse af affaldsvarmeafgiften i forbindelse med affaldsforbrænding, når der fyres med en kombination af afgiftspligtigt affald og andre brændsler. Det fremgår af bestemmelsens 4. pkt., at der gælder en særlig regel for de centrale værker, som er nævnt i bilag 1 til kulafgiftsloven, og som producerer både varme og elektricitet. Ifølge denne regel skal de centrale værker opgøre affaldsvarmeafgiften med udgangspunkt i det faktiske energiindhold i den indfyrede mængde afgiftspligtigt affald, idet der foretages fradrag for produktion af elektricitet. Det </w:t>
      </w:r>
      <w:r w:rsidR="00DE0904" w:rsidRPr="00AE384A">
        <w:rPr>
          <w:sz w:val="24"/>
        </w:rPr>
        <w:t>må antages</w:t>
      </w:r>
      <w:r w:rsidRPr="00AE384A">
        <w:rPr>
          <w:sz w:val="24"/>
        </w:rPr>
        <w:t xml:space="preserve"> forudsat, at disse centrale værker, som </w:t>
      </w:r>
      <w:r w:rsidR="006926A9">
        <w:rPr>
          <w:sz w:val="24"/>
        </w:rPr>
        <w:t>i praksis</w:t>
      </w:r>
      <w:r w:rsidR="00361B30" w:rsidRPr="00AE384A">
        <w:rPr>
          <w:sz w:val="24"/>
        </w:rPr>
        <w:t xml:space="preserve"> </w:t>
      </w:r>
      <w:r w:rsidRPr="00AE384A">
        <w:rPr>
          <w:sz w:val="24"/>
        </w:rPr>
        <w:t>er CO</w:t>
      </w:r>
      <w:r w:rsidRPr="00AE384A">
        <w:rPr>
          <w:sz w:val="24"/>
          <w:vertAlign w:val="subscript"/>
        </w:rPr>
        <w:t>2</w:t>
      </w:r>
      <w:r w:rsidRPr="00AE384A">
        <w:rPr>
          <w:sz w:val="24"/>
        </w:rPr>
        <w:t>-kvoteomfattede virksomheder, skal opgøre det faktiske energiindhold i den indfyrede mængde afgiftspligtigt affald efter reglerne for opgørelse af drivhusgasemissioner for CO</w:t>
      </w:r>
      <w:r w:rsidRPr="00AE384A">
        <w:rPr>
          <w:sz w:val="24"/>
          <w:vertAlign w:val="subscript"/>
        </w:rPr>
        <w:t>2</w:t>
      </w:r>
      <w:r w:rsidRPr="00AE384A">
        <w:rPr>
          <w:sz w:val="24"/>
        </w:rPr>
        <w:t>-kvoteomfattede virksomheder, jf. lov om CO</w:t>
      </w:r>
      <w:r w:rsidRPr="00AE384A">
        <w:rPr>
          <w:sz w:val="24"/>
          <w:vertAlign w:val="subscript"/>
        </w:rPr>
        <w:t>2</w:t>
      </w:r>
      <w:r w:rsidRPr="00AE384A">
        <w:rPr>
          <w:sz w:val="24"/>
        </w:rPr>
        <w:t xml:space="preserve">-kvoter. </w:t>
      </w:r>
    </w:p>
    <w:p w:rsidR="00AC30F5" w:rsidRPr="00AE384A" w:rsidRDefault="00AC30F5" w:rsidP="000757A7">
      <w:pPr>
        <w:spacing w:line="276" w:lineRule="auto"/>
        <w:rPr>
          <w:sz w:val="24"/>
        </w:rPr>
      </w:pPr>
      <w:r w:rsidRPr="00AE384A">
        <w:rPr>
          <w:sz w:val="24"/>
        </w:rPr>
        <w:t xml:space="preserve">    Med den foreslåede </w:t>
      </w:r>
      <w:r w:rsidR="00B87DB9" w:rsidRPr="00AE384A">
        <w:rPr>
          <w:sz w:val="24"/>
        </w:rPr>
        <w:t xml:space="preserve">supplerende bestemmelse </w:t>
      </w:r>
      <w:r w:rsidRPr="00AE384A">
        <w:rPr>
          <w:sz w:val="24"/>
        </w:rPr>
        <w:t>til kulafgiftslovens § 5, stk. 3, 4. pkt., foreslås, at hvis det faktiske energiindhold i den indfyrede mængde afgiftspligtigt affald ikke opgøres i forbindelse med opgørelsen af udledte drivhusgasser, jf. lov om CO</w:t>
      </w:r>
      <w:r w:rsidRPr="00AE384A">
        <w:rPr>
          <w:sz w:val="24"/>
          <w:vertAlign w:val="subscript"/>
        </w:rPr>
        <w:t>2</w:t>
      </w:r>
      <w:r w:rsidRPr="00AE384A">
        <w:rPr>
          <w:sz w:val="24"/>
        </w:rPr>
        <w:t>-kvoter, så opgøres det som summen af leveret varme, bortkølet varme og produceret elektricitet divideret med 0,85 og fratrukket energiindholdet i an</w:t>
      </w:r>
      <w:r w:rsidR="000757A7">
        <w:rPr>
          <w:sz w:val="24"/>
        </w:rPr>
        <w:t xml:space="preserve">dre brændsler, </w:t>
      </w:r>
      <w:r w:rsidRPr="00AE384A">
        <w:rPr>
          <w:sz w:val="24"/>
        </w:rPr>
        <w:t xml:space="preserve">hvorved mængden af afgiftspligtig varme fremkommer. </w:t>
      </w:r>
    </w:p>
    <w:p w:rsidR="00AC30F5" w:rsidRPr="00AE384A" w:rsidRDefault="00B87DB9" w:rsidP="000757A7">
      <w:pPr>
        <w:spacing w:line="276" w:lineRule="auto"/>
        <w:rPr>
          <w:sz w:val="24"/>
        </w:rPr>
      </w:pPr>
      <w:r w:rsidRPr="00AE384A">
        <w:rPr>
          <w:sz w:val="24"/>
        </w:rPr>
        <w:t xml:space="preserve">    </w:t>
      </w:r>
      <w:r w:rsidR="00AC30F5" w:rsidRPr="00AE384A">
        <w:rPr>
          <w:sz w:val="24"/>
        </w:rPr>
        <w:t>Nedenfor gives et eksempel på, hvordan afgiftspligtig</w:t>
      </w:r>
      <w:r w:rsidR="00985BA2" w:rsidRPr="00AE384A">
        <w:rPr>
          <w:sz w:val="24"/>
        </w:rPr>
        <w:t xml:space="preserve"> varme opgøres efter forslagets</w:t>
      </w:r>
      <w:r w:rsidR="002A4E85">
        <w:rPr>
          <w:sz w:val="24"/>
        </w:rPr>
        <w:t xml:space="preserve"> § 1,</w:t>
      </w:r>
      <w:r w:rsidR="00985BA2" w:rsidRPr="00AE384A">
        <w:rPr>
          <w:sz w:val="24"/>
        </w:rPr>
        <w:t xml:space="preserve"> nr. 1.</w:t>
      </w:r>
    </w:p>
    <w:p w:rsidR="00AD4AF5" w:rsidRPr="00AE384A" w:rsidRDefault="00AD4AF5" w:rsidP="000757A7">
      <w:pPr>
        <w:spacing w:line="276" w:lineRule="auto"/>
        <w:rPr>
          <w:sz w:val="24"/>
        </w:rPr>
      </w:pPr>
    </w:p>
    <w:p w:rsidR="00985BA2" w:rsidRPr="00AE384A" w:rsidRDefault="00985BA2" w:rsidP="000757A7">
      <w:pPr>
        <w:spacing w:line="276" w:lineRule="auto"/>
        <w:rPr>
          <w:i/>
          <w:sz w:val="24"/>
        </w:rPr>
      </w:pPr>
      <w:r w:rsidRPr="00AE384A">
        <w:rPr>
          <w:i/>
          <w:sz w:val="24"/>
        </w:rPr>
        <w:t>Eksempel</w:t>
      </w:r>
    </w:p>
    <w:p w:rsidR="00985BA2" w:rsidRPr="00AE384A" w:rsidRDefault="00985BA2" w:rsidP="000757A7">
      <w:pPr>
        <w:spacing w:line="276" w:lineRule="auto"/>
        <w:rPr>
          <w:sz w:val="24"/>
        </w:rPr>
      </w:pPr>
      <w:r w:rsidRPr="00AE384A">
        <w:rPr>
          <w:sz w:val="24"/>
        </w:rPr>
        <w:t>Der er tale om et centralt værk, som fyrer med en kombination af afgiftspligtigt affald og andre brændsler, og som producerer både varme og elektricitet. Værket opgør ikke det faktiske energiindhold i den indfyrede mængde afgiftspligtigt affald i forbindelse med opgørelsen af drivhusgasser, jf. lov om CO</w:t>
      </w:r>
      <w:r w:rsidRPr="00AE384A">
        <w:rPr>
          <w:sz w:val="24"/>
          <w:vertAlign w:val="subscript"/>
        </w:rPr>
        <w:t>2</w:t>
      </w:r>
      <w:r w:rsidRPr="00AE384A">
        <w:rPr>
          <w:sz w:val="24"/>
        </w:rPr>
        <w:t>-kvoter.   Der gælder f.eks. følgende:</w:t>
      </w:r>
    </w:p>
    <w:p w:rsidR="00616B98" w:rsidRDefault="00616B98" w:rsidP="000757A7">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985"/>
      </w:tblGrid>
      <w:tr w:rsidR="004D5F41" w:rsidTr="008020B4">
        <w:tc>
          <w:tcPr>
            <w:tcW w:w="3969" w:type="dxa"/>
          </w:tcPr>
          <w:p w:rsidR="004D5F41" w:rsidRDefault="004D5F41" w:rsidP="000757A7">
            <w:pPr>
              <w:spacing w:line="276" w:lineRule="auto"/>
              <w:rPr>
                <w:sz w:val="24"/>
              </w:rPr>
            </w:pPr>
            <w:r w:rsidRPr="00AE384A">
              <w:rPr>
                <w:sz w:val="24"/>
              </w:rPr>
              <w:t>Produceret varme,</w:t>
            </w:r>
          </w:p>
        </w:tc>
        <w:tc>
          <w:tcPr>
            <w:tcW w:w="1985" w:type="dxa"/>
          </w:tcPr>
          <w:p w:rsidR="004D5F41" w:rsidRDefault="008020B4" w:rsidP="000757A7">
            <w:pPr>
              <w:spacing w:line="276" w:lineRule="auto"/>
              <w:rPr>
                <w:sz w:val="24"/>
              </w:rPr>
            </w:pPr>
            <w:r>
              <w:rPr>
                <w:sz w:val="24"/>
              </w:rPr>
              <w:t>100 GJ</w:t>
            </w:r>
          </w:p>
        </w:tc>
      </w:tr>
      <w:tr w:rsidR="004D5F41" w:rsidTr="008020B4">
        <w:tc>
          <w:tcPr>
            <w:tcW w:w="3969" w:type="dxa"/>
          </w:tcPr>
          <w:p w:rsidR="004D5F41" w:rsidRPr="008020B4" w:rsidRDefault="004D5F41" w:rsidP="000757A7">
            <w:pPr>
              <w:pStyle w:val="Listeafsnit"/>
              <w:numPr>
                <w:ilvl w:val="0"/>
                <w:numId w:val="11"/>
              </w:numPr>
              <w:spacing w:line="276" w:lineRule="auto"/>
              <w:rPr>
                <w:sz w:val="24"/>
              </w:rPr>
            </w:pPr>
            <w:r w:rsidRPr="008020B4">
              <w:rPr>
                <w:sz w:val="24"/>
              </w:rPr>
              <w:t xml:space="preserve">heraf leveret varme </w:t>
            </w:r>
          </w:p>
        </w:tc>
        <w:tc>
          <w:tcPr>
            <w:tcW w:w="1985" w:type="dxa"/>
          </w:tcPr>
          <w:p w:rsidR="004D5F41" w:rsidRDefault="008020B4" w:rsidP="000757A7">
            <w:pPr>
              <w:spacing w:line="276" w:lineRule="auto"/>
              <w:rPr>
                <w:sz w:val="24"/>
              </w:rPr>
            </w:pPr>
            <w:r>
              <w:rPr>
                <w:sz w:val="24"/>
              </w:rPr>
              <w:t>90 GJ</w:t>
            </w:r>
          </w:p>
        </w:tc>
      </w:tr>
      <w:tr w:rsidR="004D5F41" w:rsidTr="008020B4">
        <w:tc>
          <w:tcPr>
            <w:tcW w:w="3969" w:type="dxa"/>
          </w:tcPr>
          <w:p w:rsidR="004D5F41" w:rsidRPr="008020B4" w:rsidRDefault="004D5F41" w:rsidP="000757A7">
            <w:pPr>
              <w:pStyle w:val="Listeafsnit"/>
              <w:numPr>
                <w:ilvl w:val="0"/>
                <w:numId w:val="11"/>
              </w:numPr>
              <w:spacing w:line="276" w:lineRule="auto"/>
              <w:rPr>
                <w:sz w:val="24"/>
              </w:rPr>
            </w:pPr>
            <w:r w:rsidRPr="008020B4">
              <w:rPr>
                <w:sz w:val="24"/>
              </w:rPr>
              <w:t xml:space="preserve">heraf </w:t>
            </w:r>
            <w:r w:rsidR="008020B4" w:rsidRPr="008020B4">
              <w:rPr>
                <w:sz w:val="24"/>
              </w:rPr>
              <w:t>bortkølet varme</w:t>
            </w:r>
          </w:p>
        </w:tc>
        <w:tc>
          <w:tcPr>
            <w:tcW w:w="1985" w:type="dxa"/>
          </w:tcPr>
          <w:p w:rsidR="004D5F41" w:rsidRDefault="008020B4" w:rsidP="000757A7">
            <w:pPr>
              <w:spacing w:line="276" w:lineRule="auto"/>
              <w:rPr>
                <w:sz w:val="24"/>
              </w:rPr>
            </w:pPr>
            <w:r>
              <w:rPr>
                <w:sz w:val="24"/>
              </w:rPr>
              <w:t>10 GJ</w:t>
            </w:r>
          </w:p>
        </w:tc>
      </w:tr>
      <w:tr w:rsidR="004D5F41" w:rsidTr="008020B4">
        <w:tc>
          <w:tcPr>
            <w:tcW w:w="3969" w:type="dxa"/>
          </w:tcPr>
          <w:p w:rsidR="004D5F41" w:rsidRDefault="008020B4" w:rsidP="000757A7">
            <w:pPr>
              <w:spacing w:line="276" w:lineRule="auto"/>
              <w:rPr>
                <w:sz w:val="24"/>
              </w:rPr>
            </w:pPr>
            <w:r>
              <w:rPr>
                <w:sz w:val="24"/>
              </w:rPr>
              <w:t xml:space="preserve">Produceret el </w:t>
            </w:r>
          </w:p>
        </w:tc>
        <w:tc>
          <w:tcPr>
            <w:tcW w:w="1985" w:type="dxa"/>
          </w:tcPr>
          <w:p w:rsidR="004D5F41" w:rsidRDefault="008020B4" w:rsidP="000757A7">
            <w:pPr>
              <w:spacing w:line="276" w:lineRule="auto"/>
              <w:rPr>
                <w:sz w:val="24"/>
              </w:rPr>
            </w:pPr>
            <w:r>
              <w:rPr>
                <w:sz w:val="24"/>
              </w:rPr>
              <w:t>27,5 GJ</w:t>
            </w:r>
          </w:p>
        </w:tc>
      </w:tr>
      <w:tr w:rsidR="004D5F41" w:rsidTr="008020B4">
        <w:tc>
          <w:tcPr>
            <w:tcW w:w="3969" w:type="dxa"/>
          </w:tcPr>
          <w:p w:rsidR="004D5F41" w:rsidRDefault="004D5F41" w:rsidP="000757A7">
            <w:pPr>
              <w:spacing w:line="276" w:lineRule="auto"/>
              <w:rPr>
                <w:sz w:val="24"/>
              </w:rPr>
            </w:pPr>
          </w:p>
        </w:tc>
        <w:tc>
          <w:tcPr>
            <w:tcW w:w="1985" w:type="dxa"/>
          </w:tcPr>
          <w:p w:rsidR="004D5F41" w:rsidRDefault="004D5F41" w:rsidP="000757A7">
            <w:pPr>
              <w:spacing w:line="276" w:lineRule="auto"/>
              <w:rPr>
                <w:sz w:val="24"/>
              </w:rPr>
            </w:pPr>
          </w:p>
        </w:tc>
      </w:tr>
      <w:tr w:rsidR="004D5F41" w:rsidTr="008020B4">
        <w:tc>
          <w:tcPr>
            <w:tcW w:w="3969" w:type="dxa"/>
          </w:tcPr>
          <w:p w:rsidR="004D5F41" w:rsidRDefault="008020B4" w:rsidP="000757A7">
            <w:pPr>
              <w:spacing w:line="276" w:lineRule="auto"/>
              <w:rPr>
                <w:sz w:val="24"/>
              </w:rPr>
            </w:pPr>
            <w:r>
              <w:rPr>
                <w:sz w:val="24"/>
              </w:rPr>
              <w:lastRenderedPageBreak/>
              <w:t>Anvendt naturgas</w:t>
            </w:r>
          </w:p>
        </w:tc>
        <w:tc>
          <w:tcPr>
            <w:tcW w:w="1985" w:type="dxa"/>
          </w:tcPr>
          <w:p w:rsidR="004D5F41" w:rsidRPr="008020B4" w:rsidRDefault="008020B4" w:rsidP="000757A7">
            <w:pPr>
              <w:spacing w:line="276" w:lineRule="auto"/>
              <w:rPr>
                <w:sz w:val="24"/>
                <w:vertAlign w:val="superscript"/>
              </w:rPr>
            </w:pPr>
            <w:r>
              <w:rPr>
                <w:sz w:val="24"/>
              </w:rPr>
              <w:t>400 Nm</w:t>
            </w:r>
            <w:r>
              <w:rPr>
                <w:sz w:val="24"/>
                <w:vertAlign w:val="superscript"/>
              </w:rPr>
              <w:t>3</w:t>
            </w:r>
          </w:p>
        </w:tc>
      </w:tr>
      <w:tr w:rsidR="004D5F41" w:rsidTr="008020B4">
        <w:tc>
          <w:tcPr>
            <w:tcW w:w="3969" w:type="dxa"/>
          </w:tcPr>
          <w:p w:rsidR="004D5F41" w:rsidRDefault="008020B4" w:rsidP="000757A7">
            <w:pPr>
              <w:spacing w:line="276" w:lineRule="auto"/>
              <w:rPr>
                <w:sz w:val="24"/>
              </w:rPr>
            </w:pPr>
            <w:r>
              <w:rPr>
                <w:sz w:val="24"/>
              </w:rPr>
              <w:t>Anvendt halm</w:t>
            </w:r>
          </w:p>
        </w:tc>
        <w:tc>
          <w:tcPr>
            <w:tcW w:w="1985" w:type="dxa"/>
          </w:tcPr>
          <w:p w:rsidR="004D5F41" w:rsidRDefault="008020B4" w:rsidP="000757A7">
            <w:pPr>
              <w:spacing w:line="276" w:lineRule="auto"/>
              <w:rPr>
                <w:sz w:val="24"/>
              </w:rPr>
            </w:pPr>
            <w:r>
              <w:rPr>
                <w:sz w:val="24"/>
              </w:rPr>
              <w:t>1 ton</w:t>
            </w:r>
          </w:p>
        </w:tc>
      </w:tr>
      <w:tr w:rsidR="004D5F41" w:rsidTr="008020B4">
        <w:tc>
          <w:tcPr>
            <w:tcW w:w="3969" w:type="dxa"/>
          </w:tcPr>
          <w:p w:rsidR="004D5F41" w:rsidRDefault="008020B4" w:rsidP="000757A7">
            <w:pPr>
              <w:spacing w:line="276" w:lineRule="auto"/>
              <w:rPr>
                <w:sz w:val="24"/>
              </w:rPr>
            </w:pPr>
            <w:r>
              <w:rPr>
                <w:sz w:val="24"/>
              </w:rPr>
              <w:t>Anvendt affaldsbrændsel</w:t>
            </w:r>
          </w:p>
        </w:tc>
        <w:tc>
          <w:tcPr>
            <w:tcW w:w="1985" w:type="dxa"/>
          </w:tcPr>
          <w:p w:rsidR="004D5F41" w:rsidRDefault="008020B4" w:rsidP="000757A7">
            <w:pPr>
              <w:spacing w:line="276" w:lineRule="auto"/>
              <w:rPr>
                <w:sz w:val="24"/>
              </w:rPr>
            </w:pPr>
            <w:r>
              <w:rPr>
                <w:sz w:val="24"/>
              </w:rPr>
              <w:t>10 ton</w:t>
            </w:r>
          </w:p>
        </w:tc>
      </w:tr>
      <w:tr w:rsidR="004D5F41" w:rsidTr="008020B4">
        <w:tc>
          <w:tcPr>
            <w:tcW w:w="3969" w:type="dxa"/>
          </w:tcPr>
          <w:p w:rsidR="004D5F41" w:rsidRDefault="008020B4" w:rsidP="000757A7">
            <w:pPr>
              <w:spacing w:line="276" w:lineRule="auto"/>
              <w:rPr>
                <w:sz w:val="24"/>
              </w:rPr>
            </w:pPr>
            <w:r>
              <w:rPr>
                <w:sz w:val="24"/>
              </w:rPr>
              <w:t>Anvendt affaldsbrændsel</w:t>
            </w:r>
          </w:p>
        </w:tc>
        <w:tc>
          <w:tcPr>
            <w:tcW w:w="1985" w:type="dxa"/>
          </w:tcPr>
          <w:p w:rsidR="004D5F41" w:rsidRDefault="008020B4" w:rsidP="000757A7">
            <w:pPr>
              <w:spacing w:line="276" w:lineRule="auto"/>
              <w:rPr>
                <w:sz w:val="24"/>
              </w:rPr>
            </w:pPr>
            <w:r>
              <w:rPr>
                <w:sz w:val="24"/>
              </w:rPr>
              <w:t>Antal GJ beregnes</w:t>
            </w:r>
          </w:p>
        </w:tc>
      </w:tr>
    </w:tbl>
    <w:p w:rsidR="004D5F41" w:rsidRDefault="004D5F41" w:rsidP="000757A7">
      <w:pPr>
        <w:spacing w:line="276" w:lineRule="auto"/>
        <w:rPr>
          <w:sz w:val="24"/>
        </w:rPr>
      </w:pPr>
    </w:p>
    <w:p w:rsidR="00985BA2" w:rsidRPr="00AE384A" w:rsidRDefault="00BB3A99" w:rsidP="000757A7">
      <w:pPr>
        <w:spacing w:line="276" w:lineRule="auto"/>
        <w:rPr>
          <w:sz w:val="24"/>
        </w:rPr>
      </w:pPr>
      <w:r>
        <w:rPr>
          <w:sz w:val="24"/>
        </w:rPr>
        <w:t xml:space="preserve">   </w:t>
      </w:r>
      <w:r w:rsidR="00985BA2" w:rsidRPr="00AE384A">
        <w:rPr>
          <w:sz w:val="24"/>
        </w:rPr>
        <w:t>De anførte konkrete o</w:t>
      </w:r>
      <w:r>
        <w:rPr>
          <w:sz w:val="24"/>
        </w:rPr>
        <w:t xml:space="preserve">plysninger kendes fra målinger. </w:t>
      </w:r>
      <w:r w:rsidR="00985BA2" w:rsidRPr="00AE384A">
        <w:rPr>
          <w:sz w:val="24"/>
        </w:rPr>
        <w:t>Energiindholdet i det anvendte affaldsbrændsel kendes som udgangspunkt ikke. Det beregnes efter denne formel: Affaldsbrændselsmængde i alt i GJ = (leveret varme + bortkølet varme + produceret el)/0,85 – energi i halm – energi i naturgas. Energiindholdet i halm udgør 14,5 GJ/ton. Energiindholdet i naturgas udgør 39,6 MJ/Nm</w:t>
      </w:r>
      <w:r w:rsidR="00985BA2" w:rsidRPr="00AE384A">
        <w:rPr>
          <w:sz w:val="24"/>
          <w:vertAlign w:val="superscript"/>
        </w:rPr>
        <w:t>3</w:t>
      </w:r>
      <w:r w:rsidR="00985BA2" w:rsidRPr="00AE384A">
        <w:rPr>
          <w:sz w:val="24"/>
        </w:rPr>
        <w:t>. Der er tale om standardsatser for energiindhold i henholdsvis halm og affald, som er fastsat i energiafgiftslovene.</w:t>
      </w:r>
    </w:p>
    <w:p w:rsidR="00985BA2" w:rsidRPr="00AE384A" w:rsidRDefault="00BB3A99" w:rsidP="000757A7">
      <w:pPr>
        <w:spacing w:line="276" w:lineRule="auto"/>
        <w:rPr>
          <w:sz w:val="24"/>
        </w:rPr>
      </w:pPr>
      <w:r>
        <w:rPr>
          <w:sz w:val="24"/>
        </w:rPr>
        <w:t xml:space="preserve">   </w:t>
      </w:r>
      <w:r w:rsidR="00985BA2" w:rsidRPr="00AE384A">
        <w:rPr>
          <w:sz w:val="24"/>
        </w:rPr>
        <w:t>I dette beregningseksempel giver ovennævnte formel dette resultat:</w:t>
      </w:r>
    </w:p>
    <w:p w:rsidR="00985BA2" w:rsidRPr="00AE384A" w:rsidRDefault="00985BA2" w:rsidP="000757A7">
      <w:pPr>
        <w:spacing w:line="276" w:lineRule="auto"/>
        <w:rPr>
          <w:sz w:val="24"/>
        </w:rPr>
      </w:pPr>
      <w:r w:rsidRPr="00AE384A">
        <w:rPr>
          <w:sz w:val="24"/>
        </w:rPr>
        <w:t>(90 GJ + 10 GJ + 27,5 GJ)/0,85 – 1 ton halm x14,5 GJ/ton halm – 400 Nm</w:t>
      </w:r>
      <w:r w:rsidRPr="00AE384A">
        <w:rPr>
          <w:sz w:val="24"/>
          <w:vertAlign w:val="superscript"/>
        </w:rPr>
        <w:t>3</w:t>
      </w:r>
      <w:r w:rsidRPr="00AE384A">
        <w:rPr>
          <w:sz w:val="24"/>
        </w:rPr>
        <w:t xml:space="preserve">  x 0,0396 GJ/Nm</w:t>
      </w:r>
      <w:r w:rsidRPr="00AE384A">
        <w:rPr>
          <w:sz w:val="24"/>
          <w:vertAlign w:val="superscript"/>
        </w:rPr>
        <w:t>3</w:t>
      </w:r>
    </w:p>
    <w:p w:rsidR="00985BA2" w:rsidRPr="00AE384A" w:rsidRDefault="00985BA2" w:rsidP="000757A7">
      <w:pPr>
        <w:spacing w:line="276" w:lineRule="auto"/>
        <w:rPr>
          <w:sz w:val="24"/>
        </w:rPr>
      </w:pPr>
      <w:r w:rsidRPr="00AE384A">
        <w:rPr>
          <w:sz w:val="24"/>
        </w:rPr>
        <w:t xml:space="preserve">= 127,5 GJ/0,85 – 14,5 GJ – 15,84 GJ = 150 GJ – 14,5 GJ – 15,84 GJ = </w:t>
      </w:r>
      <w:r w:rsidRPr="00AE384A">
        <w:rPr>
          <w:sz w:val="24"/>
          <w:u w:val="single"/>
        </w:rPr>
        <w:t>119,66 GJ</w:t>
      </w:r>
      <w:r w:rsidRPr="00AE384A">
        <w:rPr>
          <w:sz w:val="24"/>
        </w:rPr>
        <w:t xml:space="preserve"> for affaldsbrændsel</w:t>
      </w:r>
    </w:p>
    <w:p w:rsidR="00985BA2" w:rsidRPr="00AE384A" w:rsidRDefault="00985BA2" w:rsidP="000757A7">
      <w:pPr>
        <w:spacing w:line="276" w:lineRule="auto"/>
        <w:rPr>
          <w:sz w:val="24"/>
          <w:u w:val="single"/>
        </w:rPr>
      </w:pPr>
    </w:p>
    <w:p w:rsidR="00985BA2" w:rsidRDefault="00985BA2" w:rsidP="000757A7">
      <w:pPr>
        <w:spacing w:line="276" w:lineRule="auto"/>
        <w:rPr>
          <w:sz w:val="24"/>
        </w:rPr>
      </w:pPr>
      <w:r w:rsidRPr="00AE384A">
        <w:rPr>
          <w:sz w:val="24"/>
        </w:rPr>
        <w:t>Energimængderne udgør derpå følgende:</w:t>
      </w:r>
    </w:p>
    <w:p w:rsidR="00DE58E6" w:rsidRDefault="00DE58E6" w:rsidP="000757A7">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985"/>
      </w:tblGrid>
      <w:tr w:rsidR="00DE58E6" w:rsidTr="00E817E2">
        <w:tc>
          <w:tcPr>
            <w:tcW w:w="3969" w:type="dxa"/>
          </w:tcPr>
          <w:p w:rsidR="00DE58E6" w:rsidRDefault="00DE58E6" w:rsidP="000757A7">
            <w:pPr>
              <w:spacing w:line="276" w:lineRule="auto"/>
              <w:rPr>
                <w:sz w:val="24"/>
              </w:rPr>
            </w:pPr>
            <w:r w:rsidRPr="00AE384A">
              <w:rPr>
                <w:sz w:val="24"/>
              </w:rPr>
              <w:t>Affaldsbrændsel</w:t>
            </w:r>
          </w:p>
        </w:tc>
        <w:tc>
          <w:tcPr>
            <w:tcW w:w="1985" w:type="dxa"/>
          </w:tcPr>
          <w:p w:rsidR="00DE58E6" w:rsidRDefault="00DE58E6" w:rsidP="000757A7">
            <w:pPr>
              <w:spacing w:line="276" w:lineRule="auto"/>
              <w:rPr>
                <w:sz w:val="24"/>
              </w:rPr>
            </w:pPr>
            <w:r w:rsidRPr="00AE384A">
              <w:rPr>
                <w:sz w:val="24"/>
              </w:rPr>
              <w:t>119,66  GJ</w:t>
            </w:r>
          </w:p>
        </w:tc>
      </w:tr>
      <w:tr w:rsidR="00DE58E6" w:rsidTr="00E817E2">
        <w:tc>
          <w:tcPr>
            <w:tcW w:w="3969" w:type="dxa"/>
          </w:tcPr>
          <w:p w:rsidR="00DE58E6" w:rsidRDefault="00DE58E6" w:rsidP="000757A7">
            <w:pPr>
              <w:spacing w:line="276" w:lineRule="auto"/>
              <w:rPr>
                <w:sz w:val="24"/>
              </w:rPr>
            </w:pPr>
            <w:r w:rsidRPr="00AE384A">
              <w:rPr>
                <w:sz w:val="24"/>
              </w:rPr>
              <w:t>Halm</w:t>
            </w:r>
            <w:r w:rsidRPr="00AE384A">
              <w:rPr>
                <w:sz w:val="24"/>
              </w:rPr>
              <w:tab/>
            </w:r>
          </w:p>
        </w:tc>
        <w:tc>
          <w:tcPr>
            <w:tcW w:w="1985" w:type="dxa"/>
          </w:tcPr>
          <w:p w:rsidR="00DE58E6" w:rsidRDefault="00DE58E6" w:rsidP="000757A7">
            <w:pPr>
              <w:spacing w:line="276" w:lineRule="auto"/>
              <w:rPr>
                <w:sz w:val="24"/>
              </w:rPr>
            </w:pPr>
            <w:r w:rsidRPr="00AE384A">
              <w:rPr>
                <w:sz w:val="24"/>
              </w:rPr>
              <w:t>14,50  GJ</w:t>
            </w:r>
          </w:p>
        </w:tc>
      </w:tr>
      <w:tr w:rsidR="00DE58E6" w:rsidTr="00E817E2">
        <w:tc>
          <w:tcPr>
            <w:tcW w:w="3969" w:type="dxa"/>
          </w:tcPr>
          <w:p w:rsidR="006D48FA" w:rsidRDefault="00DE58E6" w:rsidP="000757A7">
            <w:pPr>
              <w:spacing w:line="276" w:lineRule="auto"/>
              <w:rPr>
                <w:sz w:val="24"/>
              </w:rPr>
            </w:pPr>
            <w:r w:rsidRPr="00AE384A">
              <w:rPr>
                <w:sz w:val="24"/>
              </w:rPr>
              <w:t>Gas</w:t>
            </w:r>
          </w:p>
        </w:tc>
        <w:tc>
          <w:tcPr>
            <w:tcW w:w="1985" w:type="dxa"/>
          </w:tcPr>
          <w:p w:rsidR="00DE58E6" w:rsidRDefault="00DE58E6" w:rsidP="000757A7">
            <w:pPr>
              <w:spacing w:line="276" w:lineRule="auto"/>
              <w:rPr>
                <w:sz w:val="24"/>
              </w:rPr>
            </w:pPr>
            <w:r w:rsidRPr="00AE384A">
              <w:rPr>
                <w:sz w:val="24"/>
              </w:rPr>
              <w:t>15,84  GJ</w:t>
            </w:r>
          </w:p>
        </w:tc>
      </w:tr>
      <w:tr w:rsidR="00DE58E6" w:rsidTr="00E817E2">
        <w:tc>
          <w:tcPr>
            <w:tcW w:w="3969" w:type="dxa"/>
          </w:tcPr>
          <w:p w:rsidR="00DE58E6" w:rsidRDefault="00DE58E6" w:rsidP="000757A7">
            <w:pPr>
              <w:spacing w:line="276" w:lineRule="auto"/>
              <w:rPr>
                <w:sz w:val="24"/>
              </w:rPr>
            </w:pPr>
          </w:p>
        </w:tc>
        <w:tc>
          <w:tcPr>
            <w:tcW w:w="1985" w:type="dxa"/>
          </w:tcPr>
          <w:p w:rsidR="00DE58E6" w:rsidRDefault="00DE58E6" w:rsidP="000757A7">
            <w:pPr>
              <w:spacing w:line="276" w:lineRule="auto"/>
              <w:rPr>
                <w:sz w:val="24"/>
              </w:rPr>
            </w:pPr>
          </w:p>
        </w:tc>
      </w:tr>
      <w:tr w:rsidR="00DE58E6" w:rsidTr="00E817E2">
        <w:tc>
          <w:tcPr>
            <w:tcW w:w="3969" w:type="dxa"/>
          </w:tcPr>
          <w:p w:rsidR="00DE58E6" w:rsidRDefault="00DE58E6" w:rsidP="000757A7">
            <w:pPr>
              <w:spacing w:line="276" w:lineRule="auto"/>
              <w:rPr>
                <w:sz w:val="24"/>
              </w:rPr>
            </w:pPr>
            <w:r w:rsidRPr="00AE384A">
              <w:rPr>
                <w:sz w:val="24"/>
              </w:rPr>
              <w:t>I alt brændsel</w:t>
            </w:r>
          </w:p>
        </w:tc>
        <w:tc>
          <w:tcPr>
            <w:tcW w:w="1985" w:type="dxa"/>
          </w:tcPr>
          <w:p w:rsidR="00DE58E6" w:rsidRDefault="00DE58E6" w:rsidP="000757A7">
            <w:pPr>
              <w:spacing w:line="276" w:lineRule="auto"/>
              <w:rPr>
                <w:sz w:val="24"/>
              </w:rPr>
            </w:pPr>
            <w:r w:rsidRPr="00AE384A">
              <w:rPr>
                <w:sz w:val="24"/>
                <w:u w:val="single"/>
              </w:rPr>
              <w:t>150,00  GJ</w:t>
            </w:r>
          </w:p>
        </w:tc>
      </w:tr>
    </w:tbl>
    <w:p w:rsidR="00DE58E6" w:rsidRPr="00AE384A" w:rsidRDefault="00DE58E6" w:rsidP="000757A7">
      <w:pPr>
        <w:spacing w:line="276" w:lineRule="auto"/>
        <w:rPr>
          <w:sz w:val="24"/>
        </w:rPr>
      </w:pPr>
    </w:p>
    <w:p w:rsidR="00590E20" w:rsidRPr="00AE384A" w:rsidRDefault="00590E20" w:rsidP="000757A7">
      <w:pPr>
        <w:spacing w:line="276" w:lineRule="auto"/>
        <w:rPr>
          <w:sz w:val="24"/>
        </w:rPr>
      </w:pPr>
      <w:r w:rsidRPr="00AE384A">
        <w:rPr>
          <w:sz w:val="24"/>
        </w:rPr>
        <w:t xml:space="preserve">Den afgiftspligtige affaldsvarme </w:t>
      </w:r>
      <w:r w:rsidR="0002324D" w:rsidRPr="00AE384A">
        <w:rPr>
          <w:sz w:val="24"/>
        </w:rPr>
        <w:t>opgøres</w:t>
      </w:r>
      <w:r w:rsidRPr="00AE384A">
        <w:rPr>
          <w:sz w:val="24"/>
        </w:rPr>
        <w:t xml:space="preserve"> som leveret varme ganget med energiindholdet i det afgiftspligtige affald divideret med det samlede energiindhold i brændslerne:</w:t>
      </w:r>
    </w:p>
    <w:p w:rsidR="00985BA2" w:rsidRDefault="00985BA2" w:rsidP="000757A7">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985"/>
      </w:tblGrid>
      <w:tr w:rsidR="00E817E2" w:rsidTr="00E817E2">
        <w:tc>
          <w:tcPr>
            <w:tcW w:w="3969" w:type="dxa"/>
          </w:tcPr>
          <w:p w:rsidR="00E817E2" w:rsidRDefault="00E817E2" w:rsidP="000757A7">
            <w:pPr>
              <w:spacing w:line="276" w:lineRule="auto"/>
              <w:rPr>
                <w:sz w:val="24"/>
              </w:rPr>
            </w:pPr>
            <w:r w:rsidRPr="00AE384A">
              <w:rPr>
                <w:sz w:val="24"/>
              </w:rPr>
              <w:t>90 GJ varme x 119,66 GJ/150 GJ =</w:t>
            </w:r>
          </w:p>
        </w:tc>
        <w:tc>
          <w:tcPr>
            <w:tcW w:w="1985" w:type="dxa"/>
          </w:tcPr>
          <w:p w:rsidR="00E817E2" w:rsidRDefault="00E817E2" w:rsidP="000757A7">
            <w:pPr>
              <w:spacing w:line="276" w:lineRule="auto"/>
              <w:rPr>
                <w:sz w:val="24"/>
              </w:rPr>
            </w:pPr>
            <w:r w:rsidRPr="00AE384A">
              <w:rPr>
                <w:sz w:val="24"/>
                <w:u w:val="single"/>
              </w:rPr>
              <w:t>71,796 GJ</w:t>
            </w:r>
          </w:p>
        </w:tc>
      </w:tr>
    </w:tbl>
    <w:p w:rsidR="00E817E2" w:rsidRDefault="00E817E2" w:rsidP="000757A7">
      <w:pPr>
        <w:spacing w:line="276" w:lineRule="auto"/>
        <w:rPr>
          <w:sz w:val="24"/>
        </w:rPr>
      </w:pPr>
    </w:p>
    <w:p w:rsidR="002A4E85" w:rsidRDefault="002A4E85" w:rsidP="000757A7">
      <w:pPr>
        <w:spacing w:line="276" w:lineRule="auto"/>
        <w:rPr>
          <w:sz w:val="24"/>
        </w:rPr>
      </w:pPr>
      <w:r>
        <w:rPr>
          <w:sz w:val="24"/>
        </w:rPr>
        <w:t>For at nå frem til afgiften ganges dette antal GJ med afgiftssatsen.</w:t>
      </w:r>
    </w:p>
    <w:p w:rsidR="002A4E85" w:rsidRDefault="002A4E85" w:rsidP="000757A7">
      <w:pPr>
        <w:spacing w:line="276" w:lineRule="auto"/>
        <w:rPr>
          <w:sz w:val="24"/>
        </w:rPr>
      </w:pPr>
    </w:p>
    <w:p w:rsidR="00AC30F5" w:rsidRPr="00AE384A" w:rsidRDefault="00AC30F5" w:rsidP="00AE384A">
      <w:pPr>
        <w:spacing w:line="276" w:lineRule="auto"/>
        <w:rPr>
          <w:sz w:val="24"/>
        </w:rPr>
      </w:pPr>
      <w:r w:rsidRPr="00AE384A">
        <w:rPr>
          <w:sz w:val="24"/>
        </w:rPr>
        <w:t xml:space="preserve">Til nr. 2 </w:t>
      </w:r>
    </w:p>
    <w:p w:rsidR="00AC30F5" w:rsidRPr="00AE384A" w:rsidRDefault="00AC30F5" w:rsidP="00AE384A">
      <w:pPr>
        <w:spacing w:line="276" w:lineRule="auto"/>
        <w:rPr>
          <w:sz w:val="24"/>
        </w:rPr>
      </w:pPr>
      <w:r w:rsidRPr="00AE384A">
        <w:rPr>
          <w:sz w:val="24"/>
        </w:rPr>
        <w:t xml:space="preserve">Forslagets nr. 2 vedrører den situation, hvor opgørelsen af affaldsvarmeafgiften for de centrale værker afhænger af en opgørelse af det faktiske energiindhold i affaldsbrændsel i forbindelse </w:t>
      </w:r>
      <w:r w:rsidR="002A4E85">
        <w:rPr>
          <w:sz w:val="24"/>
        </w:rPr>
        <w:t>opgørelsen af CO</w:t>
      </w:r>
      <w:r w:rsidR="002A4E85" w:rsidRPr="00F31EDD">
        <w:rPr>
          <w:sz w:val="24"/>
          <w:vertAlign w:val="subscript"/>
        </w:rPr>
        <w:t>2</w:t>
      </w:r>
      <w:r w:rsidR="002A4E85">
        <w:rPr>
          <w:sz w:val="24"/>
        </w:rPr>
        <w:t>-udledning efter CO</w:t>
      </w:r>
      <w:r w:rsidR="002A4E85" w:rsidRPr="00F31EDD">
        <w:rPr>
          <w:sz w:val="24"/>
          <w:vertAlign w:val="subscript"/>
        </w:rPr>
        <w:t>2</w:t>
      </w:r>
      <w:r w:rsidR="002A4E85">
        <w:rPr>
          <w:sz w:val="24"/>
        </w:rPr>
        <w:t>-kvotelovgivningen.</w:t>
      </w:r>
      <w:r w:rsidR="00BB3A99">
        <w:rPr>
          <w:sz w:val="24"/>
        </w:rPr>
        <w:t xml:space="preserve"> </w:t>
      </w:r>
      <w:r w:rsidRPr="00AE384A">
        <w:rPr>
          <w:sz w:val="24"/>
        </w:rPr>
        <w:t>Inden</w:t>
      </w:r>
      <w:r w:rsidR="00BB3A99">
        <w:rPr>
          <w:sz w:val="24"/>
        </w:rPr>
        <w:t xml:space="preserve"> </w:t>
      </w:r>
      <w:r w:rsidRPr="00AE384A">
        <w:rPr>
          <w:sz w:val="24"/>
        </w:rPr>
        <w:t>for CO</w:t>
      </w:r>
      <w:r w:rsidRPr="00AE384A">
        <w:rPr>
          <w:sz w:val="24"/>
          <w:vertAlign w:val="subscript"/>
        </w:rPr>
        <w:t>2</w:t>
      </w:r>
      <w:r w:rsidR="002A4E85">
        <w:rPr>
          <w:sz w:val="24"/>
        </w:rPr>
        <w:t>-</w:t>
      </w:r>
      <w:r w:rsidR="00BB3A99">
        <w:rPr>
          <w:sz w:val="24"/>
        </w:rPr>
        <w:t xml:space="preserve">kvoteordningen sker </w:t>
      </w:r>
      <w:r w:rsidRPr="00AE384A">
        <w:rPr>
          <w:sz w:val="24"/>
        </w:rPr>
        <w:t xml:space="preserve">opgørelse på årsbasis, mens afgiftsopgørelsen efter kulafgiftsloven sker på månedsbasis. </w:t>
      </w:r>
      <w:r w:rsidR="00322FCB" w:rsidRPr="00AE384A">
        <w:rPr>
          <w:sz w:val="24"/>
        </w:rPr>
        <w:br/>
        <w:t xml:space="preserve">    </w:t>
      </w:r>
      <w:r w:rsidRPr="00AE384A">
        <w:rPr>
          <w:sz w:val="24"/>
        </w:rPr>
        <w:t>På den baggrund foreslås</w:t>
      </w:r>
      <w:r w:rsidR="00322FCB" w:rsidRPr="00AE384A">
        <w:rPr>
          <w:sz w:val="24"/>
        </w:rPr>
        <w:t xml:space="preserve"> det præciseret</w:t>
      </w:r>
      <w:r w:rsidRPr="00AE384A">
        <w:rPr>
          <w:sz w:val="24"/>
        </w:rPr>
        <w:t>, at når opgørelsen af det faktiske energiindhold i affaldsbrændslet sker på årsbasis efter CO</w:t>
      </w:r>
      <w:r w:rsidRPr="00AE384A">
        <w:rPr>
          <w:sz w:val="24"/>
          <w:vertAlign w:val="subscript"/>
        </w:rPr>
        <w:t>2</w:t>
      </w:r>
      <w:r w:rsidR="002A4E85">
        <w:rPr>
          <w:sz w:val="24"/>
        </w:rPr>
        <w:t>-</w:t>
      </w:r>
      <w:r w:rsidRPr="00AE384A">
        <w:rPr>
          <w:sz w:val="24"/>
        </w:rPr>
        <w:t xml:space="preserve">kvoteordningen, så foretages der i første omgang en foreløbig opgørelse af afgiften for afgiftsperioden. Afgiftsopgørelsen reguleres efterfølgende, så snart det er muligt.  </w:t>
      </w:r>
      <w:r w:rsidR="0087393F" w:rsidRPr="00AE384A">
        <w:rPr>
          <w:sz w:val="24"/>
        </w:rPr>
        <w:t xml:space="preserve">I den foreløbige opgørelse af den afgift, som skal betales </w:t>
      </w:r>
      <w:r w:rsidR="008F2A02" w:rsidRPr="00AE384A">
        <w:rPr>
          <w:sz w:val="24"/>
        </w:rPr>
        <w:lastRenderedPageBreak/>
        <w:t>som</w:t>
      </w:r>
      <w:r w:rsidR="0087393F" w:rsidRPr="00AE384A">
        <w:rPr>
          <w:sz w:val="24"/>
        </w:rPr>
        <w:t xml:space="preserve"> </w:t>
      </w:r>
      <w:r w:rsidR="007F2418">
        <w:rPr>
          <w:sz w:val="24"/>
        </w:rPr>
        <w:t>et acontobeløb</w:t>
      </w:r>
      <w:r w:rsidR="008F2A02" w:rsidRPr="00AE384A">
        <w:rPr>
          <w:sz w:val="24"/>
        </w:rPr>
        <w:t>,</w:t>
      </w:r>
      <w:r w:rsidR="0087393F" w:rsidRPr="00AE384A">
        <w:rPr>
          <w:sz w:val="24"/>
        </w:rPr>
        <w:t xml:space="preserve"> indgår bl.a. sidste års verificerede data i henhold til CO</w:t>
      </w:r>
      <w:r w:rsidR="0087393F" w:rsidRPr="00AE384A">
        <w:rPr>
          <w:sz w:val="24"/>
          <w:vertAlign w:val="subscript"/>
        </w:rPr>
        <w:t>2</w:t>
      </w:r>
      <w:r w:rsidR="0087393F" w:rsidRPr="00AE384A">
        <w:rPr>
          <w:sz w:val="24"/>
        </w:rPr>
        <w:t>-kvoteordningen.</w:t>
      </w:r>
      <w:r w:rsidR="00352B3C">
        <w:rPr>
          <w:sz w:val="24"/>
        </w:rPr>
        <w:t xml:space="preserve"> Hvis der </w:t>
      </w:r>
      <w:r w:rsidR="008D7C6B">
        <w:rPr>
          <w:sz w:val="24"/>
        </w:rPr>
        <w:t xml:space="preserve">for en afgiftsperiode </w:t>
      </w:r>
      <w:r w:rsidR="00352B3C">
        <w:rPr>
          <w:sz w:val="24"/>
        </w:rPr>
        <w:t>foreligger verificerede oplysninger om det faktiske energiindhold i overensstemmelse med CO</w:t>
      </w:r>
      <w:r w:rsidR="00352B3C" w:rsidRPr="001128EC">
        <w:rPr>
          <w:sz w:val="24"/>
          <w:vertAlign w:val="subscript"/>
        </w:rPr>
        <w:t>2</w:t>
      </w:r>
      <w:r w:rsidR="00352B3C">
        <w:rPr>
          <w:sz w:val="24"/>
        </w:rPr>
        <w:t>-kvotelovgivningen</w:t>
      </w:r>
      <w:r w:rsidR="008D7C6B">
        <w:rPr>
          <w:sz w:val="24"/>
        </w:rPr>
        <w:t xml:space="preserve">, som en del af eller </w:t>
      </w:r>
      <w:r w:rsidR="00A23F72">
        <w:rPr>
          <w:sz w:val="24"/>
        </w:rPr>
        <w:t>et tillæg</w:t>
      </w:r>
      <w:r w:rsidR="008D7C6B">
        <w:rPr>
          <w:sz w:val="24"/>
        </w:rPr>
        <w:t xml:space="preserve"> til verifikationen efter CO</w:t>
      </w:r>
      <w:r w:rsidR="008D7C6B" w:rsidRPr="003A09DF">
        <w:rPr>
          <w:sz w:val="24"/>
          <w:vertAlign w:val="subscript"/>
        </w:rPr>
        <w:t>2</w:t>
      </w:r>
      <w:r w:rsidR="008D7C6B">
        <w:rPr>
          <w:sz w:val="24"/>
        </w:rPr>
        <w:t>-kvotelovgivningen</w:t>
      </w:r>
      <w:r w:rsidR="00352B3C">
        <w:rPr>
          <w:sz w:val="24"/>
        </w:rPr>
        <w:t xml:space="preserve">, anvendes </w:t>
      </w:r>
      <w:r w:rsidR="008D7C6B">
        <w:rPr>
          <w:sz w:val="24"/>
        </w:rPr>
        <w:t>disse oplysning</w:t>
      </w:r>
      <w:r w:rsidR="00352B3C">
        <w:rPr>
          <w:sz w:val="24"/>
        </w:rPr>
        <w:t>er ved opgørelsen for afgiftsperioden.</w:t>
      </w:r>
      <w:r w:rsidR="00A23F72">
        <w:rPr>
          <w:sz w:val="24"/>
        </w:rPr>
        <w:t xml:space="preserve"> </w:t>
      </w:r>
      <w:r w:rsidR="00D928AC">
        <w:rPr>
          <w:sz w:val="24"/>
        </w:rPr>
        <w:t xml:space="preserve">I modsat fald </w:t>
      </w:r>
      <w:r w:rsidR="00DB43CF">
        <w:rPr>
          <w:sz w:val="24"/>
        </w:rPr>
        <w:t>foretages</w:t>
      </w:r>
      <w:r w:rsidR="00D928AC">
        <w:rPr>
          <w:sz w:val="24"/>
        </w:rPr>
        <w:t xml:space="preserve"> afgiftsopgørelsen for de relevante afgiftsperioder </w:t>
      </w:r>
      <w:r w:rsidR="00DB43CF">
        <w:rPr>
          <w:sz w:val="24"/>
        </w:rPr>
        <w:t>samlet.</w:t>
      </w:r>
      <w:r w:rsidR="00D928AC">
        <w:rPr>
          <w:sz w:val="24"/>
        </w:rPr>
        <w:t xml:space="preserve"> </w:t>
      </w:r>
      <w:r w:rsidR="00DB43CF">
        <w:rPr>
          <w:sz w:val="24"/>
        </w:rPr>
        <w:t>U</w:t>
      </w:r>
      <w:r w:rsidR="00C24D52">
        <w:rPr>
          <w:sz w:val="24"/>
        </w:rPr>
        <w:t>dgifter til verifikation for enkelte afgiftsperioder afholdes af virksomheden.”</w:t>
      </w:r>
      <w:r w:rsidR="00C24D52" w:rsidRPr="00AE384A">
        <w:rPr>
          <w:sz w:val="24"/>
        </w:rPr>
        <w:t xml:space="preserve">    </w:t>
      </w:r>
      <w:r w:rsidR="00C24D52" w:rsidRPr="00AE384A">
        <w:rPr>
          <w:sz w:val="24"/>
        </w:rPr>
        <w:br/>
      </w:r>
      <w:r w:rsidR="0087393F" w:rsidRPr="00AE384A">
        <w:rPr>
          <w:sz w:val="24"/>
        </w:rPr>
        <w:t xml:space="preserve">    </w:t>
      </w:r>
    </w:p>
    <w:p w:rsidR="002F2E68" w:rsidRPr="00AE384A" w:rsidRDefault="002F2E68" w:rsidP="00AE384A">
      <w:pPr>
        <w:spacing w:line="276" w:lineRule="auto"/>
        <w:rPr>
          <w:sz w:val="24"/>
        </w:rPr>
      </w:pPr>
    </w:p>
    <w:p w:rsidR="002F2E68" w:rsidRPr="00AE384A" w:rsidRDefault="002F2E68" w:rsidP="00AE384A">
      <w:pPr>
        <w:spacing w:line="276" w:lineRule="auto"/>
        <w:rPr>
          <w:sz w:val="24"/>
        </w:rPr>
      </w:pPr>
      <w:r w:rsidRPr="00AE384A">
        <w:rPr>
          <w:sz w:val="24"/>
        </w:rPr>
        <w:t>Til nr. 3 og 4</w:t>
      </w:r>
    </w:p>
    <w:p w:rsidR="0017665D" w:rsidRPr="00AE384A" w:rsidRDefault="0017665D" w:rsidP="00AE384A">
      <w:pPr>
        <w:spacing w:line="276" w:lineRule="auto"/>
        <w:rPr>
          <w:sz w:val="24"/>
        </w:rPr>
      </w:pPr>
      <w:r w:rsidRPr="00AE384A">
        <w:rPr>
          <w:sz w:val="24"/>
        </w:rPr>
        <w:t>Med forslagets nr. 3 og 4 foreslås tilføjelser til henholdsvis stk. 5 og 6 i</w:t>
      </w:r>
      <w:r w:rsidR="001B410B">
        <w:rPr>
          <w:sz w:val="24"/>
        </w:rPr>
        <w:t xml:space="preserve"> </w:t>
      </w:r>
      <w:r w:rsidRPr="00AE384A">
        <w:rPr>
          <w:sz w:val="24"/>
        </w:rPr>
        <w:t>kulafgiftsloven</w:t>
      </w:r>
      <w:r w:rsidR="001B410B">
        <w:rPr>
          <w:sz w:val="24"/>
        </w:rPr>
        <w:t>s § 5</w:t>
      </w:r>
      <w:r w:rsidRPr="00AE384A">
        <w:rPr>
          <w:sz w:val="24"/>
        </w:rPr>
        <w:t xml:space="preserve">. </w:t>
      </w:r>
      <w:r w:rsidRPr="00AE384A">
        <w:rPr>
          <w:sz w:val="24"/>
        </w:rPr>
        <w:br/>
        <w:t xml:space="preserve">    De nugæld</w:t>
      </w:r>
      <w:r w:rsidR="00BB3A99">
        <w:rPr>
          <w:sz w:val="24"/>
        </w:rPr>
        <w:t>ende bestemmelser i stk. 5 og 6</w:t>
      </w:r>
      <w:r w:rsidRPr="00AE384A">
        <w:rPr>
          <w:sz w:val="24"/>
        </w:rPr>
        <w:t xml:space="preserve"> i kulafgiftsloven</w:t>
      </w:r>
      <w:r w:rsidR="001C45A5">
        <w:rPr>
          <w:sz w:val="24"/>
        </w:rPr>
        <w:t>s § 5</w:t>
      </w:r>
      <w:r w:rsidRPr="00AE384A">
        <w:rPr>
          <w:sz w:val="24"/>
        </w:rPr>
        <w:t xml:space="preserve"> vedrører opgørelsen af tillægsafgiften for affald anvendt som brændsel i anlæg, som er omfattet af CO</w:t>
      </w:r>
      <w:r w:rsidRPr="00AE384A">
        <w:rPr>
          <w:sz w:val="24"/>
          <w:vertAlign w:val="subscript"/>
        </w:rPr>
        <w:t>2</w:t>
      </w:r>
      <w:r w:rsidRPr="00AE384A">
        <w:rPr>
          <w:sz w:val="24"/>
        </w:rPr>
        <w:t>-kvoter, dvs. anlæg for hvilke virksomheder har tilladelse til udledning af CO</w:t>
      </w:r>
      <w:r w:rsidRPr="00AE384A">
        <w:rPr>
          <w:sz w:val="24"/>
          <w:vertAlign w:val="subscript"/>
        </w:rPr>
        <w:t>2</w:t>
      </w:r>
      <w:r w:rsidRPr="00AE384A">
        <w:rPr>
          <w:sz w:val="24"/>
        </w:rPr>
        <w:t xml:space="preserve"> efter lov om CO</w:t>
      </w:r>
      <w:r w:rsidRPr="00AE384A">
        <w:rPr>
          <w:sz w:val="24"/>
          <w:vertAlign w:val="subscript"/>
        </w:rPr>
        <w:t>2</w:t>
      </w:r>
      <w:r w:rsidR="001B410B">
        <w:rPr>
          <w:sz w:val="24"/>
        </w:rPr>
        <w:t>-</w:t>
      </w:r>
      <w:r w:rsidRPr="00AE384A">
        <w:rPr>
          <w:sz w:val="24"/>
        </w:rPr>
        <w:t>kvoter. Bestemmelsen i § 5, stk. 5, vedrører de centrale værker, som er nævnt i bilag 1 til kulafgiftsloven, mens bestemmelsen i § 5, stk. 6, vedrører de ikke centrale værker. Opgørelsesreglerne er dog de samme. Virksomhederne skal efter de gældende regler opgøre tillægsafgiften med udgangspunkt i det faktiske energiindhold i det indfyrede afgiftspligtige affald fo</w:t>
      </w:r>
      <w:r w:rsidR="00BB3A99">
        <w:rPr>
          <w:sz w:val="24"/>
        </w:rPr>
        <w:t>r anlægget.</w:t>
      </w:r>
      <w:r w:rsidRPr="00AE384A">
        <w:rPr>
          <w:sz w:val="24"/>
        </w:rPr>
        <w:br/>
        <w:t xml:space="preserve">    Med den foreslåede tilføjelse til henholdsvis stk. 5 og 6 i kulafgiftsloven</w:t>
      </w:r>
      <w:r w:rsidR="001B410B">
        <w:rPr>
          <w:sz w:val="24"/>
        </w:rPr>
        <w:t>s § 5</w:t>
      </w:r>
      <w:r w:rsidRPr="00AE384A">
        <w:rPr>
          <w:sz w:val="24"/>
        </w:rPr>
        <w:t xml:space="preserve"> foreslås regler for opgørelse af tillægsafgiften i forbinde</w:t>
      </w:r>
      <w:r w:rsidR="000325FE">
        <w:rPr>
          <w:sz w:val="24"/>
        </w:rPr>
        <w:t>lse med affaldsforbrænding på</w:t>
      </w:r>
      <w:r w:rsidRPr="00AE384A">
        <w:rPr>
          <w:sz w:val="24"/>
        </w:rPr>
        <w:t xml:space="preserve"> CO</w:t>
      </w:r>
      <w:r w:rsidRPr="00AE384A">
        <w:rPr>
          <w:sz w:val="24"/>
          <w:vertAlign w:val="subscript"/>
        </w:rPr>
        <w:t>2</w:t>
      </w:r>
      <w:r w:rsidR="001B410B">
        <w:rPr>
          <w:sz w:val="24"/>
        </w:rPr>
        <w:t>-</w:t>
      </w:r>
      <w:r w:rsidRPr="00AE384A">
        <w:rPr>
          <w:sz w:val="24"/>
        </w:rPr>
        <w:t xml:space="preserve">kvoteomfattede </w:t>
      </w:r>
      <w:r w:rsidR="000325FE">
        <w:rPr>
          <w:sz w:val="24"/>
        </w:rPr>
        <w:t>anlæg</w:t>
      </w:r>
      <w:r w:rsidRPr="00AE384A">
        <w:rPr>
          <w:sz w:val="24"/>
        </w:rPr>
        <w:t>, hvis det faktiske energiindhold i den indfyrede mængde afgiftspligtigt affald ikke opgøres i forbindelse med opgørelsen af udledt</w:t>
      </w:r>
      <w:r w:rsidR="006C78E7">
        <w:rPr>
          <w:sz w:val="24"/>
        </w:rPr>
        <w:t xml:space="preserve"> CO</w:t>
      </w:r>
      <w:r w:rsidR="006C78E7" w:rsidRPr="006C78E7">
        <w:rPr>
          <w:sz w:val="24"/>
          <w:vertAlign w:val="subscript"/>
        </w:rPr>
        <w:t>2</w:t>
      </w:r>
      <w:r w:rsidRPr="00AE384A">
        <w:rPr>
          <w:sz w:val="24"/>
        </w:rPr>
        <w:t>, jf. lov om CO</w:t>
      </w:r>
      <w:r w:rsidRPr="00AE384A">
        <w:rPr>
          <w:sz w:val="24"/>
          <w:vertAlign w:val="subscript"/>
        </w:rPr>
        <w:t>2</w:t>
      </w:r>
      <w:r w:rsidRPr="00AE384A">
        <w:rPr>
          <w:sz w:val="24"/>
        </w:rPr>
        <w:t>-kvoter. Det foreslås således, at den afgiftspligtige mængde for denne situation skal opgøres efter de regler, som gælder for affaldsforbrændingsanlæg, som ikke er CO</w:t>
      </w:r>
      <w:r w:rsidRPr="00AE384A">
        <w:rPr>
          <w:sz w:val="24"/>
          <w:vertAlign w:val="subscript"/>
        </w:rPr>
        <w:t>2</w:t>
      </w:r>
      <w:r w:rsidR="001B410B">
        <w:rPr>
          <w:sz w:val="24"/>
        </w:rPr>
        <w:t>-</w:t>
      </w:r>
      <w:r w:rsidRPr="00AE384A">
        <w:rPr>
          <w:sz w:val="24"/>
        </w:rPr>
        <w:t xml:space="preserve"> kvoteomfattede. Det vil sige aktuelt efter reglerne i § 5, stk. 7-13, i kulafgiftslo</w:t>
      </w:r>
      <w:r w:rsidR="00B33944">
        <w:rPr>
          <w:sz w:val="24"/>
        </w:rPr>
        <w:t xml:space="preserve">ven, jf. dog nedenstående om </w:t>
      </w:r>
      <w:r w:rsidRPr="00AE384A">
        <w:rPr>
          <w:sz w:val="24"/>
        </w:rPr>
        <w:t xml:space="preserve">fradrag for bortkølet varme. </w:t>
      </w:r>
    </w:p>
    <w:p w:rsidR="0017665D" w:rsidRPr="00AE384A" w:rsidRDefault="0017665D" w:rsidP="00AE384A">
      <w:pPr>
        <w:spacing w:line="276" w:lineRule="auto"/>
        <w:rPr>
          <w:sz w:val="24"/>
        </w:rPr>
      </w:pPr>
      <w:r w:rsidRPr="00AE384A">
        <w:rPr>
          <w:sz w:val="24"/>
        </w:rPr>
        <w:t xml:space="preserve">    For så vidt angår reglerne i § 5, stk. 11, 2.-6. pkt., hvorefter ikke CO</w:t>
      </w:r>
      <w:r w:rsidRPr="00AE384A">
        <w:rPr>
          <w:sz w:val="24"/>
          <w:vertAlign w:val="subscript"/>
        </w:rPr>
        <w:t>2</w:t>
      </w:r>
      <w:r w:rsidR="001B410B">
        <w:rPr>
          <w:sz w:val="24"/>
        </w:rPr>
        <w:t>-</w:t>
      </w:r>
      <w:r w:rsidRPr="00AE384A">
        <w:rPr>
          <w:sz w:val="24"/>
        </w:rPr>
        <w:t>kvoteomfattede virksomheder på visse betingelser kan opnå et fradrag i den afgiftspligtige mængde for bortkølet varme, foreslås, at dette fradrag tilsvarende skal kunne opnås for CO</w:t>
      </w:r>
      <w:r w:rsidRPr="00AE384A">
        <w:rPr>
          <w:sz w:val="24"/>
          <w:vertAlign w:val="subscript"/>
        </w:rPr>
        <w:t>2</w:t>
      </w:r>
      <w:r w:rsidR="001B410B">
        <w:rPr>
          <w:sz w:val="24"/>
        </w:rPr>
        <w:t>-</w:t>
      </w:r>
      <w:r w:rsidRPr="00AE384A">
        <w:rPr>
          <w:sz w:val="24"/>
        </w:rPr>
        <w:t>kvoteomfattede virksomheder, som er nytilkomne CO</w:t>
      </w:r>
      <w:r w:rsidRPr="00AE384A">
        <w:rPr>
          <w:sz w:val="24"/>
          <w:vertAlign w:val="subscript"/>
        </w:rPr>
        <w:t>2</w:t>
      </w:r>
      <w:r w:rsidR="001B410B">
        <w:rPr>
          <w:sz w:val="24"/>
        </w:rPr>
        <w:t>-</w:t>
      </w:r>
      <w:r w:rsidRPr="00AE384A">
        <w:rPr>
          <w:sz w:val="24"/>
        </w:rPr>
        <w:t xml:space="preserve">kvoteomfattede virksomheder. Dermed fastholdes fradraget til </w:t>
      </w:r>
      <w:r w:rsidR="00701E86" w:rsidRPr="00AE384A">
        <w:rPr>
          <w:sz w:val="24"/>
        </w:rPr>
        <w:t>kun</w:t>
      </w:r>
      <w:r w:rsidRPr="00AE384A">
        <w:rPr>
          <w:sz w:val="24"/>
        </w:rPr>
        <w:t xml:space="preserve"> at gælde for den kreds af virksomheder, som kan opnå det i dag.     </w:t>
      </w:r>
    </w:p>
    <w:p w:rsidR="00087619" w:rsidRPr="00AE384A" w:rsidRDefault="0017665D" w:rsidP="003A09DF">
      <w:pPr>
        <w:widowControl/>
        <w:tabs>
          <w:tab w:val="left" w:pos="284"/>
        </w:tabs>
        <w:spacing w:after="240" w:line="276" w:lineRule="auto"/>
        <w:rPr>
          <w:sz w:val="24"/>
        </w:rPr>
      </w:pPr>
      <w:r w:rsidRPr="00AE384A">
        <w:rPr>
          <w:sz w:val="24"/>
        </w:rPr>
        <w:t xml:space="preserve">    End</w:t>
      </w:r>
      <w:r w:rsidR="00A0562C" w:rsidRPr="00AE384A">
        <w:rPr>
          <w:sz w:val="24"/>
        </w:rPr>
        <w:t>videre</w:t>
      </w:r>
      <w:r w:rsidRPr="00AE384A">
        <w:rPr>
          <w:sz w:val="24"/>
        </w:rPr>
        <w:t xml:space="preserve"> </w:t>
      </w:r>
      <w:r w:rsidR="000B643D" w:rsidRPr="00AE384A">
        <w:rPr>
          <w:sz w:val="24"/>
        </w:rPr>
        <w:t xml:space="preserve">foreslås det </w:t>
      </w:r>
      <w:r w:rsidRPr="00AE384A">
        <w:rPr>
          <w:sz w:val="24"/>
        </w:rPr>
        <w:t>præcisere</w:t>
      </w:r>
      <w:r w:rsidR="000B643D" w:rsidRPr="00AE384A">
        <w:rPr>
          <w:sz w:val="24"/>
        </w:rPr>
        <w:t>t</w:t>
      </w:r>
      <w:r w:rsidRPr="00AE384A">
        <w:rPr>
          <w:sz w:val="24"/>
        </w:rPr>
        <w:t>, at hvis det faktiske energiindhold i den indfyrede mængde afgiftspligtigt affald opgøres i overensstemmelse med reglerne for CO</w:t>
      </w:r>
      <w:r w:rsidRPr="00AE384A">
        <w:rPr>
          <w:sz w:val="24"/>
          <w:vertAlign w:val="subscript"/>
        </w:rPr>
        <w:t>2</w:t>
      </w:r>
      <w:r w:rsidR="001B410B">
        <w:rPr>
          <w:sz w:val="24"/>
        </w:rPr>
        <w:t>-</w:t>
      </w:r>
      <w:r w:rsidRPr="00AE384A">
        <w:rPr>
          <w:sz w:val="24"/>
        </w:rPr>
        <w:t>kvoteomfattede virksomheder for en periode, der ikke svarer til afgiftsperioden, og som er længere end afgiftsperioden, så skal virksomheden foretage en foreløbig afgiftsopgørelse for afgiftsperioden. Så snart den endelige opgørelse efter CO</w:t>
      </w:r>
      <w:r w:rsidRPr="00AE384A">
        <w:rPr>
          <w:sz w:val="24"/>
          <w:vertAlign w:val="subscript"/>
        </w:rPr>
        <w:t>2</w:t>
      </w:r>
      <w:r w:rsidR="001B410B">
        <w:rPr>
          <w:sz w:val="24"/>
        </w:rPr>
        <w:t>-</w:t>
      </w:r>
      <w:r w:rsidRPr="00AE384A">
        <w:rPr>
          <w:sz w:val="24"/>
        </w:rPr>
        <w:t xml:space="preserve">kvotereglerne foreligger, </w:t>
      </w:r>
      <w:r w:rsidR="00A820DE" w:rsidRPr="00AE384A">
        <w:rPr>
          <w:sz w:val="24"/>
        </w:rPr>
        <w:t xml:space="preserve">opgøres og </w:t>
      </w:r>
      <w:r w:rsidRPr="00AE384A">
        <w:rPr>
          <w:sz w:val="24"/>
        </w:rPr>
        <w:t>afregnes afgiften for afgiftsperioderne endeligt.</w:t>
      </w:r>
      <w:r w:rsidR="0087393F" w:rsidRPr="00AE384A">
        <w:rPr>
          <w:sz w:val="24"/>
        </w:rPr>
        <w:t xml:space="preserve"> I den foreløbige opgørelse af den afgift, </w:t>
      </w:r>
      <w:r w:rsidR="004B38AD" w:rsidRPr="00AE384A">
        <w:rPr>
          <w:sz w:val="24"/>
        </w:rPr>
        <w:t xml:space="preserve">som skal </w:t>
      </w:r>
      <w:r w:rsidR="00605FFD" w:rsidRPr="00AE384A">
        <w:rPr>
          <w:sz w:val="24"/>
        </w:rPr>
        <w:t xml:space="preserve">betales </w:t>
      </w:r>
      <w:r w:rsidR="004B38AD" w:rsidRPr="00AE384A">
        <w:rPr>
          <w:sz w:val="24"/>
        </w:rPr>
        <w:t xml:space="preserve">som </w:t>
      </w:r>
      <w:r w:rsidR="001B410B">
        <w:rPr>
          <w:sz w:val="24"/>
        </w:rPr>
        <w:t>et acontobeløb</w:t>
      </w:r>
      <w:r w:rsidR="004B38AD" w:rsidRPr="00AE384A">
        <w:rPr>
          <w:sz w:val="24"/>
        </w:rPr>
        <w:t>,</w:t>
      </w:r>
      <w:r w:rsidR="0087393F" w:rsidRPr="00AE384A">
        <w:rPr>
          <w:sz w:val="24"/>
        </w:rPr>
        <w:t xml:space="preserve"> indgår </w:t>
      </w:r>
      <w:r w:rsidR="004B38AD" w:rsidRPr="00AE384A">
        <w:rPr>
          <w:sz w:val="24"/>
        </w:rPr>
        <w:t xml:space="preserve">om muligt </w:t>
      </w:r>
      <w:r w:rsidR="0087393F" w:rsidRPr="00AE384A">
        <w:rPr>
          <w:sz w:val="24"/>
        </w:rPr>
        <w:t>bl.a. sidste års verificerede data i henhold til CO</w:t>
      </w:r>
      <w:r w:rsidR="0087393F" w:rsidRPr="00AE384A">
        <w:rPr>
          <w:sz w:val="24"/>
          <w:vertAlign w:val="subscript"/>
        </w:rPr>
        <w:t>2</w:t>
      </w:r>
      <w:r w:rsidR="0087393F" w:rsidRPr="00AE384A">
        <w:rPr>
          <w:sz w:val="24"/>
        </w:rPr>
        <w:t xml:space="preserve">-kvoteordningen. For affaldsforbrændingsanlæg, der ikke </w:t>
      </w:r>
      <w:r w:rsidR="00073AFB" w:rsidRPr="00AE384A">
        <w:rPr>
          <w:sz w:val="24"/>
        </w:rPr>
        <w:t>tidligere</w:t>
      </w:r>
      <w:r w:rsidR="0087393F" w:rsidRPr="00AE384A">
        <w:rPr>
          <w:sz w:val="24"/>
        </w:rPr>
        <w:t xml:space="preserve"> har været </w:t>
      </w:r>
      <w:r w:rsidR="00073AFB" w:rsidRPr="00AE384A">
        <w:rPr>
          <w:sz w:val="24"/>
        </w:rPr>
        <w:t>CO</w:t>
      </w:r>
      <w:r w:rsidR="00073AFB" w:rsidRPr="00F31EDD">
        <w:rPr>
          <w:sz w:val="24"/>
          <w:vertAlign w:val="subscript"/>
        </w:rPr>
        <w:t>2</w:t>
      </w:r>
      <w:r w:rsidR="001B410B">
        <w:rPr>
          <w:sz w:val="24"/>
        </w:rPr>
        <w:t>-</w:t>
      </w:r>
      <w:r w:rsidR="0087393F" w:rsidRPr="00AE384A">
        <w:rPr>
          <w:sz w:val="24"/>
        </w:rPr>
        <w:t>kvoteomfattede, men som blive</w:t>
      </w:r>
      <w:r w:rsidR="00073AFB" w:rsidRPr="00AE384A">
        <w:rPr>
          <w:sz w:val="24"/>
        </w:rPr>
        <w:t>r det</w:t>
      </w:r>
      <w:r w:rsidR="0087393F" w:rsidRPr="00AE384A">
        <w:rPr>
          <w:sz w:val="24"/>
        </w:rPr>
        <w:t xml:space="preserve">, baseres den foreløbige opgørelse </w:t>
      </w:r>
      <w:r w:rsidR="00073AFB" w:rsidRPr="00AE384A">
        <w:rPr>
          <w:sz w:val="24"/>
        </w:rPr>
        <w:t xml:space="preserve">af </w:t>
      </w:r>
      <w:r w:rsidR="0087393F" w:rsidRPr="00AE384A">
        <w:rPr>
          <w:sz w:val="24"/>
        </w:rPr>
        <w:t>afgiften på et kvalificeret skøn, som skal kunne dokumenteres.</w:t>
      </w:r>
      <w:r w:rsidR="00AB59A5">
        <w:rPr>
          <w:sz w:val="24"/>
        </w:rPr>
        <w:t xml:space="preserve"> </w:t>
      </w:r>
      <w:r w:rsidR="00114CAB">
        <w:rPr>
          <w:sz w:val="24"/>
        </w:rPr>
        <w:t xml:space="preserve">Hvis der for en afgiftsperiode foreligger </w:t>
      </w:r>
      <w:r w:rsidR="00114CAB">
        <w:rPr>
          <w:sz w:val="24"/>
        </w:rPr>
        <w:lastRenderedPageBreak/>
        <w:t>verificerede oplysninger om det faktiske energiindhold i overensstemmelse med CO</w:t>
      </w:r>
      <w:r w:rsidR="00114CAB" w:rsidRPr="001128EC">
        <w:rPr>
          <w:sz w:val="24"/>
          <w:vertAlign w:val="subscript"/>
        </w:rPr>
        <w:t>2</w:t>
      </w:r>
      <w:r w:rsidR="00114CAB">
        <w:rPr>
          <w:sz w:val="24"/>
        </w:rPr>
        <w:t>-kvotelovgivningen, som en del af eller et tillæg til verifikationen efter CO</w:t>
      </w:r>
      <w:r w:rsidR="00114CAB" w:rsidRPr="001128EC">
        <w:rPr>
          <w:sz w:val="24"/>
          <w:vertAlign w:val="subscript"/>
        </w:rPr>
        <w:t>2</w:t>
      </w:r>
      <w:r w:rsidR="00114CAB">
        <w:rPr>
          <w:sz w:val="24"/>
        </w:rPr>
        <w:t>-kvotelovgivningen, anvendes disse oplysninger ved opgørelsen for afgiftsperioden. I modsat fald foretages afgiftsopgørelsen for de relevante afgiftsperioder samlet. Udgifter til verifikation for enkelte afgiftsperioder afholdes af virksomheden.”</w:t>
      </w:r>
      <w:r w:rsidR="00114CAB" w:rsidRPr="00AE384A">
        <w:rPr>
          <w:sz w:val="24"/>
        </w:rPr>
        <w:t xml:space="preserve">   </w:t>
      </w:r>
      <w:r w:rsidR="0087393F" w:rsidRPr="00AE384A">
        <w:rPr>
          <w:sz w:val="24"/>
        </w:rPr>
        <w:t xml:space="preserve">   </w:t>
      </w:r>
      <w:r w:rsidR="00A0562C" w:rsidRPr="00AE384A">
        <w:rPr>
          <w:sz w:val="24"/>
        </w:rPr>
        <w:br/>
      </w:r>
    </w:p>
    <w:p w:rsidR="002634C4" w:rsidRPr="00AE384A" w:rsidRDefault="002634C4" w:rsidP="00AE384A">
      <w:pPr>
        <w:spacing w:line="276" w:lineRule="auto"/>
        <w:rPr>
          <w:sz w:val="24"/>
        </w:rPr>
      </w:pPr>
    </w:p>
    <w:p w:rsidR="002634C4" w:rsidRPr="00AE384A" w:rsidRDefault="002634C4" w:rsidP="00AE384A">
      <w:pPr>
        <w:spacing w:line="276" w:lineRule="auto"/>
        <w:jc w:val="center"/>
        <w:rPr>
          <w:i/>
          <w:iCs/>
          <w:sz w:val="24"/>
        </w:rPr>
      </w:pPr>
      <w:r w:rsidRPr="00AE384A">
        <w:rPr>
          <w:i/>
          <w:iCs/>
          <w:sz w:val="24"/>
        </w:rPr>
        <w:t>Til § 2</w:t>
      </w:r>
    </w:p>
    <w:p w:rsidR="002634C4" w:rsidRPr="00AE384A" w:rsidRDefault="002634C4" w:rsidP="00AE384A">
      <w:pPr>
        <w:spacing w:line="276" w:lineRule="auto"/>
        <w:jc w:val="center"/>
        <w:rPr>
          <w:sz w:val="24"/>
        </w:rPr>
      </w:pPr>
    </w:p>
    <w:p w:rsidR="002634C4" w:rsidRPr="00AE384A" w:rsidRDefault="00820634" w:rsidP="00AE384A">
      <w:pPr>
        <w:spacing w:line="276" w:lineRule="auto"/>
        <w:rPr>
          <w:sz w:val="24"/>
        </w:rPr>
      </w:pPr>
      <w:r w:rsidRPr="00AE384A">
        <w:rPr>
          <w:sz w:val="24"/>
        </w:rPr>
        <w:t>Til nr. 1</w:t>
      </w:r>
    </w:p>
    <w:p w:rsidR="0005490D" w:rsidRPr="00904DC4" w:rsidRDefault="0005490D" w:rsidP="0005490D">
      <w:pPr>
        <w:spacing w:line="276" w:lineRule="auto"/>
        <w:rPr>
          <w:color w:val="000000"/>
          <w:sz w:val="24"/>
        </w:rPr>
      </w:pPr>
      <w:r w:rsidRPr="00F415FB">
        <w:rPr>
          <w:color w:val="000000"/>
          <w:sz w:val="24"/>
        </w:rPr>
        <w:t xml:space="preserve">Den gældende bestemmelse i </w:t>
      </w:r>
      <w:r w:rsidRPr="00904DC4">
        <w:rPr>
          <w:color w:val="000000"/>
          <w:sz w:val="24"/>
        </w:rPr>
        <w:t>CO</w:t>
      </w:r>
      <w:r w:rsidRPr="00904DC4">
        <w:rPr>
          <w:color w:val="000000"/>
          <w:sz w:val="24"/>
          <w:vertAlign w:val="subscript"/>
        </w:rPr>
        <w:t>2</w:t>
      </w:r>
      <w:r w:rsidRPr="00904DC4">
        <w:rPr>
          <w:color w:val="000000"/>
          <w:sz w:val="24"/>
        </w:rPr>
        <w:t xml:space="preserve">-afgiftslovens § 5, stk. </w:t>
      </w:r>
      <w:r w:rsidR="001C45A5">
        <w:rPr>
          <w:color w:val="000000"/>
          <w:sz w:val="24"/>
        </w:rPr>
        <w:t>2</w:t>
      </w:r>
      <w:r w:rsidRPr="00904DC4">
        <w:rPr>
          <w:color w:val="000000"/>
          <w:sz w:val="24"/>
        </w:rPr>
        <w:t>, rumme</w:t>
      </w:r>
      <w:r w:rsidR="00D07E91">
        <w:rPr>
          <w:color w:val="000000"/>
          <w:sz w:val="24"/>
        </w:rPr>
        <w:t>r fire punktummer. Bestemmelsens</w:t>
      </w:r>
      <w:r w:rsidRPr="00904DC4">
        <w:rPr>
          <w:color w:val="000000"/>
          <w:sz w:val="24"/>
        </w:rPr>
        <w:t xml:space="preserve"> fire punktummer foreslås ikke ændret, men indholdet </w:t>
      </w:r>
      <w:r w:rsidR="0081082E">
        <w:rPr>
          <w:color w:val="000000"/>
          <w:sz w:val="24"/>
        </w:rPr>
        <w:t>bliver</w:t>
      </w:r>
      <w:r w:rsidRPr="00904DC4">
        <w:rPr>
          <w:color w:val="000000"/>
          <w:sz w:val="24"/>
        </w:rPr>
        <w:t xml:space="preserve"> alligevel ændret som følge af, at der i bestemmelsen henvises til bestemmelser i kulafgiftsloven, som for</w:t>
      </w:r>
      <w:r w:rsidR="0081082E">
        <w:rPr>
          <w:color w:val="000000"/>
          <w:sz w:val="24"/>
        </w:rPr>
        <w:t xml:space="preserve">eslås ændret. Bestemmelsens 2. </w:t>
      </w:r>
      <w:r w:rsidR="00350A69">
        <w:rPr>
          <w:color w:val="000000"/>
          <w:sz w:val="24"/>
        </w:rPr>
        <w:t xml:space="preserve">og 3. pkt., som vedrører </w:t>
      </w:r>
      <w:r w:rsidRPr="00904DC4">
        <w:rPr>
          <w:color w:val="000000"/>
          <w:sz w:val="24"/>
        </w:rPr>
        <w:t>nærmere opgørelse af energiindholdet i CO</w:t>
      </w:r>
      <w:r w:rsidRPr="00904DC4">
        <w:rPr>
          <w:color w:val="000000"/>
          <w:sz w:val="24"/>
          <w:vertAlign w:val="subscript"/>
        </w:rPr>
        <w:t xml:space="preserve">2 </w:t>
      </w:r>
      <w:r w:rsidRPr="00904DC4">
        <w:rPr>
          <w:color w:val="000000"/>
          <w:sz w:val="24"/>
        </w:rPr>
        <w:t>-afgiftspligtig affald, henviser således til regler i henholdsvis stk</w:t>
      </w:r>
      <w:r w:rsidR="0081082E">
        <w:rPr>
          <w:color w:val="000000"/>
          <w:sz w:val="24"/>
        </w:rPr>
        <w:t xml:space="preserve">. 5 og </w:t>
      </w:r>
      <w:r w:rsidRPr="00904DC4">
        <w:rPr>
          <w:color w:val="000000"/>
          <w:sz w:val="24"/>
        </w:rPr>
        <w:t>6 i kulafgiftslo</w:t>
      </w:r>
      <w:r w:rsidR="00350A69">
        <w:rPr>
          <w:color w:val="000000"/>
          <w:sz w:val="24"/>
        </w:rPr>
        <w:t xml:space="preserve">vens § 5, som igen vedrører </w:t>
      </w:r>
      <w:r w:rsidRPr="00904DC4">
        <w:rPr>
          <w:color w:val="000000"/>
          <w:sz w:val="24"/>
        </w:rPr>
        <w:t xml:space="preserve">nærmere opgørelse af energiindholdet i affald i forbindelse med tillægsafgiften. </w:t>
      </w:r>
      <w:r w:rsidR="0081082E" w:rsidRPr="007D6BDF">
        <w:rPr>
          <w:color w:val="000000"/>
          <w:sz w:val="24"/>
        </w:rPr>
        <w:t xml:space="preserve">Sidstnævnte stk. 5 og </w:t>
      </w:r>
      <w:r w:rsidR="0081082E" w:rsidRPr="008959EE">
        <w:rPr>
          <w:color w:val="000000"/>
          <w:sz w:val="24"/>
        </w:rPr>
        <w:t>6 i kulafgiftslovens § 5 foreslås som nævnt foran ændret</w:t>
      </w:r>
      <w:r w:rsidR="00D07E91">
        <w:rPr>
          <w:color w:val="000000"/>
          <w:sz w:val="24"/>
        </w:rPr>
        <w:t>.</w:t>
      </w:r>
      <w:r w:rsidR="0081082E" w:rsidRPr="008959EE">
        <w:rPr>
          <w:iCs/>
          <w:sz w:val="24"/>
        </w:rPr>
        <w:t xml:space="preserve"> </w:t>
      </w:r>
      <w:r w:rsidR="0081082E">
        <w:rPr>
          <w:iCs/>
          <w:sz w:val="24"/>
        </w:rPr>
        <w:t xml:space="preserve">Alt dette </w:t>
      </w:r>
      <w:r w:rsidR="0081082E">
        <w:rPr>
          <w:color w:val="000000"/>
          <w:sz w:val="24"/>
        </w:rPr>
        <w:t>indebærer</w:t>
      </w:r>
      <w:r w:rsidRPr="00904DC4">
        <w:rPr>
          <w:iCs/>
          <w:sz w:val="24"/>
        </w:rPr>
        <w:t xml:space="preserve">, at </w:t>
      </w:r>
      <w:r w:rsidRPr="00904DC4">
        <w:rPr>
          <w:color w:val="000000"/>
          <w:sz w:val="24"/>
        </w:rPr>
        <w:t>CO</w:t>
      </w:r>
      <w:r w:rsidRPr="00904DC4">
        <w:rPr>
          <w:color w:val="000000"/>
          <w:sz w:val="24"/>
          <w:vertAlign w:val="subscript"/>
        </w:rPr>
        <w:t>2</w:t>
      </w:r>
      <w:r w:rsidR="0081082E">
        <w:rPr>
          <w:color w:val="000000"/>
          <w:sz w:val="24"/>
        </w:rPr>
        <w:t>-</w:t>
      </w:r>
      <w:r w:rsidRPr="00904DC4">
        <w:rPr>
          <w:color w:val="000000"/>
          <w:sz w:val="24"/>
        </w:rPr>
        <w:t>kvoteomfattede virksomheder, når de skal opgøre energiindholdet i affald til beregning af CO</w:t>
      </w:r>
      <w:r w:rsidRPr="00904DC4">
        <w:rPr>
          <w:color w:val="000000"/>
          <w:sz w:val="24"/>
          <w:vertAlign w:val="subscript"/>
        </w:rPr>
        <w:t>2</w:t>
      </w:r>
      <w:r w:rsidRPr="00904DC4">
        <w:rPr>
          <w:color w:val="000000"/>
          <w:sz w:val="24"/>
        </w:rPr>
        <w:t xml:space="preserve">-afgift, fortsat skal opgøre energiindholdet i affald på </w:t>
      </w:r>
      <w:r w:rsidR="00350A69">
        <w:rPr>
          <w:color w:val="000000"/>
          <w:sz w:val="24"/>
        </w:rPr>
        <w:t>ensartet</w:t>
      </w:r>
      <w:r w:rsidRPr="00904DC4">
        <w:rPr>
          <w:color w:val="000000"/>
          <w:sz w:val="24"/>
        </w:rPr>
        <w:t xml:space="preserve"> måde efter bestemmelser</w:t>
      </w:r>
      <w:r w:rsidR="00350A69">
        <w:rPr>
          <w:color w:val="000000"/>
          <w:sz w:val="24"/>
        </w:rPr>
        <w:t>ne</w:t>
      </w:r>
      <w:r w:rsidRPr="00904DC4">
        <w:rPr>
          <w:color w:val="000000"/>
          <w:sz w:val="24"/>
        </w:rPr>
        <w:t xml:space="preserve"> i CO</w:t>
      </w:r>
      <w:r w:rsidRPr="00904DC4">
        <w:rPr>
          <w:color w:val="000000"/>
          <w:sz w:val="24"/>
          <w:vertAlign w:val="subscript"/>
        </w:rPr>
        <w:t>2</w:t>
      </w:r>
      <w:r w:rsidRPr="00904DC4">
        <w:rPr>
          <w:color w:val="000000"/>
          <w:sz w:val="24"/>
        </w:rPr>
        <w:t xml:space="preserve">-afgiftsloven og kulafgiftsloven. </w:t>
      </w:r>
      <w:r>
        <w:rPr>
          <w:color w:val="000000"/>
          <w:sz w:val="24"/>
        </w:rPr>
        <w:t xml:space="preserve"> </w:t>
      </w:r>
    </w:p>
    <w:p w:rsidR="002054A6" w:rsidRPr="00AE384A" w:rsidRDefault="005B5DFA" w:rsidP="00AE384A">
      <w:pPr>
        <w:widowControl/>
        <w:tabs>
          <w:tab w:val="left" w:pos="284"/>
        </w:tabs>
        <w:spacing w:after="240" w:line="276" w:lineRule="auto"/>
        <w:rPr>
          <w:sz w:val="24"/>
        </w:rPr>
      </w:pPr>
      <w:r w:rsidRPr="00AE384A">
        <w:rPr>
          <w:color w:val="000000"/>
          <w:sz w:val="24"/>
        </w:rPr>
        <w:t xml:space="preserve">Med forslaget foreslås </w:t>
      </w:r>
      <w:r w:rsidR="005E2C63" w:rsidRPr="00AE384A">
        <w:rPr>
          <w:color w:val="000000"/>
          <w:sz w:val="24"/>
        </w:rPr>
        <w:t>tilføjelser til bestemmelsen i CO</w:t>
      </w:r>
      <w:r w:rsidR="005E2C63" w:rsidRPr="00AE384A">
        <w:rPr>
          <w:color w:val="000000"/>
          <w:sz w:val="24"/>
          <w:vertAlign w:val="subscript"/>
        </w:rPr>
        <w:t>2</w:t>
      </w:r>
      <w:r w:rsidR="005E2C63" w:rsidRPr="00AE384A">
        <w:rPr>
          <w:color w:val="000000"/>
          <w:sz w:val="24"/>
        </w:rPr>
        <w:t>-afgiftslovens § 5, stk.</w:t>
      </w:r>
      <w:r w:rsidR="001C45A5">
        <w:rPr>
          <w:color w:val="000000"/>
          <w:sz w:val="24"/>
        </w:rPr>
        <w:t xml:space="preserve"> </w:t>
      </w:r>
      <w:r w:rsidR="005E2C63" w:rsidRPr="00AE384A">
        <w:rPr>
          <w:color w:val="000000"/>
          <w:sz w:val="24"/>
        </w:rPr>
        <w:t xml:space="preserve">2, som gælder for </w:t>
      </w:r>
      <w:r w:rsidR="005E2C63" w:rsidRPr="00AE384A">
        <w:rPr>
          <w:sz w:val="24"/>
        </w:rPr>
        <w:t>de CO</w:t>
      </w:r>
      <w:r w:rsidR="005E2C63" w:rsidRPr="00AE384A">
        <w:rPr>
          <w:sz w:val="24"/>
          <w:vertAlign w:val="subscript"/>
        </w:rPr>
        <w:t>2</w:t>
      </w:r>
      <w:r w:rsidR="001C45A5">
        <w:rPr>
          <w:sz w:val="24"/>
        </w:rPr>
        <w:t>-</w:t>
      </w:r>
      <w:r w:rsidR="005E2C63" w:rsidRPr="00AE384A">
        <w:rPr>
          <w:sz w:val="24"/>
        </w:rPr>
        <w:t xml:space="preserve">kvoteomfattede virksomheder, som forbrænder ikke bionedbrydeligt affald. </w:t>
      </w:r>
      <w:r w:rsidR="005E2C63" w:rsidRPr="00AE384A">
        <w:rPr>
          <w:sz w:val="24"/>
        </w:rPr>
        <w:br/>
        <w:t xml:space="preserve">    </w:t>
      </w:r>
      <w:r w:rsidR="005E2C63" w:rsidRPr="00AE384A">
        <w:rPr>
          <w:color w:val="000000"/>
          <w:sz w:val="24"/>
        </w:rPr>
        <w:t>For så vidt angår CO</w:t>
      </w:r>
      <w:r w:rsidR="005E2C63" w:rsidRPr="00AE384A">
        <w:rPr>
          <w:color w:val="000000"/>
          <w:sz w:val="24"/>
          <w:vertAlign w:val="subscript"/>
        </w:rPr>
        <w:t>2</w:t>
      </w:r>
      <w:r w:rsidR="001C45A5">
        <w:rPr>
          <w:color w:val="000000"/>
          <w:sz w:val="24"/>
        </w:rPr>
        <w:t>-</w:t>
      </w:r>
      <w:r w:rsidR="005E2C63" w:rsidRPr="00AE384A">
        <w:rPr>
          <w:color w:val="000000"/>
          <w:sz w:val="24"/>
        </w:rPr>
        <w:t>kvoteomfattede virksomheder</w:t>
      </w:r>
      <w:r w:rsidR="008920BF">
        <w:rPr>
          <w:color w:val="000000"/>
          <w:sz w:val="24"/>
        </w:rPr>
        <w:t>,</w:t>
      </w:r>
      <w:r w:rsidRPr="00AE384A">
        <w:rPr>
          <w:color w:val="000000"/>
          <w:sz w:val="24"/>
        </w:rPr>
        <w:t xml:space="preserve"> </w:t>
      </w:r>
      <w:r w:rsidR="008920BF">
        <w:rPr>
          <w:color w:val="000000"/>
          <w:sz w:val="24"/>
        </w:rPr>
        <w:t xml:space="preserve">som ikke opgør </w:t>
      </w:r>
      <w:r w:rsidRPr="00AE384A">
        <w:rPr>
          <w:color w:val="000000"/>
          <w:sz w:val="24"/>
        </w:rPr>
        <w:t>den faktiske emissions</w:t>
      </w:r>
      <w:r w:rsidR="005E2C63" w:rsidRPr="00AE384A">
        <w:rPr>
          <w:color w:val="000000"/>
          <w:sz w:val="24"/>
        </w:rPr>
        <w:t>f</w:t>
      </w:r>
      <w:r w:rsidRPr="00AE384A">
        <w:rPr>
          <w:color w:val="000000"/>
          <w:sz w:val="24"/>
        </w:rPr>
        <w:t>aktor f</w:t>
      </w:r>
      <w:r w:rsidR="005E2C63" w:rsidRPr="00AE384A">
        <w:rPr>
          <w:color w:val="000000"/>
          <w:sz w:val="24"/>
        </w:rPr>
        <w:t>or affaldet efter CO</w:t>
      </w:r>
      <w:r w:rsidR="005E2C63" w:rsidRPr="00AE384A">
        <w:rPr>
          <w:color w:val="000000"/>
          <w:sz w:val="24"/>
          <w:vertAlign w:val="subscript"/>
        </w:rPr>
        <w:t>2</w:t>
      </w:r>
      <w:r w:rsidR="001C45A5">
        <w:rPr>
          <w:color w:val="000000"/>
          <w:sz w:val="24"/>
        </w:rPr>
        <w:t>-</w:t>
      </w:r>
      <w:r w:rsidR="005E2C63" w:rsidRPr="00AE384A">
        <w:rPr>
          <w:color w:val="000000"/>
          <w:sz w:val="24"/>
        </w:rPr>
        <w:t xml:space="preserve">kvotelovgivningen, foreslås, at der ved beregningen af </w:t>
      </w:r>
      <w:r w:rsidR="008920BF">
        <w:rPr>
          <w:color w:val="000000"/>
          <w:sz w:val="24"/>
        </w:rPr>
        <w:t>CO</w:t>
      </w:r>
      <w:r w:rsidR="008920BF" w:rsidRPr="00F31EDD">
        <w:rPr>
          <w:color w:val="000000"/>
          <w:sz w:val="24"/>
          <w:vertAlign w:val="subscript"/>
        </w:rPr>
        <w:t>2</w:t>
      </w:r>
      <w:r w:rsidR="008920BF">
        <w:rPr>
          <w:color w:val="000000"/>
          <w:sz w:val="24"/>
        </w:rPr>
        <w:t>-</w:t>
      </w:r>
      <w:r w:rsidR="005E2C63" w:rsidRPr="00AE384A">
        <w:rPr>
          <w:color w:val="000000"/>
          <w:sz w:val="24"/>
        </w:rPr>
        <w:t xml:space="preserve">afgiftsgrundlaget </w:t>
      </w:r>
      <w:r w:rsidR="00350A69">
        <w:rPr>
          <w:color w:val="000000"/>
          <w:sz w:val="24"/>
        </w:rPr>
        <w:t xml:space="preserve">i stedet skal </w:t>
      </w:r>
      <w:r w:rsidR="005E2C63" w:rsidRPr="00AE384A">
        <w:rPr>
          <w:color w:val="000000"/>
          <w:sz w:val="24"/>
        </w:rPr>
        <w:t>anvendes en emissionsfaktor på 37 kg CO</w:t>
      </w:r>
      <w:r w:rsidR="005E2C63" w:rsidRPr="00F31EDD">
        <w:rPr>
          <w:color w:val="000000"/>
          <w:sz w:val="24"/>
          <w:vertAlign w:val="subscript"/>
        </w:rPr>
        <w:t>2</w:t>
      </w:r>
      <w:r w:rsidR="00350A69">
        <w:rPr>
          <w:color w:val="000000"/>
          <w:sz w:val="24"/>
        </w:rPr>
        <w:t>/GJ</w:t>
      </w:r>
      <w:r w:rsidR="005E2C63" w:rsidRPr="00AE384A">
        <w:rPr>
          <w:color w:val="000000"/>
          <w:sz w:val="24"/>
        </w:rPr>
        <w:t>.</w:t>
      </w:r>
      <w:r w:rsidR="005E2C63" w:rsidRPr="00AE384A">
        <w:rPr>
          <w:color w:val="000000"/>
          <w:sz w:val="24"/>
        </w:rPr>
        <w:br/>
        <w:t xml:space="preserve">    Endvidere foreslås for de tilfælde, hvor den såkaldte skorstensmetode efter CO</w:t>
      </w:r>
      <w:r w:rsidR="005E2C63" w:rsidRPr="00AE384A">
        <w:rPr>
          <w:color w:val="000000"/>
          <w:sz w:val="24"/>
          <w:vertAlign w:val="subscript"/>
        </w:rPr>
        <w:t>2</w:t>
      </w:r>
      <w:r w:rsidR="001C45A5">
        <w:rPr>
          <w:color w:val="000000"/>
          <w:sz w:val="24"/>
        </w:rPr>
        <w:t>-</w:t>
      </w:r>
      <w:r w:rsidR="005E2C63" w:rsidRPr="00AE384A">
        <w:rPr>
          <w:color w:val="000000"/>
          <w:sz w:val="24"/>
        </w:rPr>
        <w:t>kvotelovgivningen anvendes, at udgangspunktet for opgørelsen af den CO</w:t>
      </w:r>
      <w:r w:rsidR="005E2C63" w:rsidRPr="00AE384A">
        <w:rPr>
          <w:color w:val="000000"/>
          <w:sz w:val="24"/>
          <w:vertAlign w:val="subscript"/>
        </w:rPr>
        <w:t>2</w:t>
      </w:r>
      <w:r w:rsidR="005E2C63" w:rsidRPr="00AE384A">
        <w:rPr>
          <w:color w:val="000000"/>
          <w:sz w:val="24"/>
        </w:rPr>
        <w:t xml:space="preserve"> afgiftspligtige mængde skal være den CO</w:t>
      </w:r>
      <w:r w:rsidR="005E2C63" w:rsidRPr="00AE384A">
        <w:rPr>
          <w:color w:val="000000"/>
          <w:sz w:val="24"/>
          <w:vertAlign w:val="subscript"/>
        </w:rPr>
        <w:t>2</w:t>
      </w:r>
      <w:r w:rsidR="00350A69">
        <w:rPr>
          <w:color w:val="000000"/>
          <w:sz w:val="24"/>
        </w:rPr>
        <w:t>-</w:t>
      </w:r>
      <w:r w:rsidR="005E2C63" w:rsidRPr="00AE384A">
        <w:rPr>
          <w:color w:val="000000"/>
          <w:sz w:val="24"/>
        </w:rPr>
        <w:t>kvoteomfattede virksomheds samlede direkte målte udledninger af ton</w:t>
      </w:r>
      <w:r w:rsidR="001C45A5">
        <w:rPr>
          <w:color w:val="000000"/>
          <w:sz w:val="24"/>
        </w:rPr>
        <w:t>s</w:t>
      </w:r>
      <w:r w:rsidR="005E2C63" w:rsidRPr="00AE384A">
        <w:rPr>
          <w:color w:val="000000"/>
          <w:sz w:val="24"/>
        </w:rPr>
        <w:t xml:space="preserve"> CO</w:t>
      </w:r>
      <w:r w:rsidR="005E2C63" w:rsidRPr="00AE384A">
        <w:rPr>
          <w:color w:val="000000"/>
          <w:sz w:val="24"/>
          <w:vertAlign w:val="subscript"/>
        </w:rPr>
        <w:t xml:space="preserve">2 </w:t>
      </w:r>
      <w:r w:rsidR="005E2C63" w:rsidRPr="00AE384A">
        <w:rPr>
          <w:color w:val="000000"/>
          <w:sz w:val="24"/>
        </w:rPr>
        <w:t>i overensstemmelse med lov om CO</w:t>
      </w:r>
      <w:r w:rsidR="005E2C63" w:rsidRPr="00F31EDD">
        <w:rPr>
          <w:color w:val="000000"/>
          <w:sz w:val="24"/>
          <w:vertAlign w:val="subscript"/>
        </w:rPr>
        <w:t>2</w:t>
      </w:r>
      <w:r w:rsidR="005E2C63" w:rsidRPr="00AE384A">
        <w:rPr>
          <w:color w:val="000000"/>
          <w:sz w:val="24"/>
        </w:rPr>
        <w:t xml:space="preserve">-kvoter.  Endvidere foreslås, at der på linje med de nugældende regler kan foretages fradrag for elfremstilling samt for varme, som bruges til proces i virksomheden. </w:t>
      </w:r>
      <w:r w:rsidR="008920BF">
        <w:rPr>
          <w:color w:val="000000"/>
          <w:sz w:val="24"/>
        </w:rPr>
        <w:t>Desuden</w:t>
      </w:r>
      <w:r w:rsidR="005E2C63" w:rsidRPr="00AE384A">
        <w:rPr>
          <w:color w:val="000000"/>
          <w:sz w:val="24"/>
        </w:rPr>
        <w:t xml:space="preserve"> foreslås, at hvis der anvendes andre afgiftspligtige brændsler end affald, f.eks. naturgas, i forbindelse med affaldsforbrændingen, så fratrækkes CO</w:t>
      </w:r>
      <w:r w:rsidR="005E2C63" w:rsidRPr="00AE384A">
        <w:rPr>
          <w:color w:val="000000"/>
          <w:sz w:val="24"/>
          <w:vertAlign w:val="subscript"/>
        </w:rPr>
        <w:t>2</w:t>
      </w:r>
      <w:r w:rsidR="005E2C63" w:rsidRPr="00AE384A">
        <w:rPr>
          <w:color w:val="000000"/>
          <w:sz w:val="24"/>
        </w:rPr>
        <w:t>-afgiftsbelastningen på de andre brændsler ved beregningen af CO</w:t>
      </w:r>
      <w:r w:rsidR="005E2C63" w:rsidRPr="00AE384A">
        <w:rPr>
          <w:color w:val="000000"/>
          <w:sz w:val="24"/>
          <w:vertAlign w:val="subscript"/>
        </w:rPr>
        <w:t>2</w:t>
      </w:r>
      <w:r w:rsidR="005E2C63" w:rsidRPr="00AE384A">
        <w:rPr>
          <w:color w:val="000000"/>
          <w:sz w:val="24"/>
        </w:rPr>
        <w:t>-afgift på affaldet.</w:t>
      </w:r>
      <w:r w:rsidR="005E2C63" w:rsidRPr="00AE384A">
        <w:rPr>
          <w:color w:val="000000"/>
          <w:sz w:val="24"/>
        </w:rPr>
        <w:br/>
      </w:r>
      <w:r w:rsidR="00A820DE" w:rsidRPr="00AE384A">
        <w:rPr>
          <w:sz w:val="24"/>
        </w:rPr>
        <w:t xml:space="preserve">    </w:t>
      </w:r>
      <w:r w:rsidR="00A820DE" w:rsidRPr="00F93D5D">
        <w:rPr>
          <w:sz w:val="24"/>
        </w:rPr>
        <w:t>Ved opgørelse</w:t>
      </w:r>
      <w:r w:rsidR="008920BF" w:rsidRPr="00F93D5D">
        <w:rPr>
          <w:sz w:val="24"/>
        </w:rPr>
        <w:t>r efter CO</w:t>
      </w:r>
      <w:r w:rsidR="008920BF" w:rsidRPr="00F93D5D">
        <w:rPr>
          <w:sz w:val="24"/>
          <w:vertAlign w:val="subscript"/>
        </w:rPr>
        <w:t>2</w:t>
      </w:r>
      <w:r w:rsidR="008920BF" w:rsidRPr="00F93D5D">
        <w:rPr>
          <w:sz w:val="24"/>
        </w:rPr>
        <w:t>-kvoteloven</w:t>
      </w:r>
      <w:r w:rsidR="00A820DE" w:rsidRPr="00F93D5D">
        <w:rPr>
          <w:sz w:val="24"/>
        </w:rPr>
        <w:t xml:space="preserve"> anvendes i dag året, mens CO</w:t>
      </w:r>
      <w:r w:rsidR="00A820DE" w:rsidRPr="00F93D5D">
        <w:rPr>
          <w:sz w:val="24"/>
          <w:vertAlign w:val="subscript"/>
        </w:rPr>
        <w:t>2</w:t>
      </w:r>
      <w:r w:rsidR="00A820DE" w:rsidRPr="00F93D5D">
        <w:rPr>
          <w:sz w:val="24"/>
        </w:rPr>
        <w:t xml:space="preserve"> afgiften opgøres med måneden som afgiftsperiode. På den baggrund foreslås endelig</w:t>
      </w:r>
      <w:r w:rsidR="00D61ADC" w:rsidRPr="00F93D5D">
        <w:rPr>
          <w:sz w:val="24"/>
        </w:rPr>
        <w:t xml:space="preserve"> præciseret</w:t>
      </w:r>
      <w:r w:rsidR="00A820DE" w:rsidRPr="00F93D5D">
        <w:rPr>
          <w:sz w:val="24"/>
        </w:rPr>
        <w:t xml:space="preserve">, </w:t>
      </w:r>
      <w:r w:rsidR="00F93D5D" w:rsidRPr="00F93D5D">
        <w:rPr>
          <w:sz w:val="24"/>
        </w:rPr>
        <w:t>at hvis en virksomhed ikke kan foretage endelig opgørelse for en afgiftsperiode før CO</w:t>
      </w:r>
      <w:r w:rsidR="00F93D5D" w:rsidRPr="00F93D5D">
        <w:rPr>
          <w:sz w:val="24"/>
          <w:vertAlign w:val="subscript"/>
        </w:rPr>
        <w:t>2</w:t>
      </w:r>
      <w:r w:rsidR="00F93D5D" w:rsidRPr="00F93D5D">
        <w:rPr>
          <w:sz w:val="24"/>
        </w:rPr>
        <w:t xml:space="preserve">- kvoteperiodens udløb, så skal virksomheden </w:t>
      </w:r>
      <w:r w:rsidR="00A820DE" w:rsidRPr="00F93D5D">
        <w:rPr>
          <w:sz w:val="24"/>
        </w:rPr>
        <w:t xml:space="preserve">foretage foreløbig afgiftsopgørelse for hver afgiftsperiode i </w:t>
      </w:r>
      <w:r w:rsidR="00F93D5D" w:rsidRPr="00F93D5D">
        <w:rPr>
          <w:sz w:val="24"/>
        </w:rPr>
        <w:t>CO</w:t>
      </w:r>
      <w:r w:rsidR="00F93D5D" w:rsidRPr="00F93D5D">
        <w:rPr>
          <w:sz w:val="24"/>
          <w:vertAlign w:val="subscript"/>
        </w:rPr>
        <w:t>2</w:t>
      </w:r>
      <w:r w:rsidR="00F93D5D" w:rsidRPr="00F93D5D">
        <w:rPr>
          <w:sz w:val="24"/>
        </w:rPr>
        <w:t>-</w:t>
      </w:r>
      <w:r w:rsidR="00A820DE" w:rsidRPr="00F93D5D">
        <w:rPr>
          <w:sz w:val="24"/>
        </w:rPr>
        <w:t>kvoteperioden.</w:t>
      </w:r>
      <w:r w:rsidR="00A820DE" w:rsidRPr="00AE384A">
        <w:rPr>
          <w:sz w:val="24"/>
        </w:rPr>
        <w:t xml:space="preserve"> S</w:t>
      </w:r>
      <w:r w:rsidR="00820CFE">
        <w:rPr>
          <w:sz w:val="24"/>
        </w:rPr>
        <w:t xml:space="preserve">å snart den endelige opgørelse </w:t>
      </w:r>
      <w:r w:rsidR="00A820DE" w:rsidRPr="00AE384A">
        <w:rPr>
          <w:sz w:val="24"/>
        </w:rPr>
        <w:t>efter CO</w:t>
      </w:r>
      <w:r w:rsidR="00A820DE" w:rsidRPr="00AE384A">
        <w:rPr>
          <w:sz w:val="24"/>
          <w:vertAlign w:val="subscript"/>
        </w:rPr>
        <w:t>2</w:t>
      </w:r>
      <w:r w:rsidR="001C45A5">
        <w:rPr>
          <w:sz w:val="24"/>
        </w:rPr>
        <w:t>-</w:t>
      </w:r>
      <w:r w:rsidR="00A820DE" w:rsidRPr="00AE384A">
        <w:rPr>
          <w:sz w:val="24"/>
        </w:rPr>
        <w:t>kvotereglerne foreligger, opgøres og afregnes afgiften for afgiftsperioderne endeligt.</w:t>
      </w:r>
      <w:r w:rsidR="0087393F" w:rsidRPr="00AE384A">
        <w:rPr>
          <w:sz w:val="24"/>
        </w:rPr>
        <w:t xml:space="preserve"> I den foreløbige opgørelse af den afgift, som skal betales </w:t>
      </w:r>
      <w:r w:rsidR="005714B2" w:rsidRPr="00AE384A">
        <w:rPr>
          <w:sz w:val="24"/>
        </w:rPr>
        <w:t>som</w:t>
      </w:r>
      <w:r w:rsidR="0087393F" w:rsidRPr="00AE384A">
        <w:rPr>
          <w:sz w:val="24"/>
        </w:rPr>
        <w:t xml:space="preserve"> </w:t>
      </w:r>
      <w:r w:rsidR="001C45A5">
        <w:rPr>
          <w:sz w:val="24"/>
        </w:rPr>
        <w:t>et acontobeløb</w:t>
      </w:r>
      <w:r w:rsidR="005714B2" w:rsidRPr="00AE384A">
        <w:rPr>
          <w:sz w:val="24"/>
        </w:rPr>
        <w:t>,</w:t>
      </w:r>
      <w:r w:rsidR="0087393F" w:rsidRPr="00AE384A">
        <w:rPr>
          <w:sz w:val="24"/>
        </w:rPr>
        <w:t xml:space="preserve"> indgår </w:t>
      </w:r>
      <w:r w:rsidR="005714B2" w:rsidRPr="00AE384A">
        <w:rPr>
          <w:sz w:val="24"/>
        </w:rPr>
        <w:t xml:space="preserve">om muligt </w:t>
      </w:r>
      <w:r w:rsidR="0087393F" w:rsidRPr="00AE384A">
        <w:rPr>
          <w:sz w:val="24"/>
        </w:rPr>
        <w:t>bl.a. sidste års verificerede data i henhold til CO</w:t>
      </w:r>
      <w:r w:rsidR="0087393F" w:rsidRPr="00AE384A">
        <w:rPr>
          <w:sz w:val="24"/>
          <w:vertAlign w:val="subscript"/>
        </w:rPr>
        <w:t>2</w:t>
      </w:r>
      <w:r w:rsidR="0087393F" w:rsidRPr="00AE384A">
        <w:rPr>
          <w:sz w:val="24"/>
        </w:rPr>
        <w:t xml:space="preserve">-kvoteordningen. For affaldsforbrændingsanlæg, der ikke </w:t>
      </w:r>
      <w:r w:rsidR="00AA34E7" w:rsidRPr="00AE384A">
        <w:rPr>
          <w:sz w:val="24"/>
        </w:rPr>
        <w:t>tidligere</w:t>
      </w:r>
      <w:r w:rsidR="0087393F" w:rsidRPr="00AE384A">
        <w:rPr>
          <w:sz w:val="24"/>
        </w:rPr>
        <w:t xml:space="preserve"> har været </w:t>
      </w:r>
      <w:r w:rsidR="0087393F" w:rsidRPr="00AE384A">
        <w:rPr>
          <w:sz w:val="24"/>
        </w:rPr>
        <w:lastRenderedPageBreak/>
        <w:t>kvoteomfattede, men som blive</w:t>
      </w:r>
      <w:r w:rsidR="00AA34E7" w:rsidRPr="00AE384A">
        <w:rPr>
          <w:sz w:val="24"/>
        </w:rPr>
        <w:t xml:space="preserve">r </w:t>
      </w:r>
      <w:r w:rsidR="00C04224" w:rsidRPr="00AE384A">
        <w:rPr>
          <w:sz w:val="24"/>
        </w:rPr>
        <w:t>det</w:t>
      </w:r>
      <w:r w:rsidR="0087393F" w:rsidRPr="00AE384A">
        <w:rPr>
          <w:sz w:val="24"/>
        </w:rPr>
        <w:t xml:space="preserve">, baseres den foreløbige opgørelse </w:t>
      </w:r>
      <w:r w:rsidR="00C04224" w:rsidRPr="00AE384A">
        <w:rPr>
          <w:sz w:val="24"/>
        </w:rPr>
        <w:t xml:space="preserve">af </w:t>
      </w:r>
      <w:r w:rsidR="0087393F" w:rsidRPr="00AE384A">
        <w:rPr>
          <w:sz w:val="24"/>
        </w:rPr>
        <w:t>afgiften på et kvalificeret skøn, som skal kunne dokumenteres.</w:t>
      </w:r>
      <w:r w:rsidR="00D13AE9" w:rsidRPr="00AE384A">
        <w:rPr>
          <w:sz w:val="24"/>
        </w:rPr>
        <w:t xml:space="preserve"> </w:t>
      </w:r>
      <w:r w:rsidR="001116E1">
        <w:rPr>
          <w:sz w:val="24"/>
        </w:rPr>
        <w:t>Hvis der foreligger verificerede oplysninger til brug for opgørelsen af den afgiftspligtige mængde i overensstemmelse med CO</w:t>
      </w:r>
      <w:r w:rsidR="001116E1" w:rsidRPr="001128EC">
        <w:rPr>
          <w:sz w:val="24"/>
          <w:vertAlign w:val="subscript"/>
        </w:rPr>
        <w:t>2</w:t>
      </w:r>
      <w:r w:rsidR="001116E1">
        <w:rPr>
          <w:sz w:val="24"/>
        </w:rPr>
        <w:t xml:space="preserve">-kvotelovgivningen for </w:t>
      </w:r>
      <w:r w:rsidR="00AE1F73">
        <w:rPr>
          <w:sz w:val="24"/>
        </w:rPr>
        <w:t xml:space="preserve">en </w:t>
      </w:r>
      <w:r w:rsidR="001116E1">
        <w:rPr>
          <w:sz w:val="24"/>
        </w:rPr>
        <w:t>afgift</w:t>
      </w:r>
      <w:r w:rsidR="00AE1F73">
        <w:rPr>
          <w:sz w:val="24"/>
        </w:rPr>
        <w:t>s</w:t>
      </w:r>
      <w:r w:rsidR="001116E1">
        <w:rPr>
          <w:sz w:val="24"/>
        </w:rPr>
        <w:t>periode, anvendes disse oplysninger ved opgørelsen for afgiftsperioden.</w:t>
      </w:r>
      <w:r w:rsidR="002664AB" w:rsidRPr="002664AB">
        <w:rPr>
          <w:sz w:val="24"/>
        </w:rPr>
        <w:t xml:space="preserve"> </w:t>
      </w:r>
      <w:r w:rsidR="002664AB">
        <w:rPr>
          <w:sz w:val="24"/>
        </w:rPr>
        <w:t>I modsat fald foretages afgiftsopgørelsen for de relevante afgiftsperioder samlet. Udgifter til verifikation for enkelte afgiftsperioder afholdes af virksomheden.</w:t>
      </w:r>
      <w:r w:rsidR="00D928AC" w:rsidRPr="00AE384A">
        <w:rPr>
          <w:sz w:val="24"/>
        </w:rPr>
        <w:t xml:space="preserve">  </w:t>
      </w:r>
      <w:r w:rsidR="00AE1F73">
        <w:rPr>
          <w:sz w:val="24"/>
        </w:rPr>
        <w:br/>
        <w:t xml:space="preserve">   </w:t>
      </w:r>
      <w:r w:rsidR="00D13AE9" w:rsidRPr="00AE384A">
        <w:rPr>
          <w:sz w:val="24"/>
        </w:rPr>
        <w:t>N</w:t>
      </w:r>
      <w:r w:rsidR="002054A6" w:rsidRPr="00AE384A">
        <w:rPr>
          <w:sz w:val="24"/>
        </w:rPr>
        <w:t>edenfor gives et eksempel på, hvordan CO</w:t>
      </w:r>
      <w:r w:rsidR="002054A6" w:rsidRPr="00AE384A">
        <w:rPr>
          <w:sz w:val="24"/>
          <w:vertAlign w:val="subscript"/>
        </w:rPr>
        <w:t>2</w:t>
      </w:r>
      <w:r w:rsidR="002054A6" w:rsidRPr="00AE384A">
        <w:rPr>
          <w:sz w:val="24"/>
        </w:rPr>
        <w:t>-afgift</w:t>
      </w:r>
      <w:r w:rsidR="00BC3853" w:rsidRPr="00AE384A">
        <w:rPr>
          <w:sz w:val="24"/>
        </w:rPr>
        <w:t xml:space="preserve">en </w:t>
      </w:r>
      <w:r w:rsidR="00E051FF" w:rsidRPr="00AE384A">
        <w:rPr>
          <w:sz w:val="24"/>
        </w:rPr>
        <w:t>af affald</w:t>
      </w:r>
      <w:r w:rsidR="002054A6" w:rsidRPr="00AE384A">
        <w:rPr>
          <w:sz w:val="24"/>
        </w:rPr>
        <w:t xml:space="preserve"> </w:t>
      </w:r>
      <w:r w:rsidR="00F93D5D">
        <w:rPr>
          <w:sz w:val="24"/>
        </w:rPr>
        <w:t xml:space="preserve">skal </w:t>
      </w:r>
      <w:r w:rsidR="002054A6" w:rsidRPr="00AE384A">
        <w:rPr>
          <w:sz w:val="24"/>
        </w:rPr>
        <w:t>opgøres</w:t>
      </w:r>
      <w:r w:rsidR="007C072C" w:rsidRPr="00AE384A">
        <w:rPr>
          <w:sz w:val="24"/>
        </w:rPr>
        <w:t xml:space="preserve"> </w:t>
      </w:r>
      <w:r w:rsidR="00250170" w:rsidRPr="00AE384A">
        <w:rPr>
          <w:sz w:val="24"/>
        </w:rPr>
        <w:t>efter</w:t>
      </w:r>
      <w:r w:rsidR="002054A6" w:rsidRPr="00AE384A">
        <w:rPr>
          <w:sz w:val="24"/>
        </w:rPr>
        <w:t xml:space="preserve"> forslagets </w:t>
      </w:r>
      <w:r w:rsidR="001C45A5">
        <w:rPr>
          <w:sz w:val="24"/>
        </w:rPr>
        <w:t xml:space="preserve">§ 2, </w:t>
      </w:r>
      <w:r w:rsidR="002054A6" w:rsidRPr="00AE384A">
        <w:rPr>
          <w:sz w:val="24"/>
        </w:rPr>
        <w:t>nr. 1</w:t>
      </w:r>
      <w:r w:rsidRPr="00AE384A">
        <w:rPr>
          <w:sz w:val="24"/>
        </w:rPr>
        <w:t>, når et anlæg anvender skorstensmetoden efter CO</w:t>
      </w:r>
      <w:r w:rsidRPr="00AE384A">
        <w:rPr>
          <w:sz w:val="24"/>
          <w:vertAlign w:val="subscript"/>
        </w:rPr>
        <w:t>2</w:t>
      </w:r>
      <w:r w:rsidR="001C45A5">
        <w:rPr>
          <w:sz w:val="24"/>
        </w:rPr>
        <w:t>-</w:t>
      </w:r>
      <w:r w:rsidRPr="00AE384A">
        <w:rPr>
          <w:sz w:val="24"/>
        </w:rPr>
        <w:t>kvotelovgivningen</w:t>
      </w:r>
      <w:r w:rsidR="002054A6" w:rsidRPr="00AE384A">
        <w:rPr>
          <w:sz w:val="24"/>
        </w:rPr>
        <w:t>.</w:t>
      </w:r>
    </w:p>
    <w:p w:rsidR="002054A6" w:rsidRPr="00AE384A" w:rsidRDefault="002054A6" w:rsidP="00AE384A">
      <w:pPr>
        <w:spacing w:line="276" w:lineRule="auto"/>
        <w:rPr>
          <w:sz w:val="24"/>
        </w:rPr>
      </w:pPr>
      <w:r w:rsidRPr="00AE384A">
        <w:rPr>
          <w:sz w:val="24"/>
        </w:rPr>
        <w:t xml:space="preserve">  </w:t>
      </w:r>
    </w:p>
    <w:p w:rsidR="002054A6" w:rsidRPr="00AE384A" w:rsidRDefault="002054A6" w:rsidP="00AE384A">
      <w:pPr>
        <w:spacing w:line="276" w:lineRule="auto"/>
        <w:rPr>
          <w:sz w:val="24"/>
        </w:rPr>
      </w:pPr>
      <w:r w:rsidRPr="00AE384A">
        <w:rPr>
          <w:i/>
          <w:sz w:val="24"/>
        </w:rPr>
        <w:t>Eksempel</w:t>
      </w:r>
    </w:p>
    <w:p w:rsidR="00473927" w:rsidRPr="00AE384A" w:rsidRDefault="002054A6" w:rsidP="00AE384A">
      <w:pPr>
        <w:spacing w:line="276" w:lineRule="auto"/>
        <w:rPr>
          <w:sz w:val="24"/>
        </w:rPr>
      </w:pPr>
      <w:r w:rsidRPr="00AE384A">
        <w:rPr>
          <w:sz w:val="24"/>
        </w:rPr>
        <w:t>Der er tale om et</w:t>
      </w:r>
      <w:r w:rsidR="00050AA6" w:rsidRPr="00AE384A">
        <w:rPr>
          <w:sz w:val="24"/>
        </w:rPr>
        <w:t xml:space="preserve"> </w:t>
      </w:r>
      <w:r w:rsidR="006C4C74" w:rsidRPr="00AE384A">
        <w:rPr>
          <w:sz w:val="24"/>
        </w:rPr>
        <w:t>CO</w:t>
      </w:r>
      <w:r w:rsidR="006C4C74" w:rsidRPr="00AE384A">
        <w:rPr>
          <w:sz w:val="24"/>
          <w:vertAlign w:val="subscript"/>
        </w:rPr>
        <w:t>2</w:t>
      </w:r>
      <w:r w:rsidR="005C4BD0">
        <w:rPr>
          <w:sz w:val="24"/>
        </w:rPr>
        <w:t>-</w:t>
      </w:r>
      <w:r w:rsidR="006C4C74" w:rsidRPr="00AE384A">
        <w:rPr>
          <w:sz w:val="24"/>
        </w:rPr>
        <w:t>kvoteomfattet forbrændingsanlæg, som fyrer med en kombination CO</w:t>
      </w:r>
      <w:r w:rsidR="006C4C74" w:rsidRPr="00AE384A">
        <w:rPr>
          <w:sz w:val="24"/>
          <w:vertAlign w:val="subscript"/>
        </w:rPr>
        <w:t>2</w:t>
      </w:r>
      <w:r w:rsidR="006C4C74" w:rsidRPr="00AE384A">
        <w:rPr>
          <w:sz w:val="24"/>
        </w:rPr>
        <w:t>-afgiftspligtigt affald og andre brændsler, og som producerer både varme og elektricitet.</w:t>
      </w:r>
      <w:r w:rsidR="00473927" w:rsidRPr="00AE384A">
        <w:rPr>
          <w:sz w:val="24"/>
        </w:rPr>
        <w:t xml:space="preserve"> </w:t>
      </w:r>
      <w:r w:rsidR="00250170" w:rsidRPr="00AE384A">
        <w:rPr>
          <w:sz w:val="24"/>
        </w:rPr>
        <w:t xml:space="preserve"> Forbrændingsanlægget har opgjort CO</w:t>
      </w:r>
      <w:r w:rsidR="00250170" w:rsidRPr="00AE384A">
        <w:rPr>
          <w:sz w:val="24"/>
          <w:vertAlign w:val="subscript"/>
        </w:rPr>
        <w:t>2</w:t>
      </w:r>
      <w:r w:rsidR="005C4BD0">
        <w:rPr>
          <w:sz w:val="24"/>
        </w:rPr>
        <w:t>-</w:t>
      </w:r>
      <w:r w:rsidR="002F35CA">
        <w:rPr>
          <w:sz w:val="24"/>
        </w:rPr>
        <w:t>udledningen</w:t>
      </w:r>
      <w:r w:rsidR="00250170" w:rsidRPr="00AE384A">
        <w:rPr>
          <w:sz w:val="24"/>
        </w:rPr>
        <w:t xml:space="preserve"> efter CO</w:t>
      </w:r>
      <w:r w:rsidR="00250170" w:rsidRPr="00AE384A">
        <w:rPr>
          <w:sz w:val="24"/>
          <w:vertAlign w:val="subscript"/>
        </w:rPr>
        <w:t>2</w:t>
      </w:r>
      <w:r w:rsidR="005C4BD0">
        <w:rPr>
          <w:sz w:val="24"/>
        </w:rPr>
        <w:t>-</w:t>
      </w:r>
      <w:r w:rsidR="00250170" w:rsidRPr="00AE384A">
        <w:rPr>
          <w:sz w:val="24"/>
        </w:rPr>
        <w:t>kvotereglerne svarende til udledning af 6 ton</w:t>
      </w:r>
      <w:r w:rsidR="002F35CA">
        <w:rPr>
          <w:sz w:val="24"/>
        </w:rPr>
        <w:t>s</w:t>
      </w:r>
      <w:r w:rsidR="00250170" w:rsidRPr="00AE384A">
        <w:rPr>
          <w:sz w:val="24"/>
        </w:rPr>
        <w:t xml:space="preserve"> CO</w:t>
      </w:r>
      <w:r w:rsidR="00250170" w:rsidRPr="00AE384A">
        <w:rPr>
          <w:sz w:val="24"/>
          <w:vertAlign w:val="subscript"/>
        </w:rPr>
        <w:t>2</w:t>
      </w:r>
      <w:r w:rsidR="005B5DFA" w:rsidRPr="00AE384A">
        <w:rPr>
          <w:sz w:val="24"/>
        </w:rPr>
        <w:t xml:space="preserve"> ved anvendelse af skorstensmetoden.</w:t>
      </w:r>
      <w:r w:rsidR="00250170" w:rsidRPr="00AE384A">
        <w:rPr>
          <w:sz w:val="24"/>
        </w:rPr>
        <w:t xml:space="preserve"> </w:t>
      </w:r>
      <w:r w:rsidR="009B797A" w:rsidRPr="00AE384A">
        <w:rPr>
          <w:sz w:val="24"/>
        </w:rPr>
        <w:t xml:space="preserve"> Året er 2013. </w:t>
      </w:r>
      <w:r w:rsidR="00473927" w:rsidRPr="00AE384A">
        <w:rPr>
          <w:sz w:val="24"/>
        </w:rPr>
        <w:t>Der gælder f.eks. følgende:</w:t>
      </w:r>
    </w:p>
    <w:p w:rsidR="00473927" w:rsidRDefault="00473927" w:rsidP="00AE384A">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985"/>
      </w:tblGrid>
      <w:tr w:rsidR="006D48FA" w:rsidTr="00071AB3">
        <w:tc>
          <w:tcPr>
            <w:tcW w:w="4111" w:type="dxa"/>
          </w:tcPr>
          <w:p w:rsidR="006D48FA" w:rsidRDefault="006D48FA" w:rsidP="006D48FA">
            <w:pPr>
              <w:spacing w:line="276" w:lineRule="auto"/>
              <w:rPr>
                <w:sz w:val="24"/>
              </w:rPr>
            </w:pPr>
            <w:r w:rsidRPr="00AE384A">
              <w:rPr>
                <w:sz w:val="24"/>
              </w:rPr>
              <w:t>Samlet udledning af CO</w:t>
            </w:r>
            <w:r w:rsidRPr="00AE384A">
              <w:rPr>
                <w:sz w:val="24"/>
                <w:vertAlign w:val="subscript"/>
              </w:rPr>
              <w:t>2</w:t>
            </w:r>
            <w:r w:rsidRPr="00AE384A">
              <w:rPr>
                <w:sz w:val="24"/>
              </w:rPr>
              <w:t xml:space="preserve"> </w:t>
            </w:r>
          </w:p>
        </w:tc>
        <w:tc>
          <w:tcPr>
            <w:tcW w:w="1985" w:type="dxa"/>
          </w:tcPr>
          <w:p w:rsidR="006D48FA" w:rsidRDefault="00071AB3" w:rsidP="00071AB3">
            <w:pPr>
              <w:spacing w:line="276" w:lineRule="auto"/>
              <w:jc w:val="right"/>
              <w:rPr>
                <w:sz w:val="24"/>
              </w:rPr>
            </w:pPr>
            <w:r>
              <w:rPr>
                <w:sz w:val="24"/>
              </w:rPr>
              <w:t>6   ton</w:t>
            </w:r>
            <w:r w:rsidR="002F35CA">
              <w:rPr>
                <w:sz w:val="24"/>
              </w:rPr>
              <w:t>s</w:t>
            </w:r>
            <w:r>
              <w:rPr>
                <w:sz w:val="24"/>
              </w:rPr>
              <w:t xml:space="preserve"> </w:t>
            </w:r>
          </w:p>
          <w:p w:rsidR="00071AB3" w:rsidRDefault="00071AB3" w:rsidP="00071AB3">
            <w:pPr>
              <w:spacing w:line="276" w:lineRule="auto"/>
              <w:jc w:val="right"/>
              <w:rPr>
                <w:sz w:val="24"/>
              </w:rPr>
            </w:pPr>
          </w:p>
        </w:tc>
      </w:tr>
      <w:tr w:rsidR="006D48FA" w:rsidTr="00071AB3">
        <w:tc>
          <w:tcPr>
            <w:tcW w:w="4111" w:type="dxa"/>
          </w:tcPr>
          <w:p w:rsidR="006D48FA" w:rsidRDefault="00071AB3" w:rsidP="00AE384A">
            <w:pPr>
              <w:spacing w:line="276" w:lineRule="auto"/>
              <w:rPr>
                <w:sz w:val="24"/>
              </w:rPr>
            </w:pPr>
            <w:r>
              <w:rPr>
                <w:sz w:val="24"/>
              </w:rPr>
              <w:t xml:space="preserve">Produceret varme, </w:t>
            </w:r>
          </w:p>
        </w:tc>
        <w:tc>
          <w:tcPr>
            <w:tcW w:w="1985" w:type="dxa"/>
          </w:tcPr>
          <w:p w:rsidR="006D48FA" w:rsidRDefault="00071AB3" w:rsidP="00071AB3">
            <w:pPr>
              <w:spacing w:line="276" w:lineRule="auto"/>
              <w:jc w:val="right"/>
              <w:rPr>
                <w:sz w:val="24"/>
              </w:rPr>
            </w:pPr>
            <w:r>
              <w:rPr>
                <w:sz w:val="24"/>
              </w:rPr>
              <w:t>100 GJ</w:t>
            </w:r>
          </w:p>
        </w:tc>
      </w:tr>
      <w:tr w:rsidR="006D48FA" w:rsidTr="00071AB3">
        <w:tc>
          <w:tcPr>
            <w:tcW w:w="4111" w:type="dxa"/>
          </w:tcPr>
          <w:p w:rsidR="006D48FA" w:rsidRPr="00071AB3" w:rsidRDefault="00071AB3" w:rsidP="00071AB3">
            <w:pPr>
              <w:pStyle w:val="Listeafsnit"/>
              <w:numPr>
                <w:ilvl w:val="0"/>
                <w:numId w:val="11"/>
              </w:numPr>
              <w:spacing w:line="276" w:lineRule="auto"/>
              <w:rPr>
                <w:sz w:val="24"/>
              </w:rPr>
            </w:pPr>
            <w:r>
              <w:rPr>
                <w:sz w:val="24"/>
              </w:rPr>
              <w:t>heraf leveret varme</w:t>
            </w:r>
          </w:p>
        </w:tc>
        <w:tc>
          <w:tcPr>
            <w:tcW w:w="1985" w:type="dxa"/>
          </w:tcPr>
          <w:p w:rsidR="006D48FA" w:rsidRDefault="00071AB3" w:rsidP="00071AB3">
            <w:pPr>
              <w:spacing w:line="276" w:lineRule="auto"/>
              <w:jc w:val="right"/>
              <w:rPr>
                <w:sz w:val="24"/>
              </w:rPr>
            </w:pPr>
            <w:r>
              <w:rPr>
                <w:sz w:val="24"/>
              </w:rPr>
              <w:t>90 GJ</w:t>
            </w:r>
          </w:p>
        </w:tc>
      </w:tr>
      <w:tr w:rsidR="006D48FA" w:rsidTr="00071AB3">
        <w:tc>
          <w:tcPr>
            <w:tcW w:w="4111" w:type="dxa"/>
          </w:tcPr>
          <w:p w:rsidR="006D48FA" w:rsidRPr="00071AB3" w:rsidRDefault="00071AB3" w:rsidP="00071AB3">
            <w:pPr>
              <w:pStyle w:val="Listeafsnit"/>
              <w:numPr>
                <w:ilvl w:val="0"/>
                <w:numId w:val="11"/>
              </w:numPr>
              <w:spacing w:line="276" w:lineRule="auto"/>
              <w:rPr>
                <w:sz w:val="24"/>
              </w:rPr>
            </w:pPr>
            <w:r>
              <w:rPr>
                <w:sz w:val="24"/>
              </w:rPr>
              <w:t>heraf bortkølet varme</w:t>
            </w:r>
          </w:p>
        </w:tc>
        <w:tc>
          <w:tcPr>
            <w:tcW w:w="1985" w:type="dxa"/>
          </w:tcPr>
          <w:p w:rsidR="006D48FA" w:rsidRDefault="00071AB3" w:rsidP="00071AB3">
            <w:pPr>
              <w:spacing w:line="276" w:lineRule="auto"/>
              <w:jc w:val="right"/>
              <w:rPr>
                <w:sz w:val="24"/>
              </w:rPr>
            </w:pPr>
            <w:r>
              <w:rPr>
                <w:sz w:val="24"/>
              </w:rPr>
              <w:t>10 GJ</w:t>
            </w:r>
          </w:p>
        </w:tc>
      </w:tr>
      <w:tr w:rsidR="006D48FA" w:rsidTr="00071AB3">
        <w:tc>
          <w:tcPr>
            <w:tcW w:w="4111" w:type="dxa"/>
          </w:tcPr>
          <w:p w:rsidR="006D48FA" w:rsidRDefault="00071AB3" w:rsidP="00AE384A">
            <w:pPr>
              <w:spacing w:line="276" w:lineRule="auto"/>
              <w:rPr>
                <w:sz w:val="24"/>
              </w:rPr>
            </w:pPr>
            <w:r>
              <w:rPr>
                <w:sz w:val="24"/>
              </w:rPr>
              <w:t>Produceret el</w:t>
            </w:r>
          </w:p>
        </w:tc>
        <w:tc>
          <w:tcPr>
            <w:tcW w:w="1985" w:type="dxa"/>
          </w:tcPr>
          <w:p w:rsidR="006D48FA" w:rsidRDefault="00071AB3" w:rsidP="00071AB3">
            <w:pPr>
              <w:spacing w:line="276" w:lineRule="auto"/>
              <w:jc w:val="right"/>
              <w:rPr>
                <w:sz w:val="24"/>
              </w:rPr>
            </w:pPr>
            <w:r>
              <w:rPr>
                <w:sz w:val="24"/>
              </w:rPr>
              <w:t>27,5 GJ</w:t>
            </w:r>
          </w:p>
        </w:tc>
      </w:tr>
      <w:tr w:rsidR="00071AB3" w:rsidTr="00071AB3">
        <w:tc>
          <w:tcPr>
            <w:tcW w:w="4111" w:type="dxa"/>
          </w:tcPr>
          <w:p w:rsidR="00071AB3" w:rsidRDefault="00071AB3" w:rsidP="00AE384A">
            <w:pPr>
              <w:spacing w:line="276" w:lineRule="auto"/>
              <w:rPr>
                <w:sz w:val="24"/>
              </w:rPr>
            </w:pPr>
          </w:p>
        </w:tc>
        <w:tc>
          <w:tcPr>
            <w:tcW w:w="1985" w:type="dxa"/>
          </w:tcPr>
          <w:p w:rsidR="00071AB3" w:rsidRDefault="00071AB3" w:rsidP="00071AB3">
            <w:pPr>
              <w:spacing w:line="276" w:lineRule="auto"/>
              <w:jc w:val="right"/>
              <w:rPr>
                <w:sz w:val="24"/>
              </w:rPr>
            </w:pPr>
          </w:p>
        </w:tc>
      </w:tr>
      <w:tr w:rsidR="006D48FA" w:rsidTr="00071AB3">
        <w:tc>
          <w:tcPr>
            <w:tcW w:w="4111" w:type="dxa"/>
          </w:tcPr>
          <w:p w:rsidR="006D48FA" w:rsidRDefault="00071AB3" w:rsidP="00AE384A">
            <w:pPr>
              <w:spacing w:line="276" w:lineRule="auto"/>
              <w:rPr>
                <w:sz w:val="24"/>
              </w:rPr>
            </w:pPr>
            <w:r>
              <w:rPr>
                <w:sz w:val="24"/>
              </w:rPr>
              <w:t>Anvendt naturgas</w:t>
            </w:r>
          </w:p>
        </w:tc>
        <w:tc>
          <w:tcPr>
            <w:tcW w:w="1985" w:type="dxa"/>
          </w:tcPr>
          <w:p w:rsidR="006D48FA" w:rsidRPr="00071AB3" w:rsidRDefault="00071AB3" w:rsidP="00071AB3">
            <w:pPr>
              <w:spacing w:line="276" w:lineRule="auto"/>
              <w:jc w:val="right"/>
              <w:rPr>
                <w:sz w:val="24"/>
                <w:vertAlign w:val="superscript"/>
              </w:rPr>
            </w:pPr>
            <w:r>
              <w:rPr>
                <w:sz w:val="24"/>
              </w:rPr>
              <w:t>400 Nm</w:t>
            </w:r>
            <w:r>
              <w:rPr>
                <w:sz w:val="24"/>
                <w:vertAlign w:val="superscript"/>
              </w:rPr>
              <w:t>3</w:t>
            </w:r>
          </w:p>
        </w:tc>
      </w:tr>
      <w:tr w:rsidR="006D48FA" w:rsidTr="00071AB3">
        <w:tc>
          <w:tcPr>
            <w:tcW w:w="4111" w:type="dxa"/>
          </w:tcPr>
          <w:p w:rsidR="006D48FA" w:rsidRDefault="00071AB3" w:rsidP="00AE384A">
            <w:pPr>
              <w:spacing w:line="276" w:lineRule="auto"/>
              <w:rPr>
                <w:sz w:val="24"/>
              </w:rPr>
            </w:pPr>
            <w:r>
              <w:rPr>
                <w:sz w:val="24"/>
              </w:rPr>
              <w:t>Anvendt halm</w:t>
            </w:r>
          </w:p>
        </w:tc>
        <w:tc>
          <w:tcPr>
            <w:tcW w:w="1985" w:type="dxa"/>
          </w:tcPr>
          <w:p w:rsidR="006D48FA" w:rsidRDefault="00071AB3" w:rsidP="00071AB3">
            <w:pPr>
              <w:spacing w:line="276" w:lineRule="auto"/>
              <w:jc w:val="right"/>
              <w:rPr>
                <w:sz w:val="24"/>
              </w:rPr>
            </w:pPr>
            <w:r>
              <w:rPr>
                <w:sz w:val="24"/>
              </w:rPr>
              <w:t>1 ton</w:t>
            </w:r>
          </w:p>
        </w:tc>
      </w:tr>
      <w:tr w:rsidR="006D48FA" w:rsidTr="00071AB3">
        <w:tc>
          <w:tcPr>
            <w:tcW w:w="4111" w:type="dxa"/>
          </w:tcPr>
          <w:p w:rsidR="006D48FA" w:rsidRDefault="00071AB3" w:rsidP="00AE384A">
            <w:pPr>
              <w:spacing w:line="276" w:lineRule="auto"/>
              <w:rPr>
                <w:sz w:val="24"/>
              </w:rPr>
            </w:pPr>
            <w:r>
              <w:rPr>
                <w:sz w:val="24"/>
              </w:rPr>
              <w:t>Anvendt affaldsbrændsel</w:t>
            </w:r>
          </w:p>
        </w:tc>
        <w:tc>
          <w:tcPr>
            <w:tcW w:w="1985" w:type="dxa"/>
          </w:tcPr>
          <w:p w:rsidR="006D48FA" w:rsidRDefault="00071AB3" w:rsidP="00071AB3">
            <w:pPr>
              <w:spacing w:line="276" w:lineRule="auto"/>
              <w:jc w:val="right"/>
              <w:rPr>
                <w:sz w:val="24"/>
              </w:rPr>
            </w:pPr>
            <w:r>
              <w:rPr>
                <w:sz w:val="24"/>
              </w:rPr>
              <w:t>10 ton</w:t>
            </w:r>
          </w:p>
        </w:tc>
      </w:tr>
    </w:tbl>
    <w:p w:rsidR="006D48FA" w:rsidRDefault="006D48FA" w:rsidP="00AE384A">
      <w:pPr>
        <w:spacing w:line="276" w:lineRule="auto"/>
        <w:rPr>
          <w:sz w:val="24"/>
        </w:rPr>
      </w:pPr>
    </w:p>
    <w:p w:rsidR="00473927" w:rsidRPr="00AE384A" w:rsidRDefault="009B7118" w:rsidP="00AE384A">
      <w:pPr>
        <w:spacing w:line="276" w:lineRule="auto"/>
        <w:rPr>
          <w:sz w:val="24"/>
        </w:rPr>
      </w:pPr>
      <w:r w:rsidRPr="00AE384A">
        <w:rPr>
          <w:sz w:val="24"/>
        </w:rPr>
        <w:t>De anførte konkrete oplysninger kendes fra målinger</w:t>
      </w:r>
      <w:r w:rsidR="00277BC9" w:rsidRPr="00AE384A">
        <w:rPr>
          <w:sz w:val="24"/>
        </w:rPr>
        <w:t>.</w:t>
      </w:r>
    </w:p>
    <w:p w:rsidR="00985F6B" w:rsidRPr="00AE384A" w:rsidRDefault="002F35CA" w:rsidP="000757A7">
      <w:pPr>
        <w:spacing w:line="276" w:lineRule="auto"/>
        <w:rPr>
          <w:sz w:val="24"/>
        </w:rPr>
      </w:pPr>
      <w:r>
        <w:rPr>
          <w:sz w:val="24"/>
        </w:rPr>
        <w:t xml:space="preserve">   </w:t>
      </w:r>
      <w:r w:rsidR="00857BB0" w:rsidRPr="00AE384A">
        <w:rPr>
          <w:sz w:val="24"/>
        </w:rPr>
        <w:t>Som udgangspunkt udgør den CO</w:t>
      </w:r>
      <w:r w:rsidR="00857BB0" w:rsidRPr="00AE384A">
        <w:rPr>
          <w:sz w:val="24"/>
          <w:vertAlign w:val="subscript"/>
        </w:rPr>
        <w:t>2</w:t>
      </w:r>
      <w:r w:rsidR="00857BB0" w:rsidRPr="00AE384A">
        <w:rPr>
          <w:sz w:val="24"/>
        </w:rPr>
        <w:t>-afgiftspligtige mængde for affald</w:t>
      </w:r>
      <w:r w:rsidR="00985F6B" w:rsidRPr="00AE384A">
        <w:rPr>
          <w:sz w:val="24"/>
        </w:rPr>
        <w:t>sbrændslet</w:t>
      </w:r>
      <w:r w:rsidR="00857BB0" w:rsidRPr="00AE384A">
        <w:rPr>
          <w:sz w:val="24"/>
        </w:rPr>
        <w:t xml:space="preserve"> </w:t>
      </w:r>
      <w:r w:rsidR="00985F6B" w:rsidRPr="00AE384A">
        <w:rPr>
          <w:sz w:val="24"/>
        </w:rPr>
        <w:t>de udledte</w:t>
      </w:r>
      <w:r w:rsidR="00857BB0" w:rsidRPr="00AE384A">
        <w:rPr>
          <w:sz w:val="24"/>
        </w:rPr>
        <w:t xml:space="preserve"> 6 ton</w:t>
      </w:r>
      <w:r>
        <w:rPr>
          <w:sz w:val="24"/>
        </w:rPr>
        <w:t>s</w:t>
      </w:r>
      <w:r w:rsidR="00857BB0" w:rsidRPr="00AE384A">
        <w:rPr>
          <w:sz w:val="24"/>
        </w:rPr>
        <w:t xml:space="preserve"> CO</w:t>
      </w:r>
      <w:r w:rsidR="00857BB0" w:rsidRPr="00AE384A">
        <w:rPr>
          <w:sz w:val="24"/>
          <w:vertAlign w:val="subscript"/>
        </w:rPr>
        <w:t>2</w:t>
      </w:r>
      <w:r w:rsidR="00985F6B" w:rsidRPr="00AE384A">
        <w:rPr>
          <w:sz w:val="24"/>
        </w:rPr>
        <w:t>.</w:t>
      </w:r>
      <w:r w:rsidR="00277BC9" w:rsidRPr="00AE384A">
        <w:rPr>
          <w:sz w:val="24"/>
        </w:rPr>
        <w:t xml:space="preserve"> Der</w:t>
      </w:r>
      <w:r>
        <w:rPr>
          <w:sz w:val="24"/>
        </w:rPr>
        <w:t>efter</w:t>
      </w:r>
      <w:r w:rsidR="00277BC9" w:rsidRPr="00AE384A">
        <w:rPr>
          <w:sz w:val="24"/>
        </w:rPr>
        <w:t xml:space="preserve"> foretages fradrag vedrørende elfremstilling som følger:</w:t>
      </w:r>
    </w:p>
    <w:p w:rsidR="00DA38B6" w:rsidRPr="00AE384A" w:rsidRDefault="00DA38B6" w:rsidP="000757A7">
      <w:pPr>
        <w:spacing w:line="276" w:lineRule="auto"/>
        <w:rPr>
          <w:sz w:val="24"/>
        </w:rPr>
      </w:pPr>
      <w:r w:rsidRPr="00AE384A">
        <w:rPr>
          <w:sz w:val="24"/>
        </w:rPr>
        <w:t>Energiindholdet i det anvendte affaldsbrændsel kendes som udgangspunkt ikke. Det beregnes efter denne formel: Affaldsbrændselsmængde i alt i GJ = (leveret varme + bortkølet varme + produceret el)/0,85 – energi i halm – energi i naturgas. Energiindholdet i halm udgør 14,5 GJ/ton. Energiindholdet i naturgas udgør 39,6 MJ/Nm</w:t>
      </w:r>
      <w:r w:rsidRPr="00AE384A">
        <w:rPr>
          <w:sz w:val="24"/>
          <w:vertAlign w:val="superscript"/>
        </w:rPr>
        <w:t>3</w:t>
      </w:r>
      <w:r w:rsidRPr="00AE384A">
        <w:rPr>
          <w:sz w:val="24"/>
        </w:rPr>
        <w:t>. Der er tale om standardsatser for energiindhold i henholdsvis halm og affald, som er fastsat i energiafgiftslovene.</w:t>
      </w:r>
    </w:p>
    <w:p w:rsidR="00DA38B6" w:rsidRPr="00AE384A" w:rsidRDefault="002F35CA" w:rsidP="000757A7">
      <w:pPr>
        <w:spacing w:line="276" w:lineRule="auto"/>
        <w:rPr>
          <w:sz w:val="24"/>
        </w:rPr>
      </w:pPr>
      <w:r>
        <w:rPr>
          <w:sz w:val="24"/>
        </w:rPr>
        <w:t xml:space="preserve">   </w:t>
      </w:r>
      <w:r w:rsidR="00DA38B6" w:rsidRPr="00AE384A">
        <w:rPr>
          <w:sz w:val="24"/>
        </w:rPr>
        <w:t>I dette beregningseksempel giver ovennævnte formel dette resultat:</w:t>
      </w:r>
    </w:p>
    <w:p w:rsidR="00DA38B6" w:rsidRPr="00AE384A" w:rsidRDefault="00DA38B6" w:rsidP="000757A7">
      <w:pPr>
        <w:spacing w:line="276" w:lineRule="auto"/>
        <w:rPr>
          <w:sz w:val="24"/>
        </w:rPr>
      </w:pPr>
      <w:r w:rsidRPr="00AE384A">
        <w:rPr>
          <w:sz w:val="24"/>
        </w:rPr>
        <w:t>(90 GJ + 10 GJ + 27,5 GJ)/0,85 – 1 ton halm x14,5 GJ/ton halm – 400 Nm</w:t>
      </w:r>
      <w:r w:rsidRPr="00AE384A">
        <w:rPr>
          <w:sz w:val="24"/>
          <w:vertAlign w:val="superscript"/>
        </w:rPr>
        <w:t>3</w:t>
      </w:r>
      <w:r w:rsidR="009B3481" w:rsidRPr="00AE384A">
        <w:rPr>
          <w:sz w:val="24"/>
        </w:rPr>
        <w:t xml:space="preserve"> </w:t>
      </w:r>
      <w:r w:rsidRPr="00AE384A">
        <w:rPr>
          <w:sz w:val="24"/>
        </w:rPr>
        <w:t>x 0,0396 GJ/Nm</w:t>
      </w:r>
      <w:r w:rsidRPr="00AE384A">
        <w:rPr>
          <w:sz w:val="24"/>
          <w:vertAlign w:val="superscript"/>
        </w:rPr>
        <w:t>3</w:t>
      </w:r>
    </w:p>
    <w:p w:rsidR="00DA38B6" w:rsidRPr="00AE384A" w:rsidRDefault="00DA38B6" w:rsidP="000757A7">
      <w:pPr>
        <w:spacing w:line="276" w:lineRule="auto"/>
        <w:rPr>
          <w:sz w:val="24"/>
        </w:rPr>
      </w:pPr>
      <w:r w:rsidRPr="00AE384A">
        <w:rPr>
          <w:sz w:val="24"/>
        </w:rPr>
        <w:t xml:space="preserve">= 127,5 GJ/0,85 – 14,5 GJ – 15,84 GJ = 150 GJ – 14,5 GJ – 15,84 GJ = </w:t>
      </w:r>
      <w:r w:rsidRPr="00AE384A">
        <w:rPr>
          <w:sz w:val="24"/>
          <w:u w:val="single"/>
        </w:rPr>
        <w:t>119,66 GJ</w:t>
      </w:r>
      <w:r w:rsidRPr="00AE384A">
        <w:rPr>
          <w:sz w:val="24"/>
        </w:rPr>
        <w:t xml:space="preserve"> for affaldsbrændsel</w:t>
      </w:r>
    </w:p>
    <w:p w:rsidR="00DA38B6" w:rsidRPr="00AE384A" w:rsidRDefault="002F35CA" w:rsidP="000757A7">
      <w:pPr>
        <w:spacing w:line="276" w:lineRule="auto"/>
        <w:rPr>
          <w:sz w:val="24"/>
        </w:rPr>
      </w:pPr>
      <w:r>
        <w:rPr>
          <w:sz w:val="24"/>
        </w:rPr>
        <w:t xml:space="preserve">   </w:t>
      </w:r>
      <w:r w:rsidR="00DA38B6" w:rsidRPr="00AE384A">
        <w:rPr>
          <w:sz w:val="24"/>
        </w:rPr>
        <w:t>Energimængderne udgør der</w:t>
      </w:r>
      <w:r>
        <w:rPr>
          <w:sz w:val="24"/>
        </w:rPr>
        <w:t>efter</w:t>
      </w:r>
      <w:r w:rsidR="00DA38B6" w:rsidRPr="00AE384A">
        <w:rPr>
          <w:sz w:val="24"/>
        </w:rPr>
        <w:t xml:space="preserve"> følgende:</w:t>
      </w:r>
    </w:p>
    <w:p w:rsidR="00DA38B6" w:rsidRDefault="00DA38B6" w:rsidP="000757A7">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985"/>
      </w:tblGrid>
      <w:tr w:rsidR="008B0B57" w:rsidTr="00281195">
        <w:tc>
          <w:tcPr>
            <w:tcW w:w="4111" w:type="dxa"/>
          </w:tcPr>
          <w:p w:rsidR="008B0B57" w:rsidRDefault="00281195" w:rsidP="000757A7">
            <w:pPr>
              <w:spacing w:line="276" w:lineRule="auto"/>
              <w:rPr>
                <w:sz w:val="24"/>
              </w:rPr>
            </w:pPr>
            <w:r w:rsidRPr="00AE384A">
              <w:rPr>
                <w:sz w:val="24"/>
              </w:rPr>
              <w:lastRenderedPageBreak/>
              <w:t>Affaldsbrændsel</w:t>
            </w:r>
          </w:p>
        </w:tc>
        <w:tc>
          <w:tcPr>
            <w:tcW w:w="1985" w:type="dxa"/>
          </w:tcPr>
          <w:p w:rsidR="008B0B57" w:rsidRDefault="00281195" w:rsidP="000757A7">
            <w:pPr>
              <w:spacing w:line="276" w:lineRule="auto"/>
              <w:rPr>
                <w:sz w:val="24"/>
              </w:rPr>
            </w:pPr>
            <w:r w:rsidRPr="00AE384A">
              <w:rPr>
                <w:sz w:val="24"/>
              </w:rPr>
              <w:t>119,66  GJ</w:t>
            </w:r>
          </w:p>
        </w:tc>
      </w:tr>
      <w:tr w:rsidR="008B0B57" w:rsidTr="00281195">
        <w:tc>
          <w:tcPr>
            <w:tcW w:w="4111" w:type="dxa"/>
          </w:tcPr>
          <w:p w:rsidR="008B0B57" w:rsidRDefault="00281195" w:rsidP="000757A7">
            <w:pPr>
              <w:spacing w:line="276" w:lineRule="auto"/>
              <w:rPr>
                <w:sz w:val="24"/>
              </w:rPr>
            </w:pPr>
            <w:r w:rsidRPr="00AE384A">
              <w:rPr>
                <w:sz w:val="24"/>
              </w:rPr>
              <w:t>Halm</w:t>
            </w:r>
          </w:p>
        </w:tc>
        <w:tc>
          <w:tcPr>
            <w:tcW w:w="1985" w:type="dxa"/>
          </w:tcPr>
          <w:p w:rsidR="008B0B57" w:rsidRDefault="00281195" w:rsidP="000757A7">
            <w:pPr>
              <w:spacing w:line="276" w:lineRule="auto"/>
              <w:rPr>
                <w:sz w:val="24"/>
              </w:rPr>
            </w:pPr>
            <w:r w:rsidRPr="00AE384A">
              <w:rPr>
                <w:sz w:val="24"/>
              </w:rPr>
              <w:t>14,50  GJ</w:t>
            </w:r>
          </w:p>
        </w:tc>
      </w:tr>
      <w:tr w:rsidR="008B0B57" w:rsidTr="00281195">
        <w:tc>
          <w:tcPr>
            <w:tcW w:w="4111" w:type="dxa"/>
          </w:tcPr>
          <w:p w:rsidR="008B0B57" w:rsidRDefault="00281195" w:rsidP="000757A7">
            <w:pPr>
              <w:spacing w:line="276" w:lineRule="auto"/>
              <w:rPr>
                <w:sz w:val="24"/>
              </w:rPr>
            </w:pPr>
            <w:r w:rsidRPr="00AE384A">
              <w:rPr>
                <w:sz w:val="24"/>
              </w:rPr>
              <w:t>Gas</w:t>
            </w:r>
          </w:p>
        </w:tc>
        <w:tc>
          <w:tcPr>
            <w:tcW w:w="1985" w:type="dxa"/>
          </w:tcPr>
          <w:p w:rsidR="008B0B57" w:rsidRDefault="00281195" w:rsidP="000757A7">
            <w:pPr>
              <w:spacing w:line="276" w:lineRule="auto"/>
              <w:rPr>
                <w:sz w:val="24"/>
              </w:rPr>
            </w:pPr>
            <w:r w:rsidRPr="00AE384A">
              <w:rPr>
                <w:sz w:val="24"/>
              </w:rPr>
              <w:t>15,84  GJ</w:t>
            </w:r>
          </w:p>
        </w:tc>
      </w:tr>
      <w:tr w:rsidR="008B0B57" w:rsidTr="00281195">
        <w:tc>
          <w:tcPr>
            <w:tcW w:w="4111" w:type="dxa"/>
          </w:tcPr>
          <w:p w:rsidR="008B0B57" w:rsidRDefault="008B0B57" w:rsidP="000757A7">
            <w:pPr>
              <w:spacing w:line="276" w:lineRule="auto"/>
              <w:rPr>
                <w:sz w:val="24"/>
              </w:rPr>
            </w:pPr>
          </w:p>
        </w:tc>
        <w:tc>
          <w:tcPr>
            <w:tcW w:w="1985" w:type="dxa"/>
          </w:tcPr>
          <w:p w:rsidR="008B0B57" w:rsidRDefault="008B0B57" w:rsidP="000757A7">
            <w:pPr>
              <w:spacing w:line="276" w:lineRule="auto"/>
              <w:rPr>
                <w:sz w:val="24"/>
              </w:rPr>
            </w:pPr>
          </w:p>
        </w:tc>
      </w:tr>
      <w:tr w:rsidR="008B0B57" w:rsidTr="00281195">
        <w:tc>
          <w:tcPr>
            <w:tcW w:w="4111" w:type="dxa"/>
          </w:tcPr>
          <w:p w:rsidR="008B0B57" w:rsidRDefault="00281195" w:rsidP="000757A7">
            <w:pPr>
              <w:spacing w:line="276" w:lineRule="auto"/>
              <w:rPr>
                <w:sz w:val="24"/>
              </w:rPr>
            </w:pPr>
            <w:r w:rsidRPr="00AE384A">
              <w:rPr>
                <w:sz w:val="24"/>
              </w:rPr>
              <w:t>I alt brændsel</w:t>
            </w:r>
          </w:p>
        </w:tc>
        <w:tc>
          <w:tcPr>
            <w:tcW w:w="1985" w:type="dxa"/>
          </w:tcPr>
          <w:p w:rsidR="008B0B57" w:rsidRDefault="00281195" w:rsidP="000757A7">
            <w:pPr>
              <w:spacing w:line="276" w:lineRule="auto"/>
              <w:rPr>
                <w:sz w:val="24"/>
              </w:rPr>
            </w:pPr>
            <w:r w:rsidRPr="00AE384A">
              <w:rPr>
                <w:sz w:val="24"/>
                <w:u w:val="single"/>
              </w:rPr>
              <w:t>150,00  GJ</w:t>
            </w:r>
          </w:p>
        </w:tc>
      </w:tr>
    </w:tbl>
    <w:p w:rsidR="008B0B57" w:rsidRDefault="008B0B57" w:rsidP="000757A7">
      <w:pPr>
        <w:spacing w:line="276" w:lineRule="auto"/>
        <w:rPr>
          <w:sz w:val="24"/>
        </w:rPr>
      </w:pPr>
    </w:p>
    <w:p w:rsidR="009C598A" w:rsidRPr="00AE384A" w:rsidRDefault="009C598A" w:rsidP="000757A7">
      <w:pPr>
        <w:spacing w:line="276" w:lineRule="auto"/>
        <w:rPr>
          <w:sz w:val="24"/>
        </w:rPr>
      </w:pPr>
      <w:r w:rsidRPr="00AE384A">
        <w:rPr>
          <w:sz w:val="24"/>
        </w:rPr>
        <w:t>Af de 150 GJ for affaldsbrændsel vil 83,33 GJ (produceret varme 100 GJ/1,2) blive henregnet til varme og 66,67 GJ (150 GJ – 83,33 GJ) til el, når man bruger den såkaldte v formel</w:t>
      </w:r>
      <w:r w:rsidR="00CD2833">
        <w:rPr>
          <w:sz w:val="24"/>
        </w:rPr>
        <w:t xml:space="preserve"> (v står varmevirkningsgrad)</w:t>
      </w:r>
      <w:r w:rsidRPr="00AE384A">
        <w:rPr>
          <w:sz w:val="24"/>
        </w:rPr>
        <w:t>.</w:t>
      </w:r>
    </w:p>
    <w:p w:rsidR="009C598A" w:rsidRPr="00AE384A" w:rsidRDefault="002F35CA" w:rsidP="000757A7">
      <w:pPr>
        <w:spacing w:line="276" w:lineRule="auto"/>
        <w:rPr>
          <w:sz w:val="24"/>
        </w:rPr>
      </w:pPr>
      <w:r>
        <w:rPr>
          <w:sz w:val="24"/>
        </w:rPr>
        <w:t xml:space="preserve">   </w:t>
      </w:r>
      <w:r w:rsidR="009C598A" w:rsidRPr="00AE384A">
        <w:rPr>
          <w:sz w:val="24"/>
        </w:rPr>
        <w:t>Af de 150 GJ vil ca. 78,6 GJ (27,5/0,35) blive henregnet til el, når man bruger værnsreglen: elproduktion/ 0,35 – som angiver den maksimale fritagelse for elproduktion ved brug af v formel.</w:t>
      </w:r>
    </w:p>
    <w:p w:rsidR="009C598A" w:rsidRPr="00AE384A" w:rsidRDefault="002F35CA" w:rsidP="000757A7">
      <w:pPr>
        <w:spacing w:line="276" w:lineRule="auto"/>
        <w:rPr>
          <w:sz w:val="24"/>
        </w:rPr>
      </w:pPr>
      <w:r>
        <w:rPr>
          <w:sz w:val="24"/>
        </w:rPr>
        <w:t xml:space="preserve">   </w:t>
      </w:r>
      <w:r w:rsidR="009C598A" w:rsidRPr="00AE384A">
        <w:rPr>
          <w:sz w:val="24"/>
        </w:rPr>
        <w:t xml:space="preserve">Af de 150 GJ brændsel vil ca. 41 GJ (27,5 GJ/0,67) blive henregnet til el </w:t>
      </w:r>
      <w:r w:rsidR="007E6262" w:rsidRPr="00AE384A">
        <w:rPr>
          <w:sz w:val="24"/>
        </w:rPr>
        <w:t>-</w:t>
      </w:r>
      <w:r w:rsidR="009C598A" w:rsidRPr="00AE384A">
        <w:rPr>
          <w:sz w:val="24"/>
        </w:rPr>
        <w:t xml:space="preserve"> og dermed 109 GJ til varme </w:t>
      </w:r>
      <w:r w:rsidR="007E6262" w:rsidRPr="00AE384A">
        <w:rPr>
          <w:sz w:val="24"/>
        </w:rPr>
        <w:t>-</w:t>
      </w:r>
      <w:r w:rsidR="009C598A" w:rsidRPr="00AE384A">
        <w:rPr>
          <w:sz w:val="24"/>
        </w:rPr>
        <w:t>, når man bruger den såkaldte e formel</w:t>
      </w:r>
      <w:r w:rsidR="00CD2833">
        <w:rPr>
          <w:sz w:val="24"/>
        </w:rPr>
        <w:t xml:space="preserve"> (e står for elvirkningsgrad)</w:t>
      </w:r>
      <w:r w:rsidR="009C598A" w:rsidRPr="00AE384A">
        <w:rPr>
          <w:sz w:val="24"/>
        </w:rPr>
        <w:t>.</w:t>
      </w:r>
    </w:p>
    <w:p w:rsidR="00985F6B" w:rsidRDefault="002F35CA" w:rsidP="000757A7">
      <w:pPr>
        <w:spacing w:line="276" w:lineRule="auto"/>
        <w:rPr>
          <w:sz w:val="24"/>
        </w:rPr>
      </w:pPr>
      <w:r>
        <w:rPr>
          <w:sz w:val="24"/>
        </w:rPr>
        <w:t xml:space="preserve">   </w:t>
      </w:r>
      <w:r w:rsidR="009C598A" w:rsidRPr="00AE384A">
        <w:rPr>
          <w:sz w:val="24"/>
        </w:rPr>
        <w:t>Der vil blive brugt v formel.</w:t>
      </w:r>
      <w:r w:rsidR="007E6262" w:rsidRPr="00AE384A">
        <w:rPr>
          <w:sz w:val="24"/>
        </w:rPr>
        <w:t xml:space="preserve">  Udledte ton</w:t>
      </w:r>
      <w:r w:rsidR="009912EF">
        <w:rPr>
          <w:sz w:val="24"/>
        </w:rPr>
        <w:t>s</w:t>
      </w:r>
      <w:r w:rsidR="007E6262" w:rsidRPr="00AE384A">
        <w:rPr>
          <w:sz w:val="24"/>
        </w:rPr>
        <w:t xml:space="preserve"> CO</w:t>
      </w:r>
      <w:r w:rsidR="007E6262" w:rsidRPr="00AE384A">
        <w:rPr>
          <w:sz w:val="24"/>
          <w:vertAlign w:val="subscript"/>
        </w:rPr>
        <w:t>2</w:t>
      </w:r>
      <w:r w:rsidR="007E6262" w:rsidRPr="00AE384A">
        <w:rPr>
          <w:sz w:val="24"/>
        </w:rPr>
        <w:t xml:space="preserve"> efter fradrag for elfremstilling udgør:</w:t>
      </w:r>
    </w:p>
    <w:p w:rsidR="008B6355" w:rsidRDefault="008B6355" w:rsidP="000757A7">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985"/>
      </w:tblGrid>
      <w:tr w:rsidR="008B6355" w:rsidRPr="008B6355" w:rsidTr="008B6355">
        <w:tc>
          <w:tcPr>
            <w:tcW w:w="4111" w:type="dxa"/>
          </w:tcPr>
          <w:p w:rsidR="008B6355" w:rsidRPr="008B6355" w:rsidRDefault="008B6355" w:rsidP="000757A7">
            <w:pPr>
              <w:spacing w:line="276" w:lineRule="auto"/>
              <w:rPr>
                <w:sz w:val="24"/>
                <w:lang w:val="en-US"/>
              </w:rPr>
            </w:pPr>
            <w:r w:rsidRPr="00AE384A">
              <w:rPr>
                <w:sz w:val="24"/>
                <w:lang w:val="en-US"/>
              </w:rPr>
              <w:t>6 ton</w:t>
            </w:r>
            <w:r w:rsidR="009912EF">
              <w:rPr>
                <w:sz w:val="24"/>
                <w:lang w:val="en-US"/>
              </w:rPr>
              <w:t>s</w:t>
            </w:r>
            <w:r w:rsidRPr="00AE384A">
              <w:rPr>
                <w:sz w:val="24"/>
                <w:lang w:val="en-US"/>
              </w:rPr>
              <w:t xml:space="preserve"> CO</w:t>
            </w:r>
            <w:r w:rsidRPr="00AE384A">
              <w:rPr>
                <w:sz w:val="24"/>
                <w:vertAlign w:val="subscript"/>
                <w:lang w:val="en-US"/>
              </w:rPr>
              <w:t>2</w:t>
            </w:r>
            <w:r w:rsidRPr="00AE384A">
              <w:rPr>
                <w:sz w:val="24"/>
                <w:lang w:val="en-US"/>
              </w:rPr>
              <w:t xml:space="preserve"> x 83,33 GJ/150 GJ =</w:t>
            </w:r>
          </w:p>
        </w:tc>
        <w:tc>
          <w:tcPr>
            <w:tcW w:w="1985" w:type="dxa"/>
          </w:tcPr>
          <w:p w:rsidR="008B6355" w:rsidRPr="008B6355" w:rsidRDefault="008B6355" w:rsidP="000757A7">
            <w:pPr>
              <w:spacing w:line="276" w:lineRule="auto"/>
              <w:rPr>
                <w:sz w:val="24"/>
                <w:lang w:val="en-US"/>
              </w:rPr>
            </w:pPr>
            <w:r w:rsidRPr="00AE384A">
              <w:rPr>
                <w:sz w:val="24"/>
                <w:lang w:val="en-US"/>
              </w:rPr>
              <w:t>3,333 ton</w:t>
            </w:r>
            <w:r w:rsidR="009912EF">
              <w:rPr>
                <w:sz w:val="24"/>
                <w:lang w:val="en-US"/>
              </w:rPr>
              <w:t>s</w:t>
            </w:r>
            <w:r w:rsidRPr="00AE384A">
              <w:rPr>
                <w:sz w:val="24"/>
                <w:lang w:val="en-US"/>
              </w:rPr>
              <w:t xml:space="preserve"> CO</w:t>
            </w:r>
            <w:r w:rsidRPr="00AE384A">
              <w:rPr>
                <w:sz w:val="24"/>
                <w:vertAlign w:val="subscript"/>
                <w:lang w:val="en-US"/>
              </w:rPr>
              <w:t>2</w:t>
            </w:r>
          </w:p>
        </w:tc>
      </w:tr>
    </w:tbl>
    <w:p w:rsidR="007E6262" w:rsidRPr="00AE384A" w:rsidRDefault="007E6262" w:rsidP="000757A7">
      <w:pPr>
        <w:spacing w:line="276" w:lineRule="auto"/>
        <w:rPr>
          <w:sz w:val="24"/>
          <w:lang w:val="en-US"/>
        </w:rPr>
      </w:pPr>
    </w:p>
    <w:p w:rsidR="00796721" w:rsidRPr="00AE384A" w:rsidRDefault="00796721" w:rsidP="000757A7">
      <w:pPr>
        <w:spacing w:line="276" w:lineRule="auto"/>
        <w:rPr>
          <w:sz w:val="24"/>
        </w:rPr>
      </w:pPr>
      <w:r w:rsidRPr="00AE384A">
        <w:rPr>
          <w:sz w:val="24"/>
        </w:rPr>
        <w:t>Herefter udgør CO</w:t>
      </w:r>
      <w:r w:rsidRPr="00AE384A">
        <w:rPr>
          <w:sz w:val="24"/>
          <w:vertAlign w:val="subscript"/>
        </w:rPr>
        <w:t>2</w:t>
      </w:r>
      <w:r w:rsidRPr="00AE384A">
        <w:rPr>
          <w:sz w:val="24"/>
        </w:rPr>
        <w:t>-afgiften brutto 164 kr./ton CO</w:t>
      </w:r>
      <w:r w:rsidRPr="00AE384A">
        <w:rPr>
          <w:sz w:val="24"/>
          <w:vertAlign w:val="subscript"/>
        </w:rPr>
        <w:t>2</w:t>
      </w:r>
      <w:r w:rsidRPr="00AE384A">
        <w:rPr>
          <w:sz w:val="24"/>
        </w:rPr>
        <w:t xml:space="preserve"> x 3,333 ton CO</w:t>
      </w:r>
      <w:r w:rsidRPr="00AE384A">
        <w:rPr>
          <w:sz w:val="24"/>
          <w:vertAlign w:val="subscript"/>
        </w:rPr>
        <w:t>2</w:t>
      </w:r>
      <w:r w:rsidRPr="00AE384A">
        <w:rPr>
          <w:sz w:val="24"/>
        </w:rPr>
        <w:t xml:space="preserve"> = 546,6 kr. For at komme frem til CO</w:t>
      </w:r>
      <w:r w:rsidRPr="00AE384A">
        <w:rPr>
          <w:sz w:val="24"/>
          <w:vertAlign w:val="subscript"/>
        </w:rPr>
        <w:t>2</w:t>
      </w:r>
      <w:r w:rsidRPr="00AE384A">
        <w:rPr>
          <w:sz w:val="24"/>
        </w:rPr>
        <w:t xml:space="preserve">-afgiften netto, som er </w:t>
      </w:r>
      <w:r w:rsidR="009C0E48" w:rsidRPr="00AE384A">
        <w:rPr>
          <w:sz w:val="24"/>
        </w:rPr>
        <w:t xml:space="preserve">den endelige </w:t>
      </w:r>
      <w:r w:rsidRPr="00AE384A">
        <w:rPr>
          <w:sz w:val="24"/>
        </w:rPr>
        <w:t>afgift, der skal angives</w:t>
      </w:r>
      <w:r w:rsidR="009C0E48" w:rsidRPr="00AE384A">
        <w:rPr>
          <w:sz w:val="24"/>
        </w:rPr>
        <w:t xml:space="preserve"> til told- og skatteforvaltningen</w:t>
      </w:r>
      <w:r w:rsidRPr="00AE384A">
        <w:rPr>
          <w:sz w:val="24"/>
        </w:rPr>
        <w:t xml:space="preserve">, kan der </w:t>
      </w:r>
      <w:r w:rsidR="009C0E48" w:rsidRPr="00AE384A">
        <w:rPr>
          <w:sz w:val="24"/>
        </w:rPr>
        <w:t xml:space="preserve">i dette eksempel </w:t>
      </w:r>
      <w:r w:rsidRPr="00AE384A">
        <w:rPr>
          <w:sz w:val="24"/>
        </w:rPr>
        <w:t xml:space="preserve">ske fradrag </w:t>
      </w:r>
      <w:r w:rsidR="00CD69F4" w:rsidRPr="00AE384A">
        <w:rPr>
          <w:sz w:val="24"/>
        </w:rPr>
        <w:t xml:space="preserve">af afgiftsbelastningen vedrørende </w:t>
      </w:r>
      <w:r w:rsidRPr="00AE384A">
        <w:rPr>
          <w:sz w:val="24"/>
        </w:rPr>
        <w:t>forbruget af andre brændsler:</w:t>
      </w:r>
    </w:p>
    <w:p w:rsidR="005B1F39" w:rsidRPr="00AE384A" w:rsidRDefault="002F35CA" w:rsidP="000757A7">
      <w:pPr>
        <w:spacing w:line="276" w:lineRule="auto"/>
        <w:rPr>
          <w:sz w:val="24"/>
        </w:rPr>
      </w:pPr>
      <w:r>
        <w:rPr>
          <w:sz w:val="24"/>
        </w:rPr>
        <w:t xml:space="preserve">   </w:t>
      </w:r>
      <w:r w:rsidR="005B1F39" w:rsidRPr="00AE384A">
        <w:rPr>
          <w:sz w:val="24"/>
        </w:rPr>
        <w:t>Der er anvendt 400 Nm</w:t>
      </w:r>
      <w:r w:rsidR="005B1F39" w:rsidRPr="009912EF">
        <w:rPr>
          <w:sz w:val="24"/>
          <w:vertAlign w:val="superscript"/>
        </w:rPr>
        <w:t>3</w:t>
      </w:r>
      <w:r w:rsidR="005B1F39" w:rsidRPr="00AE384A">
        <w:rPr>
          <w:sz w:val="24"/>
        </w:rPr>
        <w:t xml:space="preserve"> naturgas. CO</w:t>
      </w:r>
      <w:r w:rsidR="005B1F39" w:rsidRPr="00AE384A">
        <w:rPr>
          <w:sz w:val="24"/>
          <w:vertAlign w:val="subscript"/>
        </w:rPr>
        <w:t>2</w:t>
      </w:r>
      <w:r w:rsidR="005B1F39" w:rsidRPr="00AE384A">
        <w:rPr>
          <w:sz w:val="24"/>
        </w:rPr>
        <w:t xml:space="preserve"> afgiftssatsen i 2013 er 37 øre/Nm</w:t>
      </w:r>
      <w:r w:rsidR="005B1F39" w:rsidRPr="00AE384A">
        <w:rPr>
          <w:sz w:val="24"/>
          <w:vertAlign w:val="superscript"/>
        </w:rPr>
        <w:t>3</w:t>
      </w:r>
      <w:r w:rsidR="005B1F39" w:rsidRPr="00AE384A">
        <w:rPr>
          <w:sz w:val="24"/>
        </w:rPr>
        <w:t>. Naturgassen til</w:t>
      </w:r>
      <w:r w:rsidR="00AB1BD0" w:rsidRPr="00AE384A">
        <w:rPr>
          <w:sz w:val="24"/>
        </w:rPr>
        <w:t xml:space="preserve"> </w:t>
      </w:r>
      <w:r w:rsidR="005B1F39" w:rsidRPr="00AE384A">
        <w:rPr>
          <w:sz w:val="24"/>
        </w:rPr>
        <w:t>elfremstilling belastes ikke med CO</w:t>
      </w:r>
      <w:r w:rsidR="005B1F39" w:rsidRPr="00AE384A">
        <w:rPr>
          <w:sz w:val="24"/>
          <w:vertAlign w:val="subscript"/>
        </w:rPr>
        <w:t>2</w:t>
      </w:r>
      <w:r w:rsidR="005B1F39" w:rsidRPr="00AE384A">
        <w:rPr>
          <w:sz w:val="24"/>
        </w:rPr>
        <w:t xml:space="preserve">-afgift. </w:t>
      </w:r>
      <w:r w:rsidR="00AB1BD0" w:rsidRPr="00AE384A">
        <w:rPr>
          <w:sz w:val="24"/>
        </w:rPr>
        <w:t>CO</w:t>
      </w:r>
      <w:r w:rsidR="00AB1BD0" w:rsidRPr="00AE384A">
        <w:rPr>
          <w:sz w:val="24"/>
          <w:vertAlign w:val="subscript"/>
        </w:rPr>
        <w:t>2</w:t>
      </w:r>
      <w:r w:rsidR="00AB1BD0" w:rsidRPr="00AE384A">
        <w:rPr>
          <w:sz w:val="24"/>
        </w:rPr>
        <w:t>-afgift</w:t>
      </w:r>
      <w:r w:rsidR="005B1F39" w:rsidRPr="00AE384A">
        <w:rPr>
          <w:sz w:val="24"/>
        </w:rPr>
        <w:t xml:space="preserve">en vedrørende naturgassen </w:t>
      </w:r>
      <w:r w:rsidR="00D92552">
        <w:rPr>
          <w:sz w:val="24"/>
        </w:rPr>
        <w:t xml:space="preserve">til varmefremstillingen </w:t>
      </w:r>
      <w:r w:rsidR="00AB1BD0" w:rsidRPr="00AE384A">
        <w:rPr>
          <w:sz w:val="24"/>
        </w:rPr>
        <w:t>udgør</w:t>
      </w:r>
      <w:r w:rsidR="005B1F39" w:rsidRPr="00AE384A">
        <w:rPr>
          <w:sz w:val="24"/>
        </w:rPr>
        <w:t>:</w:t>
      </w:r>
    </w:p>
    <w:p w:rsidR="005B1F39" w:rsidRDefault="005B1F39" w:rsidP="000757A7">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985"/>
      </w:tblGrid>
      <w:tr w:rsidR="008B6355" w:rsidTr="008B6355">
        <w:tc>
          <w:tcPr>
            <w:tcW w:w="4111" w:type="dxa"/>
          </w:tcPr>
          <w:p w:rsidR="008B6355" w:rsidRDefault="008B6355" w:rsidP="000757A7">
            <w:pPr>
              <w:spacing w:line="276" w:lineRule="auto"/>
              <w:rPr>
                <w:sz w:val="24"/>
              </w:rPr>
            </w:pPr>
            <w:r w:rsidRPr="00AE384A">
              <w:rPr>
                <w:sz w:val="24"/>
              </w:rPr>
              <w:t>400 Nm</w:t>
            </w:r>
            <w:r w:rsidRPr="00AE384A">
              <w:rPr>
                <w:sz w:val="24"/>
                <w:vertAlign w:val="superscript"/>
              </w:rPr>
              <w:t>3</w:t>
            </w:r>
            <w:r w:rsidRPr="00AE384A">
              <w:rPr>
                <w:sz w:val="24"/>
              </w:rPr>
              <w:t xml:space="preserve"> x 37 øre/Nm</w:t>
            </w:r>
            <w:r w:rsidRPr="00AE384A">
              <w:rPr>
                <w:sz w:val="24"/>
                <w:vertAlign w:val="superscript"/>
              </w:rPr>
              <w:t>3</w:t>
            </w:r>
            <w:r w:rsidRPr="00AE384A">
              <w:rPr>
                <w:sz w:val="24"/>
              </w:rPr>
              <w:t xml:space="preserve"> x 83,33/150 =</w:t>
            </w:r>
          </w:p>
        </w:tc>
        <w:tc>
          <w:tcPr>
            <w:tcW w:w="1985" w:type="dxa"/>
          </w:tcPr>
          <w:p w:rsidR="008B6355" w:rsidRDefault="008B6355" w:rsidP="000757A7">
            <w:pPr>
              <w:spacing w:line="276" w:lineRule="auto"/>
              <w:rPr>
                <w:sz w:val="24"/>
              </w:rPr>
            </w:pPr>
            <w:r w:rsidRPr="00AE384A">
              <w:rPr>
                <w:sz w:val="24"/>
              </w:rPr>
              <w:t>82,22 kr.</w:t>
            </w:r>
          </w:p>
        </w:tc>
      </w:tr>
    </w:tbl>
    <w:p w:rsidR="009C0E48" w:rsidRPr="00AE384A" w:rsidRDefault="009C0E48" w:rsidP="000757A7">
      <w:pPr>
        <w:spacing w:line="276" w:lineRule="auto"/>
        <w:rPr>
          <w:sz w:val="24"/>
        </w:rPr>
      </w:pPr>
    </w:p>
    <w:p w:rsidR="009C0E48" w:rsidRPr="00AE384A" w:rsidRDefault="009C0E48" w:rsidP="000757A7">
      <w:pPr>
        <w:spacing w:line="276" w:lineRule="auto"/>
        <w:rPr>
          <w:sz w:val="24"/>
        </w:rPr>
      </w:pPr>
      <w:r w:rsidRPr="00AE384A">
        <w:rPr>
          <w:sz w:val="24"/>
        </w:rPr>
        <w:t>Der er ikke CO</w:t>
      </w:r>
      <w:r w:rsidRPr="00AE384A">
        <w:rPr>
          <w:sz w:val="24"/>
          <w:vertAlign w:val="subscript"/>
        </w:rPr>
        <w:t>2</w:t>
      </w:r>
      <w:r w:rsidRPr="00AE384A">
        <w:rPr>
          <w:sz w:val="24"/>
        </w:rPr>
        <w:t>-afgift på halmen.</w:t>
      </w:r>
    </w:p>
    <w:p w:rsidR="005B1F39" w:rsidRPr="00AE384A" w:rsidRDefault="005B1F39" w:rsidP="000757A7">
      <w:pPr>
        <w:spacing w:line="276" w:lineRule="auto"/>
        <w:rPr>
          <w:sz w:val="24"/>
        </w:rPr>
      </w:pPr>
    </w:p>
    <w:p w:rsidR="00E051FF" w:rsidRPr="00AE384A" w:rsidRDefault="005B1F39" w:rsidP="000757A7">
      <w:pPr>
        <w:spacing w:line="276" w:lineRule="auto"/>
        <w:rPr>
          <w:sz w:val="24"/>
        </w:rPr>
      </w:pPr>
      <w:r w:rsidRPr="00AE384A">
        <w:rPr>
          <w:sz w:val="24"/>
        </w:rPr>
        <w:t>Resten</w:t>
      </w:r>
      <w:r w:rsidR="00E051FF" w:rsidRPr="00AE384A">
        <w:rPr>
          <w:sz w:val="24"/>
        </w:rPr>
        <w:t xml:space="preserve"> af CO</w:t>
      </w:r>
      <w:r w:rsidR="00E051FF" w:rsidRPr="00AE384A">
        <w:rPr>
          <w:sz w:val="24"/>
          <w:vertAlign w:val="subscript"/>
        </w:rPr>
        <w:t>2</w:t>
      </w:r>
      <w:r w:rsidR="00E051FF" w:rsidRPr="00AE384A">
        <w:rPr>
          <w:sz w:val="24"/>
        </w:rPr>
        <w:t>-afgiften</w:t>
      </w:r>
      <w:r w:rsidR="00CC5419" w:rsidRPr="00AE384A">
        <w:rPr>
          <w:sz w:val="24"/>
        </w:rPr>
        <w:t xml:space="preserve"> beregnes</w:t>
      </w:r>
      <w:r w:rsidR="00E051FF" w:rsidRPr="00AE384A">
        <w:rPr>
          <w:sz w:val="24"/>
        </w:rPr>
        <w:t>:</w:t>
      </w:r>
      <w:r w:rsidRPr="00AE384A">
        <w:rPr>
          <w:sz w:val="24"/>
        </w:rPr>
        <w:t xml:space="preserve"> </w:t>
      </w:r>
    </w:p>
    <w:p w:rsidR="00E051FF" w:rsidRDefault="00E051FF" w:rsidP="000757A7">
      <w:pPr>
        <w:spacing w:line="276" w:lineRule="auto"/>
        <w:rPr>
          <w:sz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985"/>
      </w:tblGrid>
      <w:tr w:rsidR="008B6355" w:rsidTr="008B6355">
        <w:tc>
          <w:tcPr>
            <w:tcW w:w="4111" w:type="dxa"/>
          </w:tcPr>
          <w:p w:rsidR="008B6355" w:rsidRDefault="008B6355" w:rsidP="000757A7">
            <w:pPr>
              <w:spacing w:line="276" w:lineRule="auto"/>
              <w:rPr>
                <w:sz w:val="24"/>
              </w:rPr>
            </w:pPr>
            <w:r w:rsidRPr="00AE384A">
              <w:rPr>
                <w:sz w:val="24"/>
              </w:rPr>
              <w:t>546,6 kr. - 82,22 kr. =</w:t>
            </w:r>
          </w:p>
        </w:tc>
        <w:tc>
          <w:tcPr>
            <w:tcW w:w="1985" w:type="dxa"/>
          </w:tcPr>
          <w:p w:rsidR="008B6355" w:rsidRPr="008B6355" w:rsidRDefault="008B6355" w:rsidP="000757A7">
            <w:pPr>
              <w:spacing w:line="276" w:lineRule="auto"/>
              <w:rPr>
                <w:sz w:val="24"/>
                <w:u w:val="single"/>
              </w:rPr>
            </w:pPr>
            <w:r w:rsidRPr="00AE384A">
              <w:rPr>
                <w:sz w:val="24"/>
                <w:u w:val="single"/>
              </w:rPr>
              <w:t>464,4</w:t>
            </w:r>
            <w:r w:rsidR="00D92552">
              <w:rPr>
                <w:sz w:val="24"/>
                <w:u w:val="single"/>
              </w:rPr>
              <w:t>0</w:t>
            </w:r>
            <w:r w:rsidRPr="00AE384A">
              <w:rPr>
                <w:sz w:val="24"/>
                <w:u w:val="single"/>
              </w:rPr>
              <w:t xml:space="preserve"> kr. </w:t>
            </w:r>
          </w:p>
        </w:tc>
      </w:tr>
    </w:tbl>
    <w:p w:rsidR="00CC5419" w:rsidRPr="00AE384A" w:rsidRDefault="00CC5419" w:rsidP="000757A7">
      <w:pPr>
        <w:spacing w:line="276" w:lineRule="auto"/>
        <w:rPr>
          <w:sz w:val="24"/>
          <w:u w:val="single"/>
        </w:rPr>
      </w:pPr>
    </w:p>
    <w:p w:rsidR="00796721" w:rsidRPr="00AE384A" w:rsidRDefault="002F35CA" w:rsidP="000757A7">
      <w:pPr>
        <w:spacing w:line="276" w:lineRule="auto"/>
        <w:rPr>
          <w:sz w:val="24"/>
        </w:rPr>
      </w:pPr>
      <w:r>
        <w:rPr>
          <w:sz w:val="24"/>
        </w:rPr>
        <w:t xml:space="preserve">   </w:t>
      </w:r>
      <w:r w:rsidR="00CC5419" w:rsidRPr="00AE384A">
        <w:rPr>
          <w:sz w:val="24"/>
        </w:rPr>
        <w:t>Dette beløb</w:t>
      </w:r>
      <w:r w:rsidR="009C0E48" w:rsidRPr="00AE384A">
        <w:rPr>
          <w:sz w:val="24"/>
        </w:rPr>
        <w:t xml:space="preserve"> </w:t>
      </w:r>
      <w:r w:rsidR="004B22A3" w:rsidRPr="00AE384A">
        <w:rPr>
          <w:sz w:val="24"/>
        </w:rPr>
        <w:t>u</w:t>
      </w:r>
      <w:r w:rsidR="009C0E48" w:rsidRPr="00AE384A">
        <w:rPr>
          <w:sz w:val="24"/>
        </w:rPr>
        <w:t>dgør CO</w:t>
      </w:r>
      <w:r w:rsidR="009C0E48" w:rsidRPr="00AE384A">
        <w:rPr>
          <w:sz w:val="24"/>
          <w:vertAlign w:val="subscript"/>
        </w:rPr>
        <w:t>2</w:t>
      </w:r>
      <w:r w:rsidR="009C0E48" w:rsidRPr="00AE384A">
        <w:rPr>
          <w:sz w:val="24"/>
        </w:rPr>
        <w:t>-afgift</w:t>
      </w:r>
      <w:r w:rsidR="00CC5419" w:rsidRPr="00AE384A">
        <w:rPr>
          <w:sz w:val="24"/>
        </w:rPr>
        <w:t>en</w:t>
      </w:r>
      <w:r w:rsidR="009C0E48" w:rsidRPr="00AE384A">
        <w:rPr>
          <w:sz w:val="24"/>
        </w:rPr>
        <w:t xml:space="preserve"> vedrørende </w:t>
      </w:r>
      <w:r w:rsidR="0015078C" w:rsidRPr="00AE384A">
        <w:rPr>
          <w:sz w:val="24"/>
        </w:rPr>
        <w:t>CO</w:t>
      </w:r>
      <w:r w:rsidR="0015078C" w:rsidRPr="00AE384A">
        <w:rPr>
          <w:sz w:val="24"/>
          <w:vertAlign w:val="subscript"/>
        </w:rPr>
        <w:t>2</w:t>
      </w:r>
      <w:r w:rsidR="009912EF">
        <w:rPr>
          <w:sz w:val="24"/>
        </w:rPr>
        <w:t>-</w:t>
      </w:r>
      <w:r w:rsidR="0015078C" w:rsidRPr="00AE384A">
        <w:rPr>
          <w:sz w:val="24"/>
        </w:rPr>
        <w:t xml:space="preserve">udledningen fra </w:t>
      </w:r>
      <w:r w:rsidR="009C0E48" w:rsidRPr="00AE384A">
        <w:rPr>
          <w:sz w:val="24"/>
        </w:rPr>
        <w:t>affald</w:t>
      </w:r>
      <w:r w:rsidR="0015078C" w:rsidRPr="00AE384A">
        <w:rPr>
          <w:sz w:val="24"/>
        </w:rPr>
        <w:t>ets forbrænding</w:t>
      </w:r>
      <w:r w:rsidR="009C0E48" w:rsidRPr="00AE384A">
        <w:rPr>
          <w:sz w:val="24"/>
        </w:rPr>
        <w:t>, som virksomheden skal angive til told- og skatteforvaltningen.</w:t>
      </w:r>
      <w:r w:rsidR="00796721" w:rsidRPr="00AE384A">
        <w:rPr>
          <w:sz w:val="24"/>
        </w:rPr>
        <w:t xml:space="preserve">  </w:t>
      </w:r>
    </w:p>
    <w:p w:rsidR="007E6262" w:rsidRPr="00AE384A" w:rsidRDefault="007E6262" w:rsidP="000757A7">
      <w:pPr>
        <w:spacing w:line="276" w:lineRule="auto"/>
        <w:rPr>
          <w:sz w:val="24"/>
        </w:rPr>
      </w:pPr>
    </w:p>
    <w:p w:rsidR="00473927" w:rsidRPr="00AE384A" w:rsidRDefault="00473927" w:rsidP="000757A7">
      <w:pPr>
        <w:spacing w:line="276" w:lineRule="auto"/>
        <w:rPr>
          <w:sz w:val="24"/>
        </w:rPr>
      </w:pPr>
    </w:p>
    <w:p w:rsidR="00652815" w:rsidRPr="00AE384A" w:rsidRDefault="00652815" w:rsidP="000757A7">
      <w:pPr>
        <w:spacing w:line="276" w:lineRule="auto"/>
        <w:rPr>
          <w:sz w:val="24"/>
        </w:rPr>
      </w:pPr>
    </w:p>
    <w:p w:rsidR="0053022F" w:rsidRPr="00AE384A" w:rsidRDefault="0053022F" w:rsidP="000757A7">
      <w:pPr>
        <w:spacing w:line="276" w:lineRule="auto"/>
        <w:rPr>
          <w:i/>
          <w:sz w:val="24"/>
        </w:rPr>
      </w:pPr>
      <w:r w:rsidRPr="00AE384A">
        <w:rPr>
          <w:sz w:val="24"/>
        </w:rPr>
        <w:tab/>
      </w:r>
      <w:r w:rsidRPr="00AE384A">
        <w:rPr>
          <w:sz w:val="24"/>
        </w:rPr>
        <w:tab/>
      </w:r>
      <w:r w:rsidRPr="00AE384A">
        <w:rPr>
          <w:sz w:val="24"/>
        </w:rPr>
        <w:tab/>
        <w:t xml:space="preserve">   </w:t>
      </w:r>
      <w:r w:rsidRPr="00AE384A">
        <w:rPr>
          <w:i/>
          <w:sz w:val="24"/>
        </w:rPr>
        <w:t>Til § 3</w:t>
      </w:r>
    </w:p>
    <w:p w:rsidR="0053022F" w:rsidRPr="00AE384A" w:rsidRDefault="0053022F" w:rsidP="000757A7">
      <w:pPr>
        <w:spacing w:line="276" w:lineRule="auto"/>
        <w:rPr>
          <w:sz w:val="24"/>
        </w:rPr>
      </w:pPr>
    </w:p>
    <w:p w:rsidR="003B1F50" w:rsidRDefault="0053022F" w:rsidP="000757A7">
      <w:pPr>
        <w:spacing w:line="276" w:lineRule="auto"/>
      </w:pPr>
      <w:r w:rsidRPr="00AE384A">
        <w:rPr>
          <w:sz w:val="24"/>
        </w:rPr>
        <w:t>Det foreslås, at loven træder i kraft den 1. januar 201</w:t>
      </w:r>
      <w:r w:rsidR="00DB11DE" w:rsidRPr="00AE384A">
        <w:rPr>
          <w:sz w:val="24"/>
        </w:rPr>
        <w:t>3</w:t>
      </w:r>
      <w:r w:rsidRPr="00AE384A">
        <w:rPr>
          <w:sz w:val="24"/>
        </w:rPr>
        <w:t xml:space="preserve"> og har virkning fra og med denne dato.</w:t>
      </w:r>
    </w:p>
    <w:sectPr w:rsidR="003B1F50" w:rsidSect="00E2288F">
      <w:headerReference w:type="default" r:id="rId8"/>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69" w:rsidRDefault="00BF4E69" w:rsidP="005F57AC">
      <w:r>
        <w:separator/>
      </w:r>
    </w:p>
  </w:endnote>
  <w:endnote w:type="continuationSeparator" w:id="0">
    <w:p w:rsidR="00BF4E69" w:rsidRDefault="00BF4E69" w:rsidP="005F5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69" w:rsidRDefault="00BF4E69" w:rsidP="005F57AC">
      <w:r>
        <w:separator/>
      </w:r>
    </w:p>
  </w:footnote>
  <w:footnote w:type="continuationSeparator" w:id="0">
    <w:p w:rsidR="00BF4E69" w:rsidRDefault="00BF4E69" w:rsidP="005F57AC">
      <w:r>
        <w:continuationSeparator/>
      </w:r>
    </w:p>
  </w:footnote>
  <w:footnote w:id="1">
    <w:p w:rsidR="00BF4E69" w:rsidRPr="00650876" w:rsidRDefault="00BF4E69" w:rsidP="00942523">
      <w:pPr>
        <w:spacing w:line="288" w:lineRule="auto"/>
        <w:rPr>
          <w:iCs/>
          <w:sz w:val="18"/>
          <w:szCs w:val="18"/>
        </w:rPr>
      </w:pPr>
      <w:r w:rsidRPr="00942523">
        <w:rPr>
          <w:rStyle w:val="Fodnotehenvisning"/>
          <w:sz w:val="16"/>
          <w:szCs w:val="16"/>
          <w:vertAlign w:val="baseline"/>
        </w:rPr>
        <w:footnoteRef/>
      </w:r>
      <w:r w:rsidRPr="00942523">
        <w:rPr>
          <w:sz w:val="16"/>
          <w:szCs w:val="16"/>
        </w:rPr>
        <w:t>)</w:t>
      </w:r>
      <w:r>
        <w:t xml:space="preserve"> </w:t>
      </w:r>
      <w:r w:rsidRPr="00650876">
        <w:rPr>
          <w:sz w:val="18"/>
          <w:szCs w:val="18"/>
        </w:rPr>
        <w:t>Loven har som udkast været notificeret</w:t>
      </w:r>
      <w:r w:rsidRPr="00650876">
        <w:rPr>
          <w:iCs/>
          <w:sz w:val="18"/>
          <w:szCs w:val="18"/>
        </w:rPr>
        <w:t xml:space="preserve"> i overensstemmelse med Europa-Parlamentets og Rådets direktiv 98/34/EF (informationsproceduredirektivet)</w:t>
      </w:r>
      <w:r>
        <w:rPr>
          <w:iCs/>
          <w:sz w:val="18"/>
          <w:szCs w:val="18"/>
        </w:rPr>
        <w:t xml:space="preserve"> </w:t>
      </w:r>
      <w:r w:rsidRPr="00650876">
        <w:rPr>
          <w:iCs/>
          <w:sz w:val="18"/>
          <w:szCs w:val="18"/>
        </w:rPr>
        <w:t>som ændret ved direktiv 98/48/EF.</w:t>
      </w:r>
    </w:p>
    <w:p w:rsidR="00BF4E69" w:rsidRDefault="00BF4E69">
      <w:pPr>
        <w:pStyle w:val="Fodnote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69" w:rsidRDefault="00BF4E69">
    <w:pPr>
      <w:pStyle w:val="Sidehoved"/>
      <w:jc w:val="center"/>
      <w:rPr>
        <w:rStyle w:val="Sidetal"/>
        <w:sz w:val="24"/>
      </w:rPr>
    </w:pPr>
    <w:r>
      <w:rPr>
        <w:sz w:val="24"/>
      </w:rPr>
      <w:t xml:space="preserve">- </w:t>
    </w:r>
    <w:r w:rsidR="00A77975">
      <w:rPr>
        <w:rStyle w:val="Sidetal"/>
        <w:sz w:val="24"/>
      </w:rPr>
      <w:fldChar w:fldCharType="begin"/>
    </w:r>
    <w:r>
      <w:rPr>
        <w:rStyle w:val="Sidetal"/>
        <w:sz w:val="24"/>
      </w:rPr>
      <w:instrText xml:space="preserve"> PAGE </w:instrText>
    </w:r>
    <w:r w:rsidR="00A77975">
      <w:rPr>
        <w:rStyle w:val="Sidetal"/>
        <w:sz w:val="24"/>
      </w:rPr>
      <w:fldChar w:fldCharType="separate"/>
    </w:r>
    <w:r w:rsidR="00C10C54">
      <w:rPr>
        <w:rStyle w:val="Sidetal"/>
        <w:noProof/>
        <w:sz w:val="24"/>
      </w:rPr>
      <w:t>16</w:t>
    </w:r>
    <w:r w:rsidR="00A77975">
      <w:rPr>
        <w:rStyle w:val="Sidetal"/>
        <w:sz w:val="24"/>
      </w:rPr>
      <w:fldChar w:fldCharType="end"/>
    </w:r>
    <w:r>
      <w:rPr>
        <w:rStyle w:val="Sidetal"/>
        <w:sz w:val="24"/>
      </w:rPr>
      <w:t xml:space="preserve"> -</w:t>
    </w:r>
  </w:p>
  <w:p w:rsidR="00BF4E69" w:rsidRDefault="00BF4E69">
    <w:pPr>
      <w:pStyle w:val="Sidehoved"/>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781"/>
    <w:multiLevelType w:val="hybridMultilevel"/>
    <w:tmpl w:val="62BC44BE"/>
    <w:lvl w:ilvl="0" w:tplc="D1649AF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0C41AD"/>
    <w:multiLevelType w:val="hybridMultilevel"/>
    <w:tmpl w:val="646051D6"/>
    <w:lvl w:ilvl="0" w:tplc="15022B80">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DE020DA"/>
    <w:multiLevelType w:val="hybridMultilevel"/>
    <w:tmpl w:val="044E979C"/>
    <w:lvl w:ilvl="0" w:tplc="CEDEA4E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2E9715AA"/>
    <w:multiLevelType w:val="hybridMultilevel"/>
    <w:tmpl w:val="27928A32"/>
    <w:lvl w:ilvl="0" w:tplc="B7826CB0">
      <w:start w:val="1"/>
      <w:numFmt w:val="decimal"/>
      <w:lvlText w:val="%1."/>
      <w:lvlJc w:val="left"/>
      <w:pPr>
        <w:ind w:left="731" w:hanging="360"/>
      </w:pPr>
      <w:rPr>
        <w:rFonts w:hint="default"/>
        <w:b/>
      </w:rPr>
    </w:lvl>
    <w:lvl w:ilvl="1" w:tplc="04060019" w:tentative="1">
      <w:start w:val="1"/>
      <w:numFmt w:val="lowerLetter"/>
      <w:lvlText w:val="%2."/>
      <w:lvlJc w:val="left"/>
      <w:pPr>
        <w:ind w:left="1451" w:hanging="360"/>
      </w:pPr>
    </w:lvl>
    <w:lvl w:ilvl="2" w:tplc="0406001B" w:tentative="1">
      <w:start w:val="1"/>
      <w:numFmt w:val="lowerRoman"/>
      <w:lvlText w:val="%3."/>
      <w:lvlJc w:val="right"/>
      <w:pPr>
        <w:ind w:left="2171" w:hanging="180"/>
      </w:pPr>
    </w:lvl>
    <w:lvl w:ilvl="3" w:tplc="0406000F" w:tentative="1">
      <w:start w:val="1"/>
      <w:numFmt w:val="decimal"/>
      <w:lvlText w:val="%4."/>
      <w:lvlJc w:val="left"/>
      <w:pPr>
        <w:ind w:left="2891" w:hanging="360"/>
      </w:pPr>
    </w:lvl>
    <w:lvl w:ilvl="4" w:tplc="04060019" w:tentative="1">
      <w:start w:val="1"/>
      <w:numFmt w:val="lowerLetter"/>
      <w:lvlText w:val="%5."/>
      <w:lvlJc w:val="left"/>
      <w:pPr>
        <w:ind w:left="3611" w:hanging="360"/>
      </w:pPr>
    </w:lvl>
    <w:lvl w:ilvl="5" w:tplc="0406001B" w:tentative="1">
      <w:start w:val="1"/>
      <w:numFmt w:val="lowerRoman"/>
      <w:lvlText w:val="%6."/>
      <w:lvlJc w:val="right"/>
      <w:pPr>
        <w:ind w:left="4331" w:hanging="180"/>
      </w:pPr>
    </w:lvl>
    <w:lvl w:ilvl="6" w:tplc="0406000F" w:tentative="1">
      <w:start w:val="1"/>
      <w:numFmt w:val="decimal"/>
      <w:lvlText w:val="%7."/>
      <w:lvlJc w:val="left"/>
      <w:pPr>
        <w:ind w:left="5051" w:hanging="360"/>
      </w:pPr>
    </w:lvl>
    <w:lvl w:ilvl="7" w:tplc="04060019" w:tentative="1">
      <w:start w:val="1"/>
      <w:numFmt w:val="lowerLetter"/>
      <w:lvlText w:val="%8."/>
      <w:lvlJc w:val="left"/>
      <w:pPr>
        <w:ind w:left="5771" w:hanging="360"/>
      </w:pPr>
    </w:lvl>
    <w:lvl w:ilvl="8" w:tplc="0406001B" w:tentative="1">
      <w:start w:val="1"/>
      <w:numFmt w:val="lowerRoman"/>
      <w:lvlText w:val="%9."/>
      <w:lvlJc w:val="right"/>
      <w:pPr>
        <w:ind w:left="6491" w:hanging="180"/>
      </w:pPr>
    </w:lvl>
  </w:abstractNum>
  <w:abstractNum w:abstractNumId="4">
    <w:nsid w:val="33840221"/>
    <w:multiLevelType w:val="hybridMultilevel"/>
    <w:tmpl w:val="91866F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E195477"/>
    <w:multiLevelType w:val="hybridMultilevel"/>
    <w:tmpl w:val="6616D2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21D7080"/>
    <w:multiLevelType w:val="hybridMultilevel"/>
    <w:tmpl w:val="5554E3C2"/>
    <w:lvl w:ilvl="0" w:tplc="A712DCA8">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53FA65D7"/>
    <w:multiLevelType w:val="hybridMultilevel"/>
    <w:tmpl w:val="20640214"/>
    <w:lvl w:ilvl="0" w:tplc="20DE279E">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47B3776"/>
    <w:multiLevelType w:val="hybridMultilevel"/>
    <w:tmpl w:val="C02261B6"/>
    <w:lvl w:ilvl="0" w:tplc="FF7275D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B0C1708"/>
    <w:multiLevelType w:val="hybridMultilevel"/>
    <w:tmpl w:val="AEA807FE"/>
    <w:lvl w:ilvl="0" w:tplc="0102251A">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B030E68"/>
    <w:multiLevelType w:val="hybridMultilevel"/>
    <w:tmpl w:val="1A881B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E0D25E9"/>
    <w:multiLevelType w:val="hybridMultilevel"/>
    <w:tmpl w:val="ADE265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43E358E"/>
    <w:multiLevelType w:val="hybridMultilevel"/>
    <w:tmpl w:val="7610D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739280E"/>
    <w:multiLevelType w:val="hybridMultilevel"/>
    <w:tmpl w:val="120A5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74C62A9"/>
    <w:multiLevelType w:val="hybridMultilevel"/>
    <w:tmpl w:val="173E0656"/>
    <w:lvl w:ilvl="0" w:tplc="846A439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4"/>
  </w:num>
  <w:num w:numId="5">
    <w:abstractNumId w:val="9"/>
  </w:num>
  <w:num w:numId="6">
    <w:abstractNumId w:val="6"/>
  </w:num>
  <w:num w:numId="7">
    <w:abstractNumId w:val="12"/>
  </w:num>
  <w:num w:numId="8">
    <w:abstractNumId w:val="13"/>
  </w:num>
  <w:num w:numId="9">
    <w:abstractNumId w:val="2"/>
  </w:num>
  <w:num w:numId="10">
    <w:abstractNumId w:val="5"/>
  </w:num>
  <w:num w:numId="11">
    <w:abstractNumId w:val="7"/>
  </w:num>
  <w:num w:numId="12">
    <w:abstractNumId w:val="8"/>
  </w:num>
  <w:num w:numId="13">
    <w:abstractNumId w:val="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numFmt w:val="decimal"/>
    <w:endnote w:id="-1"/>
    <w:endnote w:id="0"/>
  </w:endnotePr>
  <w:compat/>
  <w:rsids>
    <w:rsidRoot w:val="002634C4"/>
    <w:rsid w:val="000024AE"/>
    <w:rsid w:val="00006858"/>
    <w:rsid w:val="000118C0"/>
    <w:rsid w:val="00014489"/>
    <w:rsid w:val="00021D2C"/>
    <w:rsid w:val="00022D63"/>
    <w:rsid w:val="0002324D"/>
    <w:rsid w:val="00027FDF"/>
    <w:rsid w:val="0003038B"/>
    <w:rsid w:val="000325FE"/>
    <w:rsid w:val="00032987"/>
    <w:rsid w:val="000342EC"/>
    <w:rsid w:val="00034428"/>
    <w:rsid w:val="000458C5"/>
    <w:rsid w:val="00046BF6"/>
    <w:rsid w:val="00047256"/>
    <w:rsid w:val="00050AA6"/>
    <w:rsid w:val="00052EC6"/>
    <w:rsid w:val="0005490D"/>
    <w:rsid w:val="00057F50"/>
    <w:rsid w:val="00061C29"/>
    <w:rsid w:val="0006206A"/>
    <w:rsid w:val="00063575"/>
    <w:rsid w:val="00071AB3"/>
    <w:rsid w:val="0007358C"/>
    <w:rsid w:val="00073AFB"/>
    <w:rsid w:val="00073CF6"/>
    <w:rsid w:val="000749AF"/>
    <w:rsid w:val="000757A7"/>
    <w:rsid w:val="000763C4"/>
    <w:rsid w:val="000802E5"/>
    <w:rsid w:val="00087619"/>
    <w:rsid w:val="00090B5C"/>
    <w:rsid w:val="00091271"/>
    <w:rsid w:val="00093296"/>
    <w:rsid w:val="000932A4"/>
    <w:rsid w:val="00094D24"/>
    <w:rsid w:val="00097FB5"/>
    <w:rsid w:val="000A043F"/>
    <w:rsid w:val="000A17C3"/>
    <w:rsid w:val="000A691C"/>
    <w:rsid w:val="000B1F57"/>
    <w:rsid w:val="000B29BF"/>
    <w:rsid w:val="000B2DF4"/>
    <w:rsid w:val="000B3FF7"/>
    <w:rsid w:val="000B487C"/>
    <w:rsid w:val="000B5E57"/>
    <w:rsid w:val="000B6198"/>
    <w:rsid w:val="000B643D"/>
    <w:rsid w:val="000C1E52"/>
    <w:rsid w:val="000C4FDB"/>
    <w:rsid w:val="000C5591"/>
    <w:rsid w:val="000C6562"/>
    <w:rsid w:val="000C7ECD"/>
    <w:rsid w:val="000D4B88"/>
    <w:rsid w:val="000E597E"/>
    <w:rsid w:val="000E60DA"/>
    <w:rsid w:val="000F120D"/>
    <w:rsid w:val="000F121D"/>
    <w:rsid w:val="000F14D0"/>
    <w:rsid w:val="000F199C"/>
    <w:rsid w:val="000F1F28"/>
    <w:rsid w:val="000F499F"/>
    <w:rsid w:val="000F4F31"/>
    <w:rsid w:val="001018A7"/>
    <w:rsid w:val="00106500"/>
    <w:rsid w:val="001116E1"/>
    <w:rsid w:val="00111812"/>
    <w:rsid w:val="00114CAB"/>
    <w:rsid w:val="001219C6"/>
    <w:rsid w:val="00125693"/>
    <w:rsid w:val="00126FA8"/>
    <w:rsid w:val="00127BD7"/>
    <w:rsid w:val="00132D03"/>
    <w:rsid w:val="0014282B"/>
    <w:rsid w:val="00144679"/>
    <w:rsid w:val="001449C0"/>
    <w:rsid w:val="001453B1"/>
    <w:rsid w:val="00146B51"/>
    <w:rsid w:val="001474C3"/>
    <w:rsid w:val="0015078C"/>
    <w:rsid w:val="00156A0B"/>
    <w:rsid w:val="00157907"/>
    <w:rsid w:val="001646D7"/>
    <w:rsid w:val="00164E53"/>
    <w:rsid w:val="00171E3A"/>
    <w:rsid w:val="00174F24"/>
    <w:rsid w:val="001762AE"/>
    <w:rsid w:val="0017665D"/>
    <w:rsid w:val="001801AE"/>
    <w:rsid w:val="00182562"/>
    <w:rsid w:val="00182FDE"/>
    <w:rsid w:val="0018393E"/>
    <w:rsid w:val="00183C3F"/>
    <w:rsid w:val="001A3E1A"/>
    <w:rsid w:val="001B0240"/>
    <w:rsid w:val="001B04DC"/>
    <w:rsid w:val="001B1029"/>
    <w:rsid w:val="001B1C86"/>
    <w:rsid w:val="001B410B"/>
    <w:rsid w:val="001C45A5"/>
    <w:rsid w:val="001C6F6E"/>
    <w:rsid w:val="001C7FD2"/>
    <w:rsid w:val="001D21B9"/>
    <w:rsid w:val="001E0FC2"/>
    <w:rsid w:val="001F0771"/>
    <w:rsid w:val="001F38B5"/>
    <w:rsid w:val="001F5EF0"/>
    <w:rsid w:val="001F6F41"/>
    <w:rsid w:val="0020428C"/>
    <w:rsid w:val="002054A6"/>
    <w:rsid w:val="002105DB"/>
    <w:rsid w:val="00210B13"/>
    <w:rsid w:val="002128AB"/>
    <w:rsid w:val="00212E84"/>
    <w:rsid w:val="00220539"/>
    <w:rsid w:val="00220FA9"/>
    <w:rsid w:val="002219FC"/>
    <w:rsid w:val="002311FA"/>
    <w:rsid w:val="00237FDA"/>
    <w:rsid w:val="002400C8"/>
    <w:rsid w:val="002415BC"/>
    <w:rsid w:val="00243E33"/>
    <w:rsid w:val="00246759"/>
    <w:rsid w:val="00250170"/>
    <w:rsid w:val="00254B06"/>
    <w:rsid w:val="0025678D"/>
    <w:rsid w:val="00262BDB"/>
    <w:rsid w:val="002634C4"/>
    <w:rsid w:val="00263719"/>
    <w:rsid w:val="00265CAD"/>
    <w:rsid w:val="002664AB"/>
    <w:rsid w:val="00272F99"/>
    <w:rsid w:val="00275157"/>
    <w:rsid w:val="00275E32"/>
    <w:rsid w:val="00277BC9"/>
    <w:rsid w:val="00281195"/>
    <w:rsid w:val="00286A5B"/>
    <w:rsid w:val="0029011B"/>
    <w:rsid w:val="002913A7"/>
    <w:rsid w:val="00291F88"/>
    <w:rsid w:val="00293F49"/>
    <w:rsid w:val="00295097"/>
    <w:rsid w:val="002A0739"/>
    <w:rsid w:val="002A19F5"/>
    <w:rsid w:val="002A1C14"/>
    <w:rsid w:val="002A4E85"/>
    <w:rsid w:val="002A5355"/>
    <w:rsid w:val="002B336B"/>
    <w:rsid w:val="002B4655"/>
    <w:rsid w:val="002B6348"/>
    <w:rsid w:val="002B6C12"/>
    <w:rsid w:val="002C4808"/>
    <w:rsid w:val="002C5E26"/>
    <w:rsid w:val="002D36F2"/>
    <w:rsid w:val="002E6D88"/>
    <w:rsid w:val="002F02E0"/>
    <w:rsid w:val="002F2E68"/>
    <w:rsid w:val="002F35CA"/>
    <w:rsid w:val="002F47E6"/>
    <w:rsid w:val="002F6C28"/>
    <w:rsid w:val="00300B9F"/>
    <w:rsid w:val="003149F5"/>
    <w:rsid w:val="0031528A"/>
    <w:rsid w:val="00317885"/>
    <w:rsid w:val="0032101B"/>
    <w:rsid w:val="00322FCB"/>
    <w:rsid w:val="00324BEE"/>
    <w:rsid w:val="0032549D"/>
    <w:rsid w:val="003256A5"/>
    <w:rsid w:val="003261AE"/>
    <w:rsid w:val="0032730D"/>
    <w:rsid w:val="00333528"/>
    <w:rsid w:val="003372A3"/>
    <w:rsid w:val="00342032"/>
    <w:rsid w:val="00346635"/>
    <w:rsid w:val="00350A69"/>
    <w:rsid w:val="00352B3C"/>
    <w:rsid w:val="0035717C"/>
    <w:rsid w:val="00360C4C"/>
    <w:rsid w:val="00361B30"/>
    <w:rsid w:val="003820FA"/>
    <w:rsid w:val="00387400"/>
    <w:rsid w:val="003921DE"/>
    <w:rsid w:val="003949AF"/>
    <w:rsid w:val="00394D4E"/>
    <w:rsid w:val="003A09DF"/>
    <w:rsid w:val="003A2152"/>
    <w:rsid w:val="003A3009"/>
    <w:rsid w:val="003B0989"/>
    <w:rsid w:val="003B0F1B"/>
    <w:rsid w:val="003B185C"/>
    <w:rsid w:val="003B1F50"/>
    <w:rsid w:val="003C2401"/>
    <w:rsid w:val="003C3007"/>
    <w:rsid w:val="003C3C8B"/>
    <w:rsid w:val="003D51F7"/>
    <w:rsid w:val="003E4C8D"/>
    <w:rsid w:val="003F076C"/>
    <w:rsid w:val="00403041"/>
    <w:rsid w:val="0040600F"/>
    <w:rsid w:val="00406A56"/>
    <w:rsid w:val="00412971"/>
    <w:rsid w:val="0041322E"/>
    <w:rsid w:val="004244AD"/>
    <w:rsid w:val="00425321"/>
    <w:rsid w:val="00431F6F"/>
    <w:rsid w:val="00432685"/>
    <w:rsid w:val="004365E6"/>
    <w:rsid w:val="0043673B"/>
    <w:rsid w:val="004400BF"/>
    <w:rsid w:val="004401F5"/>
    <w:rsid w:val="004417AC"/>
    <w:rsid w:val="00446926"/>
    <w:rsid w:val="004471E2"/>
    <w:rsid w:val="0045060E"/>
    <w:rsid w:val="00453C34"/>
    <w:rsid w:val="00456238"/>
    <w:rsid w:val="0045769C"/>
    <w:rsid w:val="00463514"/>
    <w:rsid w:val="00464847"/>
    <w:rsid w:val="00466690"/>
    <w:rsid w:val="004703BF"/>
    <w:rsid w:val="00472425"/>
    <w:rsid w:val="00473927"/>
    <w:rsid w:val="00474823"/>
    <w:rsid w:val="004808DF"/>
    <w:rsid w:val="0048129A"/>
    <w:rsid w:val="004845D1"/>
    <w:rsid w:val="0048639B"/>
    <w:rsid w:val="00492E80"/>
    <w:rsid w:val="00494B55"/>
    <w:rsid w:val="004A0479"/>
    <w:rsid w:val="004A0D3F"/>
    <w:rsid w:val="004A212D"/>
    <w:rsid w:val="004B0238"/>
    <w:rsid w:val="004B0F9E"/>
    <w:rsid w:val="004B22A3"/>
    <w:rsid w:val="004B3686"/>
    <w:rsid w:val="004B38AD"/>
    <w:rsid w:val="004B4716"/>
    <w:rsid w:val="004B5E10"/>
    <w:rsid w:val="004C1475"/>
    <w:rsid w:val="004C21F7"/>
    <w:rsid w:val="004C36A1"/>
    <w:rsid w:val="004C50D1"/>
    <w:rsid w:val="004C7015"/>
    <w:rsid w:val="004D42F4"/>
    <w:rsid w:val="004D5F41"/>
    <w:rsid w:val="004D797E"/>
    <w:rsid w:val="004E00D3"/>
    <w:rsid w:val="004E080B"/>
    <w:rsid w:val="004E0953"/>
    <w:rsid w:val="004E1D68"/>
    <w:rsid w:val="004E5806"/>
    <w:rsid w:val="004F1B46"/>
    <w:rsid w:val="004F4427"/>
    <w:rsid w:val="00500124"/>
    <w:rsid w:val="00500F39"/>
    <w:rsid w:val="00501F85"/>
    <w:rsid w:val="005028CD"/>
    <w:rsid w:val="005032DE"/>
    <w:rsid w:val="0050532E"/>
    <w:rsid w:val="00517476"/>
    <w:rsid w:val="0052417A"/>
    <w:rsid w:val="00525FB9"/>
    <w:rsid w:val="0053022F"/>
    <w:rsid w:val="005452A3"/>
    <w:rsid w:val="00552017"/>
    <w:rsid w:val="00552CAF"/>
    <w:rsid w:val="00552CCB"/>
    <w:rsid w:val="00553210"/>
    <w:rsid w:val="0055591E"/>
    <w:rsid w:val="00557BDA"/>
    <w:rsid w:val="00564146"/>
    <w:rsid w:val="005646B2"/>
    <w:rsid w:val="00565525"/>
    <w:rsid w:val="00571032"/>
    <w:rsid w:val="005714B2"/>
    <w:rsid w:val="005727FB"/>
    <w:rsid w:val="00573267"/>
    <w:rsid w:val="005854B6"/>
    <w:rsid w:val="00590E20"/>
    <w:rsid w:val="00594BCC"/>
    <w:rsid w:val="005A3138"/>
    <w:rsid w:val="005A4B7C"/>
    <w:rsid w:val="005A6028"/>
    <w:rsid w:val="005B1F39"/>
    <w:rsid w:val="005B1F43"/>
    <w:rsid w:val="005B32C7"/>
    <w:rsid w:val="005B5A0C"/>
    <w:rsid w:val="005B5DFA"/>
    <w:rsid w:val="005C16B3"/>
    <w:rsid w:val="005C1912"/>
    <w:rsid w:val="005C22B5"/>
    <w:rsid w:val="005C4BD0"/>
    <w:rsid w:val="005C5FF7"/>
    <w:rsid w:val="005D07F8"/>
    <w:rsid w:val="005E0AD2"/>
    <w:rsid w:val="005E2C63"/>
    <w:rsid w:val="005E4856"/>
    <w:rsid w:val="005E7793"/>
    <w:rsid w:val="005F3F61"/>
    <w:rsid w:val="005F57AC"/>
    <w:rsid w:val="005F6768"/>
    <w:rsid w:val="00603716"/>
    <w:rsid w:val="00605011"/>
    <w:rsid w:val="00605FFD"/>
    <w:rsid w:val="00606660"/>
    <w:rsid w:val="006071C5"/>
    <w:rsid w:val="00612517"/>
    <w:rsid w:val="00614A8D"/>
    <w:rsid w:val="00616470"/>
    <w:rsid w:val="00616B98"/>
    <w:rsid w:val="00617BE6"/>
    <w:rsid w:val="00620CA8"/>
    <w:rsid w:val="00621332"/>
    <w:rsid w:val="00624BE7"/>
    <w:rsid w:val="00627312"/>
    <w:rsid w:val="00627878"/>
    <w:rsid w:val="00632654"/>
    <w:rsid w:val="00646FEB"/>
    <w:rsid w:val="00650876"/>
    <w:rsid w:val="00652815"/>
    <w:rsid w:val="00660129"/>
    <w:rsid w:val="00681956"/>
    <w:rsid w:val="006824ED"/>
    <w:rsid w:val="006831AB"/>
    <w:rsid w:val="0068583B"/>
    <w:rsid w:val="006926A9"/>
    <w:rsid w:val="006937C7"/>
    <w:rsid w:val="00696BB8"/>
    <w:rsid w:val="00697708"/>
    <w:rsid w:val="00697FF5"/>
    <w:rsid w:val="006A3965"/>
    <w:rsid w:val="006A7A3C"/>
    <w:rsid w:val="006B1725"/>
    <w:rsid w:val="006B1A50"/>
    <w:rsid w:val="006B2B4D"/>
    <w:rsid w:val="006B3EA7"/>
    <w:rsid w:val="006B69AD"/>
    <w:rsid w:val="006C060E"/>
    <w:rsid w:val="006C1788"/>
    <w:rsid w:val="006C2290"/>
    <w:rsid w:val="006C4C74"/>
    <w:rsid w:val="006C5481"/>
    <w:rsid w:val="006C78E7"/>
    <w:rsid w:val="006D2370"/>
    <w:rsid w:val="006D2C70"/>
    <w:rsid w:val="006D48FA"/>
    <w:rsid w:val="006E4426"/>
    <w:rsid w:val="006E470F"/>
    <w:rsid w:val="006F10B0"/>
    <w:rsid w:val="006F4157"/>
    <w:rsid w:val="007004DA"/>
    <w:rsid w:val="00701E86"/>
    <w:rsid w:val="007174AC"/>
    <w:rsid w:val="00717861"/>
    <w:rsid w:val="00723378"/>
    <w:rsid w:val="00724080"/>
    <w:rsid w:val="00725373"/>
    <w:rsid w:val="007262C4"/>
    <w:rsid w:val="0073031D"/>
    <w:rsid w:val="00732AD1"/>
    <w:rsid w:val="00735B1D"/>
    <w:rsid w:val="00736411"/>
    <w:rsid w:val="007431F7"/>
    <w:rsid w:val="00745D34"/>
    <w:rsid w:val="00750399"/>
    <w:rsid w:val="00751CD6"/>
    <w:rsid w:val="00757ECC"/>
    <w:rsid w:val="00761597"/>
    <w:rsid w:val="00767C7E"/>
    <w:rsid w:val="007733B3"/>
    <w:rsid w:val="00776834"/>
    <w:rsid w:val="00776862"/>
    <w:rsid w:val="007773AE"/>
    <w:rsid w:val="00782D6F"/>
    <w:rsid w:val="00794BB6"/>
    <w:rsid w:val="00796721"/>
    <w:rsid w:val="007A07F9"/>
    <w:rsid w:val="007A1C3F"/>
    <w:rsid w:val="007A3D69"/>
    <w:rsid w:val="007B091C"/>
    <w:rsid w:val="007B2AA8"/>
    <w:rsid w:val="007B71CB"/>
    <w:rsid w:val="007B789C"/>
    <w:rsid w:val="007C072C"/>
    <w:rsid w:val="007D2884"/>
    <w:rsid w:val="007D455F"/>
    <w:rsid w:val="007D4593"/>
    <w:rsid w:val="007D54A6"/>
    <w:rsid w:val="007D6BDF"/>
    <w:rsid w:val="007D7618"/>
    <w:rsid w:val="007E1881"/>
    <w:rsid w:val="007E39EE"/>
    <w:rsid w:val="007E6262"/>
    <w:rsid w:val="007F0616"/>
    <w:rsid w:val="007F2418"/>
    <w:rsid w:val="007F4997"/>
    <w:rsid w:val="008020B4"/>
    <w:rsid w:val="00803513"/>
    <w:rsid w:val="00806489"/>
    <w:rsid w:val="00810731"/>
    <w:rsid w:val="0081082E"/>
    <w:rsid w:val="00811C04"/>
    <w:rsid w:val="00812B00"/>
    <w:rsid w:val="00820634"/>
    <w:rsid w:val="00820CFE"/>
    <w:rsid w:val="00821D52"/>
    <w:rsid w:val="0082213B"/>
    <w:rsid w:val="00822174"/>
    <w:rsid w:val="0082381D"/>
    <w:rsid w:val="008240D7"/>
    <w:rsid w:val="00830D87"/>
    <w:rsid w:val="00832AB0"/>
    <w:rsid w:val="00837966"/>
    <w:rsid w:val="00837F6F"/>
    <w:rsid w:val="00840520"/>
    <w:rsid w:val="0084186C"/>
    <w:rsid w:val="00841FF8"/>
    <w:rsid w:val="00850543"/>
    <w:rsid w:val="0085529A"/>
    <w:rsid w:val="00856378"/>
    <w:rsid w:val="00857BB0"/>
    <w:rsid w:val="008605F1"/>
    <w:rsid w:val="00861528"/>
    <w:rsid w:val="00871F01"/>
    <w:rsid w:val="0087393F"/>
    <w:rsid w:val="00891359"/>
    <w:rsid w:val="008920BF"/>
    <w:rsid w:val="00894496"/>
    <w:rsid w:val="008A0758"/>
    <w:rsid w:val="008A089C"/>
    <w:rsid w:val="008A1747"/>
    <w:rsid w:val="008A1DFE"/>
    <w:rsid w:val="008A4757"/>
    <w:rsid w:val="008B0B57"/>
    <w:rsid w:val="008B10FA"/>
    <w:rsid w:val="008B3AAD"/>
    <w:rsid w:val="008B521E"/>
    <w:rsid w:val="008B6355"/>
    <w:rsid w:val="008B7A62"/>
    <w:rsid w:val="008C53EF"/>
    <w:rsid w:val="008C5CF3"/>
    <w:rsid w:val="008C6E83"/>
    <w:rsid w:val="008D0075"/>
    <w:rsid w:val="008D178B"/>
    <w:rsid w:val="008D7C6B"/>
    <w:rsid w:val="008D7DED"/>
    <w:rsid w:val="008E0022"/>
    <w:rsid w:val="008E20E5"/>
    <w:rsid w:val="008E3363"/>
    <w:rsid w:val="008E4137"/>
    <w:rsid w:val="008F0087"/>
    <w:rsid w:val="008F0B8D"/>
    <w:rsid w:val="008F0DEF"/>
    <w:rsid w:val="008F11FA"/>
    <w:rsid w:val="008F13EF"/>
    <w:rsid w:val="008F2A02"/>
    <w:rsid w:val="00900347"/>
    <w:rsid w:val="009025BB"/>
    <w:rsid w:val="00904B7D"/>
    <w:rsid w:val="00906734"/>
    <w:rsid w:val="00911C73"/>
    <w:rsid w:val="00911E5E"/>
    <w:rsid w:val="00912835"/>
    <w:rsid w:val="00916DFD"/>
    <w:rsid w:val="009170A4"/>
    <w:rsid w:val="00917213"/>
    <w:rsid w:val="00926267"/>
    <w:rsid w:val="009314B4"/>
    <w:rsid w:val="00935C69"/>
    <w:rsid w:val="009408A9"/>
    <w:rsid w:val="00942523"/>
    <w:rsid w:val="00943A05"/>
    <w:rsid w:val="00945A31"/>
    <w:rsid w:val="00945F5A"/>
    <w:rsid w:val="00950905"/>
    <w:rsid w:val="00953CAE"/>
    <w:rsid w:val="00956A16"/>
    <w:rsid w:val="00957672"/>
    <w:rsid w:val="00961673"/>
    <w:rsid w:val="00962E36"/>
    <w:rsid w:val="00963123"/>
    <w:rsid w:val="00966656"/>
    <w:rsid w:val="00973396"/>
    <w:rsid w:val="009830AC"/>
    <w:rsid w:val="00984A57"/>
    <w:rsid w:val="00985485"/>
    <w:rsid w:val="00985BA2"/>
    <w:rsid w:val="00985F6B"/>
    <w:rsid w:val="00987253"/>
    <w:rsid w:val="009879C7"/>
    <w:rsid w:val="009910BF"/>
    <w:rsid w:val="009912EF"/>
    <w:rsid w:val="00991326"/>
    <w:rsid w:val="00992BE3"/>
    <w:rsid w:val="0099360D"/>
    <w:rsid w:val="00994DDF"/>
    <w:rsid w:val="009A13D9"/>
    <w:rsid w:val="009B2014"/>
    <w:rsid w:val="009B321C"/>
    <w:rsid w:val="009B3481"/>
    <w:rsid w:val="009B42C9"/>
    <w:rsid w:val="009B7004"/>
    <w:rsid w:val="009B7118"/>
    <w:rsid w:val="009B797A"/>
    <w:rsid w:val="009C088E"/>
    <w:rsid w:val="009C0E48"/>
    <w:rsid w:val="009C3EFE"/>
    <w:rsid w:val="009C598A"/>
    <w:rsid w:val="009D04DF"/>
    <w:rsid w:val="009D1DE5"/>
    <w:rsid w:val="009D35FA"/>
    <w:rsid w:val="009D7121"/>
    <w:rsid w:val="009D791B"/>
    <w:rsid w:val="009E6227"/>
    <w:rsid w:val="009F202F"/>
    <w:rsid w:val="009F6372"/>
    <w:rsid w:val="009F6CC7"/>
    <w:rsid w:val="009F7F27"/>
    <w:rsid w:val="00A047C8"/>
    <w:rsid w:val="00A04E25"/>
    <w:rsid w:val="00A05628"/>
    <w:rsid w:val="00A0562C"/>
    <w:rsid w:val="00A100A5"/>
    <w:rsid w:val="00A13262"/>
    <w:rsid w:val="00A15513"/>
    <w:rsid w:val="00A202E0"/>
    <w:rsid w:val="00A2169C"/>
    <w:rsid w:val="00A23F72"/>
    <w:rsid w:val="00A24407"/>
    <w:rsid w:val="00A30333"/>
    <w:rsid w:val="00A30B6F"/>
    <w:rsid w:val="00A31287"/>
    <w:rsid w:val="00A31F1D"/>
    <w:rsid w:val="00A33DF5"/>
    <w:rsid w:val="00A3515A"/>
    <w:rsid w:val="00A40A03"/>
    <w:rsid w:val="00A5088C"/>
    <w:rsid w:val="00A50CEA"/>
    <w:rsid w:val="00A529BF"/>
    <w:rsid w:val="00A536C8"/>
    <w:rsid w:val="00A54B84"/>
    <w:rsid w:val="00A55072"/>
    <w:rsid w:val="00A55A33"/>
    <w:rsid w:val="00A71952"/>
    <w:rsid w:val="00A752A4"/>
    <w:rsid w:val="00A76E8C"/>
    <w:rsid w:val="00A77975"/>
    <w:rsid w:val="00A820DE"/>
    <w:rsid w:val="00A8487D"/>
    <w:rsid w:val="00A8569C"/>
    <w:rsid w:val="00A877B9"/>
    <w:rsid w:val="00A96B3C"/>
    <w:rsid w:val="00AA27E6"/>
    <w:rsid w:val="00AA34E7"/>
    <w:rsid w:val="00AA6ADA"/>
    <w:rsid w:val="00AA70D1"/>
    <w:rsid w:val="00AB1BD0"/>
    <w:rsid w:val="00AB59A5"/>
    <w:rsid w:val="00AC30F5"/>
    <w:rsid w:val="00AC58AC"/>
    <w:rsid w:val="00AC696A"/>
    <w:rsid w:val="00AD0844"/>
    <w:rsid w:val="00AD4AF5"/>
    <w:rsid w:val="00AD7871"/>
    <w:rsid w:val="00AE172E"/>
    <w:rsid w:val="00AE1F73"/>
    <w:rsid w:val="00AE384A"/>
    <w:rsid w:val="00AE50FA"/>
    <w:rsid w:val="00AF2965"/>
    <w:rsid w:val="00AF45F6"/>
    <w:rsid w:val="00AF6FC4"/>
    <w:rsid w:val="00B0023F"/>
    <w:rsid w:val="00B03D43"/>
    <w:rsid w:val="00B11989"/>
    <w:rsid w:val="00B141EF"/>
    <w:rsid w:val="00B1730D"/>
    <w:rsid w:val="00B22E7C"/>
    <w:rsid w:val="00B2583E"/>
    <w:rsid w:val="00B273D3"/>
    <w:rsid w:val="00B33944"/>
    <w:rsid w:val="00B34905"/>
    <w:rsid w:val="00B3579D"/>
    <w:rsid w:val="00B4038A"/>
    <w:rsid w:val="00B40EE5"/>
    <w:rsid w:val="00B45FCF"/>
    <w:rsid w:val="00B47546"/>
    <w:rsid w:val="00B53701"/>
    <w:rsid w:val="00B53E79"/>
    <w:rsid w:val="00B6470C"/>
    <w:rsid w:val="00B74840"/>
    <w:rsid w:val="00B7562A"/>
    <w:rsid w:val="00B83F58"/>
    <w:rsid w:val="00B87DB9"/>
    <w:rsid w:val="00B96324"/>
    <w:rsid w:val="00B96496"/>
    <w:rsid w:val="00BA2281"/>
    <w:rsid w:val="00BA4A1F"/>
    <w:rsid w:val="00BA4B49"/>
    <w:rsid w:val="00BA78A8"/>
    <w:rsid w:val="00BB1AA3"/>
    <w:rsid w:val="00BB360E"/>
    <w:rsid w:val="00BB3A99"/>
    <w:rsid w:val="00BB7629"/>
    <w:rsid w:val="00BC0FA2"/>
    <w:rsid w:val="00BC2314"/>
    <w:rsid w:val="00BC29E4"/>
    <w:rsid w:val="00BC2D24"/>
    <w:rsid w:val="00BC3853"/>
    <w:rsid w:val="00BC4FD4"/>
    <w:rsid w:val="00BC73C0"/>
    <w:rsid w:val="00BD0661"/>
    <w:rsid w:val="00BD4A12"/>
    <w:rsid w:val="00BF20CD"/>
    <w:rsid w:val="00BF4E69"/>
    <w:rsid w:val="00BF4FA9"/>
    <w:rsid w:val="00C04224"/>
    <w:rsid w:val="00C04CEA"/>
    <w:rsid w:val="00C0534C"/>
    <w:rsid w:val="00C1004F"/>
    <w:rsid w:val="00C109DD"/>
    <w:rsid w:val="00C10C54"/>
    <w:rsid w:val="00C10CD1"/>
    <w:rsid w:val="00C161B2"/>
    <w:rsid w:val="00C16529"/>
    <w:rsid w:val="00C208D4"/>
    <w:rsid w:val="00C24D52"/>
    <w:rsid w:val="00C329DF"/>
    <w:rsid w:val="00C330B7"/>
    <w:rsid w:val="00C33FDC"/>
    <w:rsid w:val="00C34B7B"/>
    <w:rsid w:val="00C43F2E"/>
    <w:rsid w:val="00C43FFC"/>
    <w:rsid w:val="00C44EFB"/>
    <w:rsid w:val="00C4771E"/>
    <w:rsid w:val="00C60282"/>
    <w:rsid w:val="00C60494"/>
    <w:rsid w:val="00C63A96"/>
    <w:rsid w:val="00C76D28"/>
    <w:rsid w:val="00C77964"/>
    <w:rsid w:val="00C812C5"/>
    <w:rsid w:val="00C828AD"/>
    <w:rsid w:val="00C85D1E"/>
    <w:rsid w:val="00C8621D"/>
    <w:rsid w:val="00C92F78"/>
    <w:rsid w:val="00C95A7F"/>
    <w:rsid w:val="00CA2B42"/>
    <w:rsid w:val="00CA4966"/>
    <w:rsid w:val="00CA7B6D"/>
    <w:rsid w:val="00CB2014"/>
    <w:rsid w:val="00CB631B"/>
    <w:rsid w:val="00CC3A82"/>
    <w:rsid w:val="00CC479E"/>
    <w:rsid w:val="00CC5419"/>
    <w:rsid w:val="00CD1B40"/>
    <w:rsid w:val="00CD2833"/>
    <w:rsid w:val="00CD68A9"/>
    <w:rsid w:val="00CD69F4"/>
    <w:rsid w:val="00CE05E5"/>
    <w:rsid w:val="00CE0A23"/>
    <w:rsid w:val="00CE2AC7"/>
    <w:rsid w:val="00CF07ED"/>
    <w:rsid w:val="00CF5030"/>
    <w:rsid w:val="00CF68FD"/>
    <w:rsid w:val="00CF7BBB"/>
    <w:rsid w:val="00D02D47"/>
    <w:rsid w:val="00D044EE"/>
    <w:rsid w:val="00D04F35"/>
    <w:rsid w:val="00D07E91"/>
    <w:rsid w:val="00D13536"/>
    <w:rsid w:val="00D13AE9"/>
    <w:rsid w:val="00D15AAE"/>
    <w:rsid w:val="00D22235"/>
    <w:rsid w:val="00D24216"/>
    <w:rsid w:val="00D306D2"/>
    <w:rsid w:val="00D31C0D"/>
    <w:rsid w:val="00D40103"/>
    <w:rsid w:val="00D476A9"/>
    <w:rsid w:val="00D512AF"/>
    <w:rsid w:val="00D53D67"/>
    <w:rsid w:val="00D5778A"/>
    <w:rsid w:val="00D61ADC"/>
    <w:rsid w:val="00D66496"/>
    <w:rsid w:val="00D718D6"/>
    <w:rsid w:val="00D72FBA"/>
    <w:rsid w:val="00D74CEA"/>
    <w:rsid w:val="00D759CD"/>
    <w:rsid w:val="00D76ECC"/>
    <w:rsid w:val="00D903CB"/>
    <w:rsid w:val="00D90B53"/>
    <w:rsid w:val="00D92552"/>
    <w:rsid w:val="00D928AC"/>
    <w:rsid w:val="00D943B2"/>
    <w:rsid w:val="00D97A88"/>
    <w:rsid w:val="00DA15B1"/>
    <w:rsid w:val="00DA198A"/>
    <w:rsid w:val="00DA38B6"/>
    <w:rsid w:val="00DB11DE"/>
    <w:rsid w:val="00DB2851"/>
    <w:rsid w:val="00DB43CF"/>
    <w:rsid w:val="00DC3F64"/>
    <w:rsid w:val="00DC50C7"/>
    <w:rsid w:val="00DD070B"/>
    <w:rsid w:val="00DD090A"/>
    <w:rsid w:val="00DD2084"/>
    <w:rsid w:val="00DD3504"/>
    <w:rsid w:val="00DD3908"/>
    <w:rsid w:val="00DD417A"/>
    <w:rsid w:val="00DE0904"/>
    <w:rsid w:val="00DE58E6"/>
    <w:rsid w:val="00DF270E"/>
    <w:rsid w:val="00DF7C1A"/>
    <w:rsid w:val="00E016BF"/>
    <w:rsid w:val="00E02D71"/>
    <w:rsid w:val="00E051FF"/>
    <w:rsid w:val="00E058E6"/>
    <w:rsid w:val="00E14380"/>
    <w:rsid w:val="00E2288F"/>
    <w:rsid w:val="00E27442"/>
    <w:rsid w:val="00E31864"/>
    <w:rsid w:val="00E329CA"/>
    <w:rsid w:val="00E32A57"/>
    <w:rsid w:val="00E3350B"/>
    <w:rsid w:val="00E337E6"/>
    <w:rsid w:val="00E33D8D"/>
    <w:rsid w:val="00E34728"/>
    <w:rsid w:val="00E35478"/>
    <w:rsid w:val="00E358C8"/>
    <w:rsid w:val="00E40F38"/>
    <w:rsid w:val="00E4198C"/>
    <w:rsid w:val="00E4465F"/>
    <w:rsid w:val="00E4577E"/>
    <w:rsid w:val="00E5391C"/>
    <w:rsid w:val="00E60441"/>
    <w:rsid w:val="00E665C4"/>
    <w:rsid w:val="00E67F3B"/>
    <w:rsid w:val="00E707B3"/>
    <w:rsid w:val="00E70D0E"/>
    <w:rsid w:val="00E7317F"/>
    <w:rsid w:val="00E80E79"/>
    <w:rsid w:val="00E817E2"/>
    <w:rsid w:val="00E83C0B"/>
    <w:rsid w:val="00E8449D"/>
    <w:rsid w:val="00E85F0B"/>
    <w:rsid w:val="00E91337"/>
    <w:rsid w:val="00E928BC"/>
    <w:rsid w:val="00EA20B9"/>
    <w:rsid w:val="00EA6E84"/>
    <w:rsid w:val="00EA7165"/>
    <w:rsid w:val="00EB2D0D"/>
    <w:rsid w:val="00EB34A6"/>
    <w:rsid w:val="00EC195B"/>
    <w:rsid w:val="00EC3566"/>
    <w:rsid w:val="00EC667C"/>
    <w:rsid w:val="00ED1347"/>
    <w:rsid w:val="00ED6496"/>
    <w:rsid w:val="00ED6E42"/>
    <w:rsid w:val="00EE20EC"/>
    <w:rsid w:val="00EE3F89"/>
    <w:rsid w:val="00EF4E6B"/>
    <w:rsid w:val="00EF63D5"/>
    <w:rsid w:val="00EF6D06"/>
    <w:rsid w:val="00F00A79"/>
    <w:rsid w:val="00F019DD"/>
    <w:rsid w:val="00F1531E"/>
    <w:rsid w:val="00F26DEA"/>
    <w:rsid w:val="00F31EDD"/>
    <w:rsid w:val="00F364BD"/>
    <w:rsid w:val="00F400A6"/>
    <w:rsid w:val="00F40EC3"/>
    <w:rsid w:val="00F415FB"/>
    <w:rsid w:val="00F43DDB"/>
    <w:rsid w:val="00F47FC5"/>
    <w:rsid w:val="00F5063B"/>
    <w:rsid w:val="00F64CCE"/>
    <w:rsid w:val="00F65426"/>
    <w:rsid w:val="00F67777"/>
    <w:rsid w:val="00F76120"/>
    <w:rsid w:val="00F85450"/>
    <w:rsid w:val="00F93D5D"/>
    <w:rsid w:val="00FA111A"/>
    <w:rsid w:val="00FA1DE1"/>
    <w:rsid w:val="00FB07DA"/>
    <w:rsid w:val="00FB0DD5"/>
    <w:rsid w:val="00FB31A5"/>
    <w:rsid w:val="00FB7767"/>
    <w:rsid w:val="00FC1923"/>
    <w:rsid w:val="00FC321E"/>
    <w:rsid w:val="00FD1DD1"/>
    <w:rsid w:val="00FD2B0F"/>
    <w:rsid w:val="00FD350A"/>
    <w:rsid w:val="00FD79E8"/>
    <w:rsid w:val="00FE225E"/>
    <w:rsid w:val="00FE590E"/>
    <w:rsid w:val="00FE5F29"/>
    <w:rsid w:val="00FE5FE8"/>
    <w:rsid w:val="00FE6D40"/>
    <w:rsid w:val="00FF21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C4"/>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2634C4"/>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634C4"/>
    <w:rPr>
      <w:rFonts w:ascii="Arial" w:eastAsia="Arial Unicode MS" w:hAnsi="Arial" w:cs="Arial"/>
      <w:sz w:val="30"/>
      <w:szCs w:val="24"/>
      <w:lang w:eastAsia="da-DK"/>
    </w:rPr>
  </w:style>
  <w:style w:type="paragraph" w:styleId="Sidehoved">
    <w:name w:val="header"/>
    <w:basedOn w:val="Normal"/>
    <w:link w:val="SidehovedTegn"/>
    <w:rsid w:val="002634C4"/>
    <w:pPr>
      <w:tabs>
        <w:tab w:val="center" w:pos="4819"/>
        <w:tab w:val="right" w:pos="9638"/>
      </w:tabs>
    </w:pPr>
  </w:style>
  <w:style w:type="character" w:customStyle="1" w:styleId="SidehovedTegn">
    <w:name w:val="Sidehoved Tegn"/>
    <w:basedOn w:val="Standardskrifttypeiafsnit"/>
    <w:link w:val="Sidehoved"/>
    <w:rsid w:val="002634C4"/>
    <w:rPr>
      <w:rFonts w:ascii="Times New Roman" w:eastAsia="Times New Roman" w:hAnsi="Times New Roman" w:cs="Times New Roman"/>
      <w:sz w:val="20"/>
      <w:szCs w:val="24"/>
      <w:lang w:eastAsia="da-DK"/>
    </w:rPr>
  </w:style>
  <w:style w:type="paragraph" w:styleId="Sidefod">
    <w:name w:val="footer"/>
    <w:basedOn w:val="Normal"/>
    <w:link w:val="SidefodTegn"/>
    <w:rsid w:val="002634C4"/>
    <w:pPr>
      <w:tabs>
        <w:tab w:val="center" w:pos="4819"/>
        <w:tab w:val="right" w:pos="9638"/>
      </w:tabs>
    </w:pPr>
  </w:style>
  <w:style w:type="character" w:customStyle="1" w:styleId="SidefodTegn">
    <w:name w:val="Sidefod Tegn"/>
    <w:basedOn w:val="Standardskrifttypeiafsnit"/>
    <w:link w:val="Sidefod"/>
    <w:rsid w:val="002634C4"/>
    <w:rPr>
      <w:rFonts w:ascii="Times New Roman" w:eastAsia="Times New Roman" w:hAnsi="Times New Roman" w:cs="Times New Roman"/>
      <w:sz w:val="20"/>
      <w:szCs w:val="24"/>
      <w:lang w:eastAsia="da-DK"/>
    </w:rPr>
  </w:style>
  <w:style w:type="character" w:styleId="Sidetal">
    <w:name w:val="page number"/>
    <w:basedOn w:val="Standardskrifttypeiafsnit"/>
    <w:rsid w:val="002634C4"/>
  </w:style>
  <w:style w:type="paragraph" w:styleId="Listeafsnit">
    <w:name w:val="List Paragraph"/>
    <w:basedOn w:val="Normal"/>
    <w:uiPriority w:val="34"/>
    <w:qFormat/>
    <w:rsid w:val="000C1E52"/>
    <w:pPr>
      <w:ind w:left="720"/>
      <w:contextualSpacing/>
    </w:pPr>
  </w:style>
  <w:style w:type="paragraph" w:styleId="Markeringsbobletekst">
    <w:name w:val="Balloon Text"/>
    <w:basedOn w:val="Normal"/>
    <w:link w:val="MarkeringsbobletekstTegn"/>
    <w:uiPriority w:val="99"/>
    <w:semiHidden/>
    <w:unhideWhenUsed/>
    <w:rsid w:val="00E02D7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2D71"/>
    <w:rPr>
      <w:rFonts w:ascii="Tahoma" w:eastAsia="Times New Roman" w:hAnsi="Tahoma" w:cs="Tahoma"/>
      <w:sz w:val="16"/>
      <w:szCs w:val="16"/>
      <w:lang w:eastAsia="da-DK"/>
    </w:rPr>
  </w:style>
  <w:style w:type="paragraph" w:customStyle="1" w:styleId="stk2">
    <w:name w:val="stk2"/>
    <w:basedOn w:val="Normal"/>
    <w:rsid w:val="008B3AAD"/>
    <w:pPr>
      <w:widowControl/>
      <w:autoSpaceDE/>
      <w:autoSpaceDN/>
      <w:adjustRightInd/>
      <w:ind w:firstLine="240"/>
    </w:pPr>
    <w:rPr>
      <w:rFonts w:ascii="Tahoma" w:hAnsi="Tahoma" w:cs="Tahoma"/>
      <w:color w:val="000000"/>
      <w:sz w:val="24"/>
    </w:rPr>
  </w:style>
  <w:style w:type="character" w:customStyle="1" w:styleId="stknr1">
    <w:name w:val="stknr1"/>
    <w:basedOn w:val="Standardskrifttypeiafsnit"/>
    <w:rsid w:val="008B3AAD"/>
    <w:rPr>
      <w:rFonts w:ascii="Tahoma" w:hAnsi="Tahoma" w:cs="Tahoma" w:hint="default"/>
      <w:i/>
      <w:iCs/>
      <w:color w:val="000000"/>
      <w:sz w:val="24"/>
      <w:szCs w:val="24"/>
      <w:shd w:val="clear" w:color="auto" w:fill="auto"/>
    </w:rPr>
  </w:style>
  <w:style w:type="character" w:customStyle="1" w:styleId="subscript1">
    <w:name w:val="subscript1"/>
    <w:basedOn w:val="Standardskrifttypeiafsnit"/>
    <w:rsid w:val="00957672"/>
    <w:rPr>
      <w:rFonts w:ascii="Tahoma" w:hAnsi="Tahoma" w:cs="Tahoma" w:hint="default"/>
      <w:color w:val="000000"/>
      <w:sz w:val="17"/>
      <w:szCs w:val="17"/>
      <w:shd w:val="clear" w:color="auto" w:fill="auto"/>
      <w:vertAlign w:val="subscript"/>
    </w:rPr>
  </w:style>
  <w:style w:type="paragraph" w:customStyle="1" w:styleId="paragraf">
    <w:name w:val="paragraf"/>
    <w:basedOn w:val="Normal"/>
    <w:rsid w:val="001F38B5"/>
    <w:pPr>
      <w:widowControl/>
      <w:autoSpaceDE/>
      <w:autoSpaceDN/>
      <w:adjustRightInd/>
      <w:spacing w:before="200"/>
      <w:ind w:firstLine="240"/>
    </w:pPr>
    <w:rPr>
      <w:rFonts w:ascii="Tahoma" w:hAnsi="Tahoma" w:cs="Tahoma"/>
      <w:color w:val="000000"/>
      <w:sz w:val="24"/>
    </w:rPr>
  </w:style>
  <w:style w:type="character" w:customStyle="1" w:styleId="paragrafnr1">
    <w:name w:val="paragrafnr1"/>
    <w:basedOn w:val="Standardskrifttypeiafsnit"/>
    <w:rsid w:val="001F38B5"/>
    <w:rPr>
      <w:rFonts w:ascii="Tahoma" w:hAnsi="Tahoma" w:cs="Tahoma" w:hint="default"/>
      <w:b/>
      <w:bCs/>
      <w:color w:val="000000"/>
      <w:sz w:val="24"/>
      <w:szCs w:val="24"/>
      <w:shd w:val="clear" w:color="auto" w:fill="auto"/>
    </w:rPr>
  </w:style>
  <w:style w:type="paragraph" w:styleId="Fodnotetekst">
    <w:name w:val="footnote text"/>
    <w:basedOn w:val="Normal"/>
    <w:link w:val="FodnotetekstTegn"/>
    <w:uiPriority w:val="99"/>
    <w:semiHidden/>
    <w:unhideWhenUsed/>
    <w:rsid w:val="00942523"/>
    <w:rPr>
      <w:szCs w:val="20"/>
    </w:rPr>
  </w:style>
  <w:style w:type="character" w:customStyle="1" w:styleId="FodnotetekstTegn">
    <w:name w:val="Fodnotetekst Tegn"/>
    <w:basedOn w:val="Standardskrifttypeiafsnit"/>
    <w:link w:val="Fodnotetekst"/>
    <w:uiPriority w:val="99"/>
    <w:semiHidden/>
    <w:rsid w:val="00942523"/>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942523"/>
    <w:rPr>
      <w:vertAlign w:val="superscript"/>
    </w:rPr>
  </w:style>
  <w:style w:type="table" w:styleId="Tabel-Gitter">
    <w:name w:val="Table Grid"/>
    <w:basedOn w:val="Tabel-Normal"/>
    <w:uiPriority w:val="59"/>
    <w:rsid w:val="004D5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C4"/>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2634C4"/>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634C4"/>
    <w:rPr>
      <w:rFonts w:ascii="Arial" w:eastAsia="Arial Unicode MS" w:hAnsi="Arial" w:cs="Arial"/>
      <w:sz w:val="30"/>
      <w:szCs w:val="24"/>
      <w:lang w:eastAsia="da-DK"/>
    </w:rPr>
  </w:style>
  <w:style w:type="paragraph" w:styleId="Sidehoved">
    <w:name w:val="header"/>
    <w:basedOn w:val="Normal"/>
    <w:link w:val="SidehovedTegn"/>
    <w:rsid w:val="002634C4"/>
    <w:pPr>
      <w:tabs>
        <w:tab w:val="center" w:pos="4819"/>
        <w:tab w:val="right" w:pos="9638"/>
      </w:tabs>
    </w:pPr>
  </w:style>
  <w:style w:type="character" w:customStyle="1" w:styleId="SidehovedTegn">
    <w:name w:val="Sidehoved Tegn"/>
    <w:basedOn w:val="Standardskrifttypeiafsnit"/>
    <w:link w:val="Sidehoved"/>
    <w:rsid w:val="002634C4"/>
    <w:rPr>
      <w:rFonts w:ascii="Times New Roman" w:eastAsia="Times New Roman" w:hAnsi="Times New Roman" w:cs="Times New Roman"/>
      <w:sz w:val="20"/>
      <w:szCs w:val="24"/>
      <w:lang w:eastAsia="da-DK"/>
    </w:rPr>
  </w:style>
  <w:style w:type="paragraph" w:styleId="Sidefod">
    <w:name w:val="footer"/>
    <w:basedOn w:val="Normal"/>
    <w:link w:val="SidefodTegn"/>
    <w:rsid w:val="002634C4"/>
    <w:pPr>
      <w:tabs>
        <w:tab w:val="center" w:pos="4819"/>
        <w:tab w:val="right" w:pos="9638"/>
      </w:tabs>
    </w:pPr>
  </w:style>
  <w:style w:type="character" w:customStyle="1" w:styleId="SidefodTegn">
    <w:name w:val="Sidefod Tegn"/>
    <w:basedOn w:val="Standardskrifttypeiafsnit"/>
    <w:link w:val="Sidefod"/>
    <w:rsid w:val="002634C4"/>
    <w:rPr>
      <w:rFonts w:ascii="Times New Roman" w:eastAsia="Times New Roman" w:hAnsi="Times New Roman" w:cs="Times New Roman"/>
      <w:sz w:val="20"/>
      <w:szCs w:val="24"/>
      <w:lang w:eastAsia="da-DK"/>
    </w:rPr>
  </w:style>
  <w:style w:type="character" w:styleId="Sidetal">
    <w:name w:val="page number"/>
    <w:basedOn w:val="Standardskrifttypeiafsnit"/>
    <w:rsid w:val="002634C4"/>
  </w:style>
  <w:style w:type="paragraph" w:styleId="Listeafsnit">
    <w:name w:val="List Paragraph"/>
    <w:basedOn w:val="Normal"/>
    <w:uiPriority w:val="34"/>
    <w:qFormat/>
    <w:rsid w:val="000C1E52"/>
    <w:pPr>
      <w:ind w:left="720"/>
      <w:contextualSpacing/>
    </w:pPr>
  </w:style>
  <w:style w:type="paragraph" w:styleId="Markeringsbobletekst">
    <w:name w:val="Balloon Text"/>
    <w:basedOn w:val="Normal"/>
    <w:link w:val="MarkeringsbobletekstTegn"/>
    <w:uiPriority w:val="99"/>
    <w:semiHidden/>
    <w:unhideWhenUsed/>
    <w:rsid w:val="00E02D7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2D71"/>
    <w:rPr>
      <w:rFonts w:ascii="Tahoma" w:eastAsia="Times New Roman" w:hAnsi="Tahoma" w:cs="Tahoma"/>
      <w:sz w:val="16"/>
      <w:szCs w:val="16"/>
      <w:lang w:eastAsia="da-DK"/>
    </w:rPr>
  </w:style>
  <w:style w:type="paragraph" w:customStyle="1" w:styleId="stk2">
    <w:name w:val="stk2"/>
    <w:basedOn w:val="Normal"/>
    <w:rsid w:val="008B3AAD"/>
    <w:pPr>
      <w:widowControl/>
      <w:autoSpaceDE/>
      <w:autoSpaceDN/>
      <w:adjustRightInd/>
      <w:ind w:firstLine="240"/>
    </w:pPr>
    <w:rPr>
      <w:rFonts w:ascii="Tahoma" w:hAnsi="Tahoma" w:cs="Tahoma"/>
      <w:color w:val="000000"/>
      <w:sz w:val="24"/>
    </w:rPr>
  </w:style>
  <w:style w:type="character" w:customStyle="1" w:styleId="stknr1">
    <w:name w:val="stknr1"/>
    <w:basedOn w:val="Standardskrifttypeiafsnit"/>
    <w:rsid w:val="008B3AAD"/>
    <w:rPr>
      <w:rFonts w:ascii="Tahoma" w:hAnsi="Tahoma" w:cs="Tahoma" w:hint="default"/>
      <w:i/>
      <w:iCs/>
      <w:color w:val="000000"/>
      <w:sz w:val="24"/>
      <w:szCs w:val="24"/>
      <w:shd w:val="clear" w:color="auto" w:fill="auto"/>
    </w:rPr>
  </w:style>
  <w:style w:type="character" w:customStyle="1" w:styleId="subscript1">
    <w:name w:val="subscript1"/>
    <w:basedOn w:val="Standardskrifttypeiafsnit"/>
    <w:rsid w:val="00957672"/>
    <w:rPr>
      <w:rFonts w:ascii="Tahoma" w:hAnsi="Tahoma" w:cs="Tahoma" w:hint="default"/>
      <w:color w:val="000000"/>
      <w:sz w:val="17"/>
      <w:szCs w:val="17"/>
      <w:shd w:val="clear" w:color="auto" w:fill="auto"/>
      <w:vertAlign w:val="subscript"/>
    </w:rPr>
  </w:style>
  <w:style w:type="paragraph" w:customStyle="1" w:styleId="paragraf">
    <w:name w:val="paragraf"/>
    <w:basedOn w:val="Normal"/>
    <w:rsid w:val="001F38B5"/>
    <w:pPr>
      <w:widowControl/>
      <w:autoSpaceDE/>
      <w:autoSpaceDN/>
      <w:adjustRightInd/>
      <w:spacing w:before="200"/>
      <w:ind w:firstLine="240"/>
    </w:pPr>
    <w:rPr>
      <w:rFonts w:ascii="Tahoma" w:hAnsi="Tahoma" w:cs="Tahoma"/>
      <w:color w:val="000000"/>
      <w:sz w:val="24"/>
    </w:rPr>
  </w:style>
  <w:style w:type="character" w:customStyle="1" w:styleId="paragrafnr1">
    <w:name w:val="paragrafnr1"/>
    <w:basedOn w:val="Standardskrifttypeiafsnit"/>
    <w:rsid w:val="001F38B5"/>
    <w:rPr>
      <w:rFonts w:ascii="Tahoma" w:hAnsi="Tahoma" w:cs="Tahoma" w:hint="default"/>
      <w:b/>
      <w:bCs/>
      <w:color w:val="000000"/>
      <w:sz w:val="24"/>
      <w:szCs w:val="24"/>
      <w:shd w:val="clear" w:color="auto" w:fill="auto"/>
    </w:rPr>
  </w:style>
  <w:style w:type="paragraph" w:styleId="Fodnotetekst">
    <w:name w:val="footnote text"/>
    <w:basedOn w:val="Normal"/>
    <w:link w:val="FodnotetekstTegn"/>
    <w:uiPriority w:val="99"/>
    <w:semiHidden/>
    <w:unhideWhenUsed/>
    <w:rsid w:val="00942523"/>
    <w:rPr>
      <w:szCs w:val="20"/>
    </w:rPr>
  </w:style>
  <w:style w:type="character" w:customStyle="1" w:styleId="FodnotetekstTegn">
    <w:name w:val="Fodnotetekst Tegn"/>
    <w:basedOn w:val="Standardskrifttypeiafsnit"/>
    <w:link w:val="Fodnotetekst"/>
    <w:uiPriority w:val="99"/>
    <w:semiHidden/>
    <w:rsid w:val="00942523"/>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942523"/>
    <w:rPr>
      <w:vertAlign w:val="superscript"/>
    </w:rPr>
  </w:style>
  <w:style w:type="table" w:styleId="Tabel-Gitter">
    <w:name w:val="Table Grid"/>
    <w:basedOn w:val="Tabel-Normal"/>
    <w:uiPriority w:val="59"/>
    <w:rsid w:val="004D5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39107">
      <w:bodyDiv w:val="1"/>
      <w:marLeft w:val="0"/>
      <w:marRight w:val="0"/>
      <w:marTop w:val="0"/>
      <w:marBottom w:val="0"/>
      <w:divBdr>
        <w:top w:val="none" w:sz="0" w:space="0" w:color="auto"/>
        <w:left w:val="none" w:sz="0" w:space="0" w:color="auto"/>
        <w:bottom w:val="none" w:sz="0" w:space="0" w:color="auto"/>
        <w:right w:val="none" w:sz="0" w:space="0" w:color="auto"/>
      </w:divBdr>
    </w:div>
    <w:div w:id="40639249">
      <w:bodyDiv w:val="1"/>
      <w:marLeft w:val="0"/>
      <w:marRight w:val="0"/>
      <w:marTop w:val="0"/>
      <w:marBottom w:val="0"/>
      <w:divBdr>
        <w:top w:val="none" w:sz="0" w:space="0" w:color="auto"/>
        <w:left w:val="none" w:sz="0" w:space="0" w:color="auto"/>
        <w:bottom w:val="none" w:sz="0" w:space="0" w:color="auto"/>
        <w:right w:val="none" w:sz="0" w:space="0" w:color="auto"/>
      </w:divBdr>
    </w:div>
    <w:div w:id="132598436">
      <w:bodyDiv w:val="1"/>
      <w:marLeft w:val="0"/>
      <w:marRight w:val="0"/>
      <w:marTop w:val="0"/>
      <w:marBottom w:val="0"/>
      <w:divBdr>
        <w:top w:val="none" w:sz="0" w:space="0" w:color="auto"/>
        <w:left w:val="none" w:sz="0" w:space="0" w:color="auto"/>
        <w:bottom w:val="none" w:sz="0" w:space="0" w:color="auto"/>
        <w:right w:val="none" w:sz="0" w:space="0" w:color="auto"/>
      </w:divBdr>
      <w:divsChild>
        <w:div w:id="317812003">
          <w:marLeft w:val="0"/>
          <w:marRight w:val="0"/>
          <w:marTop w:val="0"/>
          <w:marBottom w:val="300"/>
          <w:divBdr>
            <w:top w:val="none" w:sz="0" w:space="0" w:color="auto"/>
            <w:left w:val="none" w:sz="0" w:space="0" w:color="auto"/>
            <w:bottom w:val="none" w:sz="0" w:space="0" w:color="auto"/>
            <w:right w:val="none" w:sz="0" w:space="0" w:color="auto"/>
          </w:divBdr>
          <w:divsChild>
            <w:div w:id="1113597585">
              <w:marLeft w:val="0"/>
              <w:marRight w:val="0"/>
              <w:marTop w:val="0"/>
              <w:marBottom w:val="0"/>
              <w:divBdr>
                <w:top w:val="none" w:sz="0" w:space="0" w:color="auto"/>
                <w:left w:val="single" w:sz="6" w:space="1" w:color="FFFFFF"/>
                <w:bottom w:val="none" w:sz="0" w:space="0" w:color="auto"/>
                <w:right w:val="single" w:sz="6" w:space="1" w:color="FFFFFF"/>
              </w:divBdr>
              <w:divsChild>
                <w:div w:id="1601186137">
                  <w:marLeft w:val="0"/>
                  <w:marRight w:val="0"/>
                  <w:marTop w:val="0"/>
                  <w:marBottom w:val="0"/>
                  <w:divBdr>
                    <w:top w:val="none" w:sz="0" w:space="0" w:color="auto"/>
                    <w:left w:val="none" w:sz="0" w:space="0" w:color="auto"/>
                    <w:bottom w:val="none" w:sz="0" w:space="0" w:color="auto"/>
                    <w:right w:val="none" w:sz="0" w:space="0" w:color="auto"/>
                  </w:divBdr>
                  <w:divsChild>
                    <w:div w:id="2067872091">
                      <w:marLeft w:val="0"/>
                      <w:marRight w:val="0"/>
                      <w:marTop w:val="0"/>
                      <w:marBottom w:val="0"/>
                      <w:divBdr>
                        <w:top w:val="none" w:sz="0" w:space="0" w:color="auto"/>
                        <w:left w:val="none" w:sz="0" w:space="0" w:color="auto"/>
                        <w:bottom w:val="none" w:sz="0" w:space="0" w:color="auto"/>
                        <w:right w:val="none" w:sz="0" w:space="0" w:color="auto"/>
                      </w:divBdr>
                      <w:divsChild>
                        <w:div w:id="1281572034">
                          <w:marLeft w:val="0"/>
                          <w:marRight w:val="0"/>
                          <w:marTop w:val="0"/>
                          <w:marBottom w:val="0"/>
                          <w:divBdr>
                            <w:top w:val="none" w:sz="0" w:space="0" w:color="auto"/>
                            <w:left w:val="none" w:sz="0" w:space="0" w:color="auto"/>
                            <w:bottom w:val="none" w:sz="0" w:space="0" w:color="auto"/>
                            <w:right w:val="none" w:sz="0" w:space="0" w:color="auto"/>
                          </w:divBdr>
                          <w:divsChild>
                            <w:div w:id="1677613818">
                              <w:marLeft w:val="0"/>
                              <w:marRight w:val="0"/>
                              <w:marTop w:val="0"/>
                              <w:marBottom w:val="0"/>
                              <w:divBdr>
                                <w:top w:val="none" w:sz="0" w:space="0" w:color="auto"/>
                                <w:left w:val="none" w:sz="0" w:space="0" w:color="auto"/>
                                <w:bottom w:val="none" w:sz="0" w:space="0" w:color="auto"/>
                                <w:right w:val="none" w:sz="0" w:space="0" w:color="auto"/>
                              </w:divBdr>
                              <w:divsChild>
                                <w:div w:id="189220181">
                                  <w:marLeft w:val="0"/>
                                  <w:marRight w:val="0"/>
                                  <w:marTop w:val="0"/>
                                  <w:marBottom w:val="0"/>
                                  <w:divBdr>
                                    <w:top w:val="none" w:sz="0" w:space="0" w:color="auto"/>
                                    <w:left w:val="none" w:sz="0" w:space="0" w:color="auto"/>
                                    <w:bottom w:val="none" w:sz="0" w:space="0" w:color="auto"/>
                                    <w:right w:val="none" w:sz="0" w:space="0" w:color="auto"/>
                                  </w:divBdr>
                                  <w:divsChild>
                                    <w:div w:id="6306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226671">
      <w:bodyDiv w:val="1"/>
      <w:marLeft w:val="0"/>
      <w:marRight w:val="0"/>
      <w:marTop w:val="0"/>
      <w:marBottom w:val="0"/>
      <w:divBdr>
        <w:top w:val="none" w:sz="0" w:space="0" w:color="auto"/>
        <w:left w:val="none" w:sz="0" w:space="0" w:color="auto"/>
        <w:bottom w:val="none" w:sz="0" w:space="0" w:color="auto"/>
        <w:right w:val="none" w:sz="0" w:space="0" w:color="auto"/>
      </w:divBdr>
      <w:divsChild>
        <w:div w:id="1809085231">
          <w:marLeft w:val="0"/>
          <w:marRight w:val="0"/>
          <w:marTop w:val="0"/>
          <w:marBottom w:val="300"/>
          <w:divBdr>
            <w:top w:val="none" w:sz="0" w:space="0" w:color="auto"/>
            <w:left w:val="none" w:sz="0" w:space="0" w:color="auto"/>
            <w:bottom w:val="none" w:sz="0" w:space="0" w:color="auto"/>
            <w:right w:val="none" w:sz="0" w:space="0" w:color="auto"/>
          </w:divBdr>
          <w:divsChild>
            <w:div w:id="1414400784">
              <w:marLeft w:val="0"/>
              <w:marRight w:val="0"/>
              <w:marTop w:val="0"/>
              <w:marBottom w:val="0"/>
              <w:divBdr>
                <w:top w:val="none" w:sz="0" w:space="0" w:color="auto"/>
                <w:left w:val="single" w:sz="6" w:space="1" w:color="FFFFFF"/>
                <w:bottom w:val="none" w:sz="0" w:space="0" w:color="auto"/>
                <w:right w:val="single" w:sz="6" w:space="1" w:color="FFFFFF"/>
              </w:divBdr>
              <w:divsChild>
                <w:div w:id="1112745532">
                  <w:marLeft w:val="0"/>
                  <w:marRight w:val="0"/>
                  <w:marTop w:val="0"/>
                  <w:marBottom w:val="0"/>
                  <w:divBdr>
                    <w:top w:val="none" w:sz="0" w:space="0" w:color="auto"/>
                    <w:left w:val="none" w:sz="0" w:space="0" w:color="auto"/>
                    <w:bottom w:val="none" w:sz="0" w:space="0" w:color="auto"/>
                    <w:right w:val="none" w:sz="0" w:space="0" w:color="auto"/>
                  </w:divBdr>
                  <w:divsChild>
                    <w:div w:id="1891383151">
                      <w:marLeft w:val="0"/>
                      <w:marRight w:val="0"/>
                      <w:marTop w:val="0"/>
                      <w:marBottom w:val="0"/>
                      <w:divBdr>
                        <w:top w:val="none" w:sz="0" w:space="0" w:color="auto"/>
                        <w:left w:val="none" w:sz="0" w:space="0" w:color="auto"/>
                        <w:bottom w:val="none" w:sz="0" w:space="0" w:color="auto"/>
                        <w:right w:val="none" w:sz="0" w:space="0" w:color="auto"/>
                      </w:divBdr>
                      <w:divsChild>
                        <w:div w:id="1229922643">
                          <w:marLeft w:val="0"/>
                          <w:marRight w:val="0"/>
                          <w:marTop w:val="0"/>
                          <w:marBottom w:val="0"/>
                          <w:divBdr>
                            <w:top w:val="none" w:sz="0" w:space="0" w:color="auto"/>
                            <w:left w:val="none" w:sz="0" w:space="0" w:color="auto"/>
                            <w:bottom w:val="none" w:sz="0" w:space="0" w:color="auto"/>
                            <w:right w:val="none" w:sz="0" w:space="0" w:color="auto"/>
                          </w:divBdr>
                          <w:divsChild>
                            <w:div w:id="714161482">
                              <w:marLeft w:val="0"/>
                              <w:marRight w:val="0"/>
                              <w:marTop w:val="0"/>
                              <w:marBottom w:val="0"/>
                              <w:divBdr>
                                <w:top w:val="none" w:sz="0" w:space="0" w:color="auto"/>
                                <w:left w:val="none" w:sz="0" w:space="0" w:color="auto"/>
                                <w:bottom w:val="none" w:sz="0" w:space="0" w:color="auto"/>
                                <w:right w:val="none" w:sz="0" w:space="0" w:color="auto"/>
                              </w:divBdr>
                              <w:divsChild>
                                <w:div w:id="1378552513">
                                  <w:marLeft w:val="0"/>
                                  <w:marRight w:val="0"/>
                                  <w:marTop w:val="0"/>
                                  <w:marBottom w:val="0"/>
                                  <w:divBdr>
                                    <w:top w:val="none" w:sz="0" w:space="0" w:color="auto"/>
                                    <w:left w:val="none" w:sz="0" w:space="0" w:color="auto"/>
                                    <w:bottom w:val="none" w:sz="0" w:space="0" w:color="auto"/>
                                    <w:right w:val="none" w:sz="0" w:space="0" w:color="auto"/>
                                  </w:divBdr>
                                  <w:divsChild>
                                    <w:div w:id="4257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39310">
      <w:bodyDiv w:val="1"/>
      <w:marLeft w:val="0"/>
      <w:marRight w:val="0"/>
      <w:marTop w:val="0"/>
      <w:marBottom w:val="0"/>
      <w:divBdr>
        <w:top w:val="none" w:sz="0" w:space="0" w:color="auto"/>
        <w:left w:val="none" w:sz="0" w:space="0" w:color="auto"/>
        <w:bottom w:val="none" w:sz="0" w:space="0" w:color="auto"/>
        <w:right w:val="none" w:sz="0" w:space="0" w:color="auto"/>
      </w:divBdr>
    </w:div>
    <w:div w:id="557664835">
      <w:bodyDiv w:val="1"/>
      <w:marLeft w:val="0"/>
      <w:marRight w:val="0"/>
      <w:marTop w:val="0"/>
      <w:marBottom w:val="0"/>
      <w:divBdr>
        <w:top w:val="none" w:sz="0" w:space="0" w:color="auto"/>
        <w:left w:val="none" w:sz="0" w:space="0" w:color="auto"/>
        <w:bottom w:val="none" w:sz="0" w:space="0" w:color="auto"/>
        <w:right w:val="none" w:sz="0" w:space="0" w:color="auto"/>
      </w:divBdr>
    </w:div>
    <w:div w:id="691489488">
      <w:bodyDiv w:val="1"/>
      <w:marLeft w:val="0"/>
      <w:marRight w:val="0"/>
      <w:marTop w:val="0"/>
      <w:marBottom w:val="0"/>
      <w:divBdr>
        <w:top w:val="none" w:sz="0" w:space="0" w:color="auto"/>
        <w:left w:val="none" w:sz="0" w:space="0" w:color="auto"/>
        <w:bottom w:val="none" w:sz="0" w:space="0" w:color="auto"/>
        <w:right w:val="none" w:sz="0" w:space="0" w:color="auto"/>
      </w:divBdr>
    </w:div>
    <w:div w:id="1096438615">
      <w:bodyDiv w:val="1"/>
      <w:marLeft w:val="0"/>
      <w:marRight w:val="0"/>
      <w:marTop w:val="0"/>
      <w:marBottom w:val="0"/>
      <w:divBdr>
        <w:top w:val="none" w:sz="0" w:space="0" w:color="auto"/>
        <w:left w:val="none" w:sz="0" w:space="0" w:color="auto"/>
        <w:bottom w:val="none" w:sz="0" w:space="0" w:color="auto"/>
        <w:right w:val="none" w:sz="0" w:space="0" w:color="auto"/>
      </w:divBdr>
    </w:div>
    <w:div w:id="1124468981">
      <w:bodyDiv w:val="1"/>
      <w:marLeft w:val="0"/>
      <w:marRight w:val="0"/>
      <w:marTop w:val="0"/>
      <w:marBottom w:val="0"/>
      <w:divBdr>
        <w:top w:val="none" w:sz="0" w:space="0" w:color="auto"/>
        <w:left w:val="none" w:sz="0" w:space="0" w:color="auto"/>
        <w:bottom w:val="none" w:sz="0" w:space="0" w:color="auto"/>
        <w:right w:val="none" w:sz="0" w:space="0" w:color="auto"/>
      </w:divBdr>
      <w:divsChild>
        <w:div w:id="1473594821">
          <w:marLeft w:val="0"/>
          <w:marRight w:val="0"/>
          <w:marTop w:val="0"/>
          <w:marBottom w:val="300"/>
          <w:divBdr>
            <w:top w:val="none" w:sz="0" w:space="0" w:color="auto"/>
            <w:left w:val="none" w:sz="0" w:space="0" w:color="auto"/>
            <w:bottom w:val="none" w:sz="0" w:space="0" w:color="auto"/>
            <w:right w:val="none" w:sz="0" w:space="0" w:color="auto"/>
          </w:divBdr>
          <w:divsChild>
            <w:div w:id="1288389135">
              <w:marLeft w:val="0"/>
              <w:marRight w:val="0"/>
              <w:marTop w:val="0"/>
              <w:marBottom w:val="0"/>
              <w:divBdr>
                <w:top w:val="none" w:sz="0" w:space="0" w:color="auto"/>
                <w:left w:val="single" w:sz="6" w:space="1" w:color="FFFFFF"/>
                <w:bottom w:val="none" w:sz="0" w:space="0" w:color="auto"/>
                <w:right w:val="single" w:sz="6" w:space="1" w:color="FFFFFF"/>
              </w:divBdr>
              <w:divsChild>
                <w:div w:id="1205211246">
                  <w:marLeft w:val="0"/>
                  <w:marRight w:val="0"/>
                  <w:marTop w:val="0"/>
                  <w:marBottom w:val="0"/>
                  <w:divBdr>
                    <w:top w:val="none" w:sz="0" w:space="0" w:color="auto"/>
                    <w:left w:val="none" w:sz="0" w:space="0" w:color="auto"/>
                    <w:bottom w:val="none" w:sz="0" w:space="0" w:color="auto"/>
                    <w:right w:val="none" w:sz="0" w:space="0" w:color="auto"/>
                  </w:divBdr>
                  <w:divsChild>
                    <w:div w:id="705905377">
                      <w:marLeft w:val="0"/>
                      <w:marRight w:val="0"/>
                      <w:marTop w:val="0"/>
                      <w:marBottom w:val="0"/>
                      <w:divBdr>
                        <w:top w:val="none" w:sz="0" w:space="0" w:color="auto"/>
                        <w:left w:val="none" w:sz="0" w:space="0" w:color="auto"/>
                        <w:bottom w:val="none" w:sz="0" w:space="0" w:color="auto"/>
                        <w:right w:val="none" w:sz="0" w:space="0" w:color="auto"/>
                      </w:divBdr>
                      <w:divsChild>
                        <w:div w:id="1809128561">
                          <w:marLeft w:val="0"/>
                          <w:marRight w:val="0"/>
                          <w:marTop w:val="0"/>
                          <w:marBottom w:val="0"/>
                          <w:divBdr>
                            <w:top w:val="none" w:sz="0" w:space="0" w:color="auto"/>
                            <w:left w:val="none" w:sz="0" w:space="0" w:color="auto"/>
                            <w:bottom w:val="none" w:sz="0" w:space="0" w:color="auto"/>
                            <w:right w:val="none" w:sz="0" w:space="0" w:color="auto"/>
                          </w:divBdr>
                          <w:divsChild>
                            <w:div w:id="809244693">
                              <w:marLeft w:val="0"/>
                              <w:marRight w:val="0"/>
                              <w:marTop w:val="0"/>
                              <w:marBottom w:val="0"/>
                              <w:divBdr>
                                <w:top w:val="none" w:sz="0" w:space="0" w:color="auto"/>
                                <w:left w:val="none" w:sz="0" w:space="0" w:color="auto"/>
                                <w:bottom w:val="none" w:sz="0" w:space="0" w:color="auto"/>
                                <w:right w:val="none" w:sz="0" w:space="0" w:color="auto"/>
                              </w:divBdr>
                              <w:divsChild>
                                <w:div w:id="2032145434">
                                  <w:marLeft w:val="0"/>
                                  <w:marRight w:val="0"/>
                                  <w:marTop w:val="0"/>
                                  <w:marBottom w:val="0"/>
                                  <w:divBdr>
                                    <w:top w:val="none" w:sz="0" w:space="0" w:color="auto"/>
                                    <w:left w:val="none" w:sz="0" w:space="0" w:color="auto"/>
                                    <w:bottom w:val="none" w:sz="0" w:space="0" w:color="auto"/>
                                    <w:right w:val="none" w:sz="0" w:space="0" w:color="auto"/>
                                  </w:divBdr>
                                  <w:divsChild>
                                    <w:div w:id="17207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077480">
      <w:bodyDiv w:val="1"/>
      <w:marLeft w:val="0"/>
      <w:marRight w:val="0"/>
      <w:marTop w:val="0"/>
      <w:marBottom w:val="0"/>
      <w:divBdr>
        <w:top w:val="none" w:sz="0" w:space="0" w:color="auto"/>
        <w:left w:val="none" w:sz="0" w:space="0" w:color="auto"/>
        <w:bottom w:val="none" w:sz="0" w:space="0" w:color="auto"/>
        <w:right w:val="none" w:sz="0" w:space="0" w:color="auto"/>
      </w:divBdr>
    </w:div>
    <w:div w:id="1592349780">
      <w:bodyDiv w:val="1"/>
      <w:marLeft w:val="0"/>
      <w:marRight w:val="0"/>
      <w:marTop w:val="0"/>
      <w:marBottom w:val="0"/>
      <w:divBdr>
        <w:top w:val="none" w:sz="0" w:space="0" w:color="auto"/>
        <w:left w:val="none" w:sz="0" w:space="0" w:color="auto"/>
        <w:bottom w:val="none" w:sz="0" w:space="0" w:color="auto"/>
        <w:right w:val="none" w:sz="0" w:space="0" w:color="auto"/>
      </w:divBdr>
      <w:divsChild>
        <w:div w:id="659695648">
          <w:marLeft w:val="0"/>
          <w:marRight w:val="0"/>
          <w:marTop w:val="0"/>
          <w:marBottom w:val="300"/>
          <w:divBdr>
            <w:top w:val="none" w:sz="0" w:space="0" w:color="auto"/>
            <w:left w:val="none" w:sz="0" w:space="0" w:color="auto"/>
            <w:bottom w:val="none" w:sz="0" w:space="0" w:color="auto"/>
            <w:right w:val="none" w:sz="0" w:space="0" w:color="auto"/>
          </w:divBdr>
          <w:divsChild>
            <w:div w:id="608900745">
              <w:marLeft w:val="0"/>
              <w:marRight w:val="0"/>
              <w:marTop w:val="0"/>
              <w:marBottom w:val="0"/>
              <w:divBdr>
                <w:top w:val="none" w:sz="0" w:space="0" w:color="auto"/>
                <w:left w:val="single" w:sz="6" w:space="1" w:color="FFFFFF"/>
                <w:bottom w:val="none" w:sz="0" w:space="0" w:color="auto"/>
                <w:right w:val="single" w:sz="6" w:space="1" w:color="FFFFFF"/>
              </w:divBdr>
              <w:divsChild>
                <w:div w:id="177087007">
                  <w:marLeft w:val="0"/>
                  <w:marRight w:val="0"/>
                  <w:marTop w:val="0"/>
                  <w:marBottom w:val="0"/>
                  <w:divBdr>
                    <w:top w:val="none" w:sz="0" w:space="0" w:color="auto"/>
                    <w:left w:val="none" w:sz="0" w:space="0" w:color="auto"/>
                    <w:bottom w:val="none" w:sz="0" w:space="0" w:color="auto"/>
                    <w:right w:val="none" w:sz="0" w:space="0" w:color="auto"/>
                  </w:divBdr>
                  <w:divsChild>
                    <w:div w:id="1490905746">
                      <w:marLeft w:val="0"/>
                      <w:marRight w:val="0"/>
                      <w:marTop w:val="0"/>
                      <w:marBottom w:val="0"/>
                      <w:divBdr>
                        <w:top w:val="none" w:sz="0" w:space="0" w:color="auto"/>
                        <w:left w:val="none" w:sz="0" w:space="0" w:color="auto"/>
                        <w:bottom w:val="none" w:sz="0" w:space="0" w:color="auto"/>
                        <w:right w:val="none" w:sz="0" w:space="0" w:color="auto"/>
                      </w:divBdr>
                      <w:divsChild>
                        <w:div w:id="874149378">
                          <w:marLeft w:val="0"/>
                          <w:marRight w:val="0"/>
                          <w:marTop w:val="0"/>
                          <w:marBottom w:val="0"/>
                          <w:divBdr>
                            <w:top w:val="none" w:sz="0" w:space="0" w:color="auto"/>
                            <w:left w:val="none" w:sz="0" w:space="0" w:color="auto"/>
                            <w:bottom w:val="none" w:sz="0" w:space="0" w:color="auto"/>
                            <w:right w:val="none" w:sz="0" w:space="0" w:color="auto"/>
                          </w:divBdr>
                          <w:divsChild>
                            <w:div w:id="992175119">
                              <w:marLeft w:val="0"/>
                              <w:marRight w:val="0"/>
                              <w:marTop w:val="0"/>
                              <w:marBottom w:val="0"/>
                              <w:divBdr>
                                <w:top w:val="none" w:sz="0" w:space="0" w:color="auto"/>
                                <w:left w:val="none" w:sz="0" w:space="0" w:color="auto"/>
                                <w:bottom w:val="none" w:sz="0" w:space="0" w:color="auto"/>
                                <w:right w:val="none" w:sz="0" w:space="0" w:color="auto"/>
                              </w:divBdr>
                              <w:divsChild>
                                <w:div w:id="360397106">
                                  <w:marLeft w:val="0"/>
                                  <w:marRight w:val="0"/>
                                  <w:marTop w:val="0"/>
                                  <w:marBottom w:val="0"/>
                                  <w:divBdr>
                                    <w:top w:val="none" w:sz="0" w:space="0" w:color="auto"/>
                                    <w:left w:val="none" w:sz="0" w:space="0" w:color="auto"/>
                                    <w:bottom w:val="none" w:sz="0" w:space="0" w:color="auto"/>
                                    <w:right w:val="none" w:sz="0" w:space="0" w:color="auto"/>
                                  </w:divBdr>
                                  <w:divsChild>
                                    <w:div w:id="11014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03708">
      <w:bodyDiv w:val="1"/>
      <w:marLeft w:val="0"/>
      <w:marRight w:val="0"/>
      <w:marTop w:val="0"/>
      <w:marBottom w:val="0"/>
      <w:divBdr>
        <w:top w:val="none" w:sz="0" w:space="0" w:color="auto"/>
        <w:left w:val="none" w:sz="0" w:space="0" w:color="auto"/>
        <w:bottom w:val="none" w:sz="0" w:space="0" w:color="auto"/>
        <w:right w:val="none" w:sz="0" w:space="0" w:color="auto"/>
      </w:divBdr>
      <w:divsChild>
        <w:div w:id="1235898173">
          <w:marLeft w:val="0"/>
          <w:marRight w:val="0"/>
          <w:marTop w:val="0"/>
          <w:marBottom w:val="300"/>
          <w:divBdr>
            <w:top w:val="none" w:sz="0" w:space="0" w:color="auto"/>
            <w:left w:val="none" w:sz="0" w:space="0" w:color="auto"/>
            <w:bottom w:val="none" w:sz="0" w:space="0" w:color="auto"/>
            <w:right w:val="none" w:sz="0" w:space="0" w:color="auto"/>
          </w:divBdr>
          <w:divsChild>
            <w:div w:id="1698506590">
              <w:marLeft w:val="0"/>
              <w:marRight w:val="0"/>
              <w:marTop w:val="0"/>
              <w:marBottom w:val="0"/>
              <w:divBdr>
                <w:top w:val="none" w:sz="0" w:space="0" w:color="auto"/>
                <w:left w:val="single" w:sz="6" w:space="1" w:color="FFFFFF"/>
                <w:bottom w:val="none" w:sz="0" w:space="0" w:color="auto"/>
                <w:right w:val="single" w:sz="6" w:space="1" w:color="FFFFFF"/>
              </w:divBdr>
              <w:divsChild>
                <w:div w:id="140539474">
                  <w:marLeft w:val="0"/>
                  <w:marRight w:val="0"/>
                  <w:marTop w:val="0"/>
                  <w:marBottom w:val="0"/>
                  <w:divBdr>
                    <w:top w:val="none" w:sz="0" w:space="0" w:color="auto"/>
                    <w:left w:val="none" w:sz="0" w:space="0" w:color="auto"/>
                    <w:bottom w:val="none" w:sz="0" w:space="0" w:color="auto"/>
                    <w:right w:val="none" w:sz="0" w:space="0" w:color="auto"/>
                  </w:divBdr>
                  <w:divsChild>
                    <w:div w:id="1892812754">
                      <w:marLeft w:val="0"/>
                      <w:marRight w:val="0"/>
                      <w:marTop w:val="0"/>
                      <w:marBottom w:val="0"/>
                      <w:divBdr>
                        <w:top w:val="none" w:sz="0" w:space="0" w:color="auto"/>
                        <w:left w:val="none" w:sz="0" w:space="0" w:color="auto"/>
                        <w:bottom w:val="none" w:sz="0" w:space="0" w:color="auto"/>
                        <w:right w:val="none" w:sz="0" w:space="0" w:color="auto"/>
                      </w:divBdr>
                      <w:divsChild>
                        <w:div w:id="544021772">
                          <w:marLeft w:val="0"/>
                          <w:marRight w:val="0"/>
                          <w:marTop w:val="0"/>
                          <w:marBottom w:val="0"/>
                          <w:divBdr>
                            <w:top w:val="none" w:sz="0" w:space="0" w:color="auto"/>
                            <w:left w:val="none" w:sz="0" w:space="0" w:color="auto"/>
                            <w:bottom w:val="none" w:sz="0" w:space="0" w:color="auto"/>
                            <w:right w:val="none" w:sz="0" w:space="0" w:color="auto"/>
                          </w:divBdr>
                          <w:divsChild>
                            <w:div w:id="1612398994">
                              <w:marLeft w:val="0"/>
                              <w:marRight w:val="0"/>
                              <w:marTop w:val="0"/>
                              <w:marBottom w:val="0"/>
                              <w:divBdr>
                                <w:top w:val="none" w:sz="0" w:space="0" w:color="auto"/>
                                <w:left w:val="none" w:sz="0" w:space="0" w:color="auto"/>
                                <w:bottom w:val="none" w:sz="0" w:space="0" w:color="auto"/>
                                <w:right w:val="none" w:sz="0" w:space="0" w:color="auto"/>
                              </w:divBdr>
                              <w:divsChild>
                                <w:div w:id="1590239834">
                                  <w:marLeft w:val="0"/>
                                  <w:marRight w:val="0"/>
                                  <w:marTop w:val="0"/>
                                  <w:marBottom w:val="0"/>
                                  <w:divBdr>
                                    <w:top w:val="none" w:sz="0" w:space="0" w:color="auto"/>
                                    <w:left w:val="none" w:sz="0" w:space="0" w:color="auto"/>
                                    <w:bottom w:val="none" w:sz="0" w:space="0" w:color="auto"/>
                                    <w:right w:val="none" w:sz="0" w:space="0" w:color="auto"/>
                                  </w:divBdr>
                                  <w:divsChild>
                                    <w:div w:id="175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889121">
      <w:bodyDiv w:val="1"/>
      <w:marLeft w:val="0"/>
      <w:marRight w:val="0"/>
      <w:marTop w:val="0"/>
      <w:marBottom w:val="0"/>
      <w:divBdr>
        <w:top w:val="none" w:sz="0" w:space="0" w:color="auto"/>
        <w:left w:val="none" w:sz="0" w:space="0" w:color="auto"/>
        <w:bottom w:val="none" w:sz="0" w:space="0" w:color="auto"/>
        <w:right w:val="none" w:sz="0" w:space="0" w:color="auto"/>
      </w:divBdr>
      <w:divsChild>
        <w:div w:id="873427398">
          <w:marLeft w:val="0"/>
          <w:marRight w:val="0"/>
          <w:marTop w:val="0"/>
          <w:marBottom w:val="300"/>
          <w:divBdr>
            <w:top w:val="none" w:sz="0" w:space="0" w:color="auto"/>
            <w:left w:val="none" w:sz="0" w:space="0" w:color="auto"/>
            <w:bottom w:val="none" w:sz="0" w:space="0" w:color="auto"/>
            <w:right w:val="none" w:sz="0" w:space="0" w:color="auto"/>
          </w:divBdr>
          <w:divsChild>
            <w:div w:id="48462084">
              <w:marLeft w:val="0"/>
              <w:marRight w:val="0"/>
              <w:marTop w:val="0"/>
              <w:marBottom w:val="0"/>
              <w:divBdr>
                <w:top w:val="none" w:sz="0" w:space="0" w:color="auto"/>
                <w:left w:val="single" w:sz="6" w:space="1" w:color="FFFFFF"/>
                <w:bottom w:val="none" w:sz="0" w:space="0" w:color="auto"/>
                <w:right w:val="single" w:sz="6" w:space="1" w:color="FFFFFF"/>
              </w:divBdr>
              <w:divsChild>
                <w:div w:id="172963734">
                  <w:marLeft w:val="0"/>
                  <w:marRight w:val="0"/>
                  <w:marTop w:val="0"/>
                  <w:marBottom w:val="0"/>
                  <w:divBdr>
                    <w:top w:val="none" w:sz="0" w:space="0" w:color="auto"/>
                    <w:left w:val="none" w:sz="0" w:space="0" w:color="auto"/>
                    <w:bottom w:val="none" w:sz="0" w:space="0" w:color="auto"/>
                    <w:right w:val="none" w:sz="0" w:space="0" w:color="auto"/>
                  </w:divBdr>
                  <w:divsChild>
                    <w:div w:id="172306879">
                      <w:marLeft w:val="0"/>
                      <w:marRight w:val="0"/>
                      <w:marTop w:val="0"/>
                      <w:marBottom w:val="0"/>
                      <w:divBdr>
                        <w:top w:val="none" w:sz="0" w:space="0" w:color="auto"/>
                        <w:left w:val="none" w:sz="0" w:space="0" w:color="auto"/>
                        <w:bottom w:val="none" w:sz="0" w:space="0" w:color="auto"/>
                        <w:right w:val="none" w:sz="0" w:space="0" w:color="auto"/>
                      </w:divBdr>
                      <w:divsChild>
                        <w:div w:id="1941716413">
                          <w:marLeft w:val="0"/>
                          <w:marRight w:val="0"/>
                          <w:marTop w:val="0"/>
                          <w:marBottom w:val="0"/>
                          <w:divBdr>
                            <w:top w:val="none" w:sz="0" w:space="0" w:color="auto"/>
                            <w:left w:val="none" w:sz="0" w:space="0" w:color="auto"/>
                            <w:bottom w:val="none" w:sz="0" w:space="0" w:color="auto"/>
                            <w:right w:val="none" w:sz="0" w:space="0" w:color="auto"/>
                          </w:divBdr>
                          <w:divsChild>
                            <w:div w:id="618529755">
                              <w:marLeft w:val="0"/>
                              <w:marRight w:val="0"/>
                              <w:marTop w:val="0"/>
                              <w:marBottom w:val="0"/>
                              <w:divBdr>
                                <w:top w:val="none" w:sz="0" w:space="0" w:color="auto"/>
                                <w:left w:val="none" w:sz="0" w:space="0" w:color="auto"/>
                                <w:bottom w:val="none" w:sz="0" w:space="0" w:color="auto"/>
                                <w:right w:val="none" w:sz="0" w:space="0" w:color="auto"/>
                              </w:divBdr>
                              <w:divsChild>
                                <w:div w:id="1601521173">
                                  <w:marLeft w:val="0"/>
                                  <w:marRight w:val="0"/>
                                  <w:marTop w:val="0"/>
                                  <w:marBottom w:val="0"/>
                                  <w:divBdr>
                                    <w:top w:val="none" w:sz="0" w:space="0" w:color="auto"/>
                                    <w:left w:val="none" w:sz="0" w:space="0" w:color="auto"/>
                                    <w:bottom w:val="none" w:sz="0" w:space="0" w:color="auto"/>
                                    <w:right w:val="none" w:sz="0" w:space="0" w:color="auto"/>
                                  </w:divBdr>
                                  <w:divsChild>
                                    <w:div w:id="1054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109">
      <w:bodyDiv w:val="1"/>
      <w:marLeft w:val="0"/>
      <w:marRight w:val="0"/>
      <w:marTop w:val="0"/>
      <w:marBottom w:val="0"/>
      <w:divBdr>
        <w:top w:val="none" w:sz="0" w:space="0" w:color="auto"/>
        <w:left w:val="none" w:sz="0" w:space="0" w:color="auto"/>
        <w:bottom w:val="none" w:sz="0" w:space="0" w:color="auto"/>
        <w:right w:val="none" w:sz="0" w:space="0" w:color="auto"/>
      </w:divBdr>
    </w:div>
    <w:div w:id="1975407689">
      <w:bodyDiv w:val="1"/>
      <w:marLeft w:val="0"/>
      <w:marRight w:val="0"/>
      <w:marTop w:val="0"/>
      <w:marBottom w:val="0"/>
      <w:divBdr>
        <w:top w:val="none" w:sz="0" w:space="0" w:color="auto"/>
        <w:left w:val="none" w:sz="0" w:space="0" w:color="auto"/>
        <w:bottom w:val="none" w:sz="0" w:space="0" w:color="auto"/>
        <w:right w:val="none" w:sz="0" w:space="0" w:color="auto"/>
      </w:divBdr>
    </w:div>
    <w:div w:id="2088260367">
      <w:bodyDiv w:val="1"/>
      <w:marLeft w:val="0"/>
      <w:marRight w:val="0"/>
      <w:marTop w:val="0"/>
      <w:marBottom w:val="0"/>
      <w:divBdr>
        <w:top w:val="none" w:sz="0" w:space="0" w:color="auto"/>
        <w:left w:val="none" w:sz="0" w:space="0" w:color="auto"/>
        <w:bottom w:val="none" w:sz="0" w:space="0" w:color="auto"/>
        <w:right w:val="none" w:sz="0" w:space="0" w:color="auto"/>
      </w:divBdr>
      <w:divsChild>
        <w:div w:id="1805541679">
          <w:marLeft w:val="0"/>
          <w:marRight w:val="0"/>
          <w:marTop w:val="0"/>
          <w:marBottom w:val="300"/>
          <w:divBdr>
            <w:top w:val="none" w:sz="0" w:space="0" w:color="auto"/>
            <w:left w:val="none" w:sz="0" w:space="0" w:color="auto"/>
            <w:bottom w:val="none" w:sz="0" w:space="0" w:color="auto"/>
            <w:right w:val="none" w:sz="0" w:space="0" w:color="auto"/>
          </w:divBdr>
          <w:divsChild>
            <w:div w:id="1293973945">
              <w:marLeft w:val="0"/>
              <w:marRight w:val="0"/>
              <w:marTop w:val="0"/>
              <w:marBottom w:val="0"/>
              <w:divBdr>
                <w:top w:val="none" w:sz="0" w:space="0" w:color="auto"/>
                <w:left w:val="single" w:sz="6" w:space="1" w:color="FFFFFF"/>
                <w:bottom w:val="none" w:sz="0" w:space="0" w:color="auto"/>
                <w:right w:val="single" w:sz="6" w:space="1" w:color="FFFFFF"/>
              </w:divBdr>
              <w:divsChild>
                <w:div w:id="177277584">
                  <w:marLeft w:val="0"/>
                  <w:marRight w:val="0"/>
                  <w:marTop w:val="0"/>
                  <w:marBottom w:val="0"/>
                  <w:divBdr>
                    <w:top w:val="none" w:sz="0" w:space="0" w:color="auto"/>
                    <w:left w:val="none" w:sz="0" w:space="0" w:color="auto"/>
                    <w:bottom w:val="none" w:sz="0" w:space="0" w:color="auto"/>
                    <w:right w:val="none" w:sz="0" w:space="0" w:color="auto"/>
                  </w:divBdr>
                  <w:divsChild>
                    <w:div w:id="500967427">
                      <w:marLeft w:val="0"/>
                      <w:marRight w:val="0"/>
                      <w:marTop w:val="0"/>
                      <w:marBottom w:val="0"/>
                      <w:divBdr>
                        <w:top w:val="none" w:sz="0" w:space="0" w:color="auto"/>
                        <w:left w:val="none" w:sz="0" w:space="0" w:color="auto"/>
                        <w:bottom w:val="none" w:sz="0" w:space="0" w:color="auto"/>
                        <w:right w:val="none" w:sz="0" w:space="0" w:color="auto"/>
                      </w:divBdr>
                      <w:divsChild>
                        <w:div w:id="2020892369">
                          <w:marLeft w:val="0"/>
                          <w:marRight w:val="0"/>
                          <w:marTop w:val="0"/>
                          <w:marBottom w:val="0"/>
                          <w:divBdr>
                            <w:top w:val="none" w:sz="0" w:space="0" w:color="auto"/>
                            <w:left w:val="none" w:sz="0" w:space="0" w:color="auto"/>
                            <w:bottom w:val="none" w:sz="0" w:space="0" w:color="auto"/>
                            <w:right w:val="none" w:sz="0" w:space="0" w:color="auto"/>
                          </w:divBdr>
                          <w:divsChild>
                            <w:div w:id="1580367821">
                              <w:marLeft w:val="0"/>
                              <w:marRight w:val="0"/>
                              <w:marTop w:val="0"/>
                              <w:marBottom w:val="0"/>
                              <w:divBdr>
                                <w:top w:val="none" w:sz="0" w:space="0" w:color="auto"/>
                                <w:left w:val="none" w:sz="0" w:space="0" w:color="auto"/>
                                <w:bottom w:val="none" w:sz="0" w:space="0" w:color="auto"/>
                                <w:right w:val="none" w:sz="0" w:space="0" w:color="auto"/>
                              </w:divBdr>
                              <w:divsChild>
                                <w:div w:id="969634356">
                                  <w:marLeft w:val="0"/>
                                  <w:marRight w:val="0"/>
                                  <w:marTop w:val="0"/>
                                  <w:marBottom w:val="0"/>
                                  <w:divBdr>
                                    <w:top w:val="none" w:sz="0" w:space="0" w:color="auto"/>
                                    <w:left w:val="none" w:sz="0" w:space="0" w:color="auto"/>
                                    <w:bottom w:val="none" w:sz="0" w:space="0" w:color="auto"/>
                                    <w:right w:val="none" w:sz="0" w:space="0" w:color="auto"/>
                                  </w:divBdr>
                                  <w:divsChild>
                                    <w:div w:id="18279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265E-827D-454C-A93E-DBF15DDA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5469</Words>
  <Characters>33361</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Poulsen</dc:creator>
  <cp:lastModifiedBy>Susanne Poulsen</cp:lastModifiedBy>
  <cp:revision>2</cp:revision>
  <cp:lastPrinted>2012-10-08T08:16:00Z</cp:lastPrinted>
  <dcterms:created xsi:type="dcterms:W3CDTF">2012-10-12T12:13:00Z</dcterms:created>
  <dcterms:modified xsi:type="dcterms:W3CDTF">2012-10-12T12:13:00Z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C:\Users\w17824\AppData\Local\Temp\SJ20121008090906922 [DOK11101438].DOCX</vt:lpwstr>
  </property>
  <property fmtid="{D5CDD505-2E9C-101B-9397-08002B2CF9AE}" pid="3" name="title">
    <vt:lpwstr>Udkast til ordførere 8.10.2012 (DOK11101438)</vt:lpwstr>
  </property>
  <property fmtid="{D5CDD505-2E9C-101B-9397-08002B2CF9AE}" pid="4" name="command">
    <vt:lpwstr/>
  </property>
</Properties>
</file>