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78" w:type="dxa"/>
        <w:tblCellMar>
          <w:left w:w="0" w:type="dxa"/>
          <w:right w:w="0" w:type="dxa"/>
        </w:tblCellMar>
        <w:tblLook w:val="0620" w:firstRow="1" w:lastRow="0" w:firstColumn="0" w:lastColumn="0" w:noHBand="1" w:noVBand="1"/>
      </w:tblPr>
      <w:tblGrid>
        <w:gridCol w:w="6520"/>
        <w:gridCol w:w="3458"/>
      </w:tblGrid>
      <w:tr w:rsidR="005740FB" w:rsidRPr="005740FB" w14:paraId="2692D940" w14:textId="77777777" w:rsidTr="00213607">
        <w:trPr>
          <w:trHeight w:hRule="exact" w:val="1191"/>
        </w:trPr>
        <w:tc>
          <w:tcPr>
            <w:tcW w:w="6520" w:type="dxa"/>
            <w:tcMar>
              <w:right w:w="567" w:type="dxa"/>
            </w:tcMar>
          </w:tcPr>
          <w:p w14:paraId="4F23E02F" w14:textId="44DC3E11" w:rsidR="00447719" w:rsidRPr="005740FB" w:rsidRDefault="00745BE4" w:rsidP="007C69C4">
            <w:pPr>
              <w:pStyle w:val="Template-Dokumenttype"/>
            </w:pPr>
            <w:bookmarkStart w:id="0" w:name="Dokumenttype" w:colFirst="0" w:colLast="0"/>
            <w:r w:rsidRPr="005740FB">
              <w:t>høringsnotat</w:t>
            </w:r>
          </w:p>
        </w:tc>
        <w:tc>
          <w:tcPr>
            <w:tcW w:w="3458" w:type="dxa"/>
          </w:tcPr>
          <w:p w14:paraId="2E5C50C1" w14:textId="77777777" w:rsidR="00447719" w:rsidRPr="005740FB" w:rsidRDefault="00447719" w:rsidP="005D330E">
            <w:pPr>
              <w:pStyle w:val="Template-Dokumenttype"/>
              <w:rPr>
                <w:noProof/>
                <w:lang w:eastAsia="da-DK"/>
              </w:rPr>
            </w:pPr>
          </w:p>
        </w:tc>
      </w:tr>
      <w:tr w:rsidR="005740FB" w:rsidRPr="005740FB" w14:paraId="276BD24A" w14:textId="77777777" w:rsidTr="00213607">
        <w:trPr>
          <w:trHeight w:hRule="exact" w:val="1417"/>
        </w:trPr>
        <w:tc>
          <w:tcPr>
            <w:tcW w:w="6520" w:type="dxa"/>
            <w:tcMar>
              <w:bottom w:w="567" w:type="dxa"/>
              <w:right w:w="567" w:type="dxa"/>
            </w:tcMar>
          </w:tcPr>
          <w:p w14:paraId="6AA53D9F" w14:textId="77777777" w:rsidR="00FF7F66" w:rsidRPr="005740FB" w:rsidRDefault="00FF7F66" w:rsidP="00FF7F66">
            <w:pPr>
              <w:pStyle w:val="Normaludenluft"/>
              <w:rPr>
                <w:color w:val="auto"/>
              </w:rPr>
            </w:pPr>
            <w:bookmarkStart w:id="1" w:name="Dokumentdato" w:colFirst="1" w:colLast="1"/>
            <w:bookmarkStart w:id="2" w:name="Brevmodtager" w:colFirst="0" w:colLast="0"/>
            <w:bookmarkEnd w:id="0"/>
          </w:p>
        </w:tc>
        <w:tc>
          <w:tcPr>
            <w:tcW w:w="3458" w:type="dxa"/>
          </w:tcPr>
          <w:p w14:paraId="6039E0A4" w14:textId="17CEA584" w:rsidR="00FF7F66" w:rsidRPr="005740FB" w:rsidRDefault="00E857AD" w:rsidP="00FF7F66">
            <w:pPr>
              <w:pStyle w:val="Template-Adresse"/>
              <w:rPr>
                <w:color w:val="auto"/>
              </w:rPr>
            </w:pPr>
            <w:r>
              <w:rPr>
                <w:color w:val="auto"/>
              </w:rPr>
              <w:t>12. september 2024</w:t>
            </w:r>
          </w:p>
        </w:tc>
      </w:tr>
    </w:tbl>
    <w:p w14:paraId="25DD88A8" w14:textId="6508DC81" w:rsidR="004B5A47" w:rsidRPr="004B5A47" w:rsidRDefault="007C69C4" w:rsidP="004B5A47">
      <w:pPr>
        <w:rPr>
          <w:rStyle w:val="Overskrift1Tegn"/>
          <w:rFonts w:asciiTheme="minorHAnsi" w:eastAsiaTheme="minorEastAsia" w:hAnsiTheme="minorHAnsi"/>
        </w:rPr>
      </w:pPr>
      <w:bookmarkStart w:id="3" w:name="_Toc175129004"/>
      <w:bookmarkStart w:id="4" w:name="_Toc176768718"/>
      <w:bookmarkEnd w:id="1"/>
      <w:bookmarkEnd w:id="2"/>
      <w:r w:rsidRPr="004B5A47">
        <w:rPr>
          <w:rStyle w:val="Overskrift1Tegn"/>
          <w:rFonts w:asciiTheme="minorHAnsi" w:eastAsiaTheme="minorEastAsia" w:hAnsiTheme="minorHAnsi"/>
        </w:rPr>
        <w:t>H</w:t>
      </w:r>
      <w:r w:rsidR="00745BE4" w:rsidRPr="004B5A47">
        <w:rPr>
          <w:rStyle w:val="Overskrift1Tegn"/>
          <w:rFonts w:asciiTheme="minorHAnsi" w:eastAsiaTheme="minorEastAsia" w:hAnsiTheme="minorHAnsi"/>
        </w:rPr>
        <w:t>øringsnotat</w:t>
      </w:r>
      <w:r w:rsidR="004B5A47" w:rsidRPr="004B5A47">
        <w:rPr>
          <w:rStyle w:val="Overskrift1Tegn"/>
          <w:rFonts w:asciiTheme="minorHAnsi" w:eastAsiaTheme="minorEastAsia" w:hAnsiTheme="minorHAnsi"/>
        </w:rPr>
        <w:t xml:space="preserve"> om forslag til lov o</w:t>
      </w:r>
      <w:r w:rsidR="005D330E">
        <w:rPr>
          <w:rStyle w:val="Overskrift1Tegn"/>
          <w:rFonts w:asciiTheme="minorHAnsi" w:eastAsiaTheme="minorEastAsia" w:hAnsiTheme="minorHAnsi"/>
        </w:rPr>
        <w:t>m</w:t>
      </w:r>
      <w:bookmarkEnd w:id="3"/>
      <w:bookmarkEnd w:id="4"/>
      <w:r w:rsidR="005D330E">
        <w:rPr>
          <w:rStyle w:val="Overskrift1Tegn"/>
          <w:rFonts w:asciiTheme="minorHAnsi" w:eastAsiaTheme="minorEastAsia" w:hAnsiTheme="minorHAnsi"/>
        </w:rPr>
        <w:t xml:space="preserve"> </w:t>
      </w:r>
      <w:r w:rsidR="005D330E" w:rsidRPr="005D330E">
        <w:rPr>
          <w:b/>
        </w:rPr>
        <w:t>ændring af lov om luftfart</w:t>
      </w:r>
      <w:r w:rsidR="004772BA">
        <w:rPr>
          <w:b/>
        </w:rPr>
        <w:t xml:space="preserve">, </w:t>
      </w:r>
      <w:r w:rsidR="004772BA" w:rsidRPr="004B5A47">
        <w:rPr>
          <w:rStyle w:val="Overskrift1Tegn"/>
          <w:rFonts w:asciiTheme="minorHAnsi" w:eastAsiaTheme="minorEastAsia" w:hAnsiTheme="minorHAnsi"/>
        </w:rPr>
        <w:t>lov o</w:t>
      </w:r>
      <w:r w:rsidR="004772BA">
        <w:rPr>
          <w:rStyle w:val="Overskrift1Tegn"/>
          <w:rFonts w:asciiTheme="minorHAnsi" w:eastAsiaTheme="minorEastAsia" w:hAnsiTheme="minorHAnsi"/>
        </w:rPr>
        <w:t xml:space="preserve">m </w:t>
      </w:r>
      <w:r w:rsidR="004772BA" w:rsidRPr="005D330E">
        <w:rPr>
          <w:b/>
        </w:rPr>
        <w:t>ændring af lov om luftfart</w:t>
      </w:r>
      <w:r w:rsidR="005D330E" w:rsidRPr="005D330E">
        <w:rPr>
          <w:b/>
        </w:rPr>
        <w:t xml:space="preserve"> og ophævelse af lov om forlængelse af Danmarks deltagelse i det skandinaviske luftfartssamarbejde</w:t>
      </w:r>
      <w:r w:rsidR="005D330E">
        <w:rPr>
          <w:b/>
        </w:rPr>
        <w:t xml:space="preserve"> </w:t>
      </w:r>
      <w:r w:rsidR="005D330E" w:rsidRPr="005D330E">
        <w:rPr>
          <w:b/>
        </w:rPr>
        <w:t>(Ændring af safety-afgiften</w:t>
      </w:r>
      <w:r w:rsidR="00B15235">
        <w:rPr>
          <w:b/>
        </w:rPr>
        <w:t xml:space="preserve"> og erstatningsansvarsgrænser,</w:t>
      </w:r>
      <w:r w:rsidR="005D330E" w:rsidRPr="005D330E">
        <w:rPr>
          <w:b/>
        </w:rPr>
        <w:t xml:space="preserve"> præcisering af bestemmelser vedrørende EU-</w:t>
      </w:r>
      <w:r w:rsidR="00FF634D">
        <w:rPr>
          <w:b/>
        </w:rPr>
        <w:t>/EØS-stats</w:t>
      </w:r>
      <w:r w:rsidR="005D330E" w:rsidRPr="005D330E">
        <w:rPr>
          <w:b/>
        </w:rPr>
        <w:t>borgere og EU-</w:t>
      </w:r>
      <w:r w:rsidR="00FF634D">
        <w:rPr>
          <w:b/>
        </w:rPr>
        <w:t>/EØS-selskabers</w:t>
      </w:r>
      <w:r w:rsidR="005D330E" w:rsidRPr="005D330E">
        <w:rPr>
          <w:b/>
        </w:rPr>
        <w:t xml:space="preserve"> registrering af luftfartøjer i Danmark m.v.)</w:t>
      </w:r>
      <w:r w:rsidR="004772BA">
        <w:rPr>
          <w:b/>
        </w:rPr>
        <w:t xml:space="preserve"> </w:t>
      </w:r>
    </w:p>
    <w:p w14:paraId="1AC25B15" w14:textId="77777777" w:rsidR="004B5A47" w:rsidRDefault="004B5A47" w:rsidP="004B5A47">
      <w:pPr>
        <w:rPr>
          <w:rStyle w:val="Overskrift1Tegn"/>
          <w:rFonts w:eastAsiaTheme="minorEastAsia"/>
          <w:color w:val="auto"/>
          <w:lang w:eastAsia="da-DK"/>
        </w:rPr>
      </w:pPr>
    </w:p>
    <w:sdt>
      <w:sdtPr>
        <w:rPr>
          <w:color w:val="0D0D0D" w:themeColor="text1" w:themeTint="F2"/>
        </w:rPr>
        <w:id w:val="1882286086"/>
        <w:docPartObj>
          <w:docPartGallery w:val="Table of Contents"/>
          <w:docPartUnique/>
        </w:docPartObj>
      </w:sdtPr>
      <w:sdtEndPr>
        <w:rPr>
          <w:rFonts w:asciiTheme="minorHAnsi" w:eastAsiaTheme="minorEastAsia" w:hAnsiTheme="minorHAnsi"/>
          <w:b w:val="0"/>
          <w:bCs/>
        </w:rPr>
      </w:sdtEndPr>
      <w:sdtContent>
        <w:p w14:paraId="6A96C9DB" w14:textId="587FC0EC" w:rsidR="004B5A47" w:rsidRDefault="004B5A47">
          <w:pPr>
            <w:pStyle w:val="Overskrift"/>
          </w:pPr>
          <w:r>
            <w:t>Indholdsfortegnelse</w:t>
          </w:r>
        </w:p>
        <w:p w14:paraId="65E7A289" w14:textId="0136EB49" w:rsidR="003023D1" w:rsidRDefault="004B5A47">
          <w:pPr>
            <w:pStyle w:val="Indholdsfortegnelse1"/>
            <w:tabs>
              <w:tab w:val="right" w:leader="dot" w:pos="6226"/>
            </w:tabs>
            <w:rPr>
              <w:rFonts w:cstheme="minorBidi"/>
              <w:noProof/>
              <w:color w:val="auto"/>
              <w:sz w:val="22"/>
              <w:szCs w:val="22"/>
              <w:lang w:eastAsia="da-DK"/>
            </w:rPr>
          </w:pPr>
          <w:r>
            <w:fldChar w:fldCharType="begin"/>
          </w:r>
          <w:r>
            <w:instrText xml:space="preserve"> TOC \o "1-3" \h \z \u </w:instrText>
          </w:r>
          <w:r>
            <w:fldChar w:fldCharType="separate"/>
          </w:r>
        </w:p>
        <w:p w14:paraId="02534581" w14:textId="72BF861F" w:rsidR="003023D1" w:rsidRDefault="00AA0C76">
          <w:pPr>
            <w:pStyle w:val="Indholdsfortegnelse1"/>
            <w:tabs>
              <w:tab w:val="right" w:leader="dot" w:pos="6226"/>
            </w:tabs>
            <w:rPr>
              <w:rFonts w:cstheme="minorBidi"/>
              <w:noProof/>
              <w:color w:val="auto"/>
              <w:sz w:val="22"/>
              <w:szCs w:val="22"/>
              <w:lang w:eastAsia="da-DK"/>
            </w:rPr>
          </w:pPr>
          <w:hyperlink w:anchor="_Toc176768719" w:history="1">
            <w:r w:rsidR="003023D1" w:rsidRPr="00F70332">
              <w:rPr>
                <w:rStyle w:val="Hyperlink"/>
                <w:noProof/>
              </w:rPr>
              <w:t>1. Høringen</w:t>
            </w:r>
            <w:r w:rsidR="003023D1">
              <w:rPr>
                <w:noProof/>
                <w:webHidden/>
              </w:rPr>
              <w:tab/>
            </w:r>
            <w:r w:rsidR="003023D1">
              <w:rPr>
                <w:noProof/>
                <w:webHidden/>
              </w:rPr>
              <w:fldChar w:fldCharType="begin"/>
            </w:r>
            <w:r w:rsidR="003023D1">
              <w:rPr>
                <w:noProof/>
                <w:webHidden/>
              </w:rPr>
              <w:instrText xml:space="preserve"> PAGEREF _Toc176768719 \h </w:instrText>
            </w:r>
            <w:r w:rsidR="003023D1">
              <w:rPr>
                <w:noProof/>
                <w:webHidden/>
              </w:rPr>
            </w:r>
            <w:r w:rsidR="003023D1">
              <w:rPr>
                <w:noProof/>
                <w:webHidden/>
              </w:rPr>
              <w:fldChar w:fldCharType="separate"/>
            </w:r>
            <w:r w:rsidR="003023D1">
              <w:rPr>
                <w:noProof/>
                <w:webHidden/>
              </w:rPr>
              <w:t>1</w:t>
            </w:r>
            <w:r w:rsidR="003023D1">
              <w:rPr>
                <w:noProof/>
                <w:webHidden/>
              </w:rPr>
              <w:fldChar w:fldCharType="end"/>
            </w:r>
          </w:hyperlink>
        </w:p>
        <w:p w14:paraId="4F9E1046" w14:textId="572256ED" w:rsidR="003023D1" w:rsidRDefault="00AA0C76">
          <w:pPr>
            <w:pStyle w:val="Indholdsfortegnelse2"/>
            <w:tabs>
              <w:tab w:val="right" w:leader="dot" w:pos="6226"/>
            </w:tabs>
            <w:rPr>
              <w:rFonts w:cstheme="minorBidi"/>
              <w:noProof/>
              <w:color w:val="auto"/>
              <w:sz w:val="22"/>
              <w:szCs w:val="22"/>
              <w:lang w:eastAsia="da-DK"/>
            </w:rPr>
          </w:pPr>
          <w:hyperlink w:anchor="_Toc176768720" w:history="1">
            <w:r w:rsidR="003023D1" w:rsidRPr="00F70332">
              <w:rPr>
                <w:rStyle w:val="Hyperlink"/>
                <w:noProof/>
              </w:rPr>
              <w:t>1.1. Høringsperiode</w:t>
            </w:r>
            <w:r w:rsidR="003023D1">
              <w:rPr>
                <w:noProof/>
                <w:webHidden/>
              </w:rPr>
              <w:tab/>
            </w:r>
            <w:r w:rsidR="003023D1">
              <w:rPr>
                <w:noProof/>
                <w:webHidden/>
              </w:rPr>
              <w:fldChar w:fldCharType="begin"/>
            </w:r>
            <w:r w:rsidR="003023D1">
              <w:rPr>
                <w:noProof/>
                <w:webHidden/>
              </w:rPr>
              <w:instrText xml:space="preserve"> PAGEREF _Toc176768720 \h </w:instrText>
            </w:r>
            <w:r w:rsidR="003023D1">
              <w:rPr>
                <w:noProof/>
                <w:webHidden/>
              </w:rPr>
            </w:r>
            <w:r w:rsidR="003023D1">
              <w:rPr>
                <w:noProof/>
                <w:webHidden/>
              </w:rPr>
              <w:fldChar w:fldCharType="separate"/>
            </w:r>
            <w:r w:rsidR="003023D1">
              <w:rPr>
                <w:noProof/>
                <w:webHidden/>
              </w:rPr>
              <w:t>1</w:t>
            </w:r>
            <w:r w:rsidR="003023D1">
              <w:rPr>
                <w:noProof/>
                <w:webHidden/>
              </w:rPr>
              <w:fldChar w:fldCharType="end"/>
            </w:r>
          </w:hyperlink>
        </w:p>
        <w:p w14:paraId="7DE31FED" w14:textId="53D08BDA" w:rsidR="003023D1" w:rsidRDefault="00AA0C76">
          <w:pPr>
            <w:pStyle w:val="Indholdsfortegnelse2"/>
            <w:tabs>
              <w:tab w:val="right" w:leader="dot" w:pos="6226"/>
            </w:tabs>
            <w:rPr>
              <w:rFonts w:cstheme="minorBidi"/>
              <w:noProof/>
              <w:color w:val="auto"/>
              <w:sz w:val="22"/>
              <w:szCs w:val="22"/>
              <w:lang w:eastAsia="da-DK"/>
            </w:rPr>
          </w:pPr>
          <w:hyperlink w:anchor="_Toc176768721" w:history="1">
            <w:r w:rsidR="003023D1" w:rsidRPr="00F70332">
              <w:rPr>
                <w:rStyle w:val="Hyperlink"/>
                <w:noProof/>
              </w:rPr>
              <w:t>1.2. Hørte myndigheder, organisationer m.v.</w:t>
            </w:r>
            <w:r w:rsidR="003023D1">
              <w:rPr>
                <w:noProof/>
                <w:webHidden/>
              </w:rPr>
              <w:tab/>
            </w:r>
            <w:r w:rsidR="003023D1">
              <w:rPr>
                <w:noProof/>
                <w:webHidden/>
              </w:rPr>
              <w:fldChar w:fldCharType="begin"/>
            </w:r>
            <w:r w:rsidR="003023D1">
              <w:rPr>
                <w:noProof/>
                <w:webHidden/>
              </w:rPr>
              <w:instrText xml:space="preserve"> PAGEREF _Toc176768721 \h </w:instrText>
            </w:r>
            <w:r w:rsidR="003023D1">
              <w:rPr>
                <w:noProof/>
                <w:webHidden/>
              </w:rPr>
            </w:r>
            <w:r w:rsidR="003023D1">
              <w:rPr>
                <w:noProof/>
                <w:webHidden/>
              </w:rPr>
              <w:fldChar w:fldCharType="separate"/>
            </w:r>
            <w:r w:rsidR="003023D1">
              <w:rPr>
                <w:noProof/>
                <w:webHidden/>
              </w:rPr>
              <w:t>2</w:t>
            </w:r>
            <w:r w:rsidR="003023D1">
              <w:rPr>
                <w:noProof/>
                <w:webHidden/>
              </w:rPr>
              <w:fldChar w:fldCharType="end"/>
            </w:r>
          </w:hyperlink>
        </w:p>
        <w:p w14:paraId="0D4CB76B" w14:textId="0AB198EB" w:rsidR="003023D1" w:rsidRDefault="00AA0C76">
          <w:pPr>
            <w:pStyle w:val="Indholdsfortegnelse1"/>
            <w:tabs>
              <w:tab w:val="right" w:leader="dot" w:pos="6226"/>
            </w:tabs>
            <w:rPr>
              <w:rFonts w:cstheme="minorBidi"/>
              <w:noProof/>
              <w:color w:val="auto"/>
              <w:sz w:val="22"/>
              <w:szCs w:val="22"/>
              <w:lang w:eastAsia="da-DK"/>
            </w:rPr>
          </w:pPr>
          <w:hyperlink w:anchor="_Toc176768722" w:history="1">
            <w:r w:rsidR="003023D1" w:rsidRPr="00F70332">
              <w:rPr>
                <w:rStyle w:val="Hyperlink"/>
                <w:noProof/>
              </w:rPr>
              <w:t>2. Høringssvarene</w:t>
            </w:r>
            <w:r w:rsidR="003023D1">
              <w:rPr>
                <w:noProof/>
                <w:webHidden/>
              </w:rPr>
              <w:tab/>
            </w:r>
            <w:r w:rsidR="003023D1">
              <w:rPr>
                <w:noProof/>
                <w:webHidden/>
              </w:rPr>
              <w:fldChar w:fldCharType="begin"/>
            </w:r>
            <w:r w:rsidR="003023D1">
              <w:rPr>
                <w:noProof/>
                <w:webHidden/>
              </w:rPr>
              <w:instrText xml:space="preserve"> PAGEREF _Toc176768722 \h </w:instrText>
            </w:r>
            <w:r w:rsidR="003023D1">
              <w:rPr>
                <w:noProof/>
                <w:webHidden/>
              </w:rPr>
            </w:r>
            <w:r w:rsidR="003023D1">
              <w:rPr>
                <w:noProof/>
                <w:webHidden/>
              </w:rPr>
              <w:fldChar w:fldCharType="separate"/>
            </w:r>
            <w:r w:rsidR="003023D1">
              <w:rPr>
                <w:noProof/>
                <w:webHidden/>
              </w:rPr>
              <w:t>12</w:t>
            </w:r>
            <w:r w:rsidR="003023D1">
              <w:rPr>
                <w:noProof/>
                <w:webHidden/>
              </w:rPr>
              <w:fldChar w:fldCharType="end"/>
            </w:r>
          </w:hyperlink>
        </w:p>
        <w:p w14:paraId="53254223" w14:textId="41877EC9" w:rsidR="003023D1" w:rsidRDefault="00AA0C76">
          <w:pPr>
            <w:pStyle w:val="Indholdsfortegnelse2"/>
            <w:tabs>
              <w:tab w:val="right" w:leader="dot" w:pos="6226"/>
            </w:tabs>
            <w:rPr>
              <w:rFonts w:cstheme="minorBidi"/>
              <w:noProof/>
              <w:color w:val="auto"/>
              <w:sz w:val="22"/>
              <w:szCs w:val="22"/>
              <w:lang w:eastAsia="da-DK"/>
            </w:rPr>
          </w:pPr>
          <w:hyperlink w:anchor="_Toc176768723" w:history="1">
            <w:r w:rsidR="003023D1" w:rsidRPr="00F70332">
              <w:rPr>
                <w:rStyle w:val="Hyperlink"/>
                <w:noProof/>
              </w:rPr>
              <w:t>2.1. Bemærkninger til de enkelte punkter i lovforslaget</w:t>
            </w:r>
            <w:r w:rsidR="003023D1">
              <w:rPr>
                <w:noProof/>
                <w:webHidden/>
              </w:rPr>
              <w:tab/>
            </w:r>
            <w:r w:rsidR="003023D1">
              <w:rPr>
                <w:noProof/>
                <w:webHidden/>
              </w:rPr>
              <w:fldChar w:fldCharType="begin"/>
            </w:r>
            <w:r w:rsidR="003023D1">
              <w:rPr>
                <w:noProof/>
                <w:webHidden/>
              </w:rPr>
              <w:instrText xml:space="preserve"> PAGEREF _Toc176768723 \h </w:instrText>
            </w:r>
            <w:r w:rsidR="003023D1">
              <w:rPr>
                <w:noProof/>
                <w:webHidden/>
              </w:rPr>
            </w:r>
            <w:r w:rsidR="003023D1">
              <w:rPr>
                <w:noProof/>
                <w:webHidden/>
              </w:rPr>
              <w:fldChar w:fldCharType="separate"/>
            </w:r>
            <w:r w:rsidR="003023D1">
              <w:rPr>
                <w:noProof/>
                <w:webHidden/>
              </w:rPr>
              <w:t>13</w:t>
            </w:r>
            <w:r w:rsidR="003023D1">
              <w:rPr>
                <w:noProof/>
                <w:webHidden/>
              </w:rPr>
              <w:fldChar w:fldCharType="end"/>
            </w:r>
          </w:hyperlink>
        </w:p>
        <w:p w14:paraId="57671061" w14:textId="2C669897" w:rsidR="003023D1" w:rsidRDefault="00AA0C76">
          <w:pPr>
            <w:pStyle w:val="Indholdsfortegnelse2"/>
            <w:tabs>
              <w:tab w:val="right" w:leader="dot" w:pos="6226"/>
            </w:tabs>
            <w:rPr>
              <w:rFonts w:cstheme="minorBidi"/>
              <w:noProof/>
              <w:color w:val="auto"/>
              <w:sz w:val="22"/>
              <w:szCs w:val="22"/>
              <w:lang w:eastAsia="da-DK"/>
            </w:rPr>
          </w:pPr>
          <w:hyperlink w:anchor="_Toc176768724" w:history="1">
            <w:r w:rsidR="003023D1" w:rsidRPr="00F70332">
              <w:rPr>
                <w:rStyle w:val="Hyperlink"/>
                <w:noProof/>
              </w:rPr>
              <w:t>2.1.1. Safety-afgiften</w:t>
            </w:r>
            <w:r w:rsidR="003023D1">
              <w:rPr>
                <w:noProof/>
                <w:webHidden/>
              </w:rPr>
              <w:tab/>
            </w:r>
            <w:r w:rsidR="003023D1">
              <w:rPr>
                <w:noProof/>
                <w:webHidden/>
              </w:rPr>
              <w:fldChar w:fldCharType="begin"/>
            </w:r>
            <w:r w:rsidR="003023D1">
              <w:rPr>
                <w:noProof/>
                <w:webHidden/>
              </w:rPr>
              <w:instrText xml:space="preserve"> PAGEREF _Toc176768724 \h </w:instrText>
            </w:r>
            <w:r w:rsidR="003023D1">
              <w:rPr>
                <w:noProof/>
                <w:webHidden/>
              </w:rPr>
            </w:r>
            <w:r w:rsidR="003023D1">
              <w:rPr>
                <w:noProof/>
                <w:webHidden/>
              </w:rPr>
              <w:fldChar w:fldCharType="separate"/>
            </w:r>
            <w:r w:rsidR="003023D1">
              <w:rPr>
                <w:noProof/>
                <w:webHidden/>
              </w:rPr>
              <w:t>13</w:t>
            </w:r>
            <w:r w:rsidR="003023D1">
              <w:rPr>
                <w:noProof/>
                <w:webHidden/>
              </w:rPr>
              <w:fldChar w:fldCharType="end"/>
            </w:r>
          </w:hyperlink>
        </w:p>
        <w:p w14:paraId="27EC4703" w14:textId="52CB6909" w:rsidR="003023D1" w:rsidRDefault="00AA0C76">
          <w:pPr>
            <w:pStyle w:val="Indholdsfortegnelse2"/>
            <w:tabs>
              <w:tab w:val="right" w:leader="dot" w:pos="6226"/>
            </w:tabs>
            <w:rPr>
              <w:rFonts w:cstheme="minorBidi"/>
              <w:noProof/>
              <w:color w:val="auto"/>
              <w:sz w:val="22"/>
              <w:szCs w:val="22"/>
              <w:lang w:eastAsia="da-DK"/>
            </w:rPr>
          </w:pPr>
          <w:hyperlink w:anchor="_Toc176768725" w:history="1">
            <w:r w:rsidR="003023D1" w:rsidRPr="00F70332">
              <w:rPr>
                <w:rStyle w:val="Hyperlink"/>
                <w:noProof/>
              </w:rPr>
              <w:t>2.1.2. Øvrige dele af lovforslaget</w:t>
            </w:r>
            <w:r w:rsidR="003023D1">
              <w:rPr>
                <w:noProof/>
                <w:webHidden/>
              </w:rPr>
              <w:tab/>
            </w:r>
            <w:r w:rsidR="003023D1">
              <w:rPr>
                <w:noProof/>
                <w:webHidden/>
              </w:rPr>
              <w:fldChar w:fldCharType="begin"/>
            </w:r>
            <w:r w:rsidR="003023D1">
              <w:rPr>
                <w:noProof/>
                <w:webHidden/>
              </w:rPr>
              <w:instrText xml:space="preserve"> PAGEREF _Toc176768725 \h </w:instrText>
            </w:r>
            <w:r w:rsidR="003023D1">
              <w:rPr>
                <w:noProof/>
                <w:webHidden/>
              </w:rPr>
            </w:r>
            <w:r w:rsidR="003023D1">
              <w:rPr>
                <w:noProof/>
                <w:webHidden/>
              </w:rPr>
              <w:fldChar w:fldCharType="separate"/>
            </w:r>
            <w:r w:rsidR="003023D1">
              <w:rPr>
                <w:noProof/>
                <w:webHidden/>
              </w:rPr>
              <w:t>28</w:t>
            </w:r>
            <w:r w:rsidR="003023D1">
              <w:rPr>
                <w:noProof/>
                <w:webHidden/>
              </w:rPr>
              <w:fldChar w:fldCharType="end"/>
            </w:r>
          </w:hyperlink>
        </w:p>
        <w:p w14:paraId="2E6CF58A" w14:textId="26D4E045" w:rsidR="003023D1" w:rsidRDefault="00AA0C76">
          <w:pPr>
            <w:pStyle w:val="Indholdsfortegnelse2"/>
            <w:tabs>
              <w:tab w:val="right" w:leader="dot" w:pos="6226"/>
            </w:tabs>
            <w:rPr>
              <w:rFonts w:cstheme="minorBidi"/>
              <w:noProof/>
              <w:color w:val="auto"/>
              <w:sz w:val="22"/>
              <w:szCs w:val="22"/>
              <w:lang w:eastAsia="da-DK"/>
            </w:rPr>
          </w:pPr>
          <w:hyperlink w:anchor="_Toc176768726" w:history="1">
            <w:r w:rsidR="003023D1" w:rsidRPr="00F70332">
              <w:rPr>
                <w:rStyle w:val="Hyperlink"/>
                <w:noProof/>
              </w:rPr>
              <w:t>2.1.3. Ikraftsættelse af regelændringerne på Færøerne</w:t>
            </w:r>
            <w:r w:rsidR="003023D1">
              <w:rPr>
                <w:noProof/>
                <w:webHidden/>
              </w:rPr>
              <w:tab/>
            </w:r>
            <w:r w:rsidR="003023D1">
              <w:rPr>
                <w:noProof/>
                <w:webHidden/>
              </w:rPr>
              <w:fldChar w:fldCharType="begin"/>
            </w:r>
            <w:r w:rsidR="003023D1">
              <w:rPr>
                <w:noProof/>
                <w:webHidden/>
              </w:rPr>
              <w:instrText xml:space="preserve"> PAGEREF _Toc176768726 \h </w:instrText>
            </w:r>
            <w:r w:rsidR="003023D1">
              <w:rPr>
                <w:noProof/>
                <w:webHidden/>
              </w:rPr>
            </w:r>
            <w:r w:rsidR="003023D1">
              <w:rPr>
                <w:noProof/>
                <w:webHidden/>
              </w:rPr>
              <w:fldChar w:fldCharType="separate"/>
            </w:r>
            <w:r w:rsidR="003023D1">
              <w:rPr>
                <w:noProof/>
                <w:webHidden/>
              </w:rPr>
              <w:t>31</w:t>
            </w:r>
            <w:r w:rsidR="003023D1">
              <w:rPr>
                <w:noProof/>
                <w:webHidden/>
              </w:rPr>
              <w:fldChar w:fldCharType="end"/>
            </w:r>
          </w:hyperlink>
        </w:p>
        <w:p w14:paraId="2514727F" w14:textId="2696C601" w:rsidR="003023D1" w:rsidRDefault="00AA0C76">
          <w:pPr>
            <w:pStyle w:val="Indholdsfortegnelse1"/>
            <w:tabs>
              <w:tab w:val="right" w:leader="dot" w:pos="6226"/>
            </w:tabs>
            <w:rPr>
              <w:rFonts w:cstheme="minorBidi"/>
              <w:noProof/>
              <w:color w:val="auto"/>
              <w:sz w:val="22"/>
              <w:szCs w:val="22"/>
              <w:lang w:eastAsia="da-DK"/>
            </w:rPr>
          </w:pPr>
          <w:hyperlink w:anchor="_Toc176768727" w:history="1">
            <w:r w:rsidR="003023D1" w:rsidRPr="00F70332">
              <w:rPr>
                <w:rStyle w:val="Hyperlink"/>
                <w:noProof/>
              </w:rPr>
              <w:t>3. Lovforslaget i forhold til lovudkastet</w:t>
            </w:r>
            <w:r w:rsidR="003023D1">
              <w:rPr>
                <w:noProof/>
                <w:webHidden/>
              </w:rPr>
              <w:tab/>
            </w:r>
            <w:r w:rsidR="003023D1">
              <w:rPr>
                <w:noProof/>
                <w:webHidden/>
              </w:rPr>
              <w:fldChar w:fldCharType="begin"/>
            </w:r>
            <w:r w:rsidR="003023D1">
              <w:rPr>
                <w:noProof/>
                <w:webHidden/>
              </w:rPr>
              <w:instrText xml:space="preserve"> PAGEREF _Toc176768727 \h </w:instrText>
            </w:r>
            <w:r w:rsidR="003023D1">
              <w:rPr>
                <w:noProof/>
                <w:webHidden/>
              </w:rPr>
            </w:r>
            <w:r w:rsidR="003023D1">
              <w:rPr>
                <w:noProof/>
                <w:webHidden/>
              </w:rPr>
              <w:fldChar w:fldCharType="separate"/>
            </w:r>
            <w:r w:rsidR="003023D1">
              <w:rPr>
                <w:noProof/>
                <w:webHidden/>
              </w:rPr>
              <w:t>31</w:t>
            </w:r>
            <w:r w:rsidR="003023D1">
              <w:rPr>
                <w:noProof/>
                <w:webHidden/>
              </w:rPr>
              <w:fldChar w:fldCharType="end"/>
            </w:r>
          </w:hyperlink>
        </w:p>
        <w:p w14:paraId="1EC1E22B" w14:textId="713DAB75" w:rsidR="004B5A47" w:rsidRPr="00757C21" w:rsidRDefault="004B5A47" w:rsidP="00745BE4">
          <w:r>
            <w:rPr>
              <w:b/>
              <w:bCs/>
            </w:rPr>
            <w:fldChar w:fldCharType="end"/>
          </w:r>
        </w:p>
      </w:sdtContent>
    </w:sdt>
    <w:p w14:paraId="39D6B7C8" w14:textId="77777777" w:rsidR="0019641B" w:rsidRPr="004B5A47" w:rsidRDefault="0019641B" w:rsidP="004B5A47">
      <w:pPr>
        <w:pStyle w:val="Overskrift1"/>
      </w:pPr>
      <w:bookmarkStart w:id="5" w:name="_Toc176768719"/>
      <w:r w:rsidRPr="004B5A47">
        <w:t>1. Høringen</w:t>
      </w:r>
      <w:bookmarkEnd w:id="5"/>
    </w:p>
    <w:p w14:paraId="7D553404" w14:textId="77777777" w:rsidR="0019641B" w:rsidRPr="004B5A47" w:rsidRDefault="0019641B" w:rsidP="004B5A47">
      <w:pPr>
        <w:pStyle w:val="Overskrift2"/>
      </w:pPr>
      <w:bookmarkStart w:id="6" w:name="_Toc176768720"/>
      <w:r w:rsidRPr="004B5A47">
        <w:t>1.1. Høringsperiode</w:t>
      </w:r>
      <w:bookmarkEnd w:id="6"/>
    </w:p>
    <w:p w14:paraId="2AC1348E" w14:textId="532043B1" w:rsidR="00FA7A57" w:rsidRPr="00FA7A57" w:rsidRDefault="00E538A1" w:rsidP="004275D1">
      <w:pPr>
        <w:pStyle w:val="Normalindrykket"/>
        <w:ind w:left="0"/>
      </w:pPr>
      <w:r>
        <w:t xml:space="preserve">Et udkast til forslag til lov om ændring af </w:t>
      </w:r>
      <w:r w:rsidR="005D330E" w:rsidRPr="005D330E">
        <w:t>lov om luftfart</w:t>
      </w:r>
      <w:r w:rsidR="004772BA">
        <w:t xml:space="preserve">, </w:t>
      </w:r>
      <w:r w:rsidR="004772BA">
        <w:t xml:space="preserve">lov om ændring af </w:t>
      </w:r>
      <w:r w:rsidR="004772BA" w:rsidRPr="005D330E">
        <w:t>lov om luftfart</w:t>
      </w:r>
      <w:r w:rsidR="005D330E" w:rsidRPr="005D330E">
        <w:t xml:space="preserve"> og ophævelse af lov om forlængelse af Danmarks deltagelse i det skandinaviske luftfartssamarbejde (Ændring af safety-afgiften </w:t>
      </w:r>
      <w:r w:rsidR="00B15235">
        <w:t>og erstatningsansvarsgrænser,</w:t>
      </w:r>
      <w:r w:rsidR="005D330E" w:rsidRPr="005D330E">
        <w:t xml:space="preserve"> præcisering af bestemmelser vedrørende EU-</w:t>
      </w:r>
      <w:r w:rsidR="00FF634D">
        <w:t>/EØS-stats</w:t>
      </w:r>
      <w:r w:rsidR="005D330E" w:rsidRPr="005D330E">
        <w:t>borgere og EU-</w:t>
      </w:r>
      <w:r w:rsidR="00FF634D">
        <w:t>/EØS-selskabers</w:t>
      </w:r>
      <w:r w:rsidR="005D330E" w:rsidRPr="005D330E">
        <w:t xml:space="preserve"> registrering af luftfartøjer i Danmark m.v.)</w:t>
      </w:r>
      <w:r w:rsidRPr="004275D1">
        <w:t xml:space="preserve"> </w:t>
      </w:r>
      <w:r>
        <w:t>har i perioden fra den</w:t>
      </w:r>
      <w:r w:rsidR="005D330E">
        <w:t xml:space="preserve"> 4. juli 2024 til den 22. august 20</w:t>
      </w:r>
      <w:r w:rsidR="005D330E" w:rsidRPr="005D330E">
        <w:rPr>
          <w:color w:val="auto"/>
        </w:rPr>
        <w:t>24</w:t>
      </w:r>
      <w:r w:rsidRPr="005D330E">
        <w:rPr>
          <w:color w:val="auto"/>
        </w:rPr>
        <w:t xml:space="preserve"> </w:t>
      </w:r>
      <w:r w:rsidR="00CA2EC9" w:rsidRPr="005D330E">
        <w:rPr>
          <w:rFonts w:ascii="Georgia" w:eastAsia="Times New Roman" w:hAnsi="Georgia"/>
          <w:color w:val="auto"/>
        </w:rPr>
        <w:t>(</w:t>
      </w:r>
      <w:r w:rsidR="005D330E" w:rsidRPr="005D330E">
        <w:rPr>
          <w:rFonts w:ascii="Georgia" w:eastAsia="Times New Roman" w:hAnsi="Georgia"/>
          <w:color w:val="auto"/>
        </w:rPr>
        <w:t>50</w:t>
      </w:r>
      <w:r w:rsidR="00CA2EC9" w:rsidRPr="005D330E">
        <w:rPr>
          <w:rFonts w:ascii="Georgia" w:eastAsia="Times New Roman" w:hAnsi="Georgia"/>
          <w:color w:val="auto"/>
        </w:rPr>
        <w:t xml:space="preserve"> dage)</w:t>
      </w:r>
      <w:r>
        <w:t xml:space="preserve"> været </w:t>
      </w:r>
      <w:r>
        <w:lastRenderedPageBreak/>
        <w:t>sendt i høring hos en række myndigheder, organisationer m.v.</w:t>
      </w:r>
      <w:r w:rsidR="00B15235">
        <w:t xml:space="preserve"> Et revideret udkast til forslaget har været</w:t>
      </w:r>
      <w:r w:rsidR="00294439">
        <w:t xml:space="preserve"> sendt</w:t>
      </w:r>
      <w:r w:rsidR="00B15235">
        <w:t xml:space="preserve"> i supplerende høring i perioden fra den 2. september 2024 til den 6. september 2024. </w:t>
      </w:r>
    </w:p>
    <w:p w14:paraId="6C408A8D" w14:textId="4A723254" w:rsidR="00CA2EC9" w:rsidRDefault="00CA2EC9" w:rsidP="00745BE4">
      <w:pPr>
        <w:rPr>
          <w:rFonts w:ascii="Georgia" w:eastAsia="Times New Roman" w:hAnsi="Georgia"/>
          <w:color w:val="auto"/>
        </w:rPr>
      </w:pPr>
      <w:r>
        <w:t>Udkastet til lovforslag blev den</w:t>
      </w:r>
      <w:r w:rsidR="005D330E">
        <w:t xml:space="preserve"> 5. juli 2024</w:t>
      </w:r>
      <w:r>
        <w:t xml:space="preserve"> endvidere sendt til Transportudvalget til orientering</w:t>
      </w:r>
      <w:r w:rsidR="00AD5F3D">
        <w:t xml:space="preserve">, mens et revideret udkast til forslaget blev sendt til Transportudvalget til orientering den 2. september 2024. </w:t>
      </w:r>
    </w:p>
    <w:p w14:paraId="5FBB31E1" w14:textId="27B05B93" w:rsidR="00151EE5" w:rsidRDefault="00151EE5" w:rsidP="00745BE4">
      <w:pPr>
        <w:rPr>
          <w:rFonts w:ascii="Georgia" w:eastAsia="Times New Roman" w:hAnsi="Georgia"/>
          <w:color w:val="auto"/>
        </w:rPr>
      </w:pPr>
      <w:r w:rsidRPr="00151EE5">
        <w:rPr>
          <w:rFonts w:ascii="Georgia" w:eastAsia="Times New Roman" w:hAnsi="Georgia"/>
          <w:color w:val="auto"/>
        </w:rPr>
        <w:t xml:space="preserve">Herudover blev </w:t>
      </w:r>
      <w:r w:rsidR="008A30C6">
        <w:rPr>
          <w:rFonts w:ascii="Georgia" w:eastAsia="Georgia" w:hAnsi="Georgia"/>
        </w:rPr>
        <w:t xml:space="preserve">udkastet til lovforslag </w:t>
      </w:r>
      <w:r w:rsidR="00BC02B1">
        <w:rPr>
          <w:rFonts w:ascii="Georgia" w:eastAsia="Times New Roman" w:hAnsi="Georgia"/>
          <w:color w:val="auto"/>
        </w:rPr>
        <w:t>o</w:t>
      </w:r>
      <w:r w:rsidRPr="00151EE5">
        <w:rPr>
          <w:rFonts w:ascii="Georgia" w:eastAsia="Times New Roman" w:hAnsi="Georgia"/>
          <w:color w:val="auto"/>
        </w:rPr>
        <w:t>ffentliggjort på Høringsportalen den</w:t>
      </w:r>
      <w:r w:rsidR="005D330E">
        <w:rPr>
          <w:rFonts w:ascii="Georgia" w:eastAsia="Times New Roman" w:hAnsi="Georgia"/>
          <w:color w:val="auto"/>
        </w:rPr>
        <w:t xml:space="preserve"> 4. juli 2024</w:t>
      </w:r>
      <w:r w:rsidR="00AD5F3D">
        <w:rPr>
          <w:rFonts w:ascii="Georgia" w:eastAsia="Times New Roman" w:hAnsi="Georgia"/>
          <w:color w:val="auto"/>
        </w:rPr>
        <w:t xml:space="preserve">, mens det reviderede udkast til lovforslaget blev offentliggjort på Høringsportalen den 2. september 2024. </w:t>
      </w:r>
    </w:p>
    <w:p w14:paraId="2B7576B5" w14:textId="77777777" w:rsidR="0019641B" w:rsidRPr="0019641B" w:rsidRDefault="0019641B" w:rsidP="00E538A1">
      <w:pPr>
        <w:pStyle w:val="Overskrift2"/>
      </w:pPr>
      <w:bookmarkStart w:id="7" w:name="_Toc176768721"/>
      <w:r w:rsidRPr="0019641B">
        <w:t>1.2. Hørte myndigheder, organisationer m.v.</w:t>
      </w:r>
      <w:bookmarkEnd w:id="7"/>
    </w:p>
    <w:p w14:paraId="327B5425"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Nedenfor følger en alfabetisk oversigt over hørte myndigheder, organisationer m.v. </w:t>
      </w:r>
    </w:p>
    <w:p w14:paraId="2702F658" w14:textId="2EA6201B" w:rsidR="0019641B" w:rsidRDefault="008A30C6" w:rsidP="008A30C6">
      <w:pPr>
        <w:rPr>
          <w:rFonts w:ascii="Georgia" w:eastAsia="Times New Roman" w:hAnsi="Georgia"/>
          <w:color w:val="auto"/>
        </w:rPr>
      </w:pPr>
      <w:r w:rsidRPr="008A30C6">
        <w:rPr>
          <w:rFonts w:ascii="Georgia" w:eastAsia="Times New Roman" w:hAnsi="Georgia"/>
          <w:color w:val="auto"/>
        </w:rPr>
        <w:t xml:space="preserve">Ud for hver høringspart er det ved afkrydsning angivet, om der er modtaget høringssvar, og om høringsparten i givet fald havde bemærkninger til udkastet til lovforslag. Det bemærkes, at oversigten er tilpasset i forlængelse af enkelte høringsparters orientering om navneskift, således at høringsparternes nye navne indgår. </w:t>
      </w:r>
    </w:p>
    <w:p w14:paraId="20599FF8" w14:textId="0B37A350" w:rsidR="003F43B5" w:rsidRPr="0019641B" w:rsidRDefault="00307073" w:rsidP="008A30C6">
      <w:pPr>
        <w:rPr>
          <w:rFonts w:ascii="Georgia" w:eastAsia="Times New Roman" w:hAnsi="Georgia"/>
          <w:color w:val="auto"/>
        </w:rPr>
      </w:pPr>
      <w:r>
        <w:rPr>
          <w:rFonts w:ascii="Georgia" w:eastAsia="Times New Roman" w:hAnsi="Georgia"/>
          <w:color w:val="auto"/>
        </w:rPr>
        <w:t xml:space="preserve">Foruden de af Transportministeriet hørte parter har </w:t>
      </w:r>
      <w:proofErr w:type="spellStart"/>
      <w:r>
        <w:rPr>
          <w:rFonts w:ascii="Georgia" w:eastAsia="Times New Roman" w:hAnsi="Georgia"/>
          <w:color w:val="auto"/>
        </w:rPr>
        <w:t>Vágar</w:t>
      </w:r>
      <w:proofErr w:type="spellEnd"/>
      <w:r>
        <w:rPr>
          <w:rFonts w:ascii="Georgia" w:eastAsia="Times New Roman" w:hAnsi="Georgia"/>
          <w:color w:val="auto"/>
        </w:rPr>
        <w:t xml:space="preserve"> Lufthavn afgivet høringssvar via Færøernes Hjemmestyre. </w:t>
      </w:r>
    </w:p>
    <w:tbl>
      <w:tblPr>
        <w:tblStyle w:val="Tabel-Gitter"/>
        <w:tblW w:w="0" w:type="auto"/>
        <w:tblInd w:w="-5" w:type="dxa"/>
        <w:tblLook w:val="04A0" w:firstRow="1" w:lastRow="0" w:firstColumn="1" w:lastColumn="0" w:noHBand="0" w:noVBand="1"/>
      </w:tblPr>
      <w:tblGrid>
        <w:gridCol w:w="1162"/>
        <w:gridCol w:w="1248"/>
        <w:gridCol w:w="1134"/>
        <w:gridCol w:w="1276"/>
        <w:gridCol w:w="1411"/>
      </w:tblGrid>
      <w:tr w:rsidR="005D330E" w:rsidRPr="0019641B" w14:paraId="236F882B" w14:textId="77777777" w:rsidTr="00B61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14:paraId="37B15BF8" w14:textId="77777777" w:rsidR="005D330E" w:rsidRPr="0019641B" w:rsidRDefault="005D330E" w:rsidP="0019641B">
            <w:pPr>
              <w:rPr>
                <w:rFonts w:eastAsia="Times New Roman"/>
                <w:b/>
                <w:color w:val="auto"/>
              </w:rPr>
            </w:pPr>
            <w:r w:rsidRPr="0019641B">
              <w:rPr>
                <w:rFonts w:eastAsia="Times New Roman"/>
                <w:b/>
                <w:color w:val="auto"/>
              </w:rPr>
              <w:t>Høringspart</w:t>
            </w:r>
          </w:p>
        </w:tc>
        <w:tc>
          <w:tcPr>
            <w:tcW w:w="1248" w:type="dxa"/>
          </w:tcPr>
          <w:p w14:paraId="65665C37" w14:textId="647C47BD" w:rsidR="005D330E" w:rsidRPr="0019641B" w:rsidRDefault="005D330E"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Høringssvar modtaget</w:t>
            </w:r>
          </w:p>
        </w:tc>
        <w:tc>
          <w:tcPr>
            <w:tcW w:w="1134" w:type="dxa"/>
          </w:tcPr>
          <w:p w14:paraId="20DA8185" w14:textId="3B438450" w:rsidR="005D330E" w:rsidRPr="0019641B" w:rsidRDefault="005D330E"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Bemærkninger</w:t>
            </w:r>
          </w:p>
        </w:tc>
        <w:tc>
          <w:tcPr>
            <w:tcW w:w="1276" w:type="dxa"/>
          </w:tcPr>
          <w:p w14:paraId="77FDA0E4" w14:textId="77B6D25A" w:rsidR="005D330E" w:rsidRPr="0019641B" w:rsidRDefault="005D330E"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Ingen bemærkninger</w:t>
            </w:r>
          </w:p>
        </w:tc>
        <w:tc>
          <w:tcPr>
            <w:tcW w:w="1411" w:type="dxa"/>
          </w:tcPr>
          <w:p w14:paraId="2B096B8B" w14:textId="4E1D688B" w:rsidR="005D330E" w:rsidRPr="0019641B" w:rsidRDefault="005D330E"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Ønsker ikke at afgive høringssvar</w:t>
            </w:r>
          </w:p>
        </w:tc>
      </w:tr>
      <w:tr w:rsidR="005D330E" w:rsidRPr="005D330E" w14:paraId="578C2474" w14:textId="03B36872"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9E9C089" w14:textId="77777777" w:rsidR="005D330E" w:rsidRPr="005D330E" w:rsidRDefault="005D330E" w:rsidP="005D330E">
            <w:pPr>
              <w:rPr>
                <w:rFonts w:eastAsia="Times New Roman"/>
                <w:color w:val="auto"/>
                <w:lang w:eastAsia="en-US"/>
              </w:rPr>
            </w:pPr>
            <w:proofErr w:type="spellStart"/>
            <w:r w:rsidRPr="005D330E">
              <w:rPr>
                <w:rFonts w:eastAsia="Times New Roman"/>
                <w:color w:val="auto"/>
                <w:lang w:eastAsia="en-US"/>
              </w:rPr>
              <w:t>AdvoNordic</w:t>
            </w:r>
            <w:proofErr w:type="spellEnd"/>
            <w:r w:rsidRPr="005D330E">
              <w:rPr>
                <w:rFonts w:eastAsia="Times New Roman"/>
                <w:color w:val="auto"/>
                <w:lang w:eastAsia="en-US"/>
              </w:rPr>
              <w:t xml:space="preserve"> Advokatfirma</w:t>
            </w:r>
          </w:p>
        </w:tc>
        <w:tc>
          <w:tcPr>
            <w:tcW w:w="1248" w:type="dxa"/>
            <w:tcBorders>
              <w:top w:val="single" w:sz="4" w:space="0" w:color="auto"/>
              <w:left w:val="single" w:sz="4" w:space="0" w:color="auto"/>
              <w:bottom w:val="single" w:sz="4" w:space="0" w:color="auto"/>
              <w:right w:val="single" w:sz="4" w:space="0" w:color="auto"/>
            </w:tcBorders>
          </w:tcPr>
          <w:p w14:paraId="67085B4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D80B7D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4F3A361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4BA8F3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0582D435" w14:textId="54160F58"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65F6A6E" w14:textId="77777777" w:rsidR="005D330E" w:rsidRPr="005D330E" w:rsidRDefault="005D330E" w:rsidP="005D330E">
            <w:pPr>
              <w:rPr>
                <w:rFonts w:eastAsia="Times New Roman"/>
                <w:color w:val="auto"/>
                <w:lang w:eastAsia="en-US"/>
              </w:rPr>
            </w:pPr>
            <w:r w:rsidRPr="005D330E">
              <w:rPr>
                <w:rFonts w:eastAsia="Times New Roman"/>
                <w:color w:val="auto"/>
                <w:lang w:eastAsia="en-US"/>
              </w:rPr>
              <w:t>Air Greenland A/S</w:t>
            </w:r>
          </w:p>
        </w:tc>
        <w:tc>
          <w:tcPr>
            <w:tcW w:w="1248" w:type="dxa"/>
            <w:tcBorders>
              <w:top w:val="single" w:sz="4" w:space="0" w:color="auto"/>
              <w:left w:val="single" w:sz="4" w:space="0" w:color="auto"/>
              <w:bottom w:val="single" w:sz="4" w:space="0" w:color="auto"/>
              <w:right w:val="single" w:sz="4" w:space="0" w:color="auto"/>
            </w:tcBorders>
          </w:tcPr>
          <w:p w14:paraId="5AFBA79F" w14:textId="63DD1696" w:rsidR="005D330E" w:rsidRPr="005D330E" w:rsidRDefault="002A1483" w:rsidP="002A148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6E4AC1C4" w14:textId="33B853D5" w:rsidR="005D330E" w:rsidRPr="005D330E" w:rsidRDefault="002A1483" w:rsidP="002A148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276" w:type="dxa"/>
            <w:tcBorders>
              <w:top w:val="single" w:sz="4" w:space="0" w:color="auto"/>
              <w:left w:val="single" w:sz="4" w:space="0" w:color="auto"/>
              <w:bottom w:val="single" w:sz="4" w:space="0" w:color="auto"/>
              <w:right w:val="single" w:sz="4" w:space="0" w:color="auto"/>
            </w:tcBorders>
          </w:tcPr>
          <w:p w14:paraId="391E25C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D578A4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8A17B15" w14:textId="52614B97"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0713AB5B" w14:textId="77777777" w:rsidR="005D330E" w:rsidRPr="005D330E" w:rsidRDefault="005D330E" w:rsidP="005D330E">
            <w:pPr>
              <w:rPr>
                <w:rFonts w:eastAsia="Times New Roman"/>
                <w:color w:val="auto"/>
                <w:lang w:eastAsia="en-US"/>
              </w:rPr>
            </w:pPr>
            <w:r w:rsidRPr="005D330E">
              <w:rPr>
                <w:rFonts w:eastAsia="Times New Roman"/>
                <w:color w:val="auto"/>
                <w:lang w:eastAsia="en-US"/>
              </w:rPr>
              <w:t>AOPA DMU</w:t>
            </w:r>
          </w:p>
        </w:tc>
        <w:tc>
          <w:tcPr>
            <w:tcW w:w="1248" w:type="dxa"/>
            <w:tcBorders>
              <w:top w:val="single" w:sz="4" w:space="0" w:color="auto"/>
              <w:left w:val="single" w:sz="4" w:space="0" w:color="auto"/>
              <w:bottom w:val="single" w:sz="4" w:space="0" w:color="auto"/>
              <w:right w:val="single" w:sz="4" w:space="0" w:color="auto"/>
            </w:tcBorders>
          </w:tcPr>
          <w:p w14:paraId="3F6FB64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96DCEB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BB5EBC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99DD2D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EF1965A" w14:textId="36AF87E2"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05FB90E0" w14:textId="77777777" w:rsidR="005D330E" w:rsidRPr="005D330E" w:rsidRDefault="005D330E" w:rsidP="005D330E">
            <w:pPr>
              <w:rPr>
                <w:rFonts w:eastAsia="Times New Roman"/>
                <w:color w:val="auto"/>
                <w:lang w:eastAsia="en-US"/>
              </w:rPr>
            </w:pPr>
            <w:r w:rsidRPr="005D330E">
              <w:rPr>
                <w:rFonts w:eastAsia="Times New Roman"/>
                <w:color w:val="auto"/>
                <w:lang w:eastAsia="en-US"/>
              </w:rPr>
              <w:lastRenderedPageBreak/>
              <w:t>Arbejderbevægelsens Erhvervsråd</w:t>
            </w:r>
          </w:p>
        </w:tc>
        <w:tc>
          <w:tcPr>
            <w:tcW w:w="1248" w:type="dxa"/>
            <w:tcBorders>
              <w:top w:val="single" w:sz="4" w:space="0" w:color="auto"/>
              <w:left w:val="single" w:sz="4" w:space="0" w:color="auto"/>
              <w:bottom w:val="single" w:sz="4" w:space="0" w:color="auto"/>
              <w:right w:val="single" w:sz="4" w:space="0" w:color="auto"/>
            </w:tcBorders>
          </w:tcPr>
          <w:p w14:paraId="25B6844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39D88F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6D6353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06FCBF0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A8DA3D9" w14:textId="2939EFF3"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521BE48" w14:textId="77777777" w:rsidR="005D330E" w:rsidRPr="005D330E" w:rsidRDefault="005D330E" w:rsidP="005D330E">
            <w:pPr>
              <w:rPr>
                <w:rFonts w:eastAsia="Times New Roman"/>
                <w:color w:val="auto"/>
                <w:lang w:eastAsia="en-US"/>
              </w:rPr>
            </w:pPr>
            <w:r w:rsidRPr="005D330E">
              <w:rPr>
                <w:rFonts w:eastAsia="Times New Roman"/>
                <w:color w:val="auto"/>
                <w:lang w:eastAsia="en-US"/>
              </w:rPr>
              <w:t>Arbejdsmiljørådet for Luftfart</w:t>
            </w:r>
          </w:p>
        </w:tc>
        <w:tc>
          <w:tcPr>
            <w:tcW w:w="1248" w:type="dxa"/>
            <w:tcBorders>
              <w:top w:val="single" w:sz="4" w:space="0" w:color="auto"/>
              <w:left w:val="single" w:sz="4" w:space="0" w:color="auto"/>
              <w:bottom w:val="single" w:sz="4" w:space="0" w:color="auto"/>
              <w:right w:val="single" w:sz="4" w:space="0" w:color="auto"/>
            </w:tcBorders>
          </w:tcPr>
          <w:p w14:paraId="1D2C872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C31767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7B7536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EB706C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3435E0F" w14:textId="3E8C07C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56D3B7EA" w14:textId="77777777" w:rsidR="005D330E" w:rsidRPr="005D330E" w:rsidRDefault="005D330E" w:rsidP="005D330E">
            <w:pPr>
              <w:rPr>
                <w:rFonts w:eastAsia="Times New Roman"/>
                <w:color w:val="auto"/>
                <w:lang w:eastAsia="en-US"/>
              </w:rPr>
            </w:pPr>
            <w:r w:rsidRPr="005D330E">
              <w:rPr>
                <w:rFonts w:eastAsia="Times New Roman"/>
                <w:color w:val="auto"/>
                <w:lang w:eastAsia="en-US"/>
              </w:rPr>
              <w:t>Arriva Danmark A/S</w:t>
            </w:r>
          </w:p>
        </w:tc>
        <w:tc>
          <w:tcPr>
            <w:tcW w:w="1248" w:type="dxa"/>
            <w:tcBorders>
              <w:top w:val="single" w:sz="4" w:space="0" w:color="auto"/>
              <w:left w:val="single" w:sz="4" w:space="0" w:color="auto"/>
              <w:bottom w:val="single" w:sz="4" w:space="0" w:color="auto"/>
              <w:right w:val="single" w:sz="4" w:space="0" w:color="auto"/>
            </w:tcBorders>
          </w:tcPr>
          <w:p w14:paraId="1B4E50A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17F13E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A0E45D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D12AD4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253CB4A0" w14:textId="708DD2FB"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1A7C14F5" w14:textId="77777777" w:rsidR="005D330E" w:rsidRPr="005D330E" w:rsidRDefault="005D330E" w:rsidP="005D330E">
            <w:pPr>
              <w:rPr>
                <w:rFonts w:eastAsia="Times New Roman"/>
                <w:color w:val="auto"/>
                <w:lang w:eastAsia="en-US"/>
              </w:rPr>
            </w:pPr>
            <w:r w:rsidRPr="005D330E">
              <w:rPr>
                <w:rFonts w:eastAsia="Times New Roman"/>
                <w:color w:val="auto"/>
                <w:lang w:eastAsia="en-US"/>
              </w:rPr>
              <w:t>ATAX Arbejdsgiverforening for persontransport</w:t>
            </w:r>
          </w:p>
        </w:tc>
        <w:tc>
          <w:tcPr>
            <w:tcW w:w="1248" w:type="dxa"/>
            <w:tcBorders>
              <w:top w:val="single" w:sz="4" w:space="0" w:color="auto"/>
              <w:left w:val="single" w:sz="4" w:space="0" w:color="auto"/>
              <w:bottom w:val="single" w:sz="4" w:space="0" w:color="auto"/>
              <w:right w:val="single" w:sz="4" w:space="0" w:color="auto"/>
            </w:tcBorders>
          </w:tcPr>
          <w:p w14:paraId="16F7D86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265FC5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8C5329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0BE3D9C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69D457B" w14:textId="3F256A4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24EA2BC1" w14:textId="77777777" w:rsidR="005D330E" w:rsidRPr="005D330E" w:rsidRDefault="005D330E" w:rsidP="005D330E">
            <w:pPr>
              <w:rPr>
                <w:rFonts w:eastAsia="Times New Roman"/>
                <w:color w:val="auto"/>
                <w:lang w:eastAsia="en-US"/>
              </w:rPr>
            </w:pPr>
            <w:r w:rsidRPr="005D330E">
              <w:rPr>
                <w:rFonts w:eastAsia="Times New Roman"/>
                <w:color w:val="auto"/>
                <w:lang w:eastAsia="en-US"/>
              </w:rPr>
              <w:t>Atlantic Airways A/S</w:t>
            </w:r>
          </w:p>
        </w:tc>
        <w:tc>
          <w:tcPr>
            <w:tcW w:w="1248" w:type="dxa"/>
            <w:tcBorders>
              <w:top w:val="single" w:sz="4" w:space="0" w:color="auto"/>
              <w:left w:val="single" w:sz="4" w:space="0" w:color="auto"/>
              <w:bottom w:val="single" w:sz="4" w:space="0" w:color="auto"/>
              <w:right w:val="single" w:sz="4" w:space="0" w:color="auto"/>
            </w:tcBorders>
          </w:tcPr>
          <w:p w14:paraId="48C4000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92BEE0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E4DB2D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969E86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25773A60" w14:textId="0F047D86"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A7F6CA2" w14:textId="77777777" w:rsidR="005D330E" w:rsidRPr="005D330E" w:rsidRDefault="005D330E" w:rsidP="005D330E">
            <w:pPr>
              <w:rPr>
                <w:rFonts w:eastAsia="Times New Roman"/>
                <w:color w:val="auto"/>
                <w:lang w:eastAsia="en-US"/>
              </w:rPr>
            </w:pPr>
            <w:r w:rsidRPr="005D330E">
              <w:rPr>
                <w:rFonts w:eastAsia="Times New Roman"/>
                <w:color w:val="auto"/>
                <w:lang w:eastAsia="en-US"/>
              </w:rPr>
              <w:t>ATP</w:t>
            </w:r>
          </w:p>
        </w:tc>
        <w:tc>
          <w:tcPr>
            <w:tcW w:w="1248" w:type="dxa"/>
            <w:tcBorders>
              <w:top w:val="single" w:sz="4" w:space="0" w:color="auto"/>
              <w:left w:val="single" w:sz="4" w:space="0" w:color="auto"/>
              <w:bottom w:val="single" w:sz="4" w:space="0" w:color="auto"/>
              <w:right w:val="single" w:sz="4" w:space="0" w:color="auto"/>
            </w:tcBorders>
          </w:tcPr>
          <w:p w14:paraId="026A865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7C76B6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286A36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A503E9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3108EED" w14:textId="337D260E"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tcPr>
          <w:p w14:paraId="6A073F34" w14:textId="77777777" w:rsidR="005D330E" w:rsidRPr="005D330E" w:rsidRDefault="005D330E" w:rsidP="005D330E">
            <w:pPr>
              <w:rPr>
                <w:rFonts w:eastAsia="Times New Roman"/>
                <w:color w:val="auto"/>
                <w:lang w:eastAsia="en-US"/>
              </w:rPr>
            </w:pPr>
            <w:r w:rsidRPr="005D330E">
              <w:rPr>
                <w:rFonts w:eastAsia="Times New Roman"/>
                <w:color w:val="auto"/>
                <w:lang w:eastAsia="en-US"/>
              </w:rPr>
              <w:t>ATP-ejendomme</w:t>
            </w:r>
          </w:p>
        </w:tc>
        <w:tc>
          <w:tcPr>
            <w:tcW w:w="1248" w:type="dxa"/>
            <w:tcBorders>
              <w:top w:val="single" w:sz="4" w:space="0" w:color="auto"/>
              <w:left w:val="single" w:sz="4" w:space="0" w:color="auto"/>
              <w:bottom w:val="single" w:sz="4" w:space="0" w:color="auto"/>
              <w:right w:val="single" w:sz="4" w:space="0" w:color="auto"/>
            </w:tcBorders>
          </w:tcPr>
          <w:p w14:paraId="5CF73C4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DFFB88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8D837E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329B7B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7F0E333" w14:textId="527985AD"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D47D631" w14:textId="77777777" w:rsidR="005D330E" w:rsidRPr="005D330E" w:rsidRDefault="005D330E" w:rsidP="005D330E">
            <w:pPr>
              <w:rPr>
                <w:rFonts w:eastAsia="Times New Roman"/>
                <w:color w:val="auto"/>
                <w:lang w:eastAsia="en-US"/>
              </w:rPr>
            </w:pPr>
            <w:r w:rsidRPr="005D330E">
              <w:rPr>
                <w:rFonts w:eastAsia="Times New Roman"/>
                <w:color w:val="auto"/>
                <w:lang w:eastAsia="en-US"/>
              </w:rPr>
              <w:t>Billund Lufthavn</w:t>
            </w:r>
          </w:p>
        </w:tc>
        <w:tc>
          <w:tcPr>
            <w:tcW w:w="1248" w:type="dxa"/>
            <w:tcBorders>
              <w:top w:val="single" w:sz="4" w:space="0" w:color="auto"/>
              <w:left w:val="single" w:sz="4" w:space="0" w:color="auto"/>
              <w:bottom w:val="single" w:sz="4" w:space="0" w:color="auto"/>
              <w:right w:val="single" w:sz="4" w:space="0" w:color="auto"/>
            </w:tcBorders>
          </w:tcPr>
          <w:p w14:paraId="1EA1692C" w14:textId="2868380F" w:rsidR="005D330E" w:rsidRPr="005D330E" w:rsidRDefault="008D2628" w:rsidP="008D2628">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19A332A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2457F82" w14:textId="413B6347" w:rsidR="005D330E" w:rsidRPr="005D330E" w:rsidRDefault="008D2628" w:rsidP="008D2628">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411" w:type="dxa"/>
            <w:tcBorders>
              <w:top w:val="single" w:sz="4" w:space="0" w:color="auto"/>
              <w:left w:val="single" w:sz="4" w:space="0" w:color="auto"/>
              <w:bottom w:val="single" w:sz="4" w:space="0" w:color="auto"/>
              <w:right w:val="single" w:sz="4" w:space="0" w:color="auto"/>
            </w:tcBorders>
          </w:tcPr>
          <w:p w14:paraId="1B0A1F6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0A01ECA" w14:textId="6E639F49"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F490DB8" w14:textId="77777777" w:rsidR="005D330E" w:rsidRPr="005D330E" w:rsidRDefault="005D330E" w:rsidP="005D330E">
            <w:pPr>
              <w:rPr>
                <w:rFonts w:eastAsia="Times New Roman"/>
                <w:color w:val="auto"/>
                <w:lang w:eastAsia="en-US"/>
              </w:rPr>
            </w:pPr>
            <w:r w:rsidRPr="005D330E">
              <w:rPr>
                <w:rFonts w:eastAsia="Times New Roman"/>
                <w:color w:val="auto"/>
                <w:lang w:eastAsia="en-US"/>
              </w:rPr>
              <w:t>Brancheforeningen Dansk Luftfart</w:t>
            </w:r>
          </w:p>
        </w:tc>
        <w:tc>
          <w:tcPr>
            <w:tcW w:w="1248" w:type="dxa"/>
            <w:tcBorders>
              <w:top w:val="single" w:sz="4" w:space="0" w:color="auto"/>
              <w:left w:val="single" w:sz="4" w:space="0" w:color="auto"/>
              <w:bottom w:val="single" w:sz="4" w:space="0" w:color="auto"/>
              <w:right w:val="single" w:sz="4" w:space="0" w:color="auto"/>
            </w:tcBorders>
          </w:tcPr>
          <w:p w14:paraId="619955F4" w14:textId="2ABF36F5" w:rsidR="005D330E" w:rsidRPr="005D330E" w:rsidRDefault="0045753E" w:rsidP="0045753E">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75DABCE5" w14:textId="37AD97AE" w:rsidR="005D330E" w:rsidRPr="005D330E" w:rsidRDefault="00BB4BCC" w:rsidP="00BB4BCC">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276" w:type="dxa"/>
            <w:tcBorders>
              <w:top w:val="single" w:sz="4" w:space="0" w:color="auto"/>
              <w:left w:val="single" w:sz="4" w:space="0" w:color="auto"/>
              <w:bottom w:val="single" w:sz="4" w:space="0" w:color="auto"/>
              <w:right w:val="single" w:sz="4" w:space="0" w:color="auto"/>
            </w:tcBorders>
          </w:tcPr>
          <w:p w14:paraId="6D52383B" w14:textId="6DE85C77" w:rsidR="005D330E" w:rsidRPr="005D330E" w:rsidRDefault="005D330E" w:rsidP="0045753E">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EE2B0C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6A74856" w14:textId="59A576EC"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29CA0825" w14:textId="77777777" w:rsidR="005D330E" w:rsidRPr="005D330E" w:rsidRDefault="005D330E" w:rsidP="005D330E">
            <w:pPr>
              <w:rPr>
                <w:rFonts w:eastAsia="Times New Roman"/>
                <w:color w:val="auto"/>
                <w:lang w:eastAsia="en-US"/>
              </w:rPr>
            </w:pPr>
            <w:r w:rsidRPr="005D330E">
              <w:rPr>
                <w:rFonts w:eastAsia="Times New Roman"/>
                <w:color w:val="auto"/>
                <w:lang w:eastAsia="en-US"/>
              </w:rPr>
              <w:t>Brintbranchen</w:t>
            </w:r>
          </w:p>
        </w:tc>
        <w:tc>
          <w:tcPr>
            <w:tcW w:w="1248" w:type="dxa"/>
            <w:tcBorders>
              <w:top w:val="single" w:sz="4" w:space="0" w:color="auto"/>
              <w:left w:val="single" w:sz="4" w:space="0" w:color="auto"/>
              <w:bottom w:val="single" w:sz="4" w:space="0" w:color="auto"/>
              <w:right w:val="single" w:sz="4" w:space="0" w:color="auto"/>
            </w:tcBorders>
          </w:tcPr>
          <w:p w14:paraId="13D389C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A80019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D609A8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BD01C7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75CF159E" w14:textId="39E0EE2D"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A8EDD5E" w14:textId="77777777" w:rsidR="005D330E" w:rsidRPr="005D330E" w:rsidRDefault="005D330E" w:rsidP="005D330E">
            <w:pPr>
              <w:rPr>
                <w:rFonts w:eastAsia="Times New Roman"/>
                <w:color w:val="auto"/>
                <w:lang w:eastAsia="en-US"/>
              </w:rPr>
            </w:pPr>
            <w:proofErr w:type="spellStart"/>
            <w:r w:rsidRPr="005D330E">
              <w:rPr>
                <w:rFonts w:eastAsia="Times New Roman"/>
                <w:color w:val="auto"/>
                <w:lang w:eastAsia="en-US"/>
              </w:rPr>
              <w:lastRenderedPageBreak/>
              <w:t>Cabin</w:t>
            </w:r>
            <w:proofErr w:type="spellEnd"/>
            <w:r w:rsidRPr="005D330E">
              <w:rPr>
                <w:rFonts w:eastAsia="Times New Roman"/>
                <w:color w:val="auto"/>
                <w:lang w:eastAsia="en-US"/>
              </w:rPr>
              <w:t xml:space="preserve"> </w:t>
            </w:r>
            <w:proofErr w:type="spellStart"/>
            <w:r w:rsidRPr="005D330E">
              <w:rPr>
                <w:rFonts w:eastAsia="Times New Roman"/>
                <w:color w:val="auto"/>
                <w:lang w:eastAsia="en-US"/>
              </w:rPr>
              <w:t>Attendants</w:t>
            </w:r>
            <w:proofErr w:type="spellEnd"/>
            <w:r w:rsidRPr="005D330E">
              <w:rPr>
                <w:rFonts w:eastAsia="Times New Roman"/>
                <w:color w:val="auto"/>
                <w:lang w:eastAsia="en-US"/>
              </w:rPr>
              <w:t xml:space="preserve"> Union</w:t>
            </w:r>
          </w:p>
        </w:tc>
        <w:tc>
          <w:tcPr>
            <w:tcW w:w="1248" w:type="dxa"/>
            <w:tcBorders>
              <w:top w:val="single" w:sz="4" w:space="0" w:color="auto"/>
              <w:left w:val="single" w:sz="4" w:space="0" w:color="auto"/>
              <w:bottom w:val="single" w:sz="4" w:space="0" w:color="auto"/>
              <w:right w:val="single" w:sz="4" w:space="0" w:color="auto"/>
            </w:tcBorders>
          </w:tcPr>
          <w:p w14:paraId="26DF1ED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65E399F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651463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051E123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768AD846" w14:textId="6DAE522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247D50A0" w14:textId="77777777" w:rsidR="005D330E" w:rsidRPr="005D330E" w:rsidRDefault="005D330E" w:rsidP="005D330E">
            <w:pPr>
              <w:rPr>
                <w:rFonts w:eastAsia="Times New Roman"/>
                <w:color w:val="auto"/>
                <w:lang w:eastAsia="en-US"/>
              </w:rPr>
            </w:pPr>
            <w:r w:rsidRPr="005D330E">
              <w:rPr>
                <w:rFonts w:eastAsia="Times New Roman"/>
                <w:color w:val="auto"/>
                <w:lang w:eastAsia="en-US"/>
              </w:rPr>
              <w:t>Centralorganisationernes Fællesudvalg (CFU)</w:t>
            </w:r>
          </w:p>
        </w:tc>
        <w:tc>
          <w:tcPr>
            <w:tcW w:w="1248" w:type="dxa"/>
            <w:tcBorders>
              <w:top w:val="single" w:sz="4" w:space="0" w:color="auto"/>
              <w:left w:val="single" w:sz="4" w:space="0" w:color="auto"/>
              <w:bottom w:val="single" w:sz="4" w:space="0" w:color="auto"/>
              <w:right w:val="single" w:sz="4" w:space="0" w:color="auto"/>
            </w:tcBorders>
          </w:tcPr>
          <w:p w14:paraId="6FA6CF40" w14:textId="37B445FD" w:rsidR="005D330E" w:rsidRPr="005D330E" w:rsidRDefault="00B6130D" w:rsidP="00B613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208B51E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60B57A7" w14:textId="51F3D359" w:rsidR="005D330E" w:rsidRPr="005D330E" w:rsidRDefault="00B6130D" w:rsidP="00B613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411" w:type="dxa"/>
            <w:tcBorders>
              <w:top w:val="single" w:sz="4" w:space="0" w:color="auto"/>
              <w:left w:val="single" w:sz="4" w:space="0" w:color="auto"/>
              <w:bottom w:val="single" w:sz="4" w:space="0" w:color="auto"/>
              <w:right w:val="single" w:sz="4" w:space="0" w:color="auto"/>
            </w:tcBorders>
          </w:tcPr>
          <w:p w14:paraId="539176A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288F5E04" w14:textId="0E81ED91"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797E094" w14:textId="77777777" w:rsidR="005D330E" w:rsidRPr="005D330E" w:rsidRDefault="005D330E" w:rsidP="005D330E">
            <w:pPr>
              <w:rPr>
                <w:rFonts w:eastAsia="Times New Roman"/>
                <w:color w:val="auto"/>
                <w:lang w:eastAsia="en-US"/>
              </w:rPr>
            </w:pPr>
            <w:r w:rsidRPr="005D330E">
              <w:rPr>
                <w:rFonts w:eastAsia="Times New Roman"/>
                <w:color w:val="auto"/>
                <w:lang w:eastAsia="en-US"/>
              </w:rPr>
              <w:t>CFL Cargo Danmark ApS</w:t>
            </w:r>
          </w:p>
        </w:tc>
        <w:tc>
          <w:tcPr>
            <w:tcW w:w="1248" w:type="dxa"/>
            <w:tcBorders>
              <w:top w:val="single" w:sz="4" w:space="0" w:color="auto"/>
              <w:left w:val="single" w:sz="4" w:space="0" w:color="auto"/>
              <w:bottom w:val="single" w:sz="4" w:space="0" w:color="auto"/>
              <w:right w:val="single" w:sz="4" w:space="0" w:color="auto"/>
            </w:tcBorders>
          </w:tcPr>
          <w:p w14:paraId="0ABA21A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0BF644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38EDEF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98381A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E5A6292" w14:textId="3512DE48"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1F168789" w14:textId="77777777" w:rsidR="005D330E" w:rsidRPr="005D330E" w:rsidRDefault="005D330E" w:rsidP="005D330E">
            <w:pPr>
              <w:rPr>
                <w:rFonts w:eastAsia="Times New Roman"/>
                <w:color w:val="auto"/>
                <w:lang w:eastAsia="en-US"/>
              </w:rPr>
            </w:pPr>
            <w:proofErr w:type="spellStart"/>
            <w:r w:rsidRPr="005D330E">
              <w:rPr>
                <w:rFonts w:eastAsia="Times New Roman"/>
                <w:color w:val="auto"/>
                <w:lang w:eastAsia="en-US"/>
              </w:rPr>
              <w:t>Concito</w:t>
            </w:r>
            <w:proofErr w:type="spellEnd"/>
          </w:p>
        </w:tc>
        <w:tc>
          <w:tcPr>
            <w:tcW w:w="1248" w:type="dxa"/>
            <w:tcBorders>
              <w:top w:val="single" w:sz="4" w:space="0" w:color="auto"/>
              <w:left w:val="single" w:sz="4" w:space="0" w:color="auto"/>
              <w:bottom w:val="single" w:sz="4" w:space="0" w:color="auto"/>
              <w:right w:val="single" w:sz="4" w:space="0" w:color="auto"/>
            </w:tcBorders>
          </w:tcPr>
          <w:p w14:paraId="0EF97B0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8B27D9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920C4A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FE6437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88B9202" w14:textId="2FB7789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2C843FAD" w14:textId="77777777" w:rsidR="005D330E" w:rsidRPr="005D330E" w:rsidRDefault="005D330E" w:rsidP="005D330E">
            <w:pPr>
              <w:rPr>
                <w:rFonts w:eastAsia="Times New Roman"/>
                <w:color w:val="auto"/>
                <w:lang w:eastAsia="en-US"/>
              </w:rPr>
            </w:pPr>
            <w:r w:rsidRPr="005D330E">
              <w:rPr>
                <w:rFonts w:eastAsia="Times New Roman"/>
                <w:color w:val="auto"/>
                <w:lang w:eastAsia="en-US"/>
              </w:rPr>
              <w:t>COWI</w:t>
            </w:r>
          </w:p>
        </w:tc>
        <w:tc>
          <w:tcPr>
            <w:tcW w:w="1248" w:type="dxa"/>
            <w:tcBorders>
              <w:top w:val="single" w:sz="4" w:space="0" w:color="auto"/>
              <w:left w:val="single" w:sz="4" w:space="0" w:color="auto"/>
              <w:bottom w:val="single" w:sz="4" w:space="0" w:color="auto"/>
              <w:right w:val="single" w:sz="4" w:space="0" w:color="auto"/>
            </w:tcBorders>
          </w:tcPr>
          <w:p w14:paraId="0BB3495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585F0C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F98DD4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C98EC9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7329029C" w14:textId="01B9A3F2"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D6D3F7A" w14:textId="77777777" w:rsidR="005D330E" w:rsidRPr="005D330E" w:rsidRDefault="005D330E" w:rsidP="005D330E">
            <w:pPr>
              <w:rPr>
                <w:rFonts w:eastAsia="Times New Roman"/>
                <w:color w:val="auto"/>
                <w:lang w:eastAsia="en-US"/>
              </w:rPr>
            </w:pPr>
            <w:proofErr w:type="spellStart"/>
            <w:r w:rsidRPr="005D330E">
              <w:rPr>
                <w:rFonts w:eastAsia="Times New Roman"/>
                <w:color w:val="auto"/>
                <w:lang w:eastAsia="en-US"/>
              </w:rPr>
              <w:t>Dalpa</w:t>
            </w:r>
            <w:proofErr w:type="spellEnd"/>
          </w:p>
        </w:tc>
        <w:tc>
          <w:tcPr>
            <w:tcW w:w="1248" w:type="dxa"/>
            <w:tcBorders>
              <w:top w:val="single" w:sz="4" w:space="0" w:color="auto"/>
              <w:left w:val="single" w:sz="4" w:space="0" w:color="auto"/>
              <w:bottom w:val="single" w:sz="4" w:space="0" w:color="auto"/>
              <w:right w:val="single" w:sz="4" w:space="0" w:color="auto"/>
            </w:tcBorders>
          </w:tcPr>
          <w:p w14:paraId="29BBDAE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B932CF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EB493D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49D31FC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0B15CEC9" w14:textId="4376FD39"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07560BF8"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Danmarks Meteorologiske Institut</w:t>
            </w:r>
          </w:p>
        </w:tc>
        <w:tc>
          <w:tcPr>
            <w:tcW w:w="1248" w:type="dxa"/>
            <w:tcBorders>
              <w:top w:val="single" w:sz="4" w:space="0" w:color="auto"/>
              <w:left w:val="single" w:sz="4" w:space="0" w:color="auto"/>
              <w:bottom w:val="single" w:sz="4" w:space="0" w:color="auto"/>
              <w:right w:val="single" w:sz="4" w:space="0" w:color="auto"/>
            </w:tcBorders>
          </w:tcPr>
          <w:p w14:paraId="17FCB6D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2D8F11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5A1073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46DD3BB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62869A0" w14:textId="3048A45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5EAAB681"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Danmarks Rejsebureau Forening</w:t>
            </w:r>
          </w:p>
        </w:tc>
        <w:tc>
          <w:tcPr>
            <w:tcW w:w="1248" w:type="dxa"/>
            <w:tcBorders>
              <w:top w:val="single" w:sz="4" w:space="0" w:color="auto"/>
              <w:left w:val="single" w:sz="4" w:space="0" w:color="auto"/>
              <w:bottom w:val="single" w:sz="4" w:space="0" w:color="auto"/>
              <w:right w:val="single" w:sz="4" w:space="0" w:color="auto"/>
            </w:tcBorders>
          </w:tcPr>
          <w:p w14:paraId="3AD9707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6AE2EA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423C635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DD459D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0915400" w14:textId="06868F1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6768F524"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Danmarks Statistik</w:t>
            </w:r>
          </w:p>
        </w:tc>
        <w:tc>
          <w:tcPr>
            <w:tcW w:w="1248" w:type="dxa"/>
            <w:tcBorders>
              <w:top w:val="single" w:sz="4" w:space="0" w:color="auto"/>
              <w:left w:val="single" w:sz="4" w:space="0" w:color="auto"/>
              <w:bottom w:val="single" w:sz="4" w:space="0" w:color="auto"/>
              <w:right w:val="single" w:sz="4" w:space="0" w:color="auto"/>
            </w:tcBorders>
          </w:tcPr>
          <w:p w14:paraId="2FD6F4F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23C7EF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43E812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32BB85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7D1C1614" w14:textId="6F4B1B9F"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22504963"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Arbejdsgiverforening (DA)</w:t>
            </w:r>
          </w:p>
        </w:tc>
        <w:tc>
          <w:tcPr>
            <w:tcW w:w="1248" w:type="dxa"/>
            <w:tcBorders>
              <w:top w:val="single" w:sz="4" w:space="0" w:color="auto"/>
              <w:left w:val="single" w:sz="4" w:space="0" w:color="auto"/>
              <w:bottom w:val="single" w:sz="4" w:space="0" w:color="auto"/>
              <w:right w:val="single" w:sz="4" w:space="0" w:color="auto"/>
            </w:tcBorders>
          </w:tcPr>
          <w:p w14:paraId="12F1298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23972E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7EC248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F6F8A17" w14:textId="067ABF2B" w:rsidR="005D330E" w:rsidRPr="005D330E" w:rsidRDefault="00B6130D" w:rsidP="00B613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r>
      <w:tr w:rsidR="005D330E" w:rsidRPr="005D330E" w14:paraId="32E28172" w14:textId="65115A69"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9880988" w14:textId="26181F6F" w:rsidR="005D330E" w:rsidRPr="005D330E" w:rsidRDefault="005D330E" w:rsidP="005D330E">
            <w:pPr>
              <w:rPr>
                <w:rFonts w:eastAsia="Times New Roman"/>
                <w:color w:val="auto"/>
                <w:lang w:eastAsia="en-US"/>
              </w:rPr>
            </w:pPr>
            <w:r w:rsidRPr="005D330E">
              <w:rPr>
                <w:rFonts w:eastAsia="Times New Roman"/>
                <w:color w:val="auto"/>
                <w:lang w:eastAsia="en-US"/>
              </w:rPr>
              <w:lastRenderedPageBreak/>
              <w:t xml:space="preserve">Dansk Erhverv </w:t>
            </w:r>
          </w:p>
        </w:tc>
        <w:tc>
          <w:tcPr>
            <w:tcW w:w="1248" w:type="dxa"/>
            <w:tcBorders>
              <w:top w:val="single" w:sz="4" w:space="0" w:color="auto"/>
              <w:left w:val="single" w:sz="4" w:space="0" w:color="auto"/>
              <w:bottom w:val="single" w:sz="4" w:space="0" w:color="auto"/>
              <w:right w:val="single" w:sz="4" w:space="0" w:color="auto"/>
            </w:tcBorders>
          </w:tcPr>
          <w:p w14:paraId="62221541" w14:textId="77939A8F" w:rsidR="005D330E" w:rsidRPr="005D330E" w:rsidRDefault="00E65EC0" w:rsidP="00E65EC0">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6AD2BE1D" w14:textId="749D46AC" w:rsidR="005D330E" w:rsidRPr="005D330E" w:rsidRDefault="00E65EC0" w:rsidP="00E65EC0">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276" w:type="dxa"/>
            <w:tcBorders>
              <w:top w:val="single" w:sz="4" w:space="0" w:color="auto"/>
              <w:left w:val="single" w:sz="4" w:space="0" w:color="auto"/>
              <w:bottom w:val="single" w:sz="4" w:space="0" w:color="auto"/>
              <w:right w:val="single" w:sz="4" w:space="0" w:color="auto"/>
            </w:tcBorders>
          </w:tcPr>
          <w:p w14:paraId="1DF2CC1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5C667F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0C15F97" w14:textId="078FC90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68CC07E"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Erhvervsfremme</w:t>
            </w:r>
          </w:p>
        </w:tc>
        <w:tc>
          <w:tcPr>
            <w:tcW w:w="1248" w:type="dxa"/>
            <w:tcBorders>
              <w:top w:val="single" w:sz="4" w:space="0" w:color="auto"/>
              <w:left w:val="single" w:sz="4" w:space="0" w:color="auto"/>
              <w:bottom w:val="single" w:sz="4" w:space="0" w:color="auto"/>
              <w:right w:val="single" w:sz="4" w:space="0" w:color="auto"/>
            </w:tcBorders>
          </w:tcPr>
          <w:p w14:paraId="2E90455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B8E070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9707C8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21EBD0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645D109" w14:textId="60474A1A"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257CF814"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Faldskærms Union</w:t>
            </w:r>
          </w:p>
        </w:tc>
        <w:tc>
          <w:tcPr>
            <w:tcW w:w="1248" w:type="dxa"/>
            <w:tcBorders>
              <w:top w:val="single" w:sz="4" w:space="0" w:color="auto"/>
              <w:left w:val="single" w:sz="4" w:space="0" w:color="auto"/>
              <w:bottom w:val="single" w:sz="4" w:space="0" w:color="auto"/>
              <w:right w:val="single" w:sz="4" w:space="0" w:color="auto"/>
            </w:tcBorders>
          </w:tcPr>
          <w:p w14:paraId="61BAA00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6F244C7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8421C9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9F2B1F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22BC0DF" w14:textId="5EA3425A"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7F7121D4"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Flyvelederforening</w:t>
            </w:r>
          </w:p>
        </w:tc>
        <w:tc>
          <w:tcPr>
            <w:tcW w:w="1248" w:type="dxa"/>
            <w:tcBorders>
              <w:top w:val="single" w:sz="4" w:space="0" w:color="auto"/>
              <w:left w:val="single" w:sz="4" w:space="0" w:color="auto"/>
              <w:bottom w:val="single" w:sz="4" w:space="0" w:color="auto"/>
              <w:right w:val="single" w:sz="4" w:space="0" w:color="auto"/>
            </w:tcBorders>
          </w:tcPr>
          <w:p w14:paraId="40BA397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704191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4AD95F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83551C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76AD0AE" w14:textId="7090473D"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5392F26B"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Handicap Forbund</w:t>
            </w:r>
          </w:p>
        </w:tc>
        <w:tc>
          <w:tcPr>
            <w:tcW w:w="1248" w:type="dxa"/>
            <w:tcBorders>
              <w:top w:val="single" w:sz="4" w:space="0" w:color="auto"/>
              <w:left w:val="single" w:sz="4" w:space="0" w:color="auto"/>
              <w:bottom w:val="single" w:sz="4" w:space="0" w:color="auto"/>
              <w:right w:val="single" w:sz="4" w:space="0" w:color="auto"/>
            </w:tcBorders>
          </w:tcPr>
          <w:p w14:paraId="4F57017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145169D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11C73B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A09F59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02F91FA" w14:textId="1B1F29E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67D48CEF" w14:textId="77777777" w:rsidR="005D330E" w:rsidRPr="005D330E" w:rsidRDefault="005D330E" w:rsidP="005D330E">
            <w:pPr>
              <w:rPr>
                <w:rFonts w:eastAsia="Times New Roman"/>
                <w:color w:val="auto"/>
                <w:lang w:eastAsia="en-US"/>
              </w:rPr>
            </w:pPr>
            <w:r w:rsidRPr="005D330E">
              <w:rPr>
                <w:rFonts w:eastAsia="Times New Roman"/>
                <w:color w:val="auto"/>
                <w:lang w:eastAsia="en-US"/>
              </w:rPr>
              <w:t xml:space="preserve">Dansk Hanggliding og </w:t>
            </w:r>
            <w:proofErr w:type="spellStart"/>
            <w:r w:rsidRPr="005D330E">
              <w:rPr>
                <w:rFonts w:eastAsia="Times New Roman"/>
                <w:color w:val="auto"/>
                <w:lang w:eastAsia="en-US"/>
              </w:rPr>
              <w:t>Paragliding</w:t>
            </w:r>
            <w:proofErr w:type="spellEnd"/>
            <w:r w:rsidRPr="005D330E">
              <w:rPr>
                <w:rFonts w:eastAsia="Times New Roman"/>
                <w:color w:val="auto"/>
                <w:lang w:eastAsia="en-US"/>
              </w:rPr>
              <w:t xml:space="preserve"> Union</w:t>
            </w:r>
          </w:p>
        </w:tc>
        <w:tc>
          <w:tcPr>
            <w:tcW w:w="1248" w:type="dxa"/>
            <w:tcBorders>
              <w:top w:val="single" w:sz="4" w:space="0" w:color="auto"/>
              <w:left w:val="single" w:sz="4" w:space="0" w:color="auto"/>
              <w:bottom w:val="single" w:sz="4" w:space="0" w:color="auto"/>
              <w:right w:val="single" w:sz="4" w:space="0" w:color="auto"/>
            </w:tcBorders>
          </w:tcPr>
          <w:p w14:paraId="62B33AE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19E127D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2333F4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5963A9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7EF3FD7" w14:textId="3F516507"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C0005E7"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Industri (DI)</w:t>
            </w:r>
          </w:p>
        </w:tc>
        <w:tc>
          <w:tcPr>
            <w:tcW w:w="1248" w:type="dxa"/>
            <w:tcBorders>
              <w:top w:val="single" w:sz="4" w:space="0" w:color="auto"/>
              <w:left w:val="single" w:sz="4" w:space="0" w:color="auto"/>
              <w:bottom w:val="single" w:sz="4" w:space="0" w:color="auto"/>
              <w:right w:val="single" w:sz="4" w:space="0" w:color="auto"/>
            </w:tcBorders>
          </w:tcPr>
          <w:p w14:paraId="19E813D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6990573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9DEEF7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09D98A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96EAE34" w14:textId="28F63A1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070FB8A"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Motorflyverunion</w:t>
            </w:r>
          </w:p>
        </w:tc>
        <w:tc>
          <w:tcPr>
            <w:tcW w:w="1248" w:type="dxa"/>
            <w:tcBorders>
              <w:top w:val="single" w:sz="4" w:space="0" w:color="auto"/>
              <w:left w:val="single" w:sz="4" w:space="0" w:color="auto"/>
              <w:bottom w:val="single" w:sz="4" w:space="0" w:color="auto"/>
              <w:right w:val="single" w:sz="4" w:space="0" w:color="auto"/>
            </w:tcBorders>
          </w:tcPr>
          <w:p w14:paraId="70D9197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6C51FF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031A8D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091ECAF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570A62C" w14:textId="7D5D13F5"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61DEF43"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Ornitologisk Forening</w:t>
            </w:r>
          </w:p>
        </w:tc>
        <w:tc>
          <w:tcPr>
            <w:tcW w:w="1248" w:type="dxa"/>
            <w:tcBorders>
              <w:top w:val="single" w:sz="4" w:space="0" w:color="auto"/>
              <w:left w:val="single" w:sz="4" w:space="0" w:color="auto"/>
              <w:bottom w:val="single" w:sz="4" w:space="0" w:color="auto"/>
              <w:right w:val="single" w:sz="4" w:space="0" w:color="auto"/>
            </w:tcBorders>
          </w:tcPr>
          <w:p w14:paraId="1CF0764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2455A6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98A900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6D3A0F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B7370CF" w14:textId="2FD3842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DA3AEBD" w14:textId="77777777" w:rsidR="005D330E" w:rsidRPr="005D330E" w:rsidRDefault="005D330E" w:rsidP="005D330E">
            <w:pPr>
              <w:rPr>
                <w:rFonts w:eastAsia="Times New Roman"/>
                <w:color w:val="auto"/>
                <w:lang w:eastAsia="en-US"/>
              </w:rPr>
            </w:pPr>
            <w:r w:rsidRPr="005D330E">
              <w:rPr>
                <w:rFonts w:eastAsia="Times New Roman"/>
                <w:color w:val="auto"/>
                <w:lang w:eastAsia="en-US"/>
              </w:rPr>
              <w:t xml:space="preserve">Dansk Transport </w:t>
            </w:r>
            <w:r w:rsidRPr="005D330E">
              <w:rPr>
                <w:rFonts w:eastAsia="Times New Roman"/>
                <w:color w:val="auto"/>
                <w:lang w:eastAsia="en-US"/>
              </w:rPr>
              <w:lastRenderedPageBreak/>
              <w:t xml:space="preserve">og Logistik – DTL </w:t>
            </w:r>
          </w:p>
        </w:tc>
        <w:tc>
          <w:tcPr>
            <w:tcW w:w="1248" w:type="dxa"/>
            <w:tcBorders>
              <w:top w:val="single" w:sz="4" w:space="0" w:color="auto"/>
              <w:left w:val="single" w:sz="4" w:space="0" w:color="auto"/>
              <w:bottom w:val="single" w:sz="4" w:space="0" w:color="auto"/>
              <w:right w:val="single" w:sz="4" w:space="0" w:color="auto"/>
            </w:tcBorders>
          </w:tcPr>
          <w:p w14:paraId="561B79F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D5773D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F9D072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081338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072E647F" w14:textId="57A23202"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26BBA179"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UL Flyver Union</w:t>
            </w:r>
          </w:p>
        </w:tc>
        <w:tc>
          <w:tcPr>
            <w:tcW w:w="1248" w:type="dxa"/>
            <w:tcBorders>
              <w:top w:val="single" w:sz="4" w:space="0" w:color="auto"/>
              <w:left w:val="single" w:sz="4" w:space="0" w:color="auto"/>
              <w:bottom w:val="single" w:sz="4" w:space="0" w:color="auto"/>
              <w:right w:val="single" w:sz="4" w:space="0" w:color="auto"/>
            </w:tcBorders>
          </w:tcPr>
          <w:p w14:paraId="35E590B3" w14:textId="462D6055" w:rsidR="005D330E" w:rsidRPr="005D330E" w:rsidRDefault="00771A25" w:rsidP="00771A25">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2F258A6D" w14:textId="55D572BF" w:rsidR="005D330E" w:rsidRPr="005D330E" w:rsidRDefault="00771A25" w:rsidP="00771A25">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276" w:type="dxa"/>
            <w:tcBorders>
              <w:top w:val="single" w:sz="4" w:space="0" w:color="auto"/>
              <w:left w:val="single" w:sz="4" w:space="0" w:color="auto"/>
              <w:bottom w:val="single" w:sz="4" w:space="0" w:color="auto"/>
              <w:right w:val="single" w:sz="4" w:space="0" w:color="auto"/>
            </w:tcBorders>
          </w:tcPr>
          <w:p w14:paraId="75B2FD8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0465558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2829E8AE" w14:textId="3E8E53D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19D1FED5"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Danske Medier - Mediernes Hus</w:t>
            </w:r>
          </w:p>
        </w:tc>
        <w:tc>
          <w:tcPr>
            <w:tcW w:w="1248" w:type="dxa"/>
            <w:tcBorders>
              <w:top w:val="single" w:sz="4" w:space="0" w:color="auto"/>
              <w:left w:val="single" w:sz="4" w:space="0" w:color="auto"/>
              <w:bottom w:val="single" w:sz="4" w:space="0" w:color="auto"/>
              <w:right w:val="single" w:sz="4" w:space="0" w:color="auto"/>
            </w:tcBorders>
          </w:tcPr>
          <w:p w14:paraId="180CA99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AB9AB1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1E9A88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532288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B1B043F" w14:textId="2048C3D1"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6AD010A2"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Mobilitet</w:t>
            </w:r>
          </w:p>
        </w:tc>
        <w:tc>
          <w:tcPr>
            <w:tcW w:w="1248" w:type="dxa"/>
            <w:tcBorders>
              <w:top w:val="single" w:sz="4" w:space="0" w:color="auto"/>
              <w:left w:val="single" w:sz="4" w:space="0" w:color="auto"/>
              <w:bottom w:val="single" w:sz="4" w:space="0" w:color="auto"/>
              <w:right w:val="single" w:sz="4" w:space="0" w:color="auto"/>
            </w:tcBorders>
          </w:tcPr>
          <w:p w14:paraId="64A4109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CA53CE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EC03E6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28CF29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28872A50" w14:textId="144306D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667EC637" w14:textId="77777777" w:rsidR="005D330E" w:rsidRPr="005D330E" w:rsidRDefault="005D330E" w:rsidP="005D330E">
            <w:pPr>
              <w:rPr>
                <w:rFonts w:eastAsia="Times New Roman"/>
                <w:color w:val="auto"/>
                <w:lang w:eastAsia="en-US"/>
              </w:rPr>
            </w:pPr>
            <w:r w:rsidRPr="005D330E">
              <w:rPr>
                <w:rFonts w:eastAsia="Times New Roman"/>
                <w:color w:val="auto"/>
                <w:lang w:eastAsia="en-US"/>
              </w:rPr>
              <w:t>Dansk Svæveflyver Union</w:t>
            </w:r>
          </w:p>
        </w:tc>
        <w:tc>
          <w:tcPr>
            <w:tcW w:w="1248" w:type="dxa"/>
            <w:tcBorders>
              <w:top w:val="single" w:sz="4" w:space="0" w:color="auto"/>
              <w:left w:val="single" w:sz="4" w:space="0" w:color="auto"/>
              <w:bottom w:val="single" w:sz="4" w:space="0" w:color="auto"/>
              <w:right w:val="single" w:sz="4" w:space="0" w:color="auto"/>
            </w:tcBorders>
          </w:tcPr>
          <w:p w14:paraId="42FA73C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D8C058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247E70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A69146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0C59983" w14:textId="5C3FBDA1"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646EFBFA" w14:textId="0006BB25" w:rsidR="005D330E" w:rsidRPr="005D330E" w:rsidRDefault="005D330E" w:rsidP="005D330E">
            <w:pPr>
              <w:rPr>
                <w:rFonts w:eastAsia="Times New Roman"/>
                <w:color w:val="auto"/>
                <w:lang w:eastAsia="en-US"/>
              </w:rPr>
            </w:pPr>
            <w:r w:rsidRPr="005D330E">
              <w:rPr>
                <w:rFonts w:eastAsia="Times New Roman"/>
                <w:color w:val="auto"/>
                <w:lang w:eastAsia="en-US"/>
              </w:rPr>
              <w:t>Dat</w:t>
            </w:r>
            <w:r w:rsidR="00804A4B">
              <w:rPr>
                <w:rFonts w:eastAsia="Times New Roman"/>
                <w:color w:val="auto"/>
                <w:lang w:eastAsia="en-US"/>
              </w:rPr>
              <w:t>ae</w:t>
            </w:r>
            <w:r w:rsidRPr="005D330E">
              <w:rPr>
                <w:rFonts w:eastAsia="Times New Roman"/>
                <w:color w:val="auto"/>
                <w:lang w:eastAsia="en-US"/>
              </w:rPr>
              <w:t>tisk Råd</w:t>
            </w:r>
          </w:p>
        </w:tc>
        <w:tc>
          <w:tcPr>
            <w:tcW w:w="1248" w:type="dxa"/>
            <w:tcBorders>
              <w:top w:val="single" w:sz="4" w:space="0" w:color="auto"/>
              <w:left w:val="single" w:sz="4" w:space="0" w:color="auto"/>
              <w:bottom w:val="single" w:sz="4" w:space="0" w:color="auto"/>
              <w:right w:val="single" w:sz="4" w:space="0" w:color="auto"/>
            </w:tcBorders>
          </w:tcPr>
          <w:p w14:paraId="0AFB99E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65CAA89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E16AB8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45AB50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850C50C" w14:textId="2421FC2C"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0BE7D7DC" w14:textId="77777777" w:rsidR="005D330E" w:rsidRPr="005D330E" w:rsidRDefault="005D330E" w:rsidP="005D330E">
            <w:pPr>
              <w:rPr>
                <w:rFonts w:eastAsia="Times New Roman"/>
                <w:color w:val="auto"/>
                <w:lang w:eastAsia="en-US"/>
              </w:rPr>
            </w:pPr>
            <w:r w:rsidRPr="005D330E">
              <w:rPr>
                <w:rFonts w:eastAsia="Times New Roman"/>
                <w:color w:val="auto"/>
                <w:lang w:eastAsia="en-US"/>
              </w:rPr>
              <w:t>DI Transport</w:t>
            </w:r>
          </w:p>
        </w:tc>
        <w:tc>
          <w:tcPr>
            <w:tcW w:w="1248" w:type="dxa"/>
            <w:tcBorders>
              <w:top w:val="single" w:sz="4" w:space="0" w:color="auto"/>
              <w:left w:val="single" w:sz="4" w:space="0" w:color="auto"/>
              <w:bottom w:val="single" w:sz="4" w:space="0" w:color="auto"/>
              <w:right w:val="single" w:sz="4" w:space="0" w:color="auto"/>
            </w:tcBorders>
          </w:tcPr>
          <w:p w14:paraId="689BEF69" w14:textId="5C266ACC" w:rsidR="005D330E" w:rsidRPr="005D330E" w:rsidRDefault="005D330E" w:rsidP="00B40F4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76342DA" w14:textId="48DBE867" w:rsidR="005D330E" w:rsidRPr="005D330E" w:rsidRDefault="005D330E" w:rsidP="00B40F4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4B23EA3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46D3DD3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2E02EEE" w14:textId="48DAF195"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2DA44B0E" w14:textId="77777777" w:rsidR="005D330E" w:rsidRPr="005D330E" w:rsidRDefault="005D330E" w:rsidP="005D330E">
            <w:pPr>
              <w:rPr>
                <w:rFonts w:eastAsia="Times New Roman"/>
                <w:color w:val="auto"/>
                <w:lang w:eastAsia="en-US"/>
              </w:rPr>
            </w:pPr>
            <w:proofErr w:type="spellStart"/>
            <w:r w:rsidRPr="005D330E">
              <w:rPr>
                <w:rFonts w:eastAsia="Times New Roman"/>
                <w:color w:val="auto"/>
                <w:lang w:eastAsia="en-US"/>
              </w:rPr>
              <w:t>DroneDanmark</w:t>
            </w:r>
            <w:proofErr w:type="spellEnd"/>
          </w:p>
        </w:tc>
        <w:tc>
          <w:tcPr>
            <w:tcW w:w="1248" w:type="dxa"/>
            <w:tcBorders>
              <w:top w:val="single" w:sz="4" w:space="0" w:color="auto"/>
              <w:left w:val="single" w:sz="4" w:space="0" w:color="auto"/>
              <w:bottom w:val="single" w:sz="4" w:space="0" w:color="auto"/>
              <w:right w:val="single" w:sz="4" w:space="0" w:color="auto"/>
            </w:tcBorders>
          </w:tcPr>
          <w:p w14:paraId="46B9900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B55381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DD24C5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272B01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28A2D54" w14:textId="54DAC08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D7527F1" w14:textId="77777777" w:rsidR="005D330E" w:rsidRPr="005D330E" w:rsidRDefault="005D330E" w:rsidP="005D330E">
            <w:pPr>
              <w:rPr>
                <w:rFonts w:eastAsia="Times New Roman"/>
                <w:color w:val="auto"/>
                <w:lang w:eastAsia="en-US"/>
              </w:rPr>
            </w:pPr>
            <w:r w:rsidRPr="005D330E">
              <w:rPr>
                <w:rFonts w:eastAsia="Times New Roman"/>
                <w:color w:val="auto"/>
                <w:lang w:eastAsia="en-US"/>
              </w:rPr>
              <w:t>DTU Transport</w:t>
            </w:r>
          </w:p>
        </w:tc>
        <w:tc>
          <w:tcPr>
            <w:tcW w:w="1248" w:type="dxa"/>
            <w:tcBorders>
              <w:top w:val="single" w:sz="4" w:space="0" w:color="auto"/>
              <w:left w:val="single" w:sz="4" w:space="0" w:color="auto"/>
              <w:bottom w:val="single" w:sz="4" w:space="0" w:color="auto"/>
              <w:right w:val="single" w:sz="4" w:space="0" w:color="auto"/>
            </w:tcBorders>
          </w:tcPr>
          <w:p w14:paraId="767C1D3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4D39CA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8ADE9E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718777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70B3A90" w14:textId="752B19E6"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6C963EC" w14:textId="77777777" w:rsidR="005D330E" w:rsidRPr="005D330E" w:rsidRDefault="005D330E" w:rsidP="005D330E">
            <w:pPr>
              <w:rPr>
                <w:rFonts w:eastAsia="Times New Roman"/>
                <w:color w:val="auto"/>
                <w:lang w:eastAsia="en-US"/>
              </w:rPr>
            </w:pPr>
            <w:r w:rsidRPr="005D330E">
              <w:rPr>
                <w:rFonts w:eastAsia="Times New Roman"/>
                <w:color w:val="auto"/>
                <w:lang w:eastAsia="en-US"/>
              </w:rPr>
              <w:t>Erhvervsflyvningens Sammenslutning</w:t>
            </w:r>
          </w:p>
        </w:tc>
        <w:tc>
          <w:tcPr>
            <w:tcW w:w="1248" w:type="dxa"/>
            <w:tcBorders>
              <w:top w:val="single" w:sz="4" w:space="0" w:color="auto"/>
              <w:left w:val="single" w:sz="4" w:space="0" w:color="auto"/>
              <w:bottom w:val="single" w:sz="4" w:space="0" w:color="auto"/>
              <w:right w:val="single" w:sz="4" w:space="0" w:color="auto"/>
            </w:tcBorders>
          </w:tcPr>
          <w:p w14:paraId="12FB8796" w14:textId="3BD1E0F2" w:rsidR="005D330E" w:rsidRPr="005D330E" w:rsidRDefault="00405341" w:rsidP="0040534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6EEE5116" w14:textId="7DAF76B5" w:rsidR="005D330E" w:rsidRPr="005D330E" w:rsidRDefault="00405341" w:rsidP="0040534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276" w:type="dxa"/>
            <w:tcBorders>
              <w:top w:val="single" w:sz="4" w:space="0" w:color="auto"/>
              <w:left w:val="single" w:sz="4" w:space="0" w:color="auto"/>
              <w:bottom w:val="single" w:sz="4" w:space="0" w:color="auto"/>
              <w:right w:val="single" w:sz="4" w:space="0" w:color="auto"/>
            </w:tcBorders>
          </w:tcPr>
          <w:p w14:paraId="5602A11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18D71B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9ADD3CC" w14:textId="7A500EFB"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4D27A62" w14:textId="77777777" w:rsidR="005D330E" w:rsidRPr="005D330E" w:rsidRDefault="005D330E" w:rsidP="005D330E">
            <w:pPr>
              <w:rPr>
                <w:rFonts w:eastAsia="Times New Roman"/>
                <w:color w:val="auto"/>
                <w:lang w:eastAsia="en-US"/>
              </w:rPr>
            </w:pPr>
            <w:r w:rsidRPr="005D330E">
              <w:rPr>
                <w:rFonts w:eastAsia="Times New Roman"/>
                <w:color w:val="auto"/>
                <w:lang w:eastAsia="en-US"/>
              </w:rPr>
              <w:t>Esbjerg Lufthavn</w:t>
            </w:r>
          </w:p>
        </w:tc>
        <w:tc>
          <w:tcPr>
            <w:tcW w:w="1248" w:type="dxa"/>
            <w:tcBorders>
              <w:top w:val="single" w:sz="4" w:space="0" w:color="auto"/>
              <w:left w:val="single" w:sz="4" w:space="0" w:color="auto"/>
              <w:bottom w:val="single" w:sz="4" w:space="0" w:color="auto"/>
              <w:right w:val="single" w:sz="4" w:space="0" w:color="auto"/>
            </w:tcBorders>
          </w:tcPr>
          <w:p w14:paraId="05059A4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04D3D4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D4508A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C5BB86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89914C0" w14:textId="15BE462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7CA31CE9" w14:textId="77777777" w:rsidR="005D330E" w:rsidRPr="005D330E" w:rsidRDefault="005D330E" w:rsidP="005D330E">
            <w:pPr>
              <w:rPr>
                <w:rFonts w:eastAsia="Times New Roman"/>
                <w:color w:val="auto"/>
                <w:lang w:eastAsia="en-US"/>
              </w:rPr>
            </w:pPr>
            <w:r w:rsidRPr="005D330E">
              <w:rPr>
                <w:rFonts w:eastAsia="Times New Roman"/>
                <w:color w:val="auto"/>
                <w:lang w:eastAsia="en-US"/>
              </w:rPr>
              <w:t xml:space="preserve">Fagligt Fælles </w:t>
            </w:r>
            <w:r w:rsidRPr="005D330E">
              <w:rPr>
                <w:rFonts w:eastAsia="Times New Roman"/>
                <w:color w:val="auto"/>
                <w:lang w:eastAsia="en-US"/>
              </w:rPr>
              <w:lastRenderedPageBreak/>
              <w:t xml:space="preserve">Forbund – 3F </w:t>
            </w:r>
          </w:p>
        </w:tc>
        <w:tc>
          <w:tcPr>
            <w:tcW w:w="1248" w:type="dxa"/>
            <w:tcBorders>
              <w:top w:val="single" w:sz="4" w:space="0" w:color="auto"/>
              <w:left w:val="single" w:sz="4" w:space="0" w:color="auto"/>
              <w:bottom w:val="single" w:sz="4" w:space="0" w:color="auto"/>
              <w:right w:val="single" w:sz="4" w:space="0" w:color="auto"/>
            </w:tcBorders>
          </w:tcPr>
          <w:p w14:paraId="7992D06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1B0BB1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C0B603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F94F31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6D606BB" w14:textId="19993D55"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7DCCDA0C" w14:textId="77777777" w:rsidR="005D330E" w:rsidRPr="005D330E" w:rsidRDefault="005D330E" w:rsidP="005D330E">
            <w:pPr>
              <w:rPr>
                <w:rFonts w:eastAsia="Times New Roman"/>
                <w:color w:val="auto"/>
                <w:lang w:eastAsia="en-US"/>
              </w:rPr>
            </w:pPr>
            <w:r w:rsidRPr="005D330E">
              <w:rPr>
                <w:rFonts w:eastAsia="Times New Roman"/>
                <w:color w:val="auto"/>
                <w:lang w:eastAsia="en-US"/>
              </w:rPr>
              <w:t xml:space="preserve">Flyvebranchens </w:t>
            </w:r>
            <w:proofErr w:type="spellStart"/>
            <w:r w:rsidRPr="005D330E">
              <w:rPr>
                <w:rFonts w:eastAsia="Times New Roman"/>
                <w:color w:val="auto"/>
                <w:lang w:eastAsia="en-US"/>
              </w:rPr>
              <w:t>Personaleunion</w:t>
            </w:r>
            <w:proofErr w:type="spellEnd"/>
          </w:p>
        </w:tc>
        <w:tc>
          <w:tcPr>
            <w:tcW w:w="1248" w:type="dxa"/>
            <w:tcBorders>
              <w:top w:val="single" w:sz="4" w:space="0" w:color="auto"/>
              <w:left w:val="single" w:sz="4" w:space="0" w:color="auto"/>
              <w:bottom w:val="single" w:sz="4" w:space="0" w:color="auto"/>
              <w:right w:val="single" w:sz="4" w:space="0" w:color="auto"/>
            </w:tcBorders>
          </w:tcPr>
          <w:p w14:paraId="7F2A739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A650A3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667E72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6D2A47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234D206" w14:textId="79FB7696"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BCCFDE3" w14:textId="77777777" w:rsidR="005D330E" w:rsidRPr="005D330E" w:rsidRDefault="005D330E" w:rsidP="005D330E">
            <w:pPr>
              <w:rPr>
                <w:rFonts w:eastAsia="Times New Roman"/>
                <w:color w:val="auto"/>
                <w:lang w:eastAsia="en-US"/>
              </w:rPr>
            </w:pPr>
            <w:r w:rsidRPr="005D330E">
              <w:rPr>
                <w:rFonts w:eastAsia="Times New Roman"/>
                <w:color w:val="auto"/>
                <w:lang w:eastAsia="en-US"/>
              </w:rPr>
              <w:t>Flyvertaktisk Kommando</w:t>
            </w:r>
          </w:p>
        </w:tc>
        <w:tc>
          <w:tcPr>
            <w:tcW w:w="1248" w:type="dxa"/>
            <w:tcBorders>
              <w:top w:val="single" w:sz="4" w:space="0" w:color="auto"/>
              <w:left w:val="single" w:sz="4" w:space="0" w:color="auto"/>
              <w:bottom w:val="single" w:sz="4" w:space="0" w:color="auto"/>
              <w:right w:val="single" w:sz="4" w:space="0" w:color="auto"/>
            </w:tcBorders>
          </w:tcPr>
          <w:p w14:paraId="47B2BF6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49E189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633F14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F015C2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AF0C57B" w14:textId="3238B077"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0F69DA84" w14:textId="77777777" w:rsidR="005D330E" w:rsidRPr="005D330E" w:rsidRDefault="005D330E" w:rsidP="005D330E">
            <w:pPr>
              <w:rPr>
                <w:rFonts w:eastAsia="Times New Roman"/>
                <w:color w:val="auto"/>
                <w:lang w:eastAsia="en-US"/>
              </w:rPr>
            </w:pPr>
            <w:r w:rsidRPr="005D330E">
              <w:rPr>
                <w:rFonts w:eastAsia="Times New Roman"/>
                <w:color w:val="auto"/>
                <w:lang w:eastAsia="en-US"/>
              </w:rPr>
              <w:t>Forbrugerrådet</w:t>
            </w:r>
          </w:p>
        </w:tc>
        <w:tc>
          <w:tcPr>
            <w:tcW w:w="1248" w:type="dxa"/>
            <w:tcBorders>
              <w:top w:val="single" w:sz="4" w:space="0" w:color="auto"/>
              <w:left w:val="single" w:sz="4" w:space="0" w:color="auto"/>
              <w:bottom w:val="single" w:sz="4" w:space="0" w:color="auto"/>
              <w:right w:val="single" w:sz="4" w:space="0" w:color="auto"/>
            </w:tcBorders>
          </w:tcPr>
          <w:p w14:paraId="0C7FCAB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6CCE83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59DADB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43D6817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E33B538" w14:textId="1731DA4C"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1D4DD1F" w14:textId="77777777" w:rsidR="005D330E" w:rsidRPr="005D330E" w:rsidRDefault="005D330E" w:rsidP="005D330E">
            <w:pPr>
              <w:rPr>
                <w:rFonts w:eastAsia="Times New Roman"/>
                <w:color w:val="auto"/>
                <w:lang w:eastAsia="en-US"/>
              </w:rPr>
            </w:pPr>
            <w:r w:rsidRPr="005D330E">
              <w:rPr>
                <w:rFonts w:eastAsia="Times New Roman"/>
                <w:color w:val="auto"/>
                <w:lang w:eastAsia="en-US"/>
              </w:rPr>
              <w:t>Foreningen af Rejsearrangører i Danmark</w:t>
            </w:r>
          </w:p>
        </w:tc>
        <w:tc>
          <w:tcPr>
            <w:tcW w:w="1248" w:type="dxa"/>
            <w:tcBorders>
              <w:top w:val="single" w:sz="4" w:space="0" w:color="auto"/>
              <w:left w:val="single" w:sz="4" w:space="0" w:color="auto"/>
              <w:bottom w:val="single" w:sz="4" w:space="0" w:color="auto"/>
              <w:right w:val="single" w:sz="4" w:space="0" w:color="auto"/>
            </w:tcBorders>
          </w:tcPr>
          <w:p w14:paraId="364A3DD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38A48E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A9DCCC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E90593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80920F0" w14:textId="4254147F"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7D38103" w14:textId="77777777" w:rsidR="005D330E" w:rsidRPr="005D330E" w:rsidRDefault="005D330E" w:rsidP="005D330E">
            <w:pPr>
              <w:rPr>
                <w:rFonts w:eastAsia="Times New Roman"/>
                <w:color w:val="auto"/>
                <w:lang w:eastAsia="en-US"/>
              </w:rPr>
            </w:pPr>
            <w:r w:rsidRPr="005D330E">
              <w:rPr>
                <w:rFonts w:eastAsia="Times New Roman"/>
                <w:color w:val="auto"/>
                <w:lang w:eastAsia="en-US"/>
              </w:rPr>
              <w:t>Friluftsrådet</w:t>
            </w:r>
          </w:p>
        </w:tc>
        <w:tc>
          <w:tcPr>
            <w:tcW w:w="1248" w:type="dxa"/>
            <w:tcBorders>
              <w:top w:val="single" w:sz="4" w:space="0" w:color="auto"/>
              <w:left w:val="single" w:sz="4" w:space="0" w:color="auto"/>
              <w:bottom w:val="single" w:sz="4" w:space="0" w:color="auto"/>
              <w:right w:val="single" w:sz="4" w:space="0" w:color="auto"/>
            </w:tcBorders>
          </w:tcPr>
          <w:p w14:paraId="2E8AA75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B13651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C6192E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EA31DE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05341" w:rsidRPr="005D330E" w14:paraId="3AD1CBB6" w14:textId="77777777"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296FF4E5" w14:textId="3C55943E" w:rsidR="00405341" w:rsidRPr="005D330E" w:rsidRDefault="00804A4B" w:rsidP="005D330E">
            <w:pPr>
              <w:rPr>
                <w:rFonts w:eastAsia="Times New Roman"/>
                <w:color w:val="auto"/>
              </w:rPr>
            </w:pPr>
            <w:r>
              <w:rPr>
                <w:rFonts w:eastAsia="Times New Roman"/>
                <w:color w:val="auto"/>
                <w:lang w:eastAsia="en-US"/>
              </w:rPr>
              <w:t>Greenland Airports A/S</w:t>
            </w:r>
          </w:p>
        </w:tc>
        <w:tc>
          <w:tcPr>
            <w:tcW w:w="1248" w:type="dxa"/>
            <w:tcBorders>
              <w:top w:val="single" w:sz="4" w:space="0" w:color="auto"/>
              <w:left w:val="single" w:sz="4" w:space="0" w:color="auto"/>
              <w:bottom w:val="single" w:sz="4" w:space="0" w:color="auto"/>
              <w:right w:val="single" w:sz="4" w:space="0" w:color="auto"/>
            </w:tcBorders>
          </w:tcPr>
          <w:p w14:paraId="4712AED0" w14:textId="70BA71AD" w:rsidR="00405341" w:rsidRPr="005D330E" w:rsidRDefault="00405341" w:rsidP="0040534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32C92F30" w14:textId="77777777" w:rsidR="00405341" w:rsidRPr="005D330E" w:rsidRDefault="00405341"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B24252B" w14:textId="3BA7E1B3" w:rsidR="00405341" w:rsidRPr="005D330E" w:rsidRDefault="00405341" w:rsidP="0040534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411" w:type="dxa"/>
            <w:tcBorders>
              <w:top w:val="single" w:sz="4" w:space="0" w:color="auto"/>
              <w:left w:val="single" w:sz="4" w:space="0" w:color="auto"/>
              <w:bottom w:val="single" w:sz="4" w:space="0" w:color="auto"/>
              <w:right w:val="single" w:sz="4" w:space="0" w:color="auto"/>
            </w:tcBorders>
          </w:tcPr>
          <w:p w14:paraId="64B2CF91" w14:textId="77777777" w:rsidR="00405341" w:rsidRPr="005D330E" w:rsidRDefault="00405341"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090957BA" w14:textId="55E47395"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tcPr>
          <w:p w14:paraId="128164EB" w14:textId="77777777" w:rsidR="005D330E" w:rsidRPr="005D330E" w:rsidRDefault="005D330E" w:rsidP="005D330E">
            <w:pPr>
              <w:rPr>
                <w:rFonts w:eastAsia="Times New Roman"/>
                <w:color w:val="auto"/>
                <w:lang w:eastAsia="en-US"/>
              </w:rPr>
            </w:pPr>
            <w:r w:rsidRPr="005D330E">
              <w:rPr>
                <w:rFonts w:eastAsia="Times New Roman"/>
                <w:color w:val="auto"/>
                <w:lang w:eastAsia="en-US"/>
              </w:rPr>
              <w:t>Havarikommissionen for Civil Luftfart og Jernbane</w:t>
            </w:r>
          </w:p>
        </w:tc>
        <w:tc>
          <w:tcPr>
            <w:tcW w:w="1248" w:type="dxa"/>
            <w:tcBorders>
              <w:top w:val="single" w:sz="4" w:space="0" w:color="auto"/>
              <w:left w:val="single" w:sz="4" w:space="0" w:color="auto"/>
              <w:bottom w:val="single" w:sz="4" w:space="0" w:color="auto"/>
              <w:right w:val="single" w:sz="4" w:space="0" w:color="auto"/>
            </w:tcBorders>
          </w:tcPr>
          <w:p w14:paraId="387C7CF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6F5F9B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740458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83309F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5B56DF3" w14:textId="19117B8F"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6773191" w14:textId="77777777" w:rsidR="005D330E" w:rsidRPr="005D330E" w:rsidRDefault="005D330E" w:rsidP="005D330E">
            <w:pPr>
              <w:rPr>
                <w:rFonts w:eastAsia="Times New Roman"/>
                <w:color w:val="auto"/>
                <w:lang w:eastAsia="en-US"/>
              </w:rPr>
            </w:pPr>
            <w:r w:rsidRPr="005D330E">
              <w:rPr>
                <w:rFonts w:eastAsia="Times New Roman"/>
                <w:color w:val="auto"/>
                <w:lang w:eastAsia="en-US"/>
              </w:rPr>
              <w:t>HK Trafik og Jernbane</w:t>
            </w:r>
          </w:p>
        </w:tc>
        <w:tc>
          <w:tcPr>
            <w:tcW w:w="1248" w:type="dxa"/>
            <w:tcBorders>
              <w:top w:val="single" w:sz="4" w:space="0" w:color="auto"/>
              <w:left w:val="single" w:sz="4" w:space="0" w:color="auto"/>
              <w:bottom w:val="single" w:sz="4" w:space="0" w:color="auto"/>
              <w:right w:val="single" w:sz="4" w:space="0" w:color="auto"/>
            </w:tcBorders>
          </w:tcPr>
          <w:p w14:paraId="50592AE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86D55C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F13533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4EBDCCF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E65EC0" w14:paraId="71613B5D" w14:textId="626D7D37"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7C480127" w14:textId="77777777" w:rsidR="005D330E" w:rsidRPr="005D330E" w:rsidRDefault="005D330E" w:rsidP="005D330E">
            <w:pPr>
              <w:rPr>
                <w:rFonts w:eastAsia="Times New Roman"/>
                <w:color w:val="auto"/>
                <w:lang w:val="en-US" w:eastAsia="en-US"/>
              </w:rPr>
            </w:pPr>
            <w:r w:rsidRPr="005D330E">
              <w:rPr>
                <w:rFonts w:eastAsia="Times New Roman"/>
                <w:color w:val="auto"/>
                <w:lang w:val="en-US" w:eastAsia="en-US"/>
              </w:rPr>
              <w:t xml:space="preserve">International Air Transport </w:t>
            </w:r>
            <w:r w:rsidRPr="005D330E">
              <w:rPr>
                <w:rFonts w:eastAsia="Times New Roman"/>
                <w:color w:val="auto"/>
                <w:lang w:val="en-US" w:eastAsia="en-US"/>
              </w:rPr>
              <w:lastRenderedPageBreak/>
              <w:t>Association (IATA)</w:t>
            </w:r>
          </w:p>
        </w:tc>
        <w:tc>
          <w:tcPr>
            <w:tcW w:w="1248" w:type="dxa"/>
            <w:tcBorders>
              <w:top w:val="single" w:sz="4" w:space="0" w:color="auto"/>
              <w:left w:val="single" w:sz="4" w:space="0" w:color="auto"/>
              <w:bottom w:val="single" w:sz="4" w:space="0" w:color="auto"/>
              <w:right w:val="single" w:sz="4" w:space="0" w:color="auto"/>
            </w:tcBorders>
          </w:tcPr>
          <w:p w14:paraId="653C1DE8" w14:textId="50AD35E3" w:rsidR="005D330E" w:rsidRPr="005D330E" w:rsidRDefault="00E65EC0" w:rsidP="00E65EC0">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lastRenderedPageBreak/>
              <w:t>X</w:t>
            </w:r>
          </w:p>
        </w:tc>
        <w:tc>
          <w:tcPr>
            <w:tcW w:w="1134" w:type="dxa"/>
            <w:tcBorders>
              <w:top w:val="single" w:sz="4" w:space="0" w:color="auto"/>
              <w:left w:val="single" w:sz="4" w:space="0" w:color="auto"/>
              <w:bottom w:val="single" w:sz="4" w:space="0" w:color="auto"/>
              <w:right w:val="single" w:sz="4" w:space="0" w:color="auto"/>
            </w:tcBorders>
          </w:tcPr>
          <w:p w14:paraId="77DF7573" w14:textId="1FF9139E" w:rsidR="005D330E" w:rsidRPr="005D330E" w:rsidRDefault="00E65EC0" w:rsidP="00E65EC0">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X</w:t>
            </w:r>
          </w:p>
        </w:tc>
        <w:tc>
          <w:tcPr>
            <w:tcW w:w="1276" w:type="dxa"/>
            <w:tcBorders>
              <w:top w:val="single" w:sz="4" w:space="0" w:color="auto"/>
              <w:left w:val="single" w:sz="4" w:space="0" w:color="auto"/>
              <w:bottom w:val="single" w:sz="4" w:space="0" w:color="auto"/>
              <w:right w:val="single" w:sz="4" w:space="0" w:color="auto"/>
            </w:tcBorders>
          </w:tcPr>
          <w:p w14:paraId="2444314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c>
          <w:tcPr>
            <w:tcW w:w="1411" w:type="dxa"/>
            <w:tcBorders>
              <w:top w:val="single" w:sz="4" w:space="0" w:color="auto"/>
              <w:left w:val="single" w:sz="4" w:space="0" w:color="auto"/>
              <w:bottom w:val="single" w:sz="4" w:space="0" w:color="auto"/>
              <w:right w:val="single" w:sz="4" w:space="0" w:color="auto"/>
            </w:tcBorders>
          </w:tcPr>
          <w:p w14:paraId="1D69A47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p>
        </w:tc>
      </w:tr>
      <w:tr w:rsidR="005D330E" w:rsidRPr="005D330E" w14:paraId="42738EAA" w14:textId="78D80C66"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A2F44EA" w14:textId="77777777" w:rsidR="005D330E" w:rsidRPr="005D330E" w:rsidRDefault="005D330E" w:rsidP="005D330E">
            <w:pPr>
              <w:rPr>
                <w:rFonts w:eastAsia="Times New Roman"/>
                <w:color w:val="auto"/>
                <w:lang w:eastAsia="en-US"/>
              </w:rPr>
            </w:pPr>
            <w:r w:rsidRPr="005D330E">
              <w:rPr>
                <w:rFonts w:eastAsia="Times New Roman"/>
                <w:color w:val="auto"/>
                <w:lang w:eastAsia="en-US"/>
              </w:rPr>
              <w:t>Ingeniørforeningen (IDA)</w:t>
            </w:r>
          </w:p>
        </w:tc>
        <w:tc>
          <w:tcPr>
            <w:tcW w:w="1248" w:type="dxa"/>
            <w:tcBorders>
              <w:top w:val="single" w:sz="4" w:space="0" w:color="auto"/>
              <w:left w:val="single" w:sz="4" w:space="0" w:color="auto"/>
              <w:bottom w:val="single" w:sz="4" w:space="0" w:color="auto"/>
              <w:right w:val="single" w:sz="4" w:space="0" w:color="auto"/>
            </w:tcBorders>
          </w:tcPr>
          <w:p w14:paraId="10A69CD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467BF1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474ABE3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3609FB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46021DF" w14:textId="7CDBF04A"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6634D870" w14:textId="77777777" w:rsidR="005D330E" w:rsidRPr="005D330E" w:rsidRDefault="005D330E" w:rsidP="005D330E">
            <w:pPr>
              <w:rPr>
                <w:rFonts w:eastAsia="Times New Roman"/>
                <w:color w:val="auto"/>
                <w:lang w:eastAsia="en-US"/>
              </w:rPr>
            </w:pPr>
            <w:r w:rsidRPr="005D330E">
              <w:rPr>
                <w:rFonts w:eastAsia="Times New Roman"/>
                <w:color w:val="auto"/>
                <w:lang w:eastAsia="en-US"/>
              </w:rPr>
              <w:t>Institut for Menneskerettigheder</w:t>
            </w:r>
          </w:p>
        </w:tc>
        <w:tc>
          <w:tcPr>
            <w:tcW w:w="1248" w:type="dxa"/>
            <w:tcBorders>
              <w:top w:val="single" w:sz="4" w:space="0" w:color="auto"/>
              <w:left w:val="single" w:sz="4" w:space="0" w:color="auto"/>
              <w:bottom w:val="single" w:sz="4" w:space="0" w:color="auto"/>
              <w:right w:val="single" w:sz="4" w:space="0" w:color="auto"/>
            </w:tcBorders>
          </w:tcPr>
          <w:p w14:paraId="017D216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1ABF67E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8DCB46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C9E4BA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D8C9527" w14:textId="7FC940C6"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700320A" w14:textId="77777777" w:rsidR="005D330E" w:rsidRPr="005D330E" w:rsidRDefault="005D330E" w:rsidP="005D330E">
            <w:pPr>
              <w:rPr>
                <w:rFonts w:eastAsia="Times New Roman"/>
                <w:color w:val="auto"/>
                <w:lang w:eastAsia="en-US"/>
              </w:rPr>
            </w:pPr>
            <w:r w:rsidRPr="005D330E">
              <w:rPr>
                <w:rFonts w:eastAsia="Times New Roman"/>
                <w:color w:val="auto"/>
                <w:lang w:eastAsia="en-US"/>
              </w:rPr>
              <w:t>Institut for miljø, samfund og rumlig forandring – Roskilde Universitet</w:t>
            </w:r>
          </w:p>
        </w:tc>
        <w:tc>
          <w:tcPr>
            <w:tcW w:w="1248" w:type="dxa"/>
            <w:tcBorders>
              <w:top w:val="single" w:sz="4" w:space="0" w:color="auto"/>
              <w:left w:val="single" w:sz="4" w:space="0" w:color="auto"/>
              <w:bottom w:val="single" w:sz="4" w:space="0" w:color="auto"/>
              <w:right w:val="single" w:sz="4" w:space="0" w:color="auto"/>
            </w:tcBorders>
          </w:tcPr>
          <w:p w14:paraId="4EB5F2D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2BAB7B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3F7841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6C6D67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368BA3A" w14:textId="751EEB8C"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542EC1C" w14:textId="77777777" w:rsidR="005D330E" w:rsidRPr="005D330E" w:rsidRDefault="005D330E" w:rsidP="005D330E">
            <w:pPr>
              <w:rPr>
                <w:rFonts w:eastAsia="Times New Roman"/>
                <w:color w:val="auto"/>
                <w:lang w:eastAsia="en-US"/>
              </w:rPr>
            </w:pPr>
            <w:r w:rsidRPr="005D330E">
              <w:rPr>
                <w:rFonts w:eastAsia="Times New Roman"/>
                <w:color w:val="auto"/>
                <w:lang w:eastAsia="en-US"/>
              </w:rPr>
              <w:t>Institut for planlægning – Aalborg Universitet</w:t>
            </w:r>
          </w:p>
        </w:tc>
        <w:tc>
          <w:tcPr>
            <w:tcW w:w="1248" w:type="dxa"/>
            <w:tcBorders>
              <w:top w:val="single" w:sz="4" w:space="0" w:color="auto"/>
              <w:left w:val="single" w:sz="4" w:space="0" w:color="auto"/>
              <w:bottom w:val="single" w:sz="4" w:space="0" w:color="auto"/>
              <w:right w:val="single" w:sz="4" w:space="0" w:color="auto"/>
            </w:tcBorders>
          </w:tcPr>
          <w:p w14:paraId="6DB49D1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CCD459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6A77EF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E3F42E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564B25A" w14:textId="1BF6B199"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53BD048F" w14:textId="77777777" w:rsidR="005D330E" w:rsidRPr="005D330E" w:rsidRDefault="005D330E" w:rsidP="005D330E">
            <w:pPr>
              <w:rPr>
                <w:rFonts w:eastAsia="Times New Roman"/>
                <w:color w:val="auto"/>
                <w:lang w:eastAsia="en-US"/>
              </w:rPr>
            </w:pPr>
            <w:r w:rsidRPr="005D330E">
              <w:rPr>
                <w:rFonts w:eastAsia="Times New Roman"/>
                <w:color w:val="auto"/>
                <w:lang w:eastAsia="en-US"/>
              </w:rPr>
              <w:t>International Transport Danmark (ITD)</w:t>
            </w:r>
          </w:p>
        </w:tc>
        <w:tc>
          <w:tcPr>
            <w:tcW w:w="1248" w:type="dxa"/>
            <w:tcBorders>
              <w:top w:val="single" w:sz="4" w:space="0" w:color="auto"/>
              <w:left w:val="single" w:sz="4" w:space="0" w:color="auto"/>
              <w:bottom w:val="single" w:sz="4" w:space="0" w:color="auto"/>
              <w:right w:val="single" w:sz="4" w:space="0" w:color="auto"/>
            </w:tcBorders>
          </w:tcPr>
          <w:p w14:paraId="7D0B025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E20F9D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4027233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20802F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79E0240" w14:textId="68668309"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531AD659" w14:textId="77777777" w:rsidR="005D330E" w:rsidRPr="005D330E" w:rsidRDefault="005D330E" w:rsidP="005D330E">
            <w:pPr>
              <w:rPr>
                <w:rFonts w:eastAsia="Times New Roman"/>
                <w:color w:val="auto"/>
                <w:lang w:eastAsia="en-US"/>
              </w:rPr>
            </w:pPr>
            <w:r w:rsidRPr="005D330E">
              <w:rPr>
                <w:rFonts w:eastAsia="Times New Roman"/>
                <w:color w:val="auto"/>
                <w:lang w:eastAsia="en-US"/>
              </w:rPr>
              <w:t>Jettime</w:t>
            </w:r>
          </w:p>
        </w:tc>
        <w:tc>
          <w:tcPr>
            <w:tcW w:w="1248" w:type="dxa"/>
            <w:tcBorders>
              <w:top w:val="single" w:sz="4" w:space="0" w:color="auto"/>
              <w:left w:val="single" w:sz="4" w:space="0" w:color="auto"/>
              <w:bottom w:val="single" w:sz="4" w:space="0" w:color="auto"/>
              <w:right w:val="single" w:sz="4" w:space="0" w:color="auto"/>
            </w:tcBorders>
          </w:tcPr>
          <w:p w14:paraId="2B72289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6344235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2CBDB2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FBDF12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225B13CF" w14:textId="702F9F1C"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7E6FCEBD" w14:textId="77777777" w:rsidR="005D330E" w:rsidRPr="005D330E" w:rsidRDefault="005D330E" w:rsidP="005D330E">
            <w:pPr>
              <w:rPr>
                <w:rFonts w:eastAsia="Times New Roman"/>
                <w:color w:val="auto"/>
                <w:lang w:eastAsia="en-US"/>
              </w:rPr>
            </w:pPr>
            <w:r w:rsidRPr="005D330E">
              <w:rPr>
                <w:rFonts w:eastAsia="Times New Roman"/>
                <w:color w:val="auto"/>
                <w:lang w:eastAsia="en-US"/>
              </w:rPr>
              <w:t>Karup Lufthavn</w:t>
            </w:r>
          </w:p>
        </w:tc>
        <w:tc>
          <w:tcPr>
            <w:tcW w:w="1248" w:type="dxa"/>
            <w:tcBorders>
              <w:top w:val="single" w:sz="4" w:space="0" w:color="auto"/>
              <w:left w:val="single" w:sz="4" w:space="0" w:color="auto"/>
              <w:bottom w:val="single" w:sz="4" w:space="0" w:color="auto"/>
              <w:right w:val="single" w:sz="4" w:space="0" w:color="auto"/>
            </w:tcBorders>
          </w:tcPr>
          <w:p w14:paraId="43B08F5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17739E6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F1A997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DF7F5A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F314FDB" w14:textId="5C98B51A"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1B13BC73" w14:textId="77777777" w:rsidR="005D330E" w:rsidRPr="005D330E" w:rsidRDefault="005D330E" w:rsidP="005D330E">
            <w:pPr>
              <w:rPr>
                <w:rFonts w:eastAsia="Times New Roman"/>
                <w:color w:val="auto"/>
                <w:lang w:eastAsia="en-US"/>
              </w:rPr>
            </w:pPr>
            <w:r w:rsidRPr="005D330E">
              <w:rPr>
                <w:rFonts w:eastAsia="Times New Roman"/>
                <w:color w:val="auto"/>
                <w:lang w:eastAsia="en-US"/>
              </w:rPr>
              <w:t>Klimarådet</w:t>
            </w:r>
          </w:p>
        </w:tc>
        <w:tc>
          <w:tcPr>
            <w:tcW w:w="1248" w:type="dxa"/>
            <w:tcBorders>
              <w:top w:val="single" w:sz="4" w:space="0" w:color="auto"/>
              <w:left w:val="single" w:sz="4" w:space="0" w:color="auto"/>
              <w:bottom w:val="single" w:sz="4" w:space="0" w:color="auto"/>
              <w:right w:val="single" w:sz="4" w:space="0" w:color="auto"/>
            </w:tcBorders>
          </w:tcPr>
          <w:p w14:paraId="0213386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63325BB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473794B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9689CC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C5DCFD7" w14:textId="6D52910C"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01D17ABA" w14:textId="1C33061B" w:rsidR="005D330E" w:rsidRPr="005D330E" w:rsidRDefault="005D330E" w:rsidP="005D330E">
            <w:pPr>
              <w:rPr>
                <w:rFonts w:eastAsia="Times New Roman"/>
                <w:color w:val="auto"/>
                <w:lang w:eastAsia="en-US"/>
              </w:rPr>
            </w:pPr>
            <w:r w:rsidRPr="005D330E">
              <w:rPr>
                <w:rFonts w:eastAsia="Times New Roman"/>
                <w:color w:val="auto"/>
                <w:lang w:eastAsia="en-US"/>
              </w:rPr>
              <w:lastRenderedPageBreak/>
              <w:t xml:space="preserve">Kongelig Dansk </w:t>
            </w:r>
            <w:proofErr w:type="spellStart"/>
            <w:r w:rsidR="002D3129">
              <w:rPr>
                <w:rFonts w:eastAsia="Times New Roman"/>
                <w:color w:val="auto"/>
                <w:lang w:eastAsia="en-US"/>
              </w:rPr>
              <w:t>Æ</w:t>
            </w:r>
            <w:r w:rsidRPr="005D330E">
              <w:rPr>
                <w:rFonts w:eastAsia="Times New Roman"/>
                <w:color w:val="auto"/>
                <w:lang w:eastAsia="en-US"/>
              </w:rPr>
              <w:t>roklub</w:t>
            </w:r>
            <w:proofErr w:type="spellEnd"/>
          </w:p>
        </w:tc>
        <w:tc>
          <w:tcPr>
            <w:tcW w:w="1248" w:type="dxa"/>
            <w:tcBorders>
              <w:top w:val="single" w:sz="4" w:space="0" w:color="auto"/>
              <w:left w:val="single" w:sz="4" w:space="0" w:color="auto"/>
              <w:bottom w:val="single" w:sz="4" w:space="0" w:color="auto"/>
              <w:right w:val="single" w:sz="4" w:space="0" w:color="auto"/>
            </w:tcBorders>
          </w:tcPr>
          <w:p w14:paraId="36C9441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4702B5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B74A03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39359A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D4600FD" w14:textId="067EC08C"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7A1E08D6" w14:textId="77777777" w:rsidR="005D330E" w:rsidRPr="005D330E" w:rsidRDefault="005D330E" w:rsidP="005D330E">
            <w:pPr>
              <w:rPr>
                <w:rFonts w:eastAsia="Times New Roman"/>
                <w:color w:val="auto"/>
                <w:lang w:eastAsia="en-US"/>
              </w:rPr>
            </w:pPr>
            <w:r w:rsidRPr="005D330E">
              <w:rPr>
                <w:rFonts w:eastAsia="Times New Roman"/>
                <w:color w:val="auto"/>
                <w:lang w:eastAsia="en-US"/>
              </w:rPr>
              <w:t>KZ &amp; Veteranfly Klubben</w:t>
            </w:r>
          </w:p>
        </w:tc>
        <w:tc>
          <w:tcPr>
            <w:tcW w:w="1248" w:type="dxa"/>
            <w:tcBorders>
              <w:top w:val="single" w:sz="4" w:space="0" w:color="auto"/>
              <w:left w:val="single" w:sz="4" w:space="0" w:color="auto"/>
              <w:bottom w:val="single" w:sz="4" w:space="0" w:color="auto"/>
              <w:right w:val="single" w:sz="4" w:space="0" w:color="auto"/>
            </w:tcBorders>
          </w:tcPr>
          <w:p w14:paraId="2C229C8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0B9363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658B1C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47AD686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0228CFFB" w14:textId="628B9521"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1A0D56F" w14:textId="77777777" w:rsidR="005D330E" w:rsidRPr="005D330E" w:rsidRDefault="005D330E" w:rsidP="005D330E">
            <w:pPr>
              <w:rPr>
                <w:rFonts w:eastAsia="Times New Roman"/>
                <w:color w:val="auto"/>
                <w:lang w:eastAsia="en-US"/>
              </w:rPr>
            </w:pPr>
            <w:r w:rsidRPr="005D330E">
              <w:rPr>
                <w:rFonts w:eastAsia="Times New Roman"/>
                <w:color w:val="auto"/>
                <w:lang w:eastAsia="en-US"/>
              </w:rPr>
              <w:t>Københavns Lufthavne A/S</w:t>
            </w:r>
          </w:p>
        </w:tc>
        <w:tc>
          <w:tcPr>
            <w:tcW w:w="1248" w:type="dxa"/>
            <w:tcBorders>
              <w:top w:val="single" w:sz="4" w:space="0" w:color="auto"/>
              <w:left w:val="single" w:sz="4" w:space="0" w:color="auto"/>
              <w:bottom w:val="single" w:sz="4" w:space="0" w:color="auto"/>
              <w:right w:val="single" w:sz="4" w:space="0" w:color="auto"/>
            </w:tcBorders>
          </w:tcPr>
          <w:p w14:paraId="039E245D" w14:textId="3172592F" w:rsidR="005D330E" w:rsidRPr="005D330E" w:rsidRDefault="00E65EC0" w:rsidP="00E65EC0">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08029B49" w14:textId="0AD4302D" w:rsidR="005D330E" w:rsidRPr="005D330E" w:rsidRDefault="00E65EC0" w:rsidP="00E65EC0">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276" w:type="dxa"/>
            <w:tcBorders>
              <w:top w:val="single" w:sz="4" w:space="0" w:color="auto"/>
              <w:left w:val="single" w:sz="4" w:space="0" w:color="auto"/>
              <w:bottom w:val="single" w:sz="4" w:space="0" w:color="auto"/>
              <w:right w:val="single" w:sz="4" w:space="0" w:color="auto"/>
            </w:tcBorders>
          </w:tcPr>
          <w:p w14:paraId="101D212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FE4FF0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71F6819" w14:textId="2F18D343"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72BF7CB0" w14:textId="77777777" w:rsidR="005D330E" w:rsidRPr="005D330E" w:rsidRDefault="005D330E" w:rsidP="005D330E">
            <w:pPr>
              <w:rPr>
                <w:rFonts w:eastAsia="Times New Roman"/>
                <w:color w:val="auto"/>
                <w:lang w:eastAsia="en-US"/>
              </w:rPr>
            </w:pPr>
            <w:r w:rsidRPr="005D330E">
              <w:rPr>
                <w:rFonts w:eastAsia="Times New Roman"/>
                <w:color w:val="auto"/>
                <w:lang w:eastAsia="en-US"/>
              </w:rPr>
              <w:t>Landdistrikternes Fællesråd</w:t>
            </w:r>
          </w:p>
        </w:tc>
        <w:tc>
          <w:tcPr>
            <w:tcW w:w="1248" w:type="dxa"/>
            <w:tcBorders>
              <w:top w:val="single" w:sz="4" w:space="0" w:color="auto"/>
              <w:left w:val="single" w:sz="4" w:space="0" w:color="auto"/>
              <w:bottom w:val="single" w:sz="4" w:space="0" w:color="auto"/>
              <w:right w:val="single" w:sz="4" w:space="0" w:color="auto"/>
            </w:tcBorders>
          </w:tcPr>
          <w:p w14:paraId="5CC84A9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E6AC9D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364A99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66D86C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73CB2B56" w14:textId="12D79D0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AE950BC" w14:textId="77777777" w:rsidR="005D330E" w:rsidRPr="005D330E" w:rsidRDefault="005D330E" w:rsidP="005D330E">
            <w:pPr>
              <w:rPr>
                <w:rFonts w:eastAsia="Times New Roman"/>
                <w:color w:val="auto"/>
                <w:lang w:eastAsia="en-US"/>
              </w:rPr>
            </w:pPr>
            <w:r w:rsidRPr="005D330E">
              <w:rPr>
                <w:rFonts w:eastAsia="Times New Roman"/>
                <w:color w:val="auto"/>
                <w:lang w:eastAsia="en-US"/>
              </w:rPr>
              <w:t>Landsorganisationen i Danmark (LO)</w:t>
            </w:r>
          </w:p>
        </w:tc>
        <w:tc>
          <w:tcPr>
            <w:tcW w:w="1248" w:type="dxa"/>
            <w:tcBorders>
              <w:top w:val="single" w:sz="4" w:space="0" w:color="auto"/>
              <w:left w:val="single" w:sz="4" w:space="0" w:color="auto"/>
              <w:bottom w:val="single" w:sz="4" w:space="0" w:color="auto"/>
              <w:right w:val="single" w:sz="4" w:space="0" w:color="auto"/>
            </w:tcBorders>
          </w:tcPr>
          <w:p w14:paraId="32AD3B6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132C2DA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EB4ED2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4AF627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A94D47D" w14:textId="0760678A"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544A89C9" w14:textId="77777777" w:rsidR="005D330E" w:rsidRPr="005D330E" w:rsidRDefault="005D330E" w:rsidP="005D330E">
            <w:pPr>
              <w:rPr>
                <w:rFonts w:eastAsia="Times New Roman"/>
                <w:color w:val="auto"/>
                <w:lang w:eastAsia="en-US"/>
              </w:rPr>
            </w:pPr>
            <w:r w:rsidRPr="005D330E">
              <w:rPr>
                <w:rFonts w:eastAsia="Times New Roman"/>
                <w:color w:val="auto"/>
                <w:lang w:eastAsia="en-US"/>
              </w:rPr>
              <w:t>Ledernes Hovedorganisation</w:t>
            </w:r>
          </w:p>
        </w:tc>
        <w:tc>
          <w:tcPr>
            <w:tcW w:w="1248" w:type="dxa"/>
            <w:tcBorders>
              <w:top w:val="single" w:sz="4" w:space="0" w:color="auto"/>
              <w:left w:val="single" w:sz="4" w:space="0" w:color="auto"/>
              <w:bottom w:val="single" w:sz="4" w:space="0" w:color="auto"/>
              <w:right w:val="single" w:sz="4" w:space="0" w:color="auto"/>
            </w:tcBorders>
          </w:tcPr>
          <w:p w14:paraId="317EE90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9835DD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61D89B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870CE8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7764E4BE" w14:textId="3A8F3FEB"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2FC36E22" w14:textId="77777777" w:rsidR="005D330E" w:rsidRPr="005D330E" w:rsidRDefault="005D330E" w:rsidP="005D330E">
            <w:pPr>
              <w:rPr>
                <w:rFonts w:eastAsia="Times New Roman"/>
                <w:color w:val="auto"/>
                <w:lang w:eastAsia="en-US"/>
              </w:rPr>
            </w:pPr>
            <w:r w:rsidRPr="005D330E">
              <w:rPr>
                <w:rFonts w:eastAsia="Times New Roman"/>
                <w:color w:val="auto"/>
                <w:lang w:eastAsia="en-US"/>
              </w:rPr>
              <w:t>Modelflyvning Danmark (MDK)</w:t>
            </w:r>
          </w:p>
        </w:tc>
        <w:tc>
          <w:tcPr>
            <w:tcW w:w="1248" w:type="dxa"/>
            <w:tcBorders>
              <w:top w:val="single" w:sz="4" w:space="0" w:color="auto"/>
              <w:left w:val="single" w:sz="4" w:space="0" w:color="auto"/>
              <w:bottom w:val="single" w:sz="4" w:space="0" w:color="auto"/>
              <w:right w:val="single" w:sz="4" w:space="0" w:color="auto"/>
            </w:tcBorders>
          </w:tcPr>
          <w:p w14:paraId="06A6460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F3FF45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129D50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493FDA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74630160" w14:textId="5C76BCFE" w:rsidTr="00B6130D">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hideMark/>
          </w:tcPr>
          <w:p w14:paraId="74A8376B" w14:textId="77777777" w:rsidR="005D330E" w:rsidRPr="005D330E" w:rsidRDefault="005D330E" w:rsidP="005D330E">
            <w:pPr>
              <w:rPr>
                <w:rFonts w:eastAsia="Times New Roman"/>
                <w:color w:val="auto"/>
                <w:lang w:eastAsia="en-US"/>
              </w:rPr>
            </w:pPr>
            <w:r w:rsidRPr="005D330E">
              <w:rPr>
                <w:rFonts w:eastAsia="Times New Roman"/>
                <w:color w:val="auto"/>
                <w:lang w:eastAsia="en-US"/>
              </w:rPr>
              <w:t>Naviair</w:t>
            </w:r>
          </w:p>
        </w:tc>
        <w:tc>
          <w:tcPr>
            <w:tcW w:w="1248" w:type="dxa"/>
            <w:tcBorders>
              <w:top w:val="single" w:sz="4" w:space="0" w:color="auto"/>
              <w:left w:val="single" w:sz="4" w:space="0" w:color="auto"/>
              <w:bottom w:val="single" w:sz="4" w:space="0" w:color="auto"/>
              <w:right w:val="single" w:sz="4" w:space="0" w:color="auto"/>
            </w:tcBorders>
          </w:tcPr>
          <w:p w14:paraId="3780977E" w14:textId="46757009" w:rsidR="005D330E" w:rsidRPr="005D330E" w:rsidRDefault="00E847DB" w:rsidP="00E847DB">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2E96D0AE" w14:textId="77777777" w:rsidR="005D330E" w:rsidRPr="005D330E" w:rsidRDefault="005D330E" w:rsidP="00E847DB">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F15D8C0" w14:textId="2257E8A8" w:rsidR="005D330E" w:rsidRPr="005D330E" w:rsidRDefault="00E847DB" w:rsidP="00E847DB">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411" w:type="dxa"/>
            <w:tcBorders>
              <w:top w:val="single" w:sz="4" w:space="0" w:color="auto"/>
              <w:left w:val="single" w:sz="4" w:space="0" w:color="auto"/>
              <w:bottom w:val="single" w:sz="4" w:space="0" w:color="auto"/>
              <w:right w:val="single" w:sz="4" w:space="0" w:color="auto"/>
            </w:tcBorders>
          </w:tcPr>
          <w:p w14:paraId="523D477F" w14:textId="77777777" w:rsidR="005D330E" w:rsidRPr="005D330E" w:rsidRDefault="005D330E" w:rsidP="00E847DB">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8DDC2AD" w14:textId="13ECAA35"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538A34F" w14:textId="77777777" w:rsidR="005D330E" w:rsidRPr="005D330E" w:rsidRDefault="005D330E" w:rsidP="005D330E">
            <w:pPr>
              <w:rPr>
                <w:rFonts w:eastAsia="Times New Roman"/>
                <w:color w:val="auto"/>
                <w:lang w:eastAsia="en-US"/>
              </w:rPr>
            </w:pPr>
            <w:r w:rsidRPr="005D330E">
              <w:rPr>
                <w:rFonts w:eastAsia="Times New Roman"/>
                <w:color w:val="auto"/>
                <w:lang w:eastAsia="en-US"/>
              </w:rPr>
              <w:t>NOAH-Trafik</w:t>
            </w:r>
          </w:p>
        </w:tc>
        <w:tc>
          <w:tcPr>
            <w:tcW w:w="1248" w:type="dxa"/>
            <w:tcBorders>
              <w:top w:val="single" w:sz="4" w:space="0" w:color="auto"/>
              <w:left w:val="single" w:sz="4" w:space="0" w:color="auto"/>
              <w:bottom w:val="single" w:sz="4" w:space="0" w:color="auto"/>
              <w:right w:val="single" w:sz="4" w:space="0" w:color="auto"/>
            </w:tcBorders>
          </w:tcPr>
          <w:p w14:paraId="57A5594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99CA17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D34CBA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94A694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2A2B805" w14:textId="36B5A136"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2E822A6F" w14:textId="77777777" w:rsidR="005D330E" w:rsidRPr="005D330E" w:rsidRDefault="005D330E" w:rsidP="005D330E">
            <w:pPr>
              <w:rPr>
                <w:rFonts w:eastAsia="Times New Roman"/>
                <w:color w:val="auto"/>
                <w:lang w:eastAsia="en-US"/>
              </w:rPr>
            </w:pPr>
            <w:r w:rsidRPr="005D330E">
              <w:rPr>
                <w:rFonts w:eastAsia="Times New Roman"/>
                <w:color w:val="auto"/>
                <w:lang w:eastAsia="en-US"/>
              </w:rPr>
              <w:t>Nordjyllands Trafikselskab</w:t>
            </w:r>
          </w:p>
        </w:tc>
        <w:tc>
          <w:tcPr>
            <w:tcW w:w="1248" w:type="dxa"/>
            <w:tcBorders>
              <w:top w:val="single" w:sz="4" w:space="0" w:color="auto"/>
              <w:left w:val="single" w:sz="4" w:space="0" w:color="auto"/>
              <w:bottom w:val="single" w:sz="4" w:space="0" w:color="auto"/>
              <w:right w:val="single" w:sz="4" w:space="0" w:color="auto"/>
            </w:tcBorders>
          </w:tcPr>
          <w:p w14:paraId="518B909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C77254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B2BDAD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0F654F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EC8F2D1" w14:textId="3526FC26"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77A6D89" w14:textId="77777777" w:rsidR="005D330E" w:rsidRPr="005D330E" w:rsidRDefault="005D330E" w:rsidP="005D330E">
            <w:pPr>
              <w:rPr>
                <w:rFonts w:eastAsia="Times New Roman"/>
                <w:color w:val="auto"/>
                <w:lang w:eastAsia="en-US"/>
              </w:rPr>
            </w:pPr>
            <w:r w:rsidRPr="005D330E">
              <w:rPr>
                <w:rFonts w:eastAsia="Times New Roman"/>
                <w:color w:val="auto"/>
                <w:lang w:eastAsia="en-US"/>
              </w:rPr>
              <w:lastRenderedPageBreak/>
              <w:t>Offentligt Ansattes Organisationer (OAO)</w:t>
            </w:r>
          </w:p>
        </w:tc>
        <w:tc>
          <w:tcPr>
            <w:tcW w:w="1248" w:type="dxa"/>
            <w:tcBorders>
              <w:top w:val="single" w:sz="4" w:space="0" w:color="auto"/>
              <w:left w:val="single" w:sz="4" w:space="0" w:color="auto"/>
              <w:bottom w:val="single" w:sz="4" w:space="0" w:color="auto"/>
              <w:right w:val="single" w:sz="4" w:space="0" w:color="auto"/>
            </w:tcBorders>
          </w:tcPr>
          <w:p w14:paraId="5A7B763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56D13D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6B5D19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3A4051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C6F78BB" w14:textId="366306B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E1811CB" w14:textId="77777777" w:rsidR="005D330E" w:rsidRPr="005D330E" w:rsidRDefault="005D330E" w:rsidP="005D330E">
            <w:pPr>
              <w:rPr>
                <w:rFonts w:eastAsia="Times New Roman"/>
                <w:color w:val="auto"/>
                <w:lang w:eastAsia="en-US"/>
              </w:rPr>
            </w:pPr>
            <w:r w:rsidRPr="005D330E">
              <w:rPr>
                <w:rFonts w:eastAsia="Times New Roman"/>
                <w:color w:val="auto"/>
                <w:lang w:eastAsia="en-US"/>
              </w:rPr>
              <w:t>Partnerskabet for brint og brændselsceller</w:t>
            </w:r>
          </w:p>
        </w:tc>
        <w:tc>
          <w:tcPr>
            <w:tcW w:w="1248" w:type="dxa"/>
            <w:tcBorders>
              <w:top w:val="single" w:sz="4" w:space="0" w:color="auto"/>
              <w:left w:val="single" w:sz="4" w:space="0" w:color="auto"/>
              <w:bottom w:val="single" w:sz="4" w:space="0" w:color="auto"/>
              <w:right w:val="single" w:sz="4" w:space="0" w:color="auto"/>
            </w:tcBorders>
          </w:tcPr>
          <w:p w14:paraId="5B03389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350833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AF2C8A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004598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F662DAE" w14:textId="11EBE78A"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B776B90" w14:textId="77777777" w:rsidR="005D330E" w:rsidRPr="005D330E" w:rsidRDefault="005D330E" w:rsidP="005D330E">
            <w:pPr>
              <w:rPr>
                <w:rFonts w:eastAsia="Times New Roman"/>
                <w:color w:val="auto"/>
                <w:lang w:eastAsia="en-US"/>
              </w:rPr>
            </w:pPr>
            <w:r w:rsidRPr="005D330E">
              <w:rPr>
                <w:rFonts w:eastAsia="Times New Roman"/>
                <w:color w:val="auto"/>
                <w:lang w:eastAsia="en-US"/>
              </w:rPr>
              <w:t>Rådet for Bæredygtig Trafik</w:t>
            </w:r>
          </w:p>
        </w:tc>
        <w:tc>
          <w:tcPr>
            <w:tcW w:w="1248" w:type="dxa"/>
            <w:tcBorders>
              <w:top w:val="single" w:sz="4" w:space="0" w:color="auto"/>
              <w:left w:val="single" w:sz="4" w:space="0" w:color="auto"/>
              <w:bottom w:val="single" w:sz="4" w:space="0" w:color="auto"/>
              <w:right w:val="single" w:sz="4" w:space="0" w:color="auto"/>
            </w:tcBorders>
          </w:tcPr>
          <w:p w14:paraId="3300BE3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886CF1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1FA442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21E5BE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BB0316B" w14:textId="01B833F7"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1DF35929" w14:textId="77777777" w:rsidR="005D330E" w:rsidRPr="005D330E" w:rsidRDefault="005D330E" w:rsidP="005D330E">
            <w:pPr>
              <w:rPr>
                <w:rFonts w:eastAsia="Times New Roman"/>
                <w:color w:val="auto"/>
                <w:lang w:eastAsia="en-US"/>
              </w:rPr>
            </w:pPr>
            <w:r w:rsidRPr="005D330E">
              <w:rPr>
                <w:rFonts w:eastAsia="Times New Roman"/>
                <w:color w:val="auto"/>
                <w:lang w:eastAsia="en-US"/>
              </w:rPr>
              <w:t>Rådet for grøn omstilling</w:t>
            </w:r>
          </w:p>
        </w:tc>
        <w:tc>
          <w:tcPr>
            <w:tcW w:w="1248" w:type="dxa"/>
            <w:tcBorders>
              <w:top w:val="single" w:sz="4" w:space="0" w:color="auto"/>
              <w:left w:val="single" w:sz="4" w:space="0" w:color="auto"/>
              <w:bottom w:val="single" w:sz="4" w:space="0" w:color="auto"/>
              <w:right w:val="single" w:sz="4" w:space="0" w:color="auto"/>
            </w:tcBorders>
          </w:tcPr>
          <w:p w14:paraId="083B9A8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9C9E3F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41B6090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2AE410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C62A590" w14:textId="4202840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5164A033" w14:textId="77777777" w:rsidR="005D330E" w:rsidRPr="005D330E" w:rsidRDefault="005D330E" w:rsidP="005D330E">
            <w:pPr>
              <w:rPr>
                <w:rFonts w:eastAsia="Times New Roman"/>
                <w:color w:val="auto"/>
                <w:lang w:eastAsia="en-US"/>
              </w:rPr>
            </w:pPr>
            <w:r w:rsidRPr="005D330E">
              <w:rPr>
                <w:rFonts w:eastAsia="Times New Roman"/>
                <w:color w:val="auto"/>
                <w:lang w:eastAsia="en-US"/>
              </w:rPr>
              <w:t>Rådet for Sikker Trafik</w:t>
            </w:r>
          </w:p>
        </w:tc>
        <w:tc>
          <w:tcPr>
            <w:tcW w:w="1248" w:type="dxa"/>
            <w:tcBorders>
              <w:top w:val="single" w:sz="4" w:space="0" w:color="auto"/>
              <w:left w:val="single" w:sz="4" w:space="0" w:color="auto"/>
              <w:bottom w:val="single" w:sz="4" w:space="0" w:color="auto"/>
              <w:right w:val="single" w:sz="4" w:space="0" w:color="auto"/>
            </w:tcBorders>
          </w:tcPr>
          <w:p w14:paraId="228ACA9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BAF7C2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DDC41A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58F545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6B8002F" w14:textId="16A33AA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0F764169" w14:textId="77777777" w:rsidR="005D330E" w:rsidRPr="005D330E" w:rsidRDefault="005D330E" w:rsidP="005D330E">
            <w:pPr>
              <w:rPr>
                <w:rFonts w:eastAsia="Times New Roman"/>
                <w:color w:val="auto"/>
                <w:lang w:eastAsia="en-US"/>
              </w:rPr>
            </w:pPr>
            <w:r w:rsidRPr="005D330E">
              <w:rPr>
                <w:rFonts w:eastAsia="Times New Roman"/>
                <w:color w:val="auto"/>
                <w:lang w:eastAsia="en-US"/>
              </w:rPr>
              <w:t>SAS</w:t>
            </w:r>
          </w:p>
        </w:tc>
        <w:tc>
          <w:tcPr>
            <w:tcW w:w="1248" w:type="dxa"/>
            <w:tcBorders>
              <w:top w:val="single" w:sz="4" w:space="0" w:color="auto"/>
              <w:left w:val="single" w:sz="4" w:space="0" w:color="auto"/>
              <w:bottom w:val="single" w:sz="4" w:space="0" w:color="auto"/>
              <w:right w:val="single" w:sz="4" w:space="0" w:color="auto"/>
            </w:tcBorders>
          </w:tcPr>
          <w:p w14:paraId="00A73662" w14:textId="1E74F2A4" w:rsidR="005D330E" w:rsidRPr="005D330E" w:rsidRDefault="00690909" w:rsidP="0069090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2838C9F0" w14:textId="387CE0FC" w:rsidR="005D330E" w:rsidRPr="005D330E" w:rsidRDefault="00690909" w:rsidP="0069090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276" w:type="dxa"/>
            <w:tcBorders>
              <w:top w:val="single" w:sz="4" w:space="0" w:color="auto"/>
              <w:left w:val="single" w:sz="4" w:space="0" w:color="auto"/>
              <w:bottom w:val="single" w:sz="4" w:space="0" w:color="auto"/>
              <w:right w:val="single" w:sz="4" w:space="0" w:color="auto"/>
            </w:tcBorders>
          </w:tcPr>
          <w:p w14:paraId="544B3AE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0F0D5F8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1A02EDD" w14:textId="0F1574A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BEBD6E7" w14:textId="77777777" w:rsidR="005D330E" w:rsidRPr="005D330E" w:rsidRDefault="005D330E" w:rsidP="005D330E">
            <w:pPr>
              <w:rPr>
                <w:rFonts w:eastAsia="Times New Roman"/>
                <w:color w:val="auto"/>
                <w:lang w:eastAsia="en-US"/>
              </w:rPr>
            </w:pPr>
            <w:r w:rsidRPr="005D330E">
              <w:rPr>
                <w:rFonts w:eastAsia="Times New Roman"/>
                <w:color w:val="auto"/>
                <w:lang w:eastAsia="en-US"/>
              </w:rPr>
              <w:t>Serviceforbundet</w:t>
            </w:r>
          </w:p>
        </w:tc>
        <w:tc>
          <w:tcPr>
            <w:tcW w:w="1248" w:type="dxa"/>
            <w:tcBorders>
              <w:top w:val="single" w:sz="4" w:space="0" w:color="auto"/>
              <w:left w:val="single" w:sz="4" w:space="0" w:color="auto"/>
              <w:bottom w:val="single" w:sz="4" w:space="0" w:color="auto"/>
              <w:right w:val="single" w:sz="4" w:space="0" w:color="auto"/>
            </w:tcBorders>
          </w:tcPr>
          <w:p w14:paraId="45BC63DA"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FD97E1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87B445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4528617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8BEEE40" w14:textId="392FDA50"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932B10C" w14:textId="77777777" w:rsidR="005D330E" w:rsidRPr="005D330E" w:rsidRDefault="005D330E" w:rsidP="005D330E">
            <w:pPr>
              <w:rPr>
                <w:rFonts w:eastAsia="Times New Roman"/>
                <w:color w:val="auto"/>
                <w:lang w:eastAsia="en-US"/>
              </w:rPr>
            </w:pPr>
            <w:r w:rsidRPr="005D330E">
              <w:rPr>
                <w:rFonts w:eastAsia="Times New Roman"/>
                <w:color w:val="auto"/>
                <w:lang w:eastAsia="en-US"/>
              </w:rPr>
              <w:t>Sun Air</w:t>
            </w:r>
          </w:p>
        </w:tc>
        <w:tc>
          <w:tcPr>
            <w:tcW w:w="1248" w:type="dxa"/>
            <w:tcBorders>
              <w:top w:val="single" w:sz="4" w:space="0" w:color="auto"/>
              <w:left w:val="single" w:sz="4" w:space="0" w:color="auto"/>
              <w:bottom w:val="single" w:sz="4" w:space="0" w:color="auto"/>
              <w:right w:val="single" w:sz="4" w:space="0" w:color="auto"/>
            </w:tcBorders>
          </w:tcPr>
          <w:p w14:paraId="6ED08CF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D54CC9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098892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BD6FED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133DA23" w14:textId="01FC28EC"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7FC705BB" w14:textId="77777777" w:rsidR="005D330E" w:rsidRPr="005D330E" w:rsidRDefault="005D330E" w:rsidP="005D330E">
            <w:pPr>
              <w:rPr>
                <w:rFonts w:eastAsia="Times New Roman"/>
                <w:color w:val="auto"/>
                <w:lang w:eastAsia="en-US"/>
              </w:rPr>
            </w:pPr>
            <w:r w:rsidRPr="005D330E">
              <w:rPr>
                <w:rFonts w:eastAsia="Times New Roman"/>
                <w:color w:val="auto"/>
                <w:lang w:eastAsia="en-US"/>
              </w:rPr>
              <w:t>Sundhedskartellet</w:t>
            </w:r>
          </w:p>
        </w:tc>
        <w:tc>
          <w:tcPr>
            <w:tcW w:w="1248" w:type="dxa"/>
            <w:tcBorders>
              <w:top w:val="single" w:sz="4" w:space="0" w:color="auto"/>
              <w:left w:val="single" w:sz="4" w:space="0" w:color="auto"/>
              <w:bottom w:val="single" w:sz="4" w:space="0" w:color="auto"/>
              <w:right w:val="single" w:sz="4" w:space="0" w:color="auto"/>
            </w:tcBorders>
          </w:tcPr>
          <w:p w14:paraId="78D3535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203C40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781BFC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41BAA7E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0A7DB9DB" w14:textId="30C7E4F2"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0D44264B" w14:textId="77777777" w:rsidR="005D330E" w:rsidRPr="005D330E" w:rsidRDefault="005D330E" w:rsidP="005D330E">
            <w:pPr>
              <w:rPr>
                <w:rFonts w:eastAsia="Times New Roman"/>
                <w:color w:val="auto"/>
                <w:lang w:eastAsia="en-US"/>
              </w:rPr>
            </w:pPr>
            <w:proofErr w:type="spellStart"/>
            <w:r w:rsidRPr="005D330E">
              <w:rPr>
                <w:rFonts w:eastAsia="Times New Roman"/>
                <w:color w:val="auto"/>
                <w:lang w:eastAsia="en-US"/>
              </w:rPr>
              <w:t>Sydtrafik</w:t>
            </w:r>
            <w:proofErr w:type="spellEnd"/>
          </w:p>
        </w:tc>
        <w:tc>
          <w:tcPr>
            <w:tcW w:w="1248" w:type="dxa"/>
            <w:tcBorders>
              <w:top w:val="single" w:sz="4" w:space="0" w:color="auto"/>
              <w:left w:val="single" w:sz="4" w:space="0" w:color="auto"/>
              <w:bottom w:val="single" w:sz="4" w:space="0" w:color="auto"/>
              <w:right w:val="single" w:sz="4" w:space="0" w:color="auto"/>
            </w:tcBorders>
          </w:tcPr>
          <w:p w14:paraId="432A13C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0C35EB2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12F9BF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FA6DFD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183FE3C" w14:textId="3FE649B2"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44FB94A" w14:textId="77777777" w:rsidR="005D330E" w:rsidRPr="005D330E" w:rsidRDefault="005D330E" w:rsidP="005D330E">
            <w:pPr>
              <w:rPr>
                <w:rFonts w:eastAsia="Times New Roman"/>
                <w:color w:val="auto"/>
                <w:lang w:eastAsia="en-US"/>
              </w:rPr>
            </w:pPr>
            <w:r w:rsidRPr="005D330E">
              <w:rPr>
                <w:rFonts w:eastAsia="Times New Roman"/>
                <w:color w:val="auto"/>
                <w:lang w:eastAsia="en-US"/>
              </w:rPr>
              <w:t>Sønderborg Lufthavn</w:t>
            </w:r>
          </w:p>
        </w:tc>
        <w:tc>
          <w:tcPr>
            <w:tcW w:w="1248" w:type="dxa"/>
            <w:tcBorders>
              <w:top w:val="single" w:sz="4" w:space="0" w:color="auto"/>
              <w:left w:val="single" w:sz="4" w:space="0" w:color="auto"/>
              <w:bottom w:val="single" w:sz="4" w:space="0" w:color="auto"/>
              <w:right w:val="single" w:sz="4" w:space="0" w:color="auto"/>
            </w:tcBorders>
          </w:tcPr>
          <w:p w14:paraId="320E6FA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BBFB98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BEC0E1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00A5FE9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2582C3C0" w14:textId="7B25BBC7"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FBD2008" w14:textId="77777777" w:rsidR="005D330E" w:rsidRPr="005D330E" w:rsidRDefault="005D330E" w:rsidP="005D330E">
            <w:pPr>
              <w:rPr>
                <w:rFonts w:eastAsia="Times New Roman"/>
                <w:color w:val="auto"/>
                <w:lang w:eastAsia="en-US"/>
              </w:rPr>
            </w:pPr>
            <w:r w:rsidRPr="005D330E">
              <w:rPr>
                <w:rFonts w:eastAsia="Times New Roman"/>
                <w:color w:val="auto"/>
                <w:lang w:eastAsia="en-US"/>
              </w:rPr>
              <w:t>Teknisk Landsforbund</w:t>
            </w:r>
          </w:p>
        </w:tc>
        <w:tc>
          <w:tcPr>
            <w:tcW w:w="1248" w:type="dxa"/>
            <w:tcBorders>
              <w:top w:val="single" w:sz="4" w:space="0" w:color="auto"/>
              <w:left w:val="single" w:sz="4" w:space="0" w:color="auto"/>
              <w:bottom w:val="single" w:sz="4" w:space="0" w:color="auto"/>
              <w:right w:val="single" w:sz="4" w:space="0" w:color="auto"/>
            </w:tcBorders>
          </w:tcPr>
          <w:p w14:paraId="718CCC0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85A1E3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C07F79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1A1ACF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EE92E46" w14:textId="627565DB"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249C655C" w14:textId="77777777" w:rsidR="005D330E" w:rsidRPr="005D330E" w:rsidRDefault="005D330E" w:rsidP="005D330E">
            <w:pPr>
              <w:rPr>
                <w:rFonts w:eastAsia="Times New Roman"/>
                <w:color w:val="auto"/>
                <w:lang w:eastAsia="en-US"/>
              </w:rPr>
            </w:pPr>
            <w:r w:rsidRPr="005D330E">
              <w:rPr>
                <w:rFonts w:eastAsia="Times New Roman"/>
                <w:color w:val="auto"/>
                <w:lang w:eastAsia="en-US"/>
              </w:rPr>
              <w:lastRenderedPageBreak/>
              <w:t>Teknologisk Institut</w:t>
            </w:r>
          </w:p>
        </w:tc>
        <w:tc>
          <w:tcPr>
            <w:tcW w:w="1248" w:type="dxa"/>
            <w:tcBorders>
              <w:top w:val="single" w:sz="4" w:space="0" w:color="auto"/>
              <w:left w:val="single" w:sz="4" w:space="0" w:color="auto"/>
              <w:bottom w:val="single" w:sz="4" w:space="0" w:color="auto"/>
              <w:right w:val="single" w:sz="4" w:space="0" w:color="auto"/>
            </w:tcBorders>
          </w:tcPr>
          <w:p w14:paraId="3E6868A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1E5AE91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4B5245C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4CD1729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25C675EA" w14:textId="1A256073"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72A10194" w14:textId="77777777" w:rsidR="005D330E" w:rsidRPr="005D330E" w:rsidRDefault="005D330E" w:rsidP="005D330E">
            <w:pPr>
              <w:rPr>
                <w:rFonts w:eastAsia="Times New Roman"/>
                <w:color w:val="auto"/>
                <w:lang w:eastAsia="en-US"/>
              </w:rPr>
            </w:pPr>
            <w:r w:rsidRPr="005D330E">
              <w:rPr>
                <w:rFonts w:eastAsia="Times New Roman"/>
                <w:color w:val="auto"/>
                <w:lang w:eastAsia="en-US"/>
              </w:rPr>
              <w:t>Trafikforbundet</w:t>
            </w:r>
          </w:p>
        </w:tc>
        <w:tc>
          <w:tcPr>
            <w:tcW w:w="1248" w:type="dxa"/>
            <w:tcBorders>
              <w:top w:val="single" w:sz="4" w:space="0" w:color="auto"/>
              <w:left w:val="single" w:sz="4" w:space="0" w:color="auto"/>
              <w:bottom w:val="single" w:sz="4" w:space="0" w:color="auto"/>
              <w:right w:val="single" w:sz="4" w:space="0" w:color="auto"/>
            </w:tcBorders>
          </w:tcPr>
          <w:p w14:paraId="390E71B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235F43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2658A3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26F1D69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0F144610" w14:textId="26C2759D"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49A66241" w14:textId="77777777" w:rsidR="005D330E" w:rsidRPr="005D330E" w:rsidRDefault="005D330E" w:rsidP="005D330E">
            <w:pPr>
              <w:rPr>
                <w:rFonts w:eastAsia="Times New Roman"/>
                <w:color w:val="auto"/>
                <w:lang w:eastAsia="en-US"/>
              </w:rPr>
            </w:pPr>
            <w:r w:rsidRPr="005D330E">
              <w:rPr>
                <w:rFonts w:eastAsia="Times New Roman"/>
                <w:color w:val="auto"/>
                <w:lang w:eastAsia="en-US"/>
              </w:rPr>
              <w:t xml:space="preserve">Trafikforskningsgruppen ved Aalborg Universitet </w:t>
            </w:r>
          </w:p>
        </w:tc>
        <w:tc>
          <w:tcPr>
            <w:tcW w:w="1248" w:type="dxa"/>
            <w:tcBorders>
              <w:top w:val="single" w:sz="4" w:space="0" w:color="auto"/>
              <w:left w:val="single" w:sz="4" w:space="0" w:color="auto"/>
              <w:bottom w:val="single" w:sz="4" w:space="0" w:color="auto"/>
              <w:right w:val="single" w:sz="4" w:space="0" w:color="auto"/>
            </w:tcBorders>
          </w:tcPr>
          <w:p w14:paraId="1EE0C27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6AB14C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13D8177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0D26CD3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76FDB4DF" w14:textId="249AC3BE"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25CAFAA1" w14:textId="71FD865A" w:rsidR="005D330E" w:rsidRPr="005D330E" w:rsidRDefault="005D330E" w:rsidP="005D330E">
            <w:pPr>
              <w:rPr>
                <w:rFonts w:eastAsia="Times New Roman"/>
                <w:color w:val="auto"/>
                <w:lang w:eastAsia="en-US"/>
              </w:rPr>
            </w:pPr>
            <w:r w:rsidRPr="005D330E">
              <w:rPr>
                <w:rFonts w:eastAsia="Times New Roman"/>
                <w:color w:val="auto"/>
                <w:lang w:eastAsia="en-US"/>
              </w:rPr>
              <w:t xml:space="preserve">Trafikselskaberne i Danmark </w:t>
            </w:r>
          </w:p>
        </w:tc>
        <w:tc>
          <w:tcPr>
            <w:tcW w:w="1248" w:type="dxa"/>
            <w:tcBorders>
              <w:top w:val="single" w:sz="4" w:space="0" w:color="auto"/>
              <w:left w:val="single" w:sz="4" w:space="0" w:color="auto"/>
              <w:bottom w:val="single" w:sz="4" w:space="0" w:color="auto"/>
              <w:right w:val="single" w:sz="4" w:space="0" w:color="auto"/>
            </w:tcBorders>
          </w:tcPr>
          <w:p w14:paraId="75E3188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F9A118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10CC27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0541BE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4ADFE28B" w14:textId="703B6F33"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41B4A9B8" w14:textId="77777777" w:rsidR="005D330E" w:rsidRPr="005D330E" w:rsidRDefault="005D330E" w:rsidP="005D330E">
            <w:pPr>
              <w:rPr>
                <w:rFonts w:eastAsia="Times New Roman"/>
                <w:color w:val="auto"/>
                <w:lang w:eastAsia="en-US"/>
              </w:rPr>
            </w:pPr>
            <w:r w:rsidRPr="005D330E">
              <w:rPr>
                <w:rFonts w:eastAsia="Times New Roman"/>
                <w:color w:val="auto"/>
                <w:lang w:eastAsia="en-US"/>
              </w:rPr>
              <w:t>Transportbranchens Leverandører, TBL</w:t>
            </w:r>
          </w:p>
        </w:tc>
        <w:tc>
          <w:tcPr>
            <w:tcW w:w="1248" w:type="dxa"/>
            <w:tcBorders>
              <w:top w:val="single" w:sz="4" w:space="0" w:color="auto"/>
              <w:left w:val="single" w:sz="4" w:space="0" w:color="auto"/>
              <w:bottom w:val="single" w:sz="4" w:space="0" w:color="auto"/>
              <w:right w:val="single" w:sz="4" w:space="0" w:color="auto"/>
            </w:tcBorders>
          </w:tcPr>
          <w:p w14:paraId="64ADB22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3185E1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F373BC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325EC7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25D273AD" w14:textId="50EE661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0A02BB27" w14:textId="77777777" w:rsidR="005D330E" w:rsidRPr="005D330E" w:rsidRDefault="005D330E" w:rsidP="005D330E">
            <w:pPr>
              <w:rPr>
                <w:rFonts w:eastAsia="Times New Roman"/>
                <w:color w:val="auto"/>
                <w:lang w:eastAsia="en-US"/>
              </w:rPr>
            </w:pPr>
            <w:r w:rsidRPr="005D330E">
              <w:rPr>
                <w:rFonts w:eastAsia="Times New Roman"/>
                <w:color w:val="auto"/>
                <w:lang w:eastAsia="en-US"/>
              </w:rPr>
              <w:t>Transportens Arbejdsgivere (ATL)</w:t>
            </w:r>
          </w:p>
        </w:tc>
        <w:tc>
          <w:tcPr>
            <w:tcW w:w="1248" w:type="dxa"/>
            <w:tcBorders>
              <w:top w:val="single" w:sz="4" w:space="0" w:color="auto"/>
              <w:left w:val="single" w:sz="4" w:space="0" w:color="auto"/>
              <w:bottom w:val="single" w:sz="4" w:space="0" w:color="auto"/>
              <w:right w:val="single" w:sz="4" w:space="0" w:color="auto"/>
            </w:tcBorders>
          </w:tcPr>
          <w:p w14:paraId="745B714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34CA8C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A7A85CD"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4CEF1F8"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17293199" w14:textId="722595BA"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5AC89A5" w14:textId="77777777" w:rsidR="005D330E" w:rsidRPr="005D330E" w:rsidRDefault="005D330E" w:rsidP="005D330E">
            <w:pPr>
              <w:rPr>
                <w:rFonts w:eastAsia="Times New Roman"/>
                <w:color w:val="auto"/>
                <w:lang w:eastAsia="en-US"/>
              </w:rPr>
            </w:pPr>
            <w:r w:rsidRPr="005D330E">
              <w:rPr>
                <w:rFonts w:eastAsia="Times New Roman"/>
                <w:color w:val="auto"/>
                <w:lang w:eastAsia="en-US"/>
              </w:rPr>
              <w:t>Transporterhvervets uddannelser, TUR</w:t>
            </w:r>
          </w:p>
        </w:tc>
        <w:tc>
          <w:tcPr>
            <w:tcW w:w="1248" w:type="dxa"/>
            <w:tcBorders>
              <w:top w:val="single" w:sz="4" w:space="0" w:color="auto"/>
              <w:left w:val="single" w:sz="4" w:space="0" w:color="auto"/>
              <w:bottom w:val="single" w:sz="4" w:space="0" w:color="auto"/>
              <w:right w:val="single" w:sz="4" w:space="0" w:color="auto"/>
            </w:tcBorders>
          </w:tcPr>
          <w:p w14:paraId="0E821B39" w14:textId="108ECCB0" w:rsidR="005D330E" w:rsidRPr="005D330E" w:rsidRDefault="00405341" w:rsidP="0040534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572C74C6"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C41171F" w14:textId="514F27C5" w:rsidR="005D330E" w:rsidRPr="005D330E" w:rsidRDefault="00405341" w:rsidP="00405341">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411" w:type="dxa"/>
            <w:tcBorders>
              <w:top w:val="single" w:sz="4" w:space="0" w:color="auto"/>
              <w:left w:val="single" w:sz="4" w:space="0" w:color="auto"/>
              <w:bottom w:val="single" w:sz="4" w:space="0" w:color="auto"/>
              <w:right w:val="single" w:sz="4" w:space="0" w:color="auto"/>
            </w:tcBorders>
          </w:tcPr>
          <w:p w14:paraId="26EDEA3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7349516" w14:textId="103F44AF"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226065F8" w14:textId="77777777" w:rsidR="005D330E" w:rsidRPr="005D330E" w:rsidRDefault="005D330E" w:rsidP="005D330E">
            <w:pPr>
              <w:rPr>
                <w:rFonts w:eastAsia="Times New Roman"/>
                <w:color w:val="auto"/>
                <w:lang w:eastAsia="en-US"/>
              </w:rPr>
            </w:pPr>
            <w:r w:rsidRPr="005D330E">
              <w:rPr>
                <w:rFonts w:eastAsia="Times New Roman"/>
                <w:color w:val="auto"/>
                <w:lang w:eastAsia="en-US"/>
              </w:rPr>
              <w:t xml:space="preserve">UAS Danmark </w:t>
            </w:r>
          </w:p>
        </w:tc>
        <w:tc>
          <w:tcPr>
            <w:tcW w:w="1248" w:type="dxa"/>
            <w:tcBorders>
              <w:top w:val="single" w:sz="4" w:space="0" w:color="auto"/>
              <w:left w:val="single" w:sz="4" w:space="0" w:color="auto"/>
              <w:bottom w:val="single" w:sz="4" w:space="0" w:color="auto"/>
              <w:right w:val="single" w:sz="4" w:space="0" w:color="auto"/>
            </w:tcBorders>
          </w:tcPr>
          <w:p w14:paraId="3379AEB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18C33DC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E7E931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663A94F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5E3643FE" w14:textId="70727637"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67485D75" w14:textId="77777777" w:rsidR="005D330E" w:rsidRPr="005D330E" w:rsidRDefault="005D330E" w:rsidP="005D330E">
            <w:pPr>
              <w:rPr>
                <w:rFonts w:eastAsia="Times New Roman"/>
                <w:color w:val="auto"/>
                <w:lang w:eastAsia="en-US"/>
              </w:rPr>
            </w:pPr>
            <w:proofErr w:type="spellStart"/>
            <w:r w:rsidRPr="005D330E">
              <w:rPr>
                <w:rFonts w:eastAsia="Times New Roman"/>
                <w:color w:val="auto"/>
                <w:lang w:eastAsia="en-US"/>
              </w:rPr>
              <w:lastRenderedPageBreak/>
              <w:t>UlykkesPatientForeningen</w:t>
            </w:r>
            <w:proofErr w:type="spellEnd"/>
          </w:p>
        </w:tc>
        <w:tc>
          <w:tcPr>
            <w:tcW w:w="1248" w:type="dxa"/>
            <w:tcBorders>
              <w:top w:val="single" w:sz="4" w:space="0" w:color="auto"/>
              <w:left w:val="single" w:sz="4" w:space="0" w:color="auto"/>
              <w:bottom w:val="single" w:sz="4" w:space="0" w:color="auto"/>
              <w:right w:val="single" w:sz="4" w:space="0" w:color="auto"/>
            </w:tcBorders>
          </w:tcPr>
          <w:p w14:paraId="6004D2C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7A45B20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6AFAE7F"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22E00AE"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307073" w:rsidRPr="005D330E" w14:paraId="0C1BE31F" w14:textId="77777777"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tcPr>
          <w:p w14:paraId="52E5CD92" w14:textId="76A7318D" w:rsidR="00307073" w:rsidRPr="005D330E" w:rsidRDefault="00307073" w:rsidP="005D330E">
            <w:pPr>
              <w:rPr>
                <w:rFonts w:eastAsia="Times New Roman"/>
                <w:color w:val="auto"/>
              </w:rPr>
            </w:pPr>
            <w:proofErr w:type="spellStart"/>
            <w:r>
              <w:rPr>
                <w:rFonts w:eastAsia="Times New Roman"/>
                <w:color w:val="auto"/>
              </w:rPr>
              <w:t>Vágar</w:t>
            </w:r>
            <w:proofErr w:type="spellEnd"/>
            <w:r>
              <w:rPr>
                <w:rFonts w:eastAsia="Times New Roman"/>
                <w:color w:val="auto"/>
              </w:rPr>
              <w:t xml:space="preserve"> Lufthavn</w:t>
            </w:r>
          </w:p>
        </w:tc>
        <w:tc>
          <w:tcPr>
            <w:tcW w:w="1248" w:type="dxa"/>
            <w:tcBorders>
              <w:top w:val="single" w:sz="4" w:space="0" w:color="auto"/>
              <w:left w:val="single" w:sz="4" w:space="0" w:color="auto"/>
              <w:bottom w:val="single" w:sz="4" w:space="0" w:color="auto"/>
              <w:right w:val="single" w:sz="4" w:space="0" w:color="auto"/>
            </w:tcBorders>
          </w:tcPr>
          <w:p w14:paraId="550C329A" w14:textId="31B61065" w:rsidR="00307073" w:rsidRPr="005D330E" w:rsidRDefault="00307073" w:rsidP="0030707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34" w:type="dxa"/>
            <w:tcBorders>
              <w:top w:val="single" w:sz="4" w:space="0" w:color="auto"/>
              <w:left w:val="single" w:sz="4" w:space="0" w:color="auto"/>
              <w:bottom w:val="single" w:sz="4" w:space="0" w:color="auto"/>
              <w:right w:val="single" w:sz="4" w:space="0" w:color="auto"/>
            </w:tcBorders>
          </w:tcPr>
          <w:p w14:paraId="4FFE329C" w14:textId="309FD0CD" w:rsidR="00307073" w:rsidRPr="005D330E" w:rsidRDefault="00307073" w:rsidP="0030707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276" w:type="dxa"/>
            <w:tcBorders>
              <w:top w:val="single" w:sz="4" w:space="0" w:color="auto"/>
              <w:left w:val="single" w:sz="4" w:space="0" w:color="auto"/>
              <w:bottom w:val="single" w:sz="4" w:space="0" w:color="auto"/>
              <w:right w:val="single" w:sz="4" w:space="0" w:color="auto"/>
            </w:tcBorders>
          </w:tcPr>
          <w:p w14:paraId="65E85D64" w14:textId="77777777" w:rsidR="00307073" w:rsidRPr="005D330E" w:rsidRDefault="00307073" w:rsidP="0030707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1E53B38D" w14:textId="77777777" w:rsidR="00307073" w:rsidRPr="005D330E" w:rsidRDefault="00307073" w:rsidP="0030707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1B2E1F1" w14:textId="4B7165F9"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15B3E708" w14:textId="77777777" w:rsidR="005D330E" w:rsidRPr="005D330E" w:rsidRDefault="005D330E" w:rsidP="005D330E">
            <w:pPr>
              <w:rPr>
                <w:rFonts w:eastAsia="Times New Roman"/>
                <w:color w:val="auto"/>
                <w:lang w:eastAsia="en-US"/>
              </w:rPr>
            </w:pPr>
            <w:r w:rsidRPr="005D330E">
              <w:rPr>
                <w:rFonts w:eastAsia="Times New Roman"/>
                <w:color w:val="auto"/>
                <w:lang w:eastAsia="en-US"/>
              </w:rPr>
              <w:t>Aalborg Lufthavn</w:t>
            </w:r>
          </w:p>
        </w:tc>
        <w:tc>
          <w:tcPr>
            <w:tcW w:w="1248" w:type="dxa"/>
            <w:tcBorders>
              <w:top w:val="single" w:sz="4" w:space="0" w:color="auto"/>
              <w:left w:val="single" w:sz="4" w:space="0" w:color="auto"/>
              <w:bottom w:val="single" w:sz="4" w:space="0" w:color="auto"/>
              <w:right w:val="single" w:sz="4" w:space="0" w:color="auto"/>
            </w:tcBorders>
          </w:tcPr>
          <w:p w14:paraId="1577C20B"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35943461"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5B39147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5861E389"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34B7B6A8" w14:textId="3E62F60E"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3692B1B1" w14:textId="77777777" w:rsidR="005D330E" w:rsidRPr="005D330E" w:rsidRDefault="005D330E" w:rsidP="005D330E">
            <w:pPr>
              <w:rPr>
                <w:rFonts w:eastAsia="Times New Roman"/>
                <w:color w:val="auto"/>
                <w:lang w:eastAsia="en-US"/>
              </w:rPr>
            </w:pPr>
            <w:r w:rsidRPr="005D330E">
              <w:rPr>
                <w:rFonts w:eastAsia="Times New Roman"/>
                <w:color w:val="auto"/>
                <w:lang w:eastAsia="en-US"/>
              </w:rPr>
              <w:t>Aalborg Universitet – Sektion for Geoinformatik og Arealforvaltning</w:t>
            </w:r>
          </w:p>
        </w:tc>
        <w:tc>
          <w:tcPr>
            <w:tcW w:w="1248" w:type="dxa"/>
            <w:tcBorders>
              <w:top w:val="single" w:sz="4" w:space="0" w:color="auto"/>
              <w:left w:val="single" w:sz="4" w:space="0" w:color="auto"/>
              <w:bottom w:val="single" w:sz="4" w:space="0" w:color="auto"/>
              <w:right w:val="single" w:sz="4" w:space="0" w:color="auto"/>
            </w:tcBorders>
          </w:tcPr>
          <w:p w14:paraId="12F7E43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D335367"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B2CA2A3"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75865784"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5D330E" w:rsidRPr="005D330E" w14:paraId="6BA99A40" w14:textId="3DD85A64" w:rsidTr="00B6130D">
        <w:trPr>
          <w:trHeight w:val="187"/>
        </w:trPr>
        <w:tc>
          <w:tcPr>
            <w:cnfStyle w:val="001000000000" w:firstRow="0" w:lastRow="0" w:firstColumn="1" w:lastColumn="0" w:oddVBand="0" w:evenVBand="0" w:oddHBand="0" w:evenHBand="0" w:firstRowFirstColumn="0" w:firstRowLastColumn="0" w:lastRowFirstColumn="0" w:lastRowLastColumn="0"/>
            <w:tcW w:w="1162" w:type="dxa"/>
            <w:tcBorders>
              <w:top w:val="single" w:sz="4" w:space="0" w:color="auto"/>
              <w:left w:val="single" w:sz="4" w:space="0" w:color="auto"/>
              <w:bottom w:val="single" w:sz="4" w:space="0" w:color="auto"/>
              <w:right w:val="single" w:sz="4" w:space="0" w:color="auto"/>
            </w:tcBorders>
            <w:vAlign w:val="center"/>
            <w:hideMark/>
          </w:tcPr>
          <w:p w14:paraId="06E71F54" w14:textId="77777777" w:rsidR="005D330E" w:rsidRPr="005D330E" w:rsidRDefault="005D330E" w:rsidP="005D330E">
            <w:pPr>
              <w:rPr>
                <w:rFonts w:eastAsia="Times New Roman"/>
                <w:color w:val="auto"/>
                <w:lang w:eastAsia="en-US"/>
              </w:rPr>
            </w:pPr>
            <w:r w:rsidRPr="005D330E">
              <w:rPr>
                <w:rFonts w:eastAsia="Times New Roman"/>
                <w:color w:val="auto"/>
                <w:lang w:eastAsia="en-US"/>
              </w:rPr>
              <w:t>Aarhus Lufthavn</w:t>
            </w:r>
          </w:p>
        </w:tc>
        <w:tc>
          <w:tcPr>
            <w:tcW w:w="1248" w:type="dxa"/>
            <w:tcBorders>
              <w:top w:val="single" w:sz="4" w:space="0" w:color="auto"/>
              <w:left w:val="single" w:sz="4" w:space="0" w:color="auto"/>
              <w:bottom w:val="single" w:sz="4" w:space="0" w:color="auto"/>
              <w:right w:val="single" w:sz="4" w:space="0" w:color="auto"/>
            </w:tcBorders>
          </w:tcPr>
          <w:p w14:paraId="7FDAB5F5"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1530EC60"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58441E2"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411" w:type="dxa"/>
            <w:tcBorders>
              <w:top w:val="single" w:sz="4" w:space="0" w:color="auto"/>
              <w:left w:val="single" w:sz="4" w:space="0" w:color="auto"/>
              <w:bottom w:val="single" w:sz="4" w:space="0" w:color="auto"/>
              <w:right w:val="single" w:sz="4" w:space="0" w:color="auto"/>
            </w:tcBorders>
          </w:tcPr>
          <w:p w14:paraId="3010767C" w14:textId="77777777" w:rsidR="005D330E" w:rsidRPr="005D330E" w:rsidRDefault="005D330E" w:rsidP="005D330E">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bl>
    <w:p w14:paraId="3C462E27" w14:textId="18FE5E52" w:rsidR="00745BE4" w:rsidRPr="005740FB" w:rsidRDefault="00745BE4" w:rsidP="00745BE4">
      <w:pPr>
        <w:rPr>
          <w:rFonts w:ascii="Georgia" w:eastAsia="Times New Roman" w:hAnsi="Georgia"/>
          <w:color w:val="auto"/>
        </w:rPr>
      </w:pPr>
    </w:p>
    <w:p w14:paraId="6B656C5A" w14:textId="71751E2B" w:rsidR="00745BE4" w:rsidRPr="00353737" w:rsidRDefault="00133D52" w:rsidP="004B5A47">
      <w:pPr>
        <w:pStyle w:val="Overskrift1"/>
      </w:pPr>
      <w:bookmarkStart w:id="8" w:name="_Toc176768722"/>
      <w:r w:rsidRPr="00353737">
        <w:t>2. Høringssvarene</w:t>
      </w:r>
      <w:bookmarkEnd w:id="8"/>
    </w:p>
    <w:p w14:paraId="7BD69B5A" w14:textId="6D81EAC3"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Nedenfor gengives de væsentligste punkter i de indkomne høringssvar </w:t>
      </w:r>
      <w:r w:rsidR="00804A4B">
        <w:rPr>
          <w:rFonts w:ascii="Georgia" w:eastAsia="Times New Roman" w:hAnsi="Georgia"/>
          <w:color w:val="auto"/>
        </w:rPr>
        <w:t>til</w:t>
      </w:r>
      <w:r w:rsidRPr="008A30C6">
        <w:rPr>
          <w:rFonts w:ascii="Georgia" w:eastAsia="Times New Roman" w:hAnsi="Georgia"/>
          <w:color w:val="auto"/>
        </w:rPr>
        <w:t xml:space="preserve"> udkastet til lovforslag.  </w:t>
      </w:r>
    </w:p>
    <w:p w14:paraId="7312C47A"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Transportministeriets bemærkninger til høringssvarene, herunder om der er foretaget ændringer i anledning af høringssvarene, er skrevet med kursiv.  </w:t>
      </w:r>
    </w:p>
    <w:p w14:paraId="32087508"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Under pkt. 3 er det opsummeret, hvilke ændringer der er foretaget i forhold til det udkast, som har været i offentlig høring. Her omtales også ændringer, som ikke har baggrund i modtagne høringssvar, men er foretaget på Transportministeriets egen foranledning. </w:t>
      </w:r>
    </w:p>
    <w:p w14:paraId="097E7F5D"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Bemærkninger af generel politisk karakter samt forslag og bemærkninger, der ikke vedrører det fremsatte lovforslag, indgår ikke i notatet. </w:t>
      </w:r>
    </w:p>
    <w:p w14:paraId="33941167" w14:textId="77777777" w:rsidR="008A30C6" w:rsidRDefault="008A30C6" w:rsidP="008A30C6">
      <w:pPr>
        <w:rPr>
          <w:rFonts w:ascii="Georgia" w:eastAsia="Times New Roman" w:hAnsi="Georgia"/>
          <w:color w:val="auto"/>
        </w:rPr>
      </w:pPr>
      <w:r w:rsidRPr="008A30C6">
        <w:rPr>
          <w:rFonts w:ascii="Georgia" w:eastAsia="Times New Roman" w:hAnsi="Georgia"/>
          <w:color w:val="auto"/>
        </w:rPr>
        <w:lastRenderedPageBreak/>
        <w:t>Transportministeriet kan for en fuldstændig gennemgang af samtlige indsendte synspunkter henvise til høringssvarene, som er sendt til Folketingets Transportudvalg.</w:t>
      </w:r>
    </w:p>
    <w:p w14:paraId="3B8E9957" w14:textId="2C03977D" w:rsidR="002A1483" w:rsidRPr="002A1483" w:rsidRDefault="00133D52" w:rsidP="00E538A1">
      <w:pPr>
        <w:pStyle w:val="Overskrift2"/>
      </w:pPr>
      <w:bookmarkStart w:id="9" w:name="_Toc176768723"/>
      <w:r w:rsidRPr="00133D52">
        <w:t>2.</w:t>
      </w:r>
      <w:r w:rsidR="00FF634D">
        <w:t>1</w:t>
      </w:r>
      <w:r w:rsidRPr="00133D52">
        <w:t>. Bemærkninger til de enkelte punkter i lovforslaget</w:t>
      </w:r>
      <w:bookmarkEnd w:id="9"/>
    </w:p>
    <w:p w14:paraId="72F4C3BB" w14:textId="03FCF8CC" w:rsidR="00745BE4" w:rsidRDefault="00133D52" w:rsidP="00E538A1">
      <w:pPr>
        <w:pStyle w:val="Overskrift2"/>
      </w:pPr>
      <w:bookmarkStart w:id="10" w:name="_Toc176768724"/>
      <w:r w:rsidRPr="002A1483">
        <w:t>2.</w:t>
      </w:r>
      <w:r w:rsidR="00FF634D">
        <w:t>1</w:t>
      </w:r>
      <w:r w:rsidRPr="002A1483">
        <w:t xml:space="preserve">.1. </w:t>
      </w:r>
      <w:r w:rsidR="002A1483">
        <w:t>Safety-afgiften</w:t>
      </w:r>
      <w:bookmarkEnd w:id="10"/>
    </w:p>
    <w:p w14:paraId="3A41386D" w14:textId="376F9E85" w:rsidR="002A1483" w:rsidRDefault="002A1483" w:rsidP="002A1483">
      <w:r>
        <w:rPr>
          <w:b/>
        </w:rPr>
        <w:t xml:space="preserve">Air Greenland </w:t>
      </w:r>
      <w:r>
        <w:t xml:space="preserve">bemærker, at </w:t>
      </w:r>
      <w:r w:rsidRPr="002A1483">
        <w:t>ændringen af safety</w:t>
      </w:r>
      <w:r w:rsidR="00C23F2A">
        <w:t>-</w:t>
      </w:r>
      <w:r w:rsidRPr="002A1483">
        <w:t>afgiften for flyselskabets vedkommende</w:t>
      </w:r>
      <w:r w:rsidR="00C23F2A">
        <w:t xml:space="preserve"> </w:t>
      </w:r>
      <w:bookmarkStart w:id="11" w:name="_Hlk175136759"/>
      <w:r w:rsidR="00C23F2A">
        <w:t>vil</w:t>
      </w:r>
      <w:r w:rsidRPr="002A1483">
        <w:t xml:space="preserve"> medføre en meromkostning, som vil blive opkrævet hos de rejsende, da safety</w:t>
      </w:r>
      <w:r>
        <w:t>-</w:t>
      </w:r>
      <w:r w:rsidRPr="002A1483">
        <w:t>afgiften er fastsat som en særskilt afgift på den rejsendes billet, når den rejsende flyver med Air Greenland fra Danmark. På baggrund af estimerede antal passagerer forventes det, at safety</w:t>
      </w:r>
      <w:r>
        <w:t>-</w:t>
      </w:r>
      <w:r w:rsidRPr="002A1483">
        <w:t>afgiften vil have en samlet meromkostning på 2,2 mio</w:t>
      </w:r>
      <w:r>
        <w:t>.</w:t>
      </w:r>
      <w:r w:rsidRPr="002A1483">
        <w:t xml:space="preserve"> DKK i perioden 2025-2028.</w:t>
      </w:r>
      <w:bookmarkEnd w:id="11"/>
    </w:p>
    <w:p w14:paraId="79681BBD" w14:textId="1C474B89" w:rsidR="00D441AE" w:rsidRPr="00D441AE" w:rsidRDefault="0045753E" w:rsidP="00D441AE">
      <w:r>
        <w:rPr>
          <w:b/>
        </w:rPr>
        <w:t xml:space="preserve">Brancheforeningen Dansk Luftfart </w:t>
      </w:r>
      <w:r w:rsidR="00D441AE">
        <w:t>bemærker, at s</w:t>
      </w:r>
      <w:r w:rsidR="00D441AE" w:rsidRPr="00D441AE">
        <w:t>afety-bidraget blev indført i 2013 som afløser for en relativ uigennemskuelig gebyrpolitik, hvor passagerselskaberne også afholdt broderparten</w:t>
      </w:r>
      <w:r w:rsidR="00D441AE">
        <w:t>, og at transparensen</w:t>
      </w:r>
      <w:r w:rsidR="00D441AE" w:rsidRPr="00D441AE">
        <w:t xml:space="preserve"> og de løbende justeringer </w:t>
      </w:r>
      <w:r w:rsidR="00D441AE">
        <w:t>m</w:t>
      </w:r>
      <w:r w:rsidR="00D441AE" w:rsidRPr="00D441AE">
        <w:t>ed indførelsen af safety-bidraget blev markant forbedret, herunder via årlige fremlæggelser af data og konsultation af erhvervet. Modellen har således fungeret tilfredsstillende for erhvervet</w:t>
      </w:r>
      <w:r w:rsidR="00D441AE">
        <w:t xml:space="preserve">, bemærker Brancheforeningen Dansk Luftfart. </w:t>
      </w:r>
    </w:p>
    <w:p w14:paraId="50212BC2" w14:textId="0B06A774" w:rsidR="0045753E" w:rsidRDefault="00D441AE" w:rsidP="00D441AE">
      <w:r>
        <w:t>Brancheforeningen Dansk Luftfart</w:t>
      </w:r>
      <w:r w:rsidRPr="00D441AE">
        <w:t xml:space="preserve"> </w:t>
      </w:r>
      <w:r>
        <w:t>bemærker, at u</w:t>
      </w:r>
      <w:r w:rsidRPr="00D441AE">
        <w:t>dkastet til lovforslag</w:t>
      </w:r>
      <w:r w:rsidR="00294439">
        <w:t xml:space="preserve"> dog</w:t>
      </w:r>
      <w:r w:rsidRPr="00D441AE">
        <w:t xml:space="preserve"> </w:t>
      </w:r>
      <w:r w:rsidR="00BB4BCC">
        <w:t>nu</w:t>
      </w:r>
      <w:r>
        <w:t xml:space="preserve"> rejser</w:t>
      </w:r>
      <w:r w:rsidRPr="00D441AE">
        <w:t xml:space="preserve"> grundlæggende spørgsmål om modellens evne til at sikre en retfærdig og rimelig omkostningsfordeling fremover. Det skyldes </w:t>
      </w:r>
      <w:r>
        <w:t>ifølge Brancheforeningen Dansk Luftfart</w:t>
      </w:r>
      <w:r w:rsidRPr="00D441AE">
        <w:t xml:space="preserve"> dels den generelle udvikling, der har medført at passagerselskabernes (og passagererne</w:t>
      </w:r>
      <w:r w:rsidR="00804A4B">
        <w:t>s</w:t>
      </w:r>
      <w:r w:rsidRPr="00D441AE">
        <w:t xml:space="preserve">) bidrag krydssubsidierer de kontrol- og tilsynsomkostninger for andre sektorer, der ikke er direkte gebyrbelagt. Her tænker </w:t>
      </w:r>
      <w:r>
        <w:t>Brancheforeningen Dansk Luftfart</w:t>
      </w:r>
      <w:r w:rsidRPr="00D441AE">
        <w:t xml:space="preserve"> især på </w:t>
      </w:r>
      <w:proofErr w:type="spellStart"/>
      <w:r w:rsidR="00294439">
        <w:t>c</w:t>
      </w:r>
      <w:r w:rsidRPr="00D441AE">
        <w:t>argo</w:t>
      </w:r>
      <w:proofErr w:type="spellEnd"/>
      <w:r w:rsidRPr="00D441AE">
        <w:t xml:space="preserve"> samt dronesektoren, der begge er sektorer i stor vækst</w:t>
      </w:r>
      <w:r w:rsidR="00294439">
        <w:t>. B</w:t>
      </w:r>
      <w:r>
        <w:t>rancheforeningen peger på, at f</w:t>
      </w:r>
      <w:r w:rsidRPr="00D441AE">
        <w:t>orslaget desværre ikke</w:t>
      </w:r>
      <w:r>
        <w:t xml:space="preserve"> lægger</w:t>
      </w:r>
      <w:r w:rsidRPr="00D441AE">
        <w:t xml:space="preserve"> op til at ændre på den udvikling, tværtimod. Denne passive udvikling finder </w:t>
      </w:r>
      <w:r>
        <w:t>Brancheforeningen Dansk Luftfart</w:t>
      </w:r>
      <w:r w:rsidRPr="00D441AE">
        <w:t xml:space="preserve"> problematisk, og opfo</w:t>
      </w:r>
      <w:r w:rsidR="00BB4BCC">
        <w:t>r</w:t>
      </w:r>
      <w:r w:rsidRPr="00D441AE">
        <w:t>drer til, at der umiddelbart igangsættes et arbejde med at identificere en mere retfærdig fremadrettet model, hvor passagerluftfartens krydssubsidiering af andre sektorer elimineres.</w:t>
      </w:r>
    </w:p>
    <w:p w14:paraId="573B08C5" w14:textId="582A89E7" w:rsidR="00D441AE" w:rsidRDefault="00D441AE" w:rsidP="00D441AE">
      <w:r>
        <w:t>Brancheforeningen Dansk Luftfart</w:t>
      </w:r>
      <w:r w:rsidRPr="00D441AE">
        <w:t xml:space="preserve"> </w:t>
      </w:r>
      <w:r>
        <w:t>bemærker,</w:t>
      </w:r>
      <w:r w:rsidRPr="00D441AE">
        <w:t xml:space="preserve"> </w:t>
      </w:r>
      <w:r>
        <w:t>at o</w:t>
      </w:r>
      <w:r w:rsidRPr="00D441AE">
        <w:t>ven</w:t>
      </w:r>
      <w:r w:rsidR="00294439">
        <w:t xml:space="preserve">nævnte </w:t>
      </w:r>
      <w:r w:rsidRPr="00D441AE">
        <w:t xml:space="preserve">krydssubsidiering i stigende omfang </w:t>
      </w:r>
      <w:r w:rsidR="008953DC" w:rsidRPr="00D441AE">
        <w:t xml:space="preserve">bidrager </w:t>
      </w:r>
      <w:r w:rsidRPr="00D441AE">
        <w:t xml:space="preserve">til at øge det samlede omkostningsniveau for Trafikstyrelsens aktiviteter, hvilket medvirker til udkastets forslag om en dramatisk forhøjelse af afgiftsniveauet fra de nuværende 5 kr. per passager stigende til 8 kr. for </w:t>
      </w:r>
      <w:r w:rsidRPr="00D441AE">
        <w:lastRenderedPageBreak/>
        <w:t xml:space="preserve">2025, 10 kr. for 2026, 12 kr. for 2027 og endelig 14 kr. fra januar 2028. </w:t>
      </w:r>
      <w:r>
        <w:t>Brancheforeningen Dansk Luftfart</w:t>
      </w:r>
      <w:r w:rsidRPr="00D441AE">
        <w:t xml:space="preserve"> </w:t>
      </w:r>
      <w:r>
        <w:t>betegner forhøjelsen som</w:t>
      </w:r>
      <w:r w:rsidRPr="00D441AE">
        <w:t xml:space="preserve"> dramatisk. Ifølge udkastets bemærkninger forventer man, at et oparbejdet underskud på ordningen vil være udlignet</w:t>
      </w:r>
      <w:r>
        <w:t xml:space="preserve"> </w:t>
      </w:r>
      <w:r w:rsidRPr="00D441AE">
        <w:t>efter 2028. Det angives i udkastets bemærkninger, at de</w:t>
      </w:r>
      <w:r w:rsidR="00BB4BCC">
        <w:t>t</w:t>
      </w:r>
      <w:r w:rsidRPr="00D441AE">
        <w:t xml:space="preserve"> oparbejdede underskud vil være ca. 225 mio. kr. ved udgangen af 2024. Idet </w:t>
      </w:r>
      <w:r w:rsidR="008953DC">
        <w:t>Brancheforeningen Dansk Luftfart</w:t>
      </w:r>
      <w:r w:rsidRPr="00D441AE">
        <w:t xml:space="preserve"> forudsætter, at der har været nogenlunde balance i 2019 (præ-covid) antage</w:t>
      </w:r>
      <w:r w:rsidR="008953DC">
        <w:t>s det</w:t>
      </w:r>
      <w:r w:rsidRPr="00D441AE">
        <w:t xml:space="preserve">, at hovedparten af dette underskud skyldes, at Trafikstyrelsen ikke har tilpasset ressourcerne til et reduceret aktivitetsniveau under </w:t>
      </w:r>
      <w:r w:rsidR="00BB4BCC">
        <w:t>c</w:t>
      </w:r>
      <w:r w:rsidRPr="00D441AE">
        <w:t xml:space="preserve">ovid-19, dvs. i perioden 2020 til og med 2023. Så vidt </w:t>
      </w:r>
      <w:r w:rsidR="008953DC">
        <w:t>Brancheforeningen Dansk Luftfart</w:t>
      </w:r>
      <w:r w:rsidRPr="00D441AE">
        <w:t xml:space="preserve"> er informeret, er </w:t>
      </w:r>
      <w:r w:rsidR="008953DC">
        <w:t>Trafiks</w:t>
      </w:r>
      <w:r w:rsidRPr="00D441AE">
        <w:t xml:space="preserve">tyrelsens omkostninger tværtimod markant øget under </w:t>
      </w:r>
      <w:r w:rsidR="00BB4BCC">
        <w:t>c</w:t>
      </w:r>
      <w:r w:rsidRPr="00D441AE">
        <w:t xml:space="preserve">ovid-19. </w:t>
      </w:r>
      <w:r w:rsidR="00F07F9C">
        <w:t>Brancheforeningen Dansk Luftfart</w:t>
      </w:r>
      <w:r w:rsidR="00F07F9C" w:rsidRPr="00D441AE">
        <w:t xml:space="preserve"> </w:t>
      </w:r>
      <w:r w:rsidR="00F07F9C">
        <w:t>bemærker, at i</w:t>
      </w:r>
      <w:r w:rsidRPr="00D441AE">
        <w:t xml:space="preserve"> det omfang, at der ikke er sammenhæng mellem ressourcer og aktivitet under </w:t>
      </w:r>
      <w:r w:rsidR="00BB4BCC">
        <w:t>c</w:t>
      </w:r>
      <w:r w:rsidRPr="00D441AE">
        <w:t xml:space="preserve">ovid-19, må </w:t>
      </w:r>
      <w:r w:rsidR="00F07F9C">
        <w:t>brancheforeningen</w:t>
      </w:r>
      <w:r w:rsidRPr="00D441AE">
        <w:t xml:space="preserve"> således opfatte den resulterende omkostningsmanko som et politisk valg, som luftfartserhvervet ikke har nogen indflydelse på. </w:t>
      </w:r>
      <w:r w:rsidR="00F07F9C">
        <w:t>Brancheforeningen Dansk Luftfart</w:t>
      </w:r>
      <w:r w:rsidRPr="00D441AE">
        <w:t xml:space="preserve"> er derfor af den klare opfattelse, at en sådan manko ikke kan dækkes via safety-bidraget</w:t>
      </w:r>
      <w:r w:rsidR="00F07F9C">
        <w:t xml:space="preserve"> og</w:t>
      </w:r>
      <w:r w:rsidRPr="00D441AE">
        <w:t xml:space="preserve"> finder derfor, at man politisk må finde andre finansieringskilder.</w:t>
      </w:r>
      <w:r w:rsidR="008953DC">
        <w:t xml:space="preserve"> </w:t>
      </w:r>
      <w:r w:rsidR="00F07F9C">
        <w:t xml:space="preserve"> </w:t>
      </w:r>
    </w:p>
    <w:p w14:paraId="4CF63CCC" w14:textId="56259C43" w:rsidR="00D441AE" w:rsidRDefault="00F07F9C" w:rsidP="00D441AE">
      <w:r>
        <w:t>Brancheforeningen Dansk Luftfart</w:t>
      </w:r>
      <w:r w:rsidRPr="00F07F9C">
        <w:t xml:space="preserve"> </w:t>
      </w:r>
      <w:r>
        <w:t>henviser dernæst til, at d</w:t>
      </w:r>
      <w:r w:rsidRPr="00F07F9C">
        <w:t>et fremgår af bemærkningerne til lovforslaget, at man med den foreslåede gradvise øgning af safety-bidraget frem mod 2028 forventer, at det akkumulerede underskud på ordningen er udlignet inden</w:t>
      </w:r>
      <w:r>
        <w:t xml:space="preserve"> </w:t>
      </w:r>
      <w:r w:rsidRPr="00F07F9C">
        <w:t>for en 6-årig periode. I praksis betyder det, at det høje afgiftsniveau på de 14 kr. per pa</w:t>
      </w:r>
      <w:r>
        <w:t>ssager</w:t>
      </w:r>
      <w:r w:rsidRPr="00F07F9C">
        <w:t xml:space="preserve"> tidligst kan reduceres efter 2030</w:t>
      </w:r>
      <w:r>
        <w:t xml:space="preserve">, hvilket også </w:t>
      </w:r>
      <w:r w:rsidRPr="00F07F9C">
        <w:t xml:space="preserve">fremgår af lovforslagets nr. 15 (om ændring af </w:t>
      </w:r>
      <w:r>
        <w:t>l</w:t>
      </w:r>
      <w:r w:rsidRPr="00F07F9C">
        <w:t>uftfartslovens §</w:t>
      </w:r>
      <w:r w:rsidR="00062009">
        <w:t xml:space="preserve"> </w:t>
      </w:r>
      <w:r w:rsidRPr="00F07F9C">
        <w:t>148, stk. 1). Det betyder</w:t>
      </w:r>
      <w:r>
        <w:t xml:space="preserve"> ifølge Brancheforeningen Dansk Luftfart</w:t>
      </w:r>
      <w:r w:rsidRPr="00F07F9C">
        <w:t xml:space="preserve">, at afgiften ultimativt næsten </w:t>
      </w:r>
      <w:r>
        <w:t>tre</w:t>
      </w:r>
      <w:r w:rsidRPr="00F07F9C">
        <w:t>dobles i forhold til det nuværende niveau (og det vil afgiftsprovenuet så tilsvarende også gøre)</w:t>
      </w:r>
      <w:r>
        <w:t>, og u</w:t>
      </w:r>
      <w:r w:rsidRPr="00F07F9C">
        <w:t xml:space="preserve">d over at udligne det oparbejdede underskud til ultimo 2024, betyder det også, at Trafikstyrelsens omkostninger frem mod 2030 må forventes at stige yderligere. </w:t>
      </w:r>
      <w:r>
        <w:t>Brancheforeningens</w:t>
      </w:r>
      <w:r w:rsidRPr="00F07F9C">
        <w:t xml:space="preserve"> estimater tyder på, at hvor </w:t>
      </w:r>
      <w:r>
        <w:t>Trafiks</w:t>
      </w:r>
      <w:r w:rsidRPr="00F07F9C">
        <w:t>tyrelsens ikke gebyrdækkede omkostninger i 2019 var i størrelsesordenen ca. 75 mio. kr., må de fremadrettet være godt og vel fordoblet</w:t>
      </w:r>
      <w:r>
        <w:t xml:space="preserve"> og dermed </w:t>
      </w:r>
      <w:r w:rsidRPr="00F07F9C">
        <w:t>mindst 150 mio. kr. per år. Trods henvisningen i bemærkningerne om tilkommende lovgivningskrav, udefrakommende tilsynskrav og flere tilsynsområder som årsager, kalder en sådan omkostningseksplosion</w:t>
      </w:r>
      <w:r>
        <w:t xml:space="preserve"> ifølge brancheforeningen</w:t>
      </w:r>
      <w:r w:rsidRPr="00F07F9C">
        <w:t xml:space="preserve"> på nærmere redegørelse og analyse af mulighederne for at modvirke den udvikling. For et i forvejen voldsomt afgiftsbelastet erhverv (herunder tilkommende passagerafgift, CO2-afgift og dækning af </w:t>
      </w:r>
      <w:proofErr w:type="spellStart"/>
      <w:r w:rsidRPr="00F07F9C">
        <w:t>Naviair’s</w:t>
      </w:r>
      <w:proofErr w:type="spellEnd"/>
      <w:r w:rsidRPr="00F07F9C">
        <w:t xml:space="preserve"> </w:t>
      </w:r>
      <w:r w:rsidR="00062009">
        <w:t>covid</w:t>
      </w:r>
      <w:r w:rsidRPr="00F07F9C">
        <w:t>-19 underdækning m</w:t>
      </w:r>
      <w:r w:rsidR="00062009">
        <w:t>.</w:t>
      </w:r>
      <w:r w:rsidRPr="00F07F9C">
        <w:t>v.), der skal kunne fun</w:t>
      </w:r>
      <w:r w:rsidRPr="00F07F9C">
        <w:lastRenderedPageBreak/>
        <w:t>gere i international konkurrence, er en proces med fokus på at reducere det samlede afgiftsrelaterede omkostningstryk helt essentielt</w:t>
      </w:r>
      <w:r>
        <w:t xml:space="preserve">, hvilket Brancheforeningen Dansk Luftfart opfordrer til. </w:t>
      </w:r>
    </w:p>
    <w:p w14:paraId="4E9C8C41" w14:textId="7BE88BFB" w:rsidR="008953DC" w:rsidRDefault="00CC53CB" w:rsidP="00D441AE">
      <w:r>
        <w:t>Brancheforeningen Dansk Luftfart henviser til, at d</w:t>
      </w:r>
      <w:r w:rsidRPr="00CC53CB">
        <w:t>et anføres med bemærkningernes afsnit 4 (side 29, øv.)</w:t>
      </w:r>
      <w:r w:rsidR="00062009">
        <w:t>,</w:t>
      </w:r>
      <w:r w:rsidRPr="00CC53CB">
        <w:t xml:space="preserve"> at afgiftsstigningerne i praksis ikke har større betydning for luftfartsselskaberne, fordi ”</w:t>
      </w:r>
      <w:proofErr w:type="spellStart"/>
      <w:proofErr w:type="gramStart"/>
      <w:r w:rsidRPr="00CC53CB">
        <w:t>afgiften….</w:t>
      </w:r>
      <w:proofErr w:type="gramEnd"/>
      <w:r w:rsidRPr="00CC53CB">
        <w:t>overvæltes</w:t>
      </w:r>
      <w:proofErr w:type="spellEnd"/>
      <w:r w:rsidRPr="00CC53CB">
        <w:t xml:space="preserve"> til passagererne”. Det</w:t>
      </w:r>
      <w:r>
        <w:t>te</w:t>
      </w:r>
      <w:r w:rsidRPr="00CC53CB">
        <w:t xml:space="preserve"> er </w:t>
      </w:r>
      <w:r>
        <w:t xml:space="preserve">ifølge brancheforeningen </w:t>
      </w:r>
      <w:r w:rsidRPr="00CC53CB">
        <w:t>en meget forkert antagelse, idet de danske selskaber konkurrerer på den internationale konkurrences præmisser</w:t>
      </w:r>
      <w:r>
        <w:t>, og at e</w:t>
      </w:r>
      <w:r w:rsidRPr="00CC53CB">
        <w:t xml:space="preserve">rfaringen er, at nationale afgifter belaster virksomheder med størst markedsandel langt hårdest. Så især de hjemlige selskaber mister </w:t>
      </w:r>
      <w:r>
        <w:t xml:space="preserve">ifølge brancheforeningen </w:t>
      </w:r>
      <w:r w:rsidRPr="00CC53CB">
        <w:t xml:space="preserve">konkurrencekraft, fordi de typisk må absorbere en del af afgiften selv. </w:t>
      </w:r>
      <w:r>
        <w:t>Brancheforeningen Dansk Luftfart mener, at d</w:t>
      </w:r>
      <w:r w:rsidRPr="00CC53CB">
        <w:t>en konsekvens bør fremstå klart af lovmaterialet.</w:t>
      </w:r>
    </w:p>
    <w:p w14:paraId="0CA13F37" w14:textId="44054182" w:rsidR="008953DC" w:rsidRDefault="00CC53CB" w:rsidP="00D441AE">
      <w:r w:rsidRPr="00CC53CB">
        <w:t>Det fremgår også af høringsmaterialet, at man ønsker at ophæve den nuværende reguleringsmekanisme i luftfartslovens § 148, stk. 4</w:t>
      </w:r>
      <w:r w:rsidR="00062009">
        <w:t>,</w:t>
      </w:r>
      <w:r w:rsidRPr="00CC53CB">
        <w:t xml:space="preserve"> og lade reguleringen erstatte af en årlig regulering af afgiftssatsen ved tekstanmærkning i finansloven på basis af den årlige pris- og lønindeksregulering. Som argument anføres det, at PL-modellen vil give større stabilitet i afgiftsudviklingen i modsætning til den kendte model. For sidstnævnte anføres, at den kun fungerer i stabile perioder med fravær af større udsving. Efter </w:t>
      </w:r>
      <w:r>
        <w:t>Brancheforeningen Dansk Luftfarts</w:t>
      </w:r>
      <w:r w:rsidRPr="00CC53CB">
        <w:t xml:space="preserve"> opfattelse vil PL-modellen heller ikke</w:t>
      </w:r>
      <w:r>
        <w:t xml:space="preserve"> </w:t>
      </w:r>
      <w:r w:rsidRPr="00CC53CB">
        <w:t>kunne opfange ikke-lineære udviklinger</w:t>
      </w:r>
      <w:r>
        <w:t xml:space="preserve"> og</w:t>
      </w:r>
      <w:r w:rsidRPr="00CC53CB">
        <w:t xml:space="preserve"> </w:t>
      </w:r>
      <w:r>
        <w:t>s</w:t>
      </w:r>
      <w:r w:rsidRPr="00CC53CB">
        <w:t>amtidig</w:t>
      </w:r>
      <w:r>
        <w:t>t</w:t>
      </w:r>
      <w:r w:rsidRPr="00CC53CB">
        <w:t xml:space="preserve"> forsvinder muligheden for transparens om Trafikstyrelsens omkostningsudvikling og for dialog om mulighederne for øget effektivitet m</w:t>
      </w:r>
      <w:r w:rsidR="00062009">
        <w:t>.</w:t>
      </w:r>
      <w:r w:rsidRPr="00CC53CB">
        <w:t xml:space="preserve">m. </w:t>
      </w:r>
      <w:r>
        <w:t>Brancheforeningen Dansk Luftfart</w:t>
      </w:r>
      <w:r w:rsidRPr="00CC53CB">
        <w:t xml:space="preserve"> er derfor meget skeptiske </w:t>
      </w:r>
      <w:r w:rsidR="00062009">
        <w:t>over for</w:t>
      </w:r>
      <w:r w:rsidRPr="00CC53CB">
        <w:t xml:space="preserve"> forslaget og anbefaler</w:t>
      </w:r>
      <w:r w:rsidR="00062009">
        <w:t>,</w:t>
      </w:r>
      <w:r w:rsidRPr="00CC53CB">
        <w:t xml:space="preserve"> at den nuværende model beholdes.</w:t>
      </w:r>
    </w:p>
    <w:p w14:paraId="2CDB369B" w14:textId="31B88C17" w:rsidR="00CC53CB" w:rsidRPr="00CC53CB" w:rsidRDefault="00CC53CB" w:rsidP="00CC53CB">
      <w:r>
        <w:t>Brancheforeningen Dansk Luftfart</w:t>
      </w:r>
      <w:r w:rsidRPr="00CC53CB">
        <w:t xml:space="preserve"> finder de foreslåede afgiftsstigninger meget voldsomme, og i et vist omfang også urimelige. </w:t>
      </w:r>
      <w:r>
        <w:t>Brancheforeningen finder, at d</w:t>
      </w:r>
      <w:r w:rsidRPr="00CC53CB">
        <w:t xml:space="preserve">er i høj grad </w:t>
      </w:r>
      <w:r>
        <w:t xml:space="preserve">er </w:t>
      </w:r>
      <w:r w:rsidRPr="00CC53CB">
        <w:t>behov for at identificere tiltag, der kan reducere stigningerne</w:t>
      </w:r>
      <w:r>
        <w:t>, og bemærker, at n</w:t>
      </w:r>
      <w:r w:rsidRPr="00CC53CB">
        <w:t xml:space="preserve">ogle tiltag vil være rent danske, men </w:t>
      </w:r>
      <w:r>
        <w:t>brancheforeningen også</w:t>
      </w:r>
      <w:r w:rsidRPr="00CC53CB">
        <w:t xml:space="preserve"> finder det påkrævet, at vi fra dansk side udfordrer den fremherskende tendens til konstant øget detailregulering, der leder til øget kontrol- og tilsynsomfang. </w:t>
      </w:r>
    </w:p>
    <w:p w14:paraId="70CA9C7E" w14:textId="151FFF27" w:rsidR="00CC53CB" w:rsidRPr="00CC53CB" w:rsidRDefault="00CC53CB" w:rsidP="00CC53CB">
      <w:r w:rsidRPr="003441BE">
        <w:t xml:space="preserve">Brancheforeningen Dansk Luftfart bemærker, at øget regulering ikke mindst er et EU-relateret fænomen, og at især EASA’s tendens til detailregulering og prioritering af kvantitet i tilsynsressourcer frem for kvalitet af samme er en grundlæggende problematik, som bør udfordres af Danmark og ligesindede lande. Reguleringen skal ifølge </w:t>
      </w:r>
      <w:r w:rsidR="00062009">
        <w:t>b</w:t>
      </w:r>
      <w:r w:rsidRPr="003441BE">
        <w:t xml:space="preserve">rancheforeningen bidrage til nytteværdi og ikke kun til at </w:t>
      </w:r>
      <w:r w:rsidRPr="003441BE">
        <w:lastRenderedPageBreak/>
        <w:t>drive omkostninger, og brancheforeningen kan kun opfordre til, at Danmark tager initiativet til en sådan proces.</w:t>
      </w:r>
      <w:r w:rsidRPr="00CC53CB">
        <w:t xml:space="preserve"> </w:t>
      </w:r>
    </w:p>
    <w:p w14:paraId="3E2473B8" w14:textId="02733DDE" w:rsidR="00CC53CB" w:rsidRDefault="003441BE" w:rsidP="00D441AE">
      <w:r w:rsidRPr="003441BE">
        <w:t>Brancheforeningen Dansk Luftfart</w:t>
      </w:r>
      <w:r w:rsidRPr="00CC53CB">
        <w:t xml:space="preserve"> </w:t>
      </w:r>
      <w:r>
        <w:t>mener, at der p</w:t>
      </w:r>
      <w:r w:rsidR="00CC53CB" w:rsidRPr="00CC53CB">
        <w:t xml:space="preserve">å rent dansk hold </w:t>
      </w:r>
      <w:r>
        <w:t xml:space="preserve">også </w:t>
      </w:r>
      <w:r w:rsidR="00CC53CB" w:rsidRPr="00CC53CB">
        <w:t>kan vindes</w:t>
      </w:r>
      <w:r>
        <w:t xml:space="preserve"> noget</w:t>
      </w:r>
      <w:r w:rsidR="00CC53CB" w:rsidRPr="00CC53CB">
        <w:t xml:space="preserve"> ved at tænke lidt bredere</w:t>
      </w:r>
      <w:r>
        <w:t xml:space="preserve">, hvilket bl.a. følgende er et eksempel på: </w:t>
      </w:r>
      <w:r w:rsidR="00CC53CB" w:rsidRPr="00CC53CB">
        <w:t xml:space="preserve">Det foreslås nu eksplicit nævnt i loven, at afgiftsprovenuet også bidrager til at dække omkostningerne vedrørende sager i relation til passagerrettighedsforordningen (Forordning 261/2004). </w:t>
      </w:r>
      <w:r>
        <w:t>Brancheforeningen finder, at det f</w:t>
      </w:r>
      <w:r w:rsidR="00CC53CB" w:rsidRPr="00CC53CB">
        <w:t>or erhvervet er helt relevant, at Trafikstyrelsen med sin iboende luftfartsindsigt, har den opgave</w:t>
      </w:r>
      <w:r>
        <w:t xml:space="preserve">, men at </w:t>
      </w:r>
      <w:r w:rsidR="00CC53CB" w:rsidRPr="00CC53CB">
        <w:t xml:space="preserve">Trafikstyrelsens indsigt i mange tilfælde </w:t>
      </w:r>
      <w:r>
        <w:t xml:space="preserve">desværre </w:t>
      </w:r>
      <w:r w:rsidR="00CC53CB" w:rsidRPr="00CC53CB">
        <w:t>slet ikke</w:t>
      </w:r>
      <w:r>
        <w:t xml:space="preserve"> kommer</w:t>
      </w:r>
      <w:r w:rsidR="00CC53CB" w:rsidRPr="00CC53CB">
        <w:t xml:space="preserve"> i spil. I stedet påføres luftfartsselskaber i mange kompensationssager ekstraomkostninger til byretssager, fordi det fortsat accepteres i Danmark, at klageren kan gå direkte i byretterne og dermed helt uden om Trafikstyrelsen, der burde være et obligatorisk første stop. </w:t>
      </w:r>
      <w:r w:rsidRPr="003441BE">
        <w:t>Brancheforeningen Dansk Luftfart</w:t>
      </w:r>
      <w:r w:rsidR="00CC53CB" w:rsidRPr="00CC53CB">
        <w:t xml:space="preserve"> bemærker i den forbindelse, at en ændring i den relevante lovgivning for nylig var en del af drøftelserne i forbindelse med arbejdet i ”Udvalget for forberedelse af ny flerårsaftale for domstolene” (Justitsministeriet)</w:t>
      </w:r>
      <w:r>
        <w:t xml:space="preserve">, men at man </w:t>
      </w:r>
      <w:r w:rsidR="00CC53CB" w:rsidRPr="00CC53CB">
        <w:t xml:space="preserve">desværre undlod at tage initiativet til følge i de resulterende justeringer af Retsplejeloven mv. (primo 2024). </w:t>
      </w:r>
      <w:r w:rsidRPr="003441BE">
        <w:t>Brancheforeningen Dansk Luftfart</w:t>
      </w:r>
      <w:r w:rsidR="00CC53CB" w:rsidRPr="00CC53CB">
        <w:t xml:space="preserve"> opfordrer til, at Transportministeriet tager den konklusion op til fornyet bearbejdning</w:t>
      </w:r>
      <w:r>
        <w:t xml:space="preserve"> og bemærker, at e</w:t>
      </w:r>
      <w:r w:rsidR="00CC53CB" w:rsidRPr="00CC53CB">
        <w:t>n ændring som nævnt vil medvirke til at reducere belastningen som følge af de store foreslåede forhøjelser af safety-bidraget.</w:t>
      </w:r>
    </w:p>
    <w:p w14:paraId="1A191D01" w14:textId="5D6BB292" w:rsidR="00E847DB" w:rsidRDefault="00E847DB" w:rsidP="00E847DB">
      <w:r>
        <w:t xml:space="preserve">I forlængelse af den supplerende høring over det reviderede lovudkast bemærker </w:t>
      </w:r>
      <w:r w:rsidRPr="003441BE">
        <w:t>Brancheforeningen Dansk Luftfart</w:t>
      </w:r>
      <w:r>
        <w:t>, at h</w:t>
      </w:r>
      <w:r w:rsidRPr="00E847DB">
        <w:t xml:space="preserve">vad angår den forslagsdel, der handler om forhøjelse af safety-bidraget mv., er der tale om tydeliggørelse af konditionerne for den årlige PL-regulering (fjernelse af note om tekstanmærkning i Finansloven) samt præcisering af, at luftfartsselskaber i praksis </w:t>
      </w:r>
      <w:r w:rsidRPr="00E847DB">
        <w:rPr>
          <w:i/>
          <w:iCs/>
        </w:rPr>
        <w:t xml:space="preserve">kan </w:t>
      </w:r>
      <w:r w:rsidRPr="00E847DB">
        <w:t>vælge at overvælte afgiften på passagererne.</w:t>
      </w:r>
    </w:p>
    <w:p w14:paraId="07AE7F1B" w14:textId="7DCD07C0" w:rsidR="00E847DB" w:rsidRDefault="00E847DB" w:rsidP="00E847DB">
      <w:r w:rsidRPr="003441BE">
        <w:t>Brancheforeningen Dansk Luftfart</w:t>
      </w:r>
      <w:r>
        <w:t xml:space="preserve"> bemærker, at p</w:t>
      </w:r>
      <w:r w:rsidRPr="00E847DB">
        <w:t>ræciseringen vedrørende tekstanmærkningen tage</w:t>
      </w:r>
      <w:r>
        <w:t>s</w:t>
      </w:r>
      <w:r w:rsidRPr="00E847DB">
        <w:t xml:space="preserve"> til efterretning, men henviser dog til bemærkningerne i </w:t>
      </w:r>
      <w:r>
        <w:t>brancheforeningens</w:t>
      </w:r>
      <w:r w:rsidRPr="00E847DB">
        <w:t xml:space="preserve"> høringssvar af 22. august. </w:t>
      </w:r>
      <w:r w:rsidRPr="003441BE">
        <w:t>Brancheforeningen</w:t>
      </w:r>
      <w:r w:rsidRPr="00E847DB">
        <w:t xml:space="preserve"> bemærker, at teksterne i bemærkningerne til den supplerende høring om afgiftens regulering, når der er nået balance mellem indtægter og udgifter, synes selvmodsigende. I sidste punktum i fjerde hele afsnit på side 14 fastslås det, at afgiftssatsen vil kunne reguleres (sænkes) til et nyt omkostningsdækkende niveau, men i det afsnit, der begyndes nederst side 14, lægges til grund, at afgiften fremover PL-reguleres uden korrektion for passagerudsving. </w:t>
      </w:r>
      <w:r w:rsidRPr="003441BE">
        <w:t>Brancheforeningen</w:t>
      </w:r>
      <w:r w:rsidRPr="00E847DB">
        <w:t xml:space="preserve"> forstår efter henvendelse, </w:t>
      </w:r>
      <w:r w:rsidRPr="00E847DB">
        <w:lastRenderedPageBreak/>
        <w:t xml:space="preserve">at afgiftssatsen skal kunne reguleres, når der er opnået balance, hvilket </w:t>
      </w:r>
      <w:r w:rsidR="001B253F">
        <w:t xml:space="preserve">ifølge brancheforeningen </w:t>
      </w:r>
      <w:r w:rsidRPr="00E847DB">
        <w:t xml:space="preserve">også er det eneste logiske. </w:t>
      </w:r>
      <w:r w:rsidRPr="003441BE">
        <w:t>Brancheforeningen</w:t>
      </w:r>
      <w:r w:rsidRPr="00E847DB">
        <w:t xml:space="preserve"> opfordrer til, at teksterne justeres, så uklarhederne elimineres.</w:t>
      </w:r>
    </w:p>
    <w:p w14:paraId="1CE69DCB" w14:textId="22D1843E" w:rsidR="00E847DB" w:rsidRPr="00E847DB" w:rsidRDefault="00E847DB" w:rsidP="00E847DB">
      <w:pPr>
        <w:rPr>
          <w:iCs/>
        </w:rPr>
      </w:pPr>
      <w:r w:rsidRPr="003441BE">
        <w:t>Brancheforeningen</w:t>
      </w:r>
      <w:r>
        <w:t xml:space="preserve"> Dansk Luftfart bemærker endvidere, at s</w:t>
      </w:r>
      <w:r w:rsidRPr="00E847DB">
        <w:t xml:space="preserve">pørgsmålet om </w:t>
      </w:r>
      <w:proofErr w:type="spellStart"/>
      <w:r w:rsidRPr="00E847DB">
        <w:t>overvæltning</w:t>
      </w:r>
      <w:proofErr w:type="spellEnd"/>
      <w:r w:rsidRPr="00E847DB">
        <w:t xml:space="preserve"> af afgiften til passagererne, </w:t>
      </w:r>
      <w:r w:rsidR="001B253F">
        <w:t xml:space="preserve">blev behandlet </w:t>
      </w:r>
      <w:r w:rsidRPr="00E847DB">
        <w:t xml:space="preserve">indgående i </w:t>
      </w:r>
      <w:r w:rsidR="001B253F">
        <w:t>brancheforeningens</w:t>
      </w:r>
      <w:r w:rsidRPr="00E847DB">
        <w:t xml:space="preserve"> høringssvar af 22. august. De deri anførte synspunkter har ikke ændret sig, og som sådan ændrer konteksten sig heller ikke med den nu anførte præcisering (under pkt. 4, side 35) om, at ”</w:t>
      </w:r>
      <w:r w:rsidRPr="00E847DB">
        <w:rPr>
          <w:i/>
          <w:iCs/>
        </w:rPr>
        <w:t>I praksis</w:t>
      </w:r>
      <w:r>
        <w:rPr>
          <w:i/>
          <w:iCs/>
        </w:rPr>
        <w:t xml:space="preserve"> </w:t>
      </w:r>
      <w:r w:rsidRPr="00E847DB">
        <w:rPr>
          <w:i/>
          <w:iCs/>
        </w:rPr>
        <w:t xml:space="preserve">kan luftfartsselskaber vælge fuldt ud at overvælte hele </w:t>
      </w:r>
      <w:proofErr w:type="spellStart"/>
      <w:proofErr w:type="gramStart"/>
      <w:r w:rsidRPr="00E847DB">
        <w:rPr>
          <w:i/>
          <w:iCs/>
        </w:rPr>
        <w:t>afgiften….</w:t>
      </w:r>
      <w:proofErr w:type="gramEnd"/>
      <w:r w:rsidRPr="00E847DB">
        <w:rPr>
          <w:i/>
          <w:iCs/>
        </w:rPr>
        <w:t>.på</w:t>
      </w:r>
      <w:proofErr w:type="spellEnd"/>
      <w:r w:rsidRPr="00E847DB">
        <w:rPr>
          <w:i/>
          <w:iCs/>
        </w:rPr>
        <w:t xml:space="preserve"> passagererne, hvormed passagererne bærer udgiften”. </w:t>
      </w:r>
      <w:r w:rsidRPr="00E847DB">
        <w:rPr>
          <w:iCs/>
        </w:rPr>
        <w:t xml:space="preserve">Præciseringen anvendes </w:t>
      </w:r>
      <w:r w:rsidR="001B253F">
        <w:rPr>
          <w:iCs/>
        </w:rPr>
        <w:t xml:space="preserve">ifølge brancheforeningen </w:t>
      </w:r>
      <w:r w:rsidRPr="00E847DB">
        <w:rPr>
          <w:iCs/>
        </w:rPr>
        <w:t xml:space="preserve">fortsat til at hævde, at afgifter ikke har nogen betydning for virksomhederne. </w:t>
      </w:r>
      <w:r w:rsidR="001B253F" w:rsidRPr="003441BE">
        <w:t>Brancheforeningen</w:t>
      </w:r>
      <w:r w:rsidR="001B253F">
        <w:t xml:space="preserve"> Dansk Luftfart</w:t>
      </w:r>
      <w:r w:rsidR="001B253F" w:rsidRPr="00E847DB">
        <w:rPr>
          <w:iCs/>
        </w:rPr>
        <w:t xml:space="preserve"> </w:t>
      </w:r>
      <w:r w:rsidR="001B253F">
        <w:rPr>
          <w:iCs/>
        </w:rPr>
        <w:t>anfører, at d</w:t>
      </w:r>
      <w:r w:rsidRPr="00E847DB">
        <w:rPr>
          <w:iCs/>
        </w:rPr>
        <w:t>en situation muligvis</w:t>
      </w:r>
      <w:r w:rsidR="001B253F">
        <w:rPr>
          <w:iCs/>
        </w:rPr>
        <w:t xml:space="preserve"> kan</w:t>
      </w:r>
      <w:r w:rsidRPr="00E847DB">
        <w:rPr>
          <w:iCs/>
        </w:rPr>
        <w:t xml:space="preserve"> opstå i et marked uden konkurrence og fravær af priselasticitet</w:t>
      </w:r>
      <w:r w:rsidR="001B253F">
        <w:rPr>
          <w:iCs/>
        </w:rPr>
        <w:t>, m</w:t>
      </w:r>
      <w:r w:rsidRPr="00E847DB">
        <w:rPr>
          <w:iCs/>
        </w:rPr>
        <w:t>en</w:t>
      </w:r>
      <w:r w:rsidR="001B253F">
        <w:rPr>
          <w:iCs/>
        </w:rPr>
        <w:t xml:space="preserve"> at</w:t>
      </w:r>
      <w:r w:rsidRPr="00E847DB">
        <w:rPr>
          <w:iCs/>
        </w:rPr>
        <w:t xml:space="preserve"> sådan fungerer international luftfart som bekendt ikke. Konkurrencen blandt luftfartsselskaber er hård, og med nationalt bestemte afgifter betyder det også, at man for at bevare markedsandel,</w:t>
      </w:r>
      <w:r w:rsidR="001B253F">
        <w:rPr>
          <w:iCs/>
        </w:rPr>
        <w:t xml:space="preserve"> ifølge brancheforeningen, må </w:t>
      </w:r>
      <w:r w:rsidRPr="00E847DB">
        <w:rPr>
          <w:iCs/>
        </w:rPr>
        <w:t>absorbere en del af afgiften selv. Konsekvenserne af det er selvsagt værst for selskaber med stor markedsandel</w:t>
      </w:r>
      <w:r w:rsidR="001B253F">
        <w:rPr>
          <w:iCs/>
        </w:rPr>
        <w:t>, bemærker brancheforeningen</w:t>
      </w:r>
      <w:r w:rsidRPr="00E847DB">
        <w:rPr>
          <w:iCs/>
        </w:rPr>
        <w:t>. I et gennemsnitligt billede er erfaringen, at et luftfartsselskab i den nævnte situation som minimum må absorbere en tredjedel af afgiften selv – altså dermed øge sin omkostningsmasse</w:t>
      </w:r>
      <w:r w:rsidR="001B253F">
        <w:rPr>
          <w:iCs/>
        </w:rPr>
        <w:t xml:space="preserve">, og </w:t>
      </w:r>
      <w:r w:rsidR="001B253F" w:rsidRPr="003441BE">
        <w:t>Brancheforeningen</w:t>
      </w:r>
      <w:r w:rsidR="001B253F">
        <w:t xml:space="preserve"> Dansk Luftfart</w:t>
      </w:r>
      <w:r w:rsidR="001B253F">
        <w:rPr>
          <w:iCs/>
        </w:rPr>
        <w:t xml:space="preserve"> mener, at d</w:t>
      </w:r>
      <w:r w:rsidRPr="00E847DB">
        <w:rPr>
          <w:iCs/>
        </w:rPr>
        <w:t>en sammenhæng</w:t>
      </w:r>
      <w:r w:rsidR="001B253F">
        <w:rPr>
          <w:iCs/>
        </w:rPr>
        <w:t xml:space="preserve"> </w:t>
      </w:r>
      <w:r w:rsidRPr="00E847DB">
        <w:rPr>
          <w:iCs/>
        </w:rPr>
        <w:t xml:space="preserve">bør fremgå klart af bemærkningsteksten. </w:t>
      </w:r>
    </w:p>
    <w:p w14:paraId="7F89B37E" w14:textId="27D5FE72" w:rsidR="00E847DB" w:rsidRPr="00E847DB" w:rsidRDefault="00E847DB" w:rsidP="00E847DB">
      <w:r w:rsidRPr="00E847DB">
        <w:rPr>
          <w:iCs/>
        </w:rPr>
        <w:t xml:space="preserve">Hvis der er behov for en mere detaljeret redegørelse for sammenhængen, kan </w:t>
      </w:r>
      <w:r w:rsidR="001B253F" w:rsidRPr="003441BE">
        <w:t>Brancheforeningen</w:t>
      </w:r>
      <w:r w:rsidR="001B253F">
        <w:t xml:space="preserve"> Dansk Luftfart</w:t>
      </w:r>
      <w:r w:rsidRPr="00E847DB">
        <w:rPr>
          <w:iCs/>
        </w:rPr>
        <w:t xml:space="preserve"> bl.a. henvise til ”Viden om </w:t>
      </w:r>
      <w:proofErr w:type="spellStart"/>
      <w:r w:rsidRPr="00E847DB">
        <w:rPr>
          <w:iCs/>
        </w:rPr>
        <w:t>luftfart”-notatet</w:t>
      </w:r>
      <w:proofErr w:type="spellEnd"/>
      <w:r w:rsidRPr="00E847DB">
        <w:rPr>
          <w:iCs/>
        </w:rPr>
        <w:t xml:space="preserve"> om passagerafgifter. Link til notatet er </w:t>
      </w:r>
      <w:r w:rsidR="001B253F">
        <w:rPr>
          <w:iCs/>
        </w:rPr>
        <w:t xml:space="preserve">angivet </w:t>
      </w:r>
      <w:r w:rsidRPr="00E847DB">
        <w:rPr>
          <w:iCs/>
        </w:rPr>
        <w:t>i fodnoten</w:t>
      </w:r>
      <w:r w:rsidR="001B253F">
        <w:rPr>
          <w:iCs/>
        </w:rPr>
        <w:t xml:space="preserve"> i høringssvaret, mens brancheforeningen oplyser også at have</w:t>
      </w:r>
      <w:r w:rsidRPr="00E847DB">
        <w:rPr>
          <w:iCs/>
        </w:rPr>
        <w:t xml:space="preserve"> andre materialer, der belyser sammenhængen.</w:t>
      </w:r>
    </w:p>
    <w:p w14:paraId="7C33C8A3" w14:textId="27B54B06" w:rsidR="0087651B" w:rsidRPr="0087651B" w:rsidRDefault="0087651B" w:rsidP="0087651B">
      <w:r>
        <w:rPr>
          <w:b/>
        </w:rPr>
        <w:t xml:space="preserve">Dansk Erhverv </w:t>
      </w:r>
      <w:r>
        <w:t>bemærker, at f</w:t>
      </w:r>
      <w:r w:rsidRPr="0087651B">
        <w:t xml:space="preserve">or så vidt angår den foreslåede forhøjelse af safety-afgiften har </w:t>
      </w:r>
      <w:r>
        <w:t xml:space="preserve">Dansk Erhverv </w:t>
      </w:r>
      <w:r w:rsidRPr="0087651B">
        <w:t xml:space="preserve">forståelse for, at der skabes balance mellem udgifterne til tilsyn på luftfartsområdet og indtægterne til dækning heraf. </w:t>
      </w:r>
    </w:p>
    <w:p w14:paraId="69A520F4" w14:textId="230F1DA2" w:rsidR="0087651B" w:rsidRPr="0087651B" w:rsidRDefault="0087651B" w:rsidP="0087651B">
      <w:r w:rsidRPr="0087651B">
        <w:t>Dog er</w:t>
      </w:r>
      <w:r>
        <w:t xml:space="preserve"> Dansk Erhverv</w:t>
      </w:r>
      <w:r w:rsidRPr="0087651B">
        <w:t xml:space="preserve"> ikke enige i, at branchen økonomisk set befinder sig på den anden side af covid-19 set i lyset af den gæld, som blev optaget som en direkte følge af de nationale restriktioner herunder på luftfartsområdet. </w:t>
      </w:r>
    </w:p>
    <w:p w14:paraId="7EEE27B3" w14:textId="0A505AC0" w:rsidR="0087651B" w:rsidRPr="0087651B" w:rsidRDefault="0087651B" w:rsidP="0087651B">
      <w:r w:rsidRPr="0087651B">
        <w:lastRenderedPageBreak/>
        <w:t xml:space="preserve">Herudover er </w:t>
      </w:r>
      <w:r>
        <w:t>Dansk Erhverv</w:t>
      </w:r>
      <w:r w:rsidRPr="0087651B">
        <w:t xml:space="preserve"> bekymrede for det generelt stigende afgiftstryk for en meget konkurrenceudsat branche. Der er for eksempel for nyligt blevet vedtaget passagerafgift, som ligeledes har virkning fra 2025. </w:t>
      </w:r>
    </w:p>
    <w:p w14:paraId="1175EFEC" w14:textId="2D5BAE88" w:rsidR="0087651B" w:rsidRPr="0087651B" w:rsidRDefault="0087651B" w:rsidP="0087651B">
      <w:r>
        <w:t>Dansk Erhverv</w:t>
      </w:r>
      <w:r w:rsidRPr="0087651B">
        <w:t xml:space="preserve"> </w:t>
      </w:r>
      <w:r>
        <w:t>bemærker, at l</w:t>
      </w:r>
      <w:r w:rsidRPr="0087651B">
        <w:t xml:space="preserve">uftfartssektoren som bekendt </w:t>
      </w:r>
      <w:r>
        <w:t xml:space="preserve">har </w:t>
      </w:r>
      <w:r w:rsidRPr="0087651B">
        <w:t>en stor betydning for Danmarks økonomi</w:t>
      </w:r>
      <w:r>
        <w:t>,</w:t>
      </w:r>
      <w:r w:rsidRPr="0087651B">
        <w:t xml:space="preserve"> både hvad angår de direkte og indirekte effekter</w:t>
      </w:r>
      <w:r>
        <w:t>,</w:t>
      </w:r>
      <w:r w:rsidRPr="0087651B">
        <w:t xml:space="preserve"> og </w:t>
      </w:r>
      <w:r w:rsidR="00062009">
        <w:t xml:space="preserve">at </w:t>
      </w:r>
      <w:r w:rsidRPr="0087651B">
        <w:t>et stigende afgiftstryk alt andet</w:t>
      </w:r>
      <w:r w:rsidR="00062009">
        <w:t xml:space="preserve"> lige</w:t>
      </w:r>
      <w:r w:rsidRPr="0087651B">
        <w:t xml:space="preserve"> </w:t>
      </w:r>
      <w:r w:rsidR="00062009" w:rsidRPr="0087651B">
        <w:t>risikerer</w:t>
      </w:r>
      <w:r w:rsidRPr="0087651B">
        <w:t xml:space="preserve"> at forværre dansk luftfarts internationale konkurrenceevne. </w:t>
      </w:r>
    </w:p>
    <w:p w14:paraId="6C79F798" w14:textId="77777777" w:rsidR="0087651B" w:rsidRDefault="0087651B" w:rsidP="0087651B">
      <w:r>
        <w:t>Dansk Erhverv</w:t>
      </w:r>
      <w:r w:rsidRPr="0087651B">
        <w:t xml:space="preserve"> vil derfor opfordre til, at der kigges på mulighederne for at reducere safety-afgiften snarere end at forhøje den</w:t>
      </w:r>
      <w:r>
        <w:t>, og foreslår, at der e</w:t>
      </w:r>
      <w:r w:rsidRPr="0087651B">
        <w:t xml:space="preserve">ksempelvis kunne ses på muligheden for at effektivisere tilsynet med henblik på at nedbringe afgiften. </w:t>
      </w:r>
    </w:p>
    <w:p w14:paraId="684A6980" w14:textId="1E1C6D25" w:rsidR="0087651B" w:rsidRPr="0087651B" w:rsidRDefault="0087651B" w:rsidP="0087651B">
      <w:r w:rsidRPr="0087651B">
        <w:t xml:space="preserve">For så vidt angår den løbende udvikling kan </w:t>
      </w:r>
      <w:r>
        <w:t>Dansk Erhverv</w:t>
      </w:r>
      <w:r w:rsidRPr="0087651B">
        <w:t xml:space="preserve"> støtte, at afgiften omfattes løbende PL-regulering.</w:t>
      </w:r>
    </w:p>
    <w:p w14:paraId="20AB08E4" w14:textId="243A9698" w:rsidR="002A1483" w:rsidRPr="002A1483" w:rsidRDefault="002A1483" w:rsidP="002A1483">
      <w:r w:rsidRPr="002A1483">
        <w:rPr>
          <w:b/>
        </w:rPr>
        <w:t>Erhvervsflyvningens Sammenslutning</w:t>
      </w:r>
      <w:r w:rsidRPr="002A1483">
        <w:t xml:space="preserve"> </w:t>
      </w:r>
      <w:r>
        <w:t xml:space="preserve">bemærker, at de </w:t>
      </w:r>
      <w:r w:rsidRPr="002A1483">
        <w:t>noterer</w:t>
      </w:r>
      <w:r>
        <w:t xml:space="preserve"> sig</w:t>
      </w:r>
      <w:r w:rsidRPr="002A1483">
        <w:t>, at der med lovforslaget foreslås, at der i kølvandet på covid-19-pandemien igen skabes balance mellem udgifterne til tilsyn på luftfartsområdet og indtægterne til dækning heraf via safety-afgiftsordningen. Erhvervsflyvningens Sammenslutning</w:t>
      </w:r>
      <w:r>
        <w:t xml:space="preserve"> henviser til, at</w:t>
      </w:r>
      <w:r w:rsidRPr="002A1483">
        <w:t xml:space="preserve"> </w:t>
      </w:r>
      <w:r>
        <w:t>s</w:t>
      </w:r>
      <w:r w:rsidRPr="002A1483">
        <w:t xml:space="preserve">afety-afgiften pr. 1. januar 2025 </w:t>
      </w:r>
      <w:r>
        <w:t xml:space="preserve">udgør </w:t>
      </w:r>
      <w:r w:rsidRPr="002A1483">
        <w:t>6 kr. pr. passager, der befordres fra en dansk lufthavn</w:t>
      </w:r>
      <w:r>
        <w:t>, og at satsen</w:t>
      </w:r>
      <w:r w:rsidRPr="002A1483">
        <w:t xml:space="preserve"> </w:t>
      </w:r>
      <w:r>
        <w:t>m</w:t>
      </w:r>
      <w:r w:rsidRPr="002A1483">
        <w:t xml:space="preserve">ed lovforslaget hæves til 8 kr. pr. 1. januar 2025, og </w:t>
      </w:r>
      <w:r w:rsidR="006F6CD0">
        <w:t xml:space="preserve">at </w:t>
      </w:r>
      <w:r w:rsidRPr="002A1483">
        <w:t>der foreslås en gradvis forøgelse af safety-afgiftssatsen frem mod 1. januar 2028.</w:t>
      </w:r>
    </w:p>
    <w:p w14:paraId="4B0D4E1F" w14:textId="0DF49E11" w:rsidR="002A1483" w:rsidRDefault="002A1483" w:rsidP="002A1483">
      <w:r w:rsidRPr="002A1483">
        <w:t>Erhvervsflyvningens Sammenslutning</w:t>
      </w:r>
      <w:r>
        <w:t xml:space="preserve"> bemærker, at</w:t>
      </w:r>
      <w:r w:rsidRPr="002A1483">
        <w:t xml:space="preserve"> </w:t>
      </w:r>
      <w:r>
        <w:t>f</w:t>
      </w:r>
      <w:r w:rsidRPr="002A1483">
        <w:t>orøgelse</w:t>
      </w:r>
      <w:r>
        <w:t>n</w:t>
      </w:r>
      <w:r w:rsidRPr="002A1483">
        <w:t xml:space="preserve"> af </w:t>
      </w:r>
      <w:r>
        <w:t>s</w:t>
      </w:r>
      <w:r w:rsidRPr="002A1483">
        <w:t>afety-afgiften, som foreslået, til at finansiere Trafikstyrelsens tilsynsvirksomhed med, kan støttes og ikke</w:t>
      </w:r>
      <w:r>
        <w:t xml:space="preserve"> giver</w:t>
      </w:r>
      <w:r w:rsidRPr="002A1483">
        <w:t xml:space="preserve"> anledning til yderligere bemærkninger. </w:t>
      </w:r>
    </w:p>
    <w:p w14:paraId="7C60ACB1" w14:textId="2356DD39" w:rsidR="00B45F8E" w:rsidRDefault="00B45F8E" w:rsidP="002A1483">
      <w:r w:rsidRPr="00B40F49">
        <w:rPr>
          <w:b/>
        </w:rPr>
        <w:t>International Air Transport Association</w:t>
      </w:r>
      <w:r w:rsidR="00B40F49">
        <w:rPr>
          <w:b/>
        </w:rPr>
        <w:t xml:space="preserve"> (IATA)</w:t>
      </w:r>
      <w:r w:rsidRPr="00B40F49">
        <w:rPr>
          <w:b/>
        </w:rPr>
        <w:t xml:space="preserve"> </w:t>
      </w:r>
      <w:r w:rsidRPr="00B40F49">
        <w:t xml:space="preserve">bemærker, at </w:t>
      </w:r>
      <w:r w:rsidR="00B40F49">
        <w:t>luftfart skaber fordele for både forbrugere og den bredere økonomi ved at levere hurtige forbindelser. Disse virtuelle broer i luften muliggør økonomisk flow af varer, investeringer, mennesker og ideer</w:t>
      </w:r>
      <w:r w:rsidR="00F76437">
        <w:t>, der er fundamental</w:t>
      </w:r>
      <w:r w:rsidR="00B40F49">
        <w:t xml:space="preserve">. I kontekst af dette er sikkerhed højeste prioritet i branchen, oplyser IATA. </w:t>
      </w:r>
    </w:p>
    <w:p w14:paraId="725092B8" w14:textId="43A14152" w:rsidR="00B40F49" w:rsidRDefault="00B40F49" w:rsidP="002A1483">
      <w:r>
        <w:t xml:space="preserve">IATA er bekymret for en række ting i forhold til safety-afgiften: Manglende gennemsigtighed, </w:t>
      </w:r>
      <w:r w:rsidR="006F6CD0">
        <w:t xml:space="preserve">manglende </w:t>
      </w:r>
      <w:r w:rsidR="009C2AC5">
        <w:t>konsekvensanalyse, at Trafikstyrelsens udgiftsstruktur og beslutningstagning er uden for luftfartsoperatørernes kontrol, omkostning</w:t>
      </w:r>
      <w:r w:rsidR="00C2016A">
        <w:t>ssammenhæng</w:t>
      </w:r>
      <w:r w:rsidR="009C2AC5">
        <w:t xml:space="preserve"> og risikobaseret tilsyn. </w:t>
      </w:r>
    </w:p>
    <w:p w14:paraId="7E170AE8" w14:textId="589A8E31" w:rsidR="00C2016A" w:rsidRDefault="009C2AC5" w:rsidP="002A1483">
      <w:r>
        <w:lastRenderedPageBreak/>
        <w:t xml:space="preserve">For så vidt angår manglende gennemsigtighed bemærker IATA, at mens lovforslaget henviser til den progressive forhøjelse af safety-afgiftssatsen op til 180 </w:t>
      </w:r>
      <w:r w:rsidR="00820B67">
        <w:t>pct.</w:t>
      </w:r>
      <w:r>
        <w:t xml:space="preserve"> i 2028, så er der ikke præsenteret nogen baggrundsinformation eller forudsigelser, der forklarer antagelserne bag tidslinjen for afgiftsforhøjelsen</w:t>
      </w:r>
      <w:r w:rsidR="006F6CD0">
        <w:t>,</w:t>
      </w:r>
      <w:r>
        <w:t xml:space="preserve"> </w:t>
      </w:r>
      <w:r w:rsidR="006F6CD0">
        <w:t>og</w:t>
      </w:r>
      <w:r>
        <w:t xml:space="preserve"> relevante tal for udviklingen</w:t>
      </w:r>
      <w:r w:rsidR="00C2016A">
        <w:t xml:space="preserve"> af Trafikstyrelsens udgifter, </w:t>
      </w:r>
      <w:r w:rsidR="006F6CD0">
        <w:t xml:space="preserve">hvilket </w:t>
      </w:r>
      <w:r w:rsidR="00C2016A">
        <w:t xml:space="preserve">rejser alvorlige bekymringer i forhold til manglen på gennemsigtighed i forhold til, hvordan beregningerne er foretaget. IATA mener, at de bagvedliggende tal skulle have været forklaret detaljeret til branchen, før lovforslaget blev sendt i offentlig høring, da dette ville have givet mulighed for, at parterne kunne få den rigtige tid og forståelse med henblik på at kunne forholde sig til forslaget. </w:t>
      </w:r>
    </w:p>
    <w:p w14:paraId="08B6839C" w14:textId="7B9B1B8B" w:rsidR="00820B67" w:rsidRDefault="00C2016A" w:rsidP="002A1483">
      <w:r>
        <w:t xml:space="preserve">For så vidt angår manglende konsekvensanalyse bemærker IATA, at luftfartsbranchen opererer i et meget konkurrencepræget internationalt miljø, hvor balancen mellem lovgivning og åbne markeder er afgørende for fair konkurrence og branchens sundhed. Luftfart er i Danmark både afgørende for indenrigs- og international </w:t>
      </w:r>
      <w:proofErr w:type="spellStart"/>
      <w:r>
        <w:t>konnektivitet</w:t>
      </w:r>
      <w:proofErr w:type="spellEnd"/>
      <w:r>
        <w:t>, og IATA bemærker i den sammenhæng, at luftfartsbranchen i Danmark i flere år har været under et stærkt pres fra konkurrencen fra andre markeder, og at branchen ikke har haft adgang til analysen af, hvordan rejseefterspørgslen vil blive påvirket i Danmark som konsekvens af forhøjelsen af safety-afgiften. IATA bemærker endvidere, at forhøjelsen op til 180 pct.</w:t>
      </w:r>
      <w:r w:rsidR="00820B67">
        <w:t xml:space="preserve"> kommer oven i andre afgifter, der for indeværende pålægges luftfart i dette marked i form af lufthavnsafgifter, CO2- og passagerafgifter osv., som i endnu højere grad hindrer konkurrencen og Danmarks </w:t>
      </w:r>
      <w:proofErr w:type="spellStart"/>
      <w:r w:rsidR="00820B67">
        <w:t>konnektivitet</w:t>
      </w:r>
      <w:proofErr w:type="spellEnd"/>
      <w:r w:rsidR="00820B67">
        <w:t xml:space="preserve"> i det globale landskab. IATA henviser til, at geopolitiske udviklinger, krigen i Ukraines indflydelse og lukningen af det russiske luftrum også i høj grad har påvirket luftfartens genopretning</w:t>
      </w:r>
      <w:r w:rsidR="00804A4B">
        <w:t xml:space="preserve"> negativt</w:t>
      </w:r>
      <w:r w:rsidR="00820B67">
        <w:t xml:space="preserve"> i de senere år. </w:t>
      </w:r>
    </w:p>
    <w:p w14:paraId="4DFD0C9E" w14:textId="1F7169D8" w:rsidR="000530EA" w:rsidRDefault="00820B67" w:rsidP="002A1483">
      <w:r>
        <w:t xml:space="preserve">Dernæst mener IATA ikke, at operatørerne skal være ansvarlige for at dække udgifterne af beslutninger truffet af Trafikstyrelsen vedrørende de ressourcer, der er nødvendige for at </w:t>
      </w:r>
      <w:r w:rsidR="00F93E81">
        <w:t>levere</w:t>
      </w:r>
      <w:r>
        <w:t xml:space="preserve"> sine ydelser. IATA bemærker, at disse beslutninger bør være baseret på effektivitet, neutralitet og omkostningseffektivitet, og overraskende nok er ingen af disse beslutningskriterier delt med branchen. </w:t>
      </w:r>
    </w:p>
    <w:p w14:paraId="24773A4B" w14:textId="6DA9ECCF" w:rsidR="000530EA" w:rsidRDefault="000530EA" w:rsidP="002A1483">
      <w:r>
        <w:t xml:space="preserve">IATA mener desuden, at omkostningerne skal være relateret til de ydelser, Trafikstyrelsen </w:t>
      </w:r>
      <w:r w:rsidR="000D7C3F">
        <w:t>leverer</w:t>
      </w:r>
      <w:r>
        <w:t xml:space="preserve">, og at de skal fordeles </w:t>
      </w:r>
      <w:r w:rsidR="00804A4B">
        <w:t xml:space="preserve">rimeligt </w:t>
      </w:r>
      <w:r>
        <w:t xml:space="preserve">blandt alle operatører, der modtager ydelserne. I denne kontekst har IATA svært ved at forstå, hvorfor luftfartsindustrien skal finansiere tilsynet med droneoperationer, der har udviklet sig meget, og som vil fortsætte med at udvikle sig meget de næste år, hvilket også gør sig gældende i forhold til andre operationer, der har meget lidt </w:t>
      </w:r>
      <w:r>
        <w:lastRenderedPageBreak/>
        <w:t xml:space="preserve">at gøre med luftfartsbranchen. IATA bemærker, at mens formålet med safety-afgiften er at sikre fuld dækning af Trafikstyrelsens tilsynsaktiviteter, er der samtidigt ikke noget krav om forøget produktivitet, og konsekvensen af dette er, at der ikke er noget incitament til at have en omkostningseffektiv lovgivningsaktivitet, når alle udgifter blot kan lægges over på brugerne. </w:t>
      </w:r>
    </w:p>
    <w:p w14:paraId="3E191124" w14:textId="1D374DA1" w:rsidR="009C2AC5" w:rsidRPr="00B40F49" w:rsidRDefault="000530EA" w:rsidP="002A1483">
      <w:r>
        <w:t>Afslutningsvis mener IATA, at operatørerne skal vurderes på baggrund af deres safety- og security-modenhed, ikke en ”</w:t>
      </w:r>
      <w:proofErr w:type="spellStart"/>
      <w:r>
        <w:t>one</w:t>
      </w:r>
      <w:proofErr w:type="spellEnd"/>
      <w:r>
        <w:t xml:space="preserve"> </w:t>
      </w:r>
      <w:proofErr w:type="spellStart"/>
      <w:r>
        <w:t>size</w:t>
      </w:r>
      <w:proofErr w:type="spellEnd"/>
      <w:r>
        <w:t xml:space="preserve"> </w:t>
      </w:r>
      <w:proofErr w:type="spellStart"/>
      <w:r>
        <w:t>fits</w:t>
      </w:r>
      <w:proofErr w:type="spellEnd"/>
      <w:r>
        <w:t xml:space="preserve"> all-tilgang”. Dette vil ifølge IATA bidrage til at optimere Trafikstyrelsens ressourcer</w:t>
      </w:r>
      <w:r w:rsidR="00804A4B">
        <w:t xml:space="preserve"> ved at</w:t>
      </w:r>
      <w:r>
        <w:t xml:space="preserve"> </w:t>
      </w:r>
      <w:r w:rsidR="0066548A">
        <w:t xml:space="preserve">føre dem over, hvor der er mest behov for dem og dermed forbedre omkostningseffektiviteten. </w:t>
      </w:r>
      <w:r>
        <w:t xml:space="preserve"> </w:t>
      </w:r>
      <w:r w:rsidR="00820B67">
        <w:t xml:space="preserve"> </w:t>
      </w:r>
      <w:r w:rsidR="00C2016A">
        <w:t xml:space="preserve">   </w:t>
      </w:r>
      <w:r w:rsidR="009C2AC5">
        <w:t xml:space="preserve">  </w:t>
      </w:r>
    </w:p>
    <w:p w14:paraId="76E1EA6E" w14:textId="60B14823" w:rsidR="00C60192" w:rsidRPr="00C60192" w:rsidRDefault="00C60192" w:rsidP="00C60192">
      <w:r>
        <w:rPr>
          <w:b/>
        </w:rPr>
        <w:t xml:space="preserve">Københavns Lufthavne A/S </w:t>
      </w:r>
      <w:r>
        <w:t>bemærker, at d</w:t>
      </w:r>
      <w:r w:rsidRPr="00C60192">
        <w:t xml:space="preserve">et er </w:t>
      </w:r>
      <w:r>
        <w:t>Københavns Lufthavne</w:t>
      </w:r>
      <w:r w:rsidRPr="00C60192">
        <w:t xml:space="preserve">s overordnede opfattelse, at nye øgede nationale omkostninger på luftfartsområdet ikke er hensigtsmæssige, fordi det som udgangspunkt øger de samlede omkostninger ved at benytte de danske lufthavne. </w:t>
      </w:r>
      <w:r>
        <w:t>Københavns Lufthavne</w:t>
      </w:r>
      <w:r w:rsidRPr="00C60192">
        <w:t xml:space="preserve"> </w:t>
      </w:r>
      <w:r>
        <w:t>bemærker, at d</w:t>
      </w:r>
      <w:r w:rsidRPr="00C60192">
        <w:t xml:space="preserve">et </w:t>
      </w:r>
      <w:r>
        <w:t xml:space="preserve">særligt </w:t>
      </w:r>
      <w:r w:rsidRPr="00C60192">
        <w:t>gør sig gældende set i lyset af den kommende passagerafgift, men også inden</w:t>
      </w:r>
      <w:r w:rsidR="00EE639E">
        <w:t xml:space="preserve"> </w:t>
      </w:r>
      <w:r w:rsidRPr="00C60192">
        <w:t xml:space="preserve">for andre områder forventes der betydeligt større udgifter for den danske luftfartsbranche over de kommende år. </w:t>
      </w:r>
    </w:p>
    <w:p w14:paraId="53EB8847" w14:textId="567191BF" w:rsidR="00C60192" w:rsidRPr="00C60192" w:rsidRDefault="00C60192" w:rsidP="00C60192">
      <w:r w:rsidRPr="00C60192">
        <w:t xml:space="preserve">Samtidig er </w:t>
      </w:r>
      <w:r>
        <w:t>Københavns Lufthavne</w:t>
      </w:r>
      <w:r w:rsidRPr="00C60192">
        <w:t xml:space="preserve"> naturligvis opmærksom på, at der skal være en balance mellem indtægter og udgifter i forbindelse med safety-tilsynet. </w:t>
      </w:r>
      <w:r>
        <w:t>Københavns Lufthavne</w:t>
      </w:r>
      <w:r w:rsidRPr="00C60192">
        <w:t xml:space="preserve"> finder det derfor naturligt, at det underskud, som er blevet genereret i forbindelse med </w:t>
      </w:r>
      <w:proofErr w:type="spellStart"/>
      <w:r w:rsidRPr="00C60192">
        <w:t>corona</w:t>
      </w:r>
      <w:proofErr w:type="spellEnd"/>
      <w:r w:rsidRPr="00C60192">
        <w:t>-pandemien</w:t>
      </w:r>
      <w:r w:rsidR="00F76437">
        <w:t>,</w:t>
      </w:r>
      <w:r w:rsidRPr="00C60192">
        <w:t xml:space="preserve"> bliver udlignet over de kommende år. </w:t>
      </w:r>
    </w:p>
    <w:p w14:paraId="75A41015" w14:textId="0F9CE535" w:rsidR="00C60192" w:rsidRPr="00C60192" w:rsidRDefault="00C60192" w:rsidP="00C60192">
      <w:r w:rsidRPr="00C60192">
        <w:t xml:space="preserve">Såfremt det besluttes at gennemføre afgiftsforhøjelsen på det foreslåede niveau, bør der, når økonomien er reetableret, efter </w:t>
      </w:r>
      <w:r>
        <w:t>Københavns Lufthavne</w:t>
      </w:r>
      <w:r w:rsidRPr="00C60192">
        <w:t>s opfattelse ske en markant nedbringelse af beløbet.</w:t>
      </w:r>
    </w:p>
    <w:p w14:paraId="4438FD4F" w14:textId="2FC61CC6" w:rsidR="00690909" w:rsidRPr="00690909" w:rsidRDefault="00690909" w:rsidP="00690909">
      <w:r>
        <w:rPr>
          <w:b/>
        </w:rPr>
        <w:t xml:space="preserve">SAS </w:t>
      </w:r>
      <w:r>
        <w:t xml:space="preserve">bemærker, at </w:t>
      </w:r>
      <w:r w:rsidR="00CD6CE9">
        <w:t>d</w:t>
      </w:r>
      <w:r w:rsidRPr="00690909">
        <w:t>en internationale konkurrence i luftfartsbranchen sk</w:t>
      </w:r>
      <w:r w:rsidR="00EC2FAD">
        <w:t>æ</w:t>
      </w:r>
      <w:r w:rsidRPr="00690909">
        <w:t>rpes l</w:t>
      </w:r>
      <w:r w:rsidR="00EC2FAD">
        <w:t>øb</w:t>
      </w:r>
      <w:r w:rsidRPr="00690909">
        <w:t>ende. SAS har derfor stort</w:t>
      </w:r>
      <w:r>
        <w:t xml:space="preserve"> </w:t>
      </w:r>
      <w:r w:rsidRPr="00690909">
        <w:t>fokus p</w:t>
      </w:r>
      <w:r w:rsidR="002D3129">
        <w:t>å</w:t>
      </w:r>
      <w:r w:rsidRPr="00690909">
        <w:t xml:space="preserve"> at etablere konkurrencedygtige omkostninger for ogs</w:t>
      </w:r>
      <w:r w:rsidR="00EC2FAD">
        <w:t>å</w:t>
      </w:r>
      <w:r w:rsidRPr="00690909">
        <w:t xml:space="preserve"> at skabe</w:t>
      </w:r>
      <w:r>
        <w:t xml:space="preserve"> </w:t>
      </w:r>
      <w:r w:rsidRPr="00690909">
        <w:t>foruds</w:t>
      </w:r>
      <w:r w:rsidR="00EC2FAD">
        <w:t>æ</w:t>
      </w:r>
      <w:r w:rsidRPr="00690909">
        <w:t xml:space="preserve">tningerne for den planlagte udbygning af </w:t>
      </w:r>
      <w:r w:rsidRPr="00EC2FAD">
        <w:rPr>
          <w:bCs/>
        </w:rPr>
        <w:t>SAS'</w:t>
      </w:r>
      <w:r w:rsidRPr="00690909">
        <w:rPr>
          <w:b/>
          <w:bCs/>
        </w:rPr>
        <w:t xml:space="preserve"> </w:t>
      </w:r>
      <w:r w:rsidRPr="00690909">
        <w:t>netv</w:t>
      </w:r>
      <w:r w:rsidR="00EC2FAD">
        <w:t>æ</w:t>
      </w:r>
      <w:r w:rsidRPr="00690909">
        <w:t>rk i K</w:t>
      </w:r>
      <w:r w:rsidR="00EC2FAD">
        <w:t>ø</w:t>
      </w:r>
      <w:r w:rsidRPr="00690909">
        <w:t>benhavns Lufthavn.</w:t>
      </w:r>
    </w:p>
    <w:p w14:paraId="11562D14" w14:textId="0D1EC85C" w:rsidR="00690909" w:rsidRPr="00690909" w:rsidRDefault="00CD6CE9" w:rsidP="00690909">
      <w:r>
        <w:t xml:space="preserve">SAS bemærker, at den </w:t>
      </w:r>
      <w:r w:rsidR="00690909" w:rsidRPr="00690909">
        <w:t>foresl</w:t>
      </w:r>
      <w:r w:rsidR="00EC2FAD">
        <w:t>å</w:t>
      </w:r>
      <w:r w:rsidR="00690909" w:rsidRPr="00690909">
        <w:t>ede stigning i safety-bidraget p</w:t>
      </w:r>
      <w:r w:rsidR="00EC2FAD">
        <w:t>å</w:t>
      </w:r>
      <w:r w:rsidR="00690909" w:rsidRPr="00690909">
        <w:t xml:space="preserve"> op til 180</w:t>
      </w:r>
      <w:r w:rsidR="00EE639E">
        <w:t xml:space="preserve"> pct.</w:t>
      </w:r>
      <w:r w:rsidR="00690909" w:rsidRPr="00690909">
        <w:t xml:space="preserve"> i till</w:t>
      </w:r>
      <w:r w:rsidR="00EC2FAD">
        <w:t>æ</w:t>
      </w:r>
      <w:r w:rsidR="00690909" w:rsidRPr="00690909">
        <w:t>g til en r</w:t>
      </w:r>
      <w:r w:rsidR="00EC2FAD">
        <w:t>æ</w:t>
      </w:r>
      <w:r w:rsidR="00690909" w:rsidRPr="00690909">
        <w:t>kke</w:t>
      </w:r>
      <w:r w:rsidR="00690909">
        <w:t xml:space="preserve"> </w:t>
      </w:r>
      <w:r w:rsidR="00690909" w:rsidRPr="00690909">
        <w:t xml:space="preserve">andre betydelige nationale omkostningsstigninger i </w:t>
      </w:r>
      <w:r w:rsidR="00EC2FAD">
        <w:t>å</w:t>
      </w:r>
      <w:r w:rsidR="00690909" w:rsidRPr="00690909">
        <w:t>r og n</w:t>
      </w:r>
      <w:r w:rsidR="00EC2FAD">
        <w:t>æ</w:t>
      </w:r>
      <w:r w:rsidR="00690909" w:rsidRPr="00690909">
        <w:t xml:space="preserve">ste </w:t>
      </w:r>
      <w:r w:rsidR="00EC2FAD">
        <w:t>å</w:t>
      </w:r>
      <w:r w:rsidR="00690909" w:rsidRPr="00690909">
        <w:t>r</w:t>
      </w:r>
      <w:r w:rsidR="00804A4B">
        <w:t>, vil</w:t>
      </w:r>
      <w:r w:rsidR="00690909" w:rsidRPr="00690909">
        <w:t xml:space="preserve"> modarbejde denne</w:t>
      </w:r>
      <w:r w:rsidR="00EC2FAD">
        <w:t xml:space="preserve"> </w:t>
      </w:r>
      <w:r w:rsidR="00690909" w:rsidRPr="00690909">
        <w:t>udbygning.</w:t>
      </w:r>
    </w:p>
    <w:p w14:paraId="6AFF41E1" w14:textId="759055E7" w:rsidR="00690909" w:rsidRPr="00690909" w:rsidRDefault="00690909" w:rsidP="00690909">
      <w:r w:rsidRPr="00690909">
        <w:t>SAS finder p</w:t>
      </w:r>
      <w:r w:rsidR="00EC2FAD">
        <w:t>å</w:t>
      </w:r>
      <w:r w:rsidRPr="00690909">
        <w:t xml:space="preserve"> den baggrund, at tiden er l</w:t>
      </w:r>
      <w:r w:rsidR="00EC2FAD">
        <w:t>ø</w:t>
      </w:r>
      <w:r w:rsidRPr="00690909">
        <w:t>bet fra, at den kommercielle passagerluftfart</w:t>
      </w:r>
      <w:r>
        <w:t xml:space="preserve"> </w:t>
      </w:r>
      <w:r w:rsidRPr="00690909">
        <w:t xml:space="preserve">subsidierer andre dele af luftfartserhvervet. </w:t>
      </w:r>
      <w:r w:rsidRPr="00690909">
        <w:lastRenderedPageBreak/>
        <w:t>Efter SAS' opfattelse er</w:t>
      </w:r>
      <w:r w:rsidR="00EC2FAD">
        <w:t xml:space="preserve"> </w:t>
      </w:r>
      <w:r w:rsidRPr="00690909">
        <w:t>det desuden</w:t>
      </w:r>
      <w:r>
        <w:t xml:space="preserve"> </w:t>
      </w:r>
      <w:r w:rsidRPr="00690909">
        <w:t>urimeligt, at luftfarten ska</w:t>
      </w:r>
      <w:r w:rsidR="00EC2FAD">
        <w:t>l</w:t>
      </w:r>
      <w:r w:rsidRPr="00690909">
        <w:t xml:space="preserve"> finansiere Trafikstyrelsens tab som f</w:t>
      </w:r>
      <w:r w:rsidR="00EC2FAD">
        <w:t>ø</w:t>
      </w:r>
      <w:r w:rsidRPr="00690909">
        <w:t>lge af manglende</w:t>
      </w:r>
      <w:r>
        <w:t xml:space="preserve"> </w:t>
      </w:r>
      <w:r w:rsidRPr="00690909">
        <w:t>tilpasning til et lavere aktivitetsniveau og dermed betale for ydelser, den ikke har</w:t>
      </w:r>
      <w:r>
        <w:t xml:space="preserve"> </w:t>
      </w:r>
      <w:r w:rsidRPr="00690909">
        <w:t>modtaget i kraft af en voldsom stigning i safety-bidraget p</w:t>
      </w:r>
      <w:r w:rsidR="00EC2FAD">
        <w:t>å</w:t>
      </w:r>
      <w:r w:rsidRPr="00690909">
        <w:t xml:space="preserve"> 180</w:t>
      </w:r>
      <w:r w:rsidR="00EE639E">
        <w:t xml:space="preserve"> pct.</w:t>
      </w:r>
      <w:r w:rsidRPr="00690909">
        <w:t xml:space="preserve"> over de kommende </w:t>
      </w:r>
      <w:r w:rsidR="00EC2FAD">
        <w:t>å</w:t>
      </w:r>
      <w:r w:rsidRPr="00690909">
        <w:t>r.</w:t>
      </w:r>
    </w:p>
    <w:p w14:paraId="6822CA16" w14:textId="76062052" w:rsidR="00690909" w:rsidRPr="00690909" w:rsidRDefault="00CD6CE9" w:rsidP="00690909">
      <w:r>
        <w:t>SAS bemærker, at b</w:t>
      </w:r>
      <w:r w:rsidR="00690909" w:rsidRPr="00690909">
        <w:t>aggrunden for indf</w:t>
      </w:r>
      <w:r w:rsidR="00EC2FAD">
        <w:t>ø</w:t>
      </w:r>
      <w:r w:rsidR="00690909" w:rsidRPr="00690909">
        <w:t>relsen af safety-bidraget i 2013 f</w:t>
      </w:r>
      <w:r w:rsidR="00EC2FAD">
        <w:t>ø</w:t>
      </w:r>
      <w:r w:rsidR="00690909" w:rsidRPr="00690909">
        <w:t xml:space="preserve">rst og fremmest </w:t>
      </w:r>
      <w:r>
        <w:t xml:space="preserve">var </w:t>
      </w:r>
      <w:r w:rsidR="00690909" w:rsidRPr="00690909">
        <w:t>at erstatte de</w:t>
      </w:r>
      <w:r w:rsidR="00690909">
        <w:t xml:space="preserve"> </w:t>
      </w:r>
      <w:r w:rsidR="00690909" w:rsidRPr="00690909">
        <w:t>dav</w:t>
      </w:r>
      <w:r w:rsidR="00EC2FAD">
        <w:t>æ</w:t>
      </w:r>
      <w:r w:rsidR="00690909" w:rsidRPr="00690909">
        <w:t>rende fluktuerende gebyrer samt administrativt belastende gebyrfasts</w:t>
      </w:r>
      <w:r w:rsidR="00EC2FAD">
        <w:t>æ</w:t>
      </w:r>
      <w:r w:rsidR="00690909" w:rsidRPr="00690909">
        <w:t>ttelser og -</w:t>
      </w:r>
      <w:r w:rsidR="00690909">
        <w:t xml:space="preserve"> </w:t>
      </w:r>
      <w:r w:rsidR="00690909" w:rsidRPr="00690909">
        <w:t>opkr</w:t>
      </w:r>
      <w:r w:rsidR="00EC2FAD">
        <w:t>æ</w:t>
      </w:r>
      <w:r w:rsidR="00690909" w:rsidRPr="00690909">
        <w:t>vninger for tilsynet med luftfartsvirksomheder med en forenklet opkr</w:t>
      </w:r>
      <w:r w:rsidR="00EC2FAD">
        <w:t>æ</w:t>
      </w:r>
      <w:r w:rsidR="00690909" w:rsidRPr="00690909">
        <w:t>vning per</w:t>
      </w:r>
      <w:r w:rsidR="00690909">
        <w:t xml:space="preserve"> </w:t>
      </w:r>
      <w:r w:rsidR="00690909" w:rsidRPr="00690909">
        <w:t>passager gennem safety-bidraget. SAS st</w:t>
      </w:r>
      <w:r w:rsidR="00EC2FAD">
        <w:t>ø</w:t>
      </w:r>
      <w:r w:rsidR="00690909" w:rsidRPr="00690909">
        <w:t>tter p</w:t>
      </w:r>
      <w:r w:rsidR="00EC2FAD">
        <w:t>å</w:t>
      </w:r>
      <w:r w:rsidR="00690909" w:rsidRPr="00690909">
        <w:t xml:space="preserve"> den baggrund fuldt ud safety-bidragets</w:t>
      </w:r>
      <w:r w:rsidR="00690909">
        <w:t xml:space="preserve"> </w:t>
      </w:r>
      <w:r w:rsidR="00690909" w:rsidRPr="00690909">
        <w:t>opretholdelse.</w:t>
      </w:r>
    </w:p>
    <w:p w14:paraId="319D4711" w14:textId="7D342DAE" w:rsidR="00690909" w:rsidRPr="00690909" w:rsidRDefault="00CD6CE9" w:rsidP="00690909">
      <w:r>
        <w:t>SAS bemærker, at v</w:t>
      </w:r>
      <w:r w:rsidR="00690909" w:rsidRPr="00690909">
        <w:t>ed safety-bidragets fasts</w:t>
      </w:r>
      <w:r w:rsidR="00EC2FAD">
        <w:t>æ</w:t>
      </w:r>
      <w:r w:rsidR="00690909" w:rsidRPr="00690909">
        <w:t>ttelse videref</w:t>
      </w:r>
      <w:r w:rsidR="00EC2FAD">
        <w:t>ø</w:t>
      </w:r>
      <w:r w:rsidR="00690909" w:rsidRPr="00690909">
        <w:t>rtes dengang den krydssubsidiering, som</w:t>
      </w:r>
      <w:r w:rsidR="00690909">
        <w:t xml:space="preserve"> </w:t>
      </w:r>
      <w:r w:rsidR="00690909" w:rsidRPr="00690909">
        <w:t>eksisterede under gebyrordningen, s</w:t>
      </w:r>
      <w:r w:rsidR="00EC2FAD">
        <w:t>å</w:t>
      </w:r>
      <w:r w:rsidR="00690909" w:rsidRPr="00690909">
        <w:t>ledes at safety-bidraget ogs</w:t>
      </w:r>
      <w:r w:rsidR="00EC2FAD">
        <w:t>å</w:t>
      </w:r>
      <w:r w:rsidR="00690909" w:rsidRPr="00690909">
        <w:t xml:space="preserve"> finansierer tilsynet</w:t>
      </w:r>
      <w:r w:rsidR="00690909">
        <w:t xml:space="preserve"> </w:t>
      </w:r>
      <w:r w:rsidR="00690909" w:rsidRPr="00690909">
        <w:t>med en r</w:t>
      </w:r>
      <w:r w:rsidR="00EC2FAD">
        <w:t>æ</w:t>
      </w:r>
      <w:r w:rsidR="00690909" w:rsidRPr="00690909">
        <w:t>kke luftfartsvirksomheder, som ikke har noget at g</w:t>
      </w:r>
      <w:r>
        <w:t>ø</w:t>
      </w:r>
      <w:r w:rsidR="00690909" w:rsidRPr="00690909">
        <w:t>re med dem, der betaler</w:t>
      </w:r>
      <w:r w:rsidR="00690909">
        <w:t xml:space="preserve"> </w:t>
      </w:r>
      <w:r w:rsidR="00690909" w:rsidRPr="00690909">
        <w:t>bidraget, nemlig passagererne.</w:t>
      </w:r>
      <w:r>
        <w:t xml:space="preserve"> </w:t>
      </w:r>
      <w:r w:rsidR="00690909" w:rsidRPr="00690909">
        <w:t>SAS er som dengang af den opfattelse, at alle luftfartsvirksomheder b</w:t>
      </w:r>
      <w:r w:rsidR="002D3129">
        <w:t>ø</w:t>
      </w:r>
      <w:r w:rsidR="00690909" w:rsidRPr="00690909">
        <w:t>r betale deres</w:t>
      </w:r>
      <w:r w:rsidR="00690909">
        <w:t xml:space="preserve"> </w:t>
      </w:r>
      <w:r w:rsidR="00690909" w:rsidRPr="00690909">
        <w:t>egne omkostninger. Dette synspunkt har yderligere aktualiseret sig. S</w:t>
      </w:r>
      <w:r w:rsidR="002D3129">
        <w:t>æ</w:t>
      </w:r>
      <w:r w:rsidR="00690909" w:rsidRPr="00690909">
        <w:t>rligt to omr</w:t>
      </w:r>
      <w:r w:rsidR="00690909">
        <w:t>å</w:t>
      </w:r>
      <w:r w:rsidR="00690909" w:rsidRPr="00690909">
        <w:t>der</w:t>
      </w:r>
      <w:r w:rsidR="00690909">
        <w:t xml:space="preserve"> </w:t>
      </w:r>
      <w:r w:rsidR="00690909" w:rsidRPr="00690909">
        <w:t>har v</w:t>
      </w:r>
      <w:r w:rsidR="002D3129">
        <w:t>æ</w:t>
      </w:r>
      <w:r w:rsidR="00690909" w:rsidRPr="00690909">
        <w:t>ret i en betydelig udvikling siden bidragets indf</w:t>
      </w:r>
      <w:r w:rsidR="00D670AD">
        <w:t>ø</w:t>
      </w:r>
      <w:r w:rsidR="00690909" w:rsidRPr="00690909">
        <w:t>relse - godstransport og</w:t>
      </w:r>
      <w:r w:rsidR="00690909">
        <w:t xml:space="preserve"> </w:t>
      </w:r>
      <w:r w:rsidR="00690909" w:rsidRPr="00690909">
        <w:t>dronevirksomhed.</w:t>
      </w:r>
    </w:p>
    <w:p w14:paraId="4DFA8284" w14:textId="257EA80C" w:rsidR="00690909" w:rsidRPr="00690909" w:rsidRDefault="00CD6CE9" w:rsidP="00690909">
      <w:r>
        <w:t>SAS oplyser, at l</w:t>
      </w:r>
      <w:r w:rsidR="00690909" w:rsidRPr="00690909">
        <w:t>uftfartsselskaber, der alene udf</w:t>
      </w:r>
      <w:r>
        <w:t>ø</w:t>
      </w:r>
      <w:r w:rsidR="00690909" w:rsidRPr="00690909">
        <w:t>rer godstransport, er i konkurrence med bl.a. SAS om</w:t>
      </w:r>
      <w:r w:rsidR="00690909">
        <w:t xml:space="preserve"> </w:t>
      </w:r>
      <w:r w:rsidR="00690909" w:rsidRPr="00690909">
        <w:t>godstransport</w:t>
      </w:r>
      <w:r>
        <w:t>, og at g</w:t>
      </w:r>
      <w:r w:rsidR="00690909" w:rsidRPr="00690909">
        <w:t>odstransport er en v</w:t>
      </w:r>
      <w:r w:rsidR="00D670AD">
        <w:t>æ</w:t>
      </w:r>
      <w:r w:rsidR="00690909" w:rsidRPr="00690909">
        <w:t>sentlig del af SAS' indt</w:t>
      </w:r>
      <w:r w:rsidR="002D3129">
        <w:t>æ</w:t>
      </w:r>
      <w:r w:rsidR="00690909" w:rsidRPr="00690909">
        <w:t>gtsgrundlag for</w:t>
      </w:r>
      <w:r w:rsidR="00690909">
        <w:t xml:space="preserve"> </w:t>
      </w:r>
      <w:r w:rsidR="00690909" w:rsidRPr="00690909">
        <w:t xml:space="preserve">beflyvning af interkontinentale ruter. Det forekommer derfor </w:t>
      </w:r>
      <w:r>
        <w:t xml:space="preserve">ifølge SAS </w:t>
      </w:r>
      <w:r w:rsidR="00690909" w:rsidRPr="00690909">
        <w:t>urimeligt og</w:t>
      </w:r>
      <w:r w:rsidR="00690909">
        <w:t xml:space="preserve"> </w:t>
      </w:r>
      <w:r w:rsidR="00690909" w:rsidRPr="00690909">
        <w:t>konkurrenceforvridende, at SAS' passagerer ska</w:t>
      </w:r>
      <w:r w:rsidR="00D670AD">
        <w:t>l</w:t>
      </w:r>
      <w:r w:rsidR="00690909" w:rsidRPr="00690909">
        <w:t xml:space="preserve"> betale omkostningerne til</w:t>
      </w:r>
      <w:r w:rsidR="00690909">
        <w:t xml:space="preserve"> </w:t>
      </w:r>
      <w:r w:rsidR="00690909" w:rsidRPr="00690909">
        <w:t>konkurrerende virksomheder, hvilket har aktualiseret sig bl.a. ved en st</w:t>
      </w:r>
      <w:r w:rsidR="00D670AD">
        <w:t>ø</w:t>
      </w:r>
      <w:r w:rsidR="00690909" w:rsidRPr="00690909">
        <w:t>rre dansk akt</w:t>
      </w:r>
      <w:r w:rsidR="00D670AD">
        <w:t>ø</w:t>
      </w:r>
      <w:r w:rsidR="00690909" w:rsidRPr="00690909">
        <w:t>rs</w:t>
      </w:r>
      <w:r w:rsidR="00690909">
        <w:t xml:space="preserve"> </w:t>
      </w:r>
      <w:r w:rsidR="00690909" w:rsidRPr="00690909">
        <w:t>etablering i Danmark.</w:t>
      </w:r>
    </w:p>
    <w:p w14:paraId="0EF9E271" w14:textId="15BB4671" w:rsidR="00690909" w:rsidRPr="00690909" w:rsidRDefault="00690909" w:rsidP="00690909">
      <w:r w:rsidRPr="00690909">
        <w:t xml:space="preserve">Droneaktiviteter har de senere </w:t>
      </w:r>
      <w:r w:rsidR="002D3129">
        <w:t>å</w:t>
      </w:r>
      <w:r w:rsidRPr="00690909">
        <w:t>r v</w:t>
      </w:r>
      <w:r w:rsidR="002D3129">
        <w:t>æ</w:t>
      </w:r>
      <w:r w:rsidRPr="00690909">
        <w:t xml:space="preserve">ret i rivende udvikling, hvilket </w:t>
      </w:r>
      <w:r w:rsidR="00CD6CE9">
        <w:t xml:space="preserve">ifølge SAS </w:t>
      </w:r>
      <w:r w:rsidRPr="00690909">
        <w:t>m</w:t>
      </w:r>
      <w:r w:rsidR="002D3129">
        <w:t>å</w:t>
      </w:r>
      <w:r w:rsidRPr="00690909">
        <w:t xml:space="preserve"> forventes at</w:t>
      </w:r>
      <w:r>
        <w:t xml:space="preserve"> </w:t>
      </w:r>
      <w:r w:rsidRPr="00690909">
        <w:t>forts</w:t>
      </w:r>
      <w:r w:rsidR="002D3129">
        <w:t>æ</w:t>
      </w:r>
      <w:r w:rsidRPr="00690909">
        <w:t xml:space="preserve">tte i </w:t>
      </w:r>
      <w:r w:rsidR="00D670AD">
        <w:t>å</w:t>
      </w:r>
      <w:r w:rsidRPr="00690909">
        <w:t xml:space="preserve">rene fremover. </w:t>
      </w:r>
      <w:r w:rsidR="00CD6CE9">
        <w:t>SAS bemærker, at u</w:t>
      </w:r>
      <w:r w:rsidRPr="00690909">
        <w:t>d over at droner anvender luftrummet, har dronevirksomhed</w:t>
      </w:r>
      <w:r>
        <w:t xml:space="preserve"> </w:t>
      </w:r>
      <w:r w:rsidRPr="00690909">
        <w:t>kun sj</w:t>
      </w:r>
      <w:r w:rsidR="002D3129">
        <w:t>æ</w:t>
      </w:r>
      <w:r w:rsidRPr="00690909">
        <w:t>ldent noget at g</w:t>
      </w:r>
      <w:r w:rsidR="00D670AD">
        <w:t>ø</w:t>
      </w:r>
      <w:r w:rsidRPr="00690909">
        <w:t>re med den traditionelle luftfartsindustri</w:t>
      </w:r>
      <w:r w:rsidR="00CD6CE9">
        <w:t>, og at d</w:t>
      </w:r>
      <w:r w:rsidRPr="00690909">
        <w:t xml:space="preserve">roner </w:t>
      </w:r>
      <w:r w:rsidR="00CD6CE9" w:rsidRPr="00690909">
        <w:t>s</w:t>
      </w:r>
      <w:r w:rsidR="00CD6CE9">
        <w:t>å</w:t>
      </w:r>
      <w:r w:rsidR="00CD6CE9" w:rsidRPr="00690909">
        <w:t xml:space="preserve">ledes </w:t>
      </w:r>
      <w:r w:rsidRPr="00690909">
        <w:t>anvendes</w:t>
      </w:r>
      <w:r>
        <w:t xml:space="preserve"> </w:t>
      </w:r>
      <w:r w:rsidRPr="00690909">
        <w:t>i en lang r</w:t>
      </w:r>
      <w:r w:rsidR="002D3129">
        <w:t>æ</w:t>
      </w:r>
      <w:r w:rsidRPr="00690909">
        <w:t>kke andre sektorer. Det er</w:t>
      </w:r>
      <w:r w:rsidR="00CD6CE9">
        <w:t xml:space="preserve"> derfor ifølge SAS</w:t>
      </w:r>
      <w:r w:rsidRPr="00690909">
        <w:t xml:space="preserve"> vanskeligt at se, at det kan v</w:t>
      </w:r>
      <w:r w:rsidR="00D670AD">
        <w:t>æ</w:t>
      </w:r>
      <w:r w:rsidRPr="00690909">
        <w:t>re</w:t>
      </w:r>
      <w:r>
        <w:t xml:space="preserve"> </w:t>
      </w:r>
      <w:r w:rsidRPr="00690909">
        <w:t>luftfartens opgave at finansiere tilsynet med den</w:t>
      </w:r>
      <w:r w:rsidR="00D670AD">
        <w:t>n</w:t>
      </w:r>
      <w:r w:rsidRPr="00690909">
        <w:t>e virksomhed, som griber stadig mere</w:t>
      </w:r>
      <w:r>
        <w:t xml:space="preserve"> </w:t>
      </w:r>
      <w:r w:rsidRPr="00690909">
        <w:t>om sig.</w:t>
      </w:r>
    </w:p>
    <w:p w14:paraId="7177D274" w14:textId="1398943D" w:rsidR="00690909" w:rsidRPr="00690909" w:rsidRDefault="00690909" w:rsidP="00690909">
      <w:r w:rsidRPr="00690909">
        <w:t>Niveauet for safety-bidraget blev ved lov</w:t>
      </w:r>
      <w:r w:rsidR="00D670AD">
        <w:t>æ</w:t>
      </w:r>
      <w:r w:rsidRPr="00690909">
        <w:t>ndring i 2021 som f</w:t>
      </w:r>
      <w:r w:rsidR="00D670AD">
        <w:t>ø</w:t>
      </w:r>
      <w:r w:rsidRPr="00690909">
        <w:t xml:space="preserve">lge af </w:t>
      </w:r>
      <w:r w:rsidR="00EE639E">
        <w:t>covid</w:t>
      </w:r>
      <w:r w:rsidRPr="00690909">
        <w:t>-19 fastsat</w:t>
      </w:r>
      <w:r>
        <w:t xml:space="preserve"> </w:t>
      </w:r>
      <w:r w:rsidRPr="00690909">
        <w:t xml:space="preserve">for </w:t>
      </w:r>
      <w:r w:rsidR="002D3129">
        <w:t>å</w:t>
      </w:r>
      <w:r w:rsidRPr="00690909">
        <w:t>rene 2021-24 og blev s</w:t>
      </w:r>
      <w:r w:rsidR="00D670AD">
        <w:t>å</w:t>
      </w:r>
      <w:r w:rsidRPr="00690909">
        <w:t>ledes gjort uafh</w:t>
      </w:r>
      <w:r w:rsidR="00D670AD">
        <w:t>æ</w:t>
      </w:r>
      <w:r w:rsidRPr="00690909">
        <w:t>ngig af passagerantallet. Det deraf</w:t>
      </w:r>
      <w:r>
        <w:t xml:space="preserve"> </w:t>
      </w:r>
      <w:r w:rsidRPr="00690909">
        <w:t>f</w:t>
      </w:r>
      <w:r w:rsidR="00D670AD">
        <w:t>ø</w:t>
      </w:r>
      <w:r w:rsidRPr="00690909">
        <w:t>lgende underskud forudsattes d</w:t>
      </w:r>
      <w:r w:rsidR="002D3129">
        <w:t>æ</w:t>
      </w:r>
      <w:r w:rsidRPr="00690909">
        <w:t>kket af fremtidige afgiftsstigninger. Det</w:t>
      </w:r>
      <w:r w:rsidR="00D670AD">
        <w:t xml:space="preserve"> </w:t>
      </w:r>
      <w:r w:rsidRPr="00690909">
        <w:t>er dette, som</w:t>
      </w:r>
      <w:r>
        <w:t xml:space="preserve"> </w:t>
      </w:r>
      <w:r w:rsidRPr="00690909">
        <w:t xml:space="preserve">lovforslaget adresserer gennem forslag til stigende afgifter frem til og </w:t>
      </w:r>
      <w:r w:rsidRPr="00690909">
        <w:lastRenderedPageBreak/>
        <w:t>med 2028, hvor der</w:t>
      </w:r>
      <w:r>
        <w:t xml:space="preserve"> </w:t>
      </w:r>
      <w:r w:rsidRPr="00690909">
        <w:t>er tale om en stigning pa 180</w:t>
      </w:r>
      <w:r w:rsidR="00EE639E">
        <w:t xml:space="preserve"> pct.</w:t>
      </w:r>
      <w:r w:rsidRPr="00690909">
        <w:t xml:space="preserve"> i forhold til i dag.</w:t>
      </w:r>
    </w:p>
    <w:p w14:paraId="1281D41E" w14:textId="4CB5D84D" w:rsidR="00690909" w:rsidRPr="00690909" w:rsidRDefault="00690909" w:rsidP="00690909">
      <w:r w:rsidRPr="00690909">
        <w:t>A</w:t>
      </w:r>
      <w:r w:rsidR="00D670AD">
        <w:t>ll</w:t>
      </w:r>
      <w:r w:rsidRPr="00690909">
        <w:t>e dele af luftfarten blev ramt af</w:t>
      </w:r>
      <w:r w:rsidR="00EE639E">
        <w:t xml:space="preserve"> covid-</w:t>
      </w:r>
      <w:r w:rsidRPr="00690909">
        <w:t>19 og har v</w:t>
      </w:r>
      <w:r w:rsidR="002D3129">
        <w:t>æ</w:t>
      </w:r>
      <w:r w:rsidRPr="00690909">
        <w:t>ret tvunget til at tilpasse deres</w:t>
      </w:r>
      <w:r>
        <w:t xml:space="preserve"> </w:t>
      </w:r>
      <w:r w:rsidRPr="00690909">
        <w:t>virksomhed for at minimere tabene som f</w:t>
      </w:r>
      <w:r w:rsidR="00D670AD">
        <w:t>ø</w:t>
      </w:r>
      <w:r w:rsidRPr="00690909">
        <w:t>lge af voldsomt reducerede indt</w:t>
      </w:r>
      <w:r w:rsidR="00D670AD">
        <w:t>æ</w:t>
      </w:r>
      <w:r w:rsidRPr="00690909">
        <w:t>gter.</w:t>
      </w:r>
      <w:r>
        <w:t xml:space="preserve"> </w:t>
      </w:r>
      <w:r w:rsidRPr="00690909">
        <w:t>Trafikstyrelsen har ikke p</w:t>
      </w:r>
      <w:r w:rsidR="00D670AD">
        <w:t>å</w:t>
      </w:r>
      <w:r w:rsidRPr="00690909">
        <w:t xml:space="preserve"> tilsvarende vis tilpasset sin virksomhed efter aktivitetsniveauet</w:t>
      </w:r>
      <w:r w:rsidR="00EE639E">
        <w:t xml:space="preserve">, vurderer SAS. </w:t>
      </w:r>
    </w:p>
    <w:p w14:paraId="132BCCB2" w14:textId="3D5F0037" w:rsidR="00690909" w:rsidRDefault="00690909" w:rsidP="00690909">
      <w:r w:rsidRPr="00690909">
        <w:t xml:space="preserve">Det forekommer </w:t>
      </w:r>
      <w:r w:rsidR="00EE639E">
        <w:t xml:space="preserve">ifølge SAS </w:t>
      </w:r>
      <w:r w:rsidRPr="00690909">
        <w:t>ikke rimeligt, at luftfarten skal b</w:t>
      </w:r>
      <w:r w:rsidR="00D670AD">
        <w:t>æ</w:t>
      </w:r>
      <w:r w:rsidRPr="00690909">
        <w:t>re omkostninger til tilsynsvirksomhed,</w:t>
      </w:r>
      <w:r>
        <w:t xml:space="preserve"> </w:t>
      </w:r>
      <w:r w:rsidRPr="00690909">
        <w:t>som for store deles vedkommende ikke er gennemf</w:t>
      </w:r>
      <w:r w:rsidR="00D670AD">
        <w:t>ø</w:t>
      </w:r>
      <w:r w:rsidRPr="00690909">
        <w:t xml:space="preserve">rt under </w:t>
      </w:r>
      <w:r w:rsidR="00EE639E">
        <w:t>covid</w:t>
      </w:r>
      <w:r w:rsidRPr="00690909">
        <w:t>-krisen. SAS finder</w:t>
      </w:r>
      <w:r>
        <w:t xml:space="preserve"> </w:t>
      </w:r>
      <w:r w:rsidRPr="00690909">
        <w:t>det derfor heller ikke rimeligt eller logisk, at luftfarten ska</w:t>
      </w:r>
      <w:r w:rsidR="00D670AD">
        <w:t>l</w:t>
      </w:r>
      <w:r w:rsidRPr="00690909">
        <w:t xml:space="preserve"> kompensere Trafikstyrelsens</w:t>
      </w:r>
      <w:r>
        <w:t xml:space="preserve"> </w:t>
      </w:r>
      <w:r w:rsidRPr="00690909">
        <w:t>tab.</w:t>
      </w:r>
      <w:r>
        <w:t xml:space="preserve"> </w:t>
      </w:r>
    </w:p>
    <w:p w14:paraId="0CC7E6AC" w14:textId="3EBDEA52" w:rsidR="00690909" w:rsidRPr="00690909" w:rsidRDefault="00690909" w:rsidP="00690909">
      <w:r w:rsidRPr="00690909">
        <w:t>Det fremg</w:t>
      </w:r>
      <w:r w:rsidR="002D3129">
        <w:t>å</w:t>
      </w:r>
      <w:r w:rsidRPr="00690909">
        <w:t>r af bem</w:t>
      </w:r>
      <w:r w:rsidR="00D670AD">
        <w:t>æ</w:t>
      </w:r>
      <w:r w:rsidRPr="00690909">
        <w:t>rkningerne, at "I praksis foruds</w:t>
      </w:r>
      <w:r w:rsidR="002D3129">
        <w:t>æ</w:t>
      </w:r>
      <w:r w:rsidRPr="00690909">
        <w:t>ttes afgiften overv</w:t>
      </w:r>
      <w:r w:rsidR="00D670AD">
        <w:t>æ</w:t>
      </w:r>
      <w:r w:rsidRPr="00690909">
        <w:t>ltet p</w:t>
      </w:r>
      <w:r w:rsidR="002D3129">
        <w:t>å</w:t>
      </w:r>
      <w:r>
        <w:t xml:space="preserve"> </w:t>
      </w:r>
      <w:r w:rsidRPr="00690909">
        <w:t>passagererne". SAS har tidligere gjort opm</w:t>
      </w:r>
      <w:r w:rsidR="002D3129">
        <w:t>æ</w:t>
      </w:r>
      <w:r w:rsidRPr="00690909">
        <w:t>rksom p</w:t>
      </w:r>
      <w:r w:rsidR="002D3129">
        <w:t>å</w:t>
      </w:r>
      <w:r w:rsidRPr="00690909">
        <w:t>, at det ikke fungerer s</w:t>
      </w:r>
      <w:r w:rsidR="002D3129">
        <w:t>å</w:t>
      </w:r>
      <w:r w:rsidRPr="00690909">
        <w:t>dan p</w:t>
      </w:r>
      <w:r w:rsidR="002D3129">
        <w:t>å</w:t>
      </w:r>
      <w:r w:rsidRPr="00690909">
        <w:t xml:space="preserve"> et</w:t>
      </w:r>
      <w:r>
        <w:t xml:space="preserve"> </w:t>
      </w:r>
      <w:r w:rsidRPr="00690909">
        <w:t>marked, som er udsat for h</w:t>
      </w:r>
      <w:r w:rsidR="002D3129">
        <w:t>å</w:t>
      </w:r>
      <w:r w:rsidRPr="00690909">
        <w:t>rd international konkurrence, hvor nationale afgifter rammer</w:t>
      </w:r>
      <w:r>
        <w:t xml:space="preserve"> </w:t>
      </w:r>
      <w:r w:rsidRPr="00690909">
        <w:t>h</w:t>
      </w:r>
      <w:r w:rsidR="002D3129">
        <w:t>å</w:t>
      </w:r>
      <w:r w:rsidRPr="00690909">
        <w:t>rdest selskaber med forholdsm</w:t>
      </w:r>
      <w:r w:rsidR="002D3129">
        <w:t>æ</w:t>
      </w:r>
      <w:r w:rsidRPr="00690909">
        <w:t>ssigt st</w:t>
      </w:r>
      <w:r w:rsidR="00D670AD">
        <w:t>ø</w:t>
      </w:r>
      <w:r w:rsidRPr="00690909">
        <w:t>rst produktion i Danmark. Prisen p</w:t>
      </w:r>
      <w:r w:rsidR="002D3129">
        <w:t>å</w:t>
      </w:r>
      <w:r w:rsidRPr="00690909">
        <w:t xml:space="preserve"> flybilletter</w:t>
      </w:r>
      <w:r>
        <w:t xml:space="preserve"> </w:t>
      </w:r>
      <w:r w:rsidRPr="00690909">
        <w:t>fasts</w:t>
      </w:r>
      <w:r w:rsidR="00D670AD">
        <w:t>æ</w:t>
      </w:r>
      <w:r w:rsidRPr="00690909">
        <w:t>ttes af markedet, og s</w:t>
      </w:r>
      <w:r w:rsidR="00D670AD">
        <w:t>æ</w:t>
      </w:r>
      <w:r w:rsidRPr="00690909">
        <w:t>dvanligvis indeb</w:t>
      </w:r>
      <w:r w:rsidR="002D3129">
        <w:t>æ</w:t>
      </w:r>
      <w:r w:rsidRPr="00690909">
        <w:t>rer det, at luftfartsselskaberne m</w:t>
      </w:r>
      <w:r w:rsidR="002D3129">
        <w:t>å</w:t>
      </w:r>
      <w:r>
        <w:t xml:space="preserve"> </w:t>
      </w:r>
      <w:r w:rsidRPr="00690909">
        <w:t>absorbere en del af s</w:t>
      </w:r>
      <w:r w:rsidR="002D3129">
        <w:t>å</w:t>
      </w:r>
      <w:r w:rsidRPr="00690909">
        <w:t xml:space="preserve">danne omkostningsstigninger, hvilket </w:t>
      </w:r>
      <w:r w:rsidR="00EE639E">
        <w:t>ifølge SAS</w:t>
      </w:r>
      <w:r w:rsidRPr="00690909">
        <w:t xml:space="preserve"> forholdsm</w:t>
      </w:r>
      <w:r w:rsidR="00D670AD">
        <w:t>æ</w:t>
      </w:r>
      <w:r w:rsidRPr="00690909">
        <w:t>ssigt h</w:t>
      </w:r>
      <w:r w:rsidR="002D3129">
        <w:t>å</w:t>
      </w:r>
      <w:r w:rsidRPr="00690909">
        <w:t>rdt</w:t>
      </w:r>
      <w:r>
        <w:t xml:space="preserve"> </w:t>
      </w:r>
      <w:r w:rsidRPr="00690909">
        <w:t xml:space="preserve">rammer selskaber med omfattende danske aktiviteter. Kun hvis priselasticiteten er </w:t>
      </w:r>
      <w:r w:rsidR="00D670AD">
        <w:t>0</w:t>
      </w:r>
      <w:r w:rsidRPr="00690909">
        <w:t>, kan</w:t>
      </w:r>
      <w:r>
        <w:t xml:space="preserve"> </w:t>
      </w:r>
      <w:r w:rsidRPr="00690909">
        <w:t>hele meromkostningen p</w:t>
      </w:r>
      <w:r w:rsidR="002D3129">
        <w:t>å</w:t>
      </w:r>
      <w:r w:rsidRPr="00690909">
        <w:t>f</w:t>
      </w:r>
      <w:r w:rsidR="00D670AD">
        <w:t>ø</w:t>
      </w:r>
      <w:r w:rsidRPr="00690909">
        <w:t>res billetprisen, og det er naturligvis ikke tilf</w:t>
      </w:r>
      <w:r w:rsidR="002D3129">
        <w:t>æ</w:t>
      </w:r>
      <w:r w:rsidRPr="00690909">
        <w:t>ldet</w:t>
      </w:r>
      <w:r w:rsidR="00EE639E">
        <w:t xml:space="preserve">, mener SAS. </w:t>
      </w:r>
    </w:p>
    <w:p w14:paraId="675BBAB8" w14:textId="33AB1074" w:rsidR="00690909" w:rsidRPr="00690909" w:rsidRDefault="00EE639E" w:rsidP="00690909">
      <w:r>
        <w:t>SAS bemærker, at o</w:t>
      </w:r>
      <w:r w:rsidR="00690909" w:rsidRPr="00690909">
        <w:t>mkostningsstigninger p</w:t>
      </w:r>
      <w:r w:rsidR="002D3129">
        <w:t>å</w:t>
      </w:r>
      <w:r w:rsidR="00690909" w:rsidRPr="00690909">
        <w:t xml:space="preserve"> op til 180</w:t>
      </w:r>
      <w:r>
        <w:t xml:space="preserve"> pct. er</w:t>
      </w:r>
      <w:r w:rsidR="00690909" w:rsidRPr="00690909">
        <w:t xml:space="preserve"> s</w:t>
      </w:r>
      <w:r w:rsidR="00D670AD">
        <w:t>æ</w:t>
      </w:r>
      <w:r w:rsidR="00690909" w:rsidRPr="00690909">
        <w:t>rdeles uvelkomne ikke mindst i en</w:t>
      </w:r>
      <w:r w:rsidR="00690909">
        <w:t xml:space="preserve"> </w:t>
      </w:r>
      <w:r w:rsidR="00690909" w:rsidRPr="00690909">
        <w:t>tid, hvor den danske flybranche er ramt og rammes af en lang r</w:t>
      </w:r>
      <w:r w:rsidR="002D3129">
        <w:t>æ</w:t>
      </w:r>
      <w:r w:rsidR="00690909" w:rsidRPr="00690909">
        <w:t>kke betydelige nationale</w:t>
      </w:r>
      <w:r w:rsidR="00690909">
        <w:t xml:space="preserve"> </w:t>
      </w:r>
      <w:r w:rsidR="00690909" w:rsidRPr="00690909">
        <w:t xml:space="preserve">omkostningsstigninger i form af lufthavnsafgifter, passagerafgifter, </w:t>
      </w:r>
      <w:proofErr w:type="spellStart"/>
      <w:r w:rsidR="00690909" w:rsidRPr="00690909">
        <w:t>enroute</w:t>
      </w:r>
      <w:proofErr w:type="spellEnd"/>
      <w:r w:rsidR="00690909" w:rsidRPr="00690909">
        <w:t>- og</w:t>
      </w:r>
      <w:r w:rsidR="00690909">
        <w:t xml:space="preserve"> </w:t>
      </w:r>
      <w:r w:rsidR="00690909" w:rsidRPr="00690909">
        <w:t>indflyvningsafgifter samt CO2-afgifter, som alle er tilkommet efter det i 2021 forudsattes,</w:t>
      </w:r>
      <w:r w:rsidR="00690909">
        <w:t xml:space="preserve"> </w:t>
      </w:r>
      <w:r w:rsidR="00690909" w:rsidRPr="00690909">
        <w:t>at luftfarten skulle b</w:t>
      </w:r>
      <w:r w:rsidR="00D670AD">
        <w:t>æ</w:t>
      </w:r>
      <w:r w:rsidR="00690909" w:rsidRPr="00690909">
        <w:t>re Trafikstyrelsens tab. Alt i alt s</w:t>
      </w:r>
      <w:r w:rsidR="002D3129">
        <w:t>æ</w:t>
      </w:r>
      <w:r w:rsidR="00690909" w:rsidRPr="00690909">
        <w:t>tter det SAS tilbage i den</w:t>
      </w:r>
      <w:r w:rsidR="00690909">
        <w:t xml:space="preserve"> </w:t>
      </w:r>
      <w:r w:rsidR="00690909" w:rsidRPr="00690909">
        <w:t>internationale konkurrence i en tid, hvor SAS har behov for konkurrencedygtige</w:t>
      </w:r>
      <w:r w:rsidR="00690909">
        <w:t xml:space="preserve"> </w:t>
      </w:r>
      <w:r w:rsidR="00690909" w:rsidRPr="00690909">
        <w:t>omkostninger for at opfylde selskabets ambitioner om en fremtidig udbygning af SAS'</w:t>
      </w:r>
      <w:r w:rsidR="00690909">
        <w:t xml:space="preserve"> </w:t>
      </w:r>
      <w:r w:rsidR="00690909" w:rsidRPr="00690909">
        <w:t>netv</w:t>
      </w:r>
      <w:r w:rsidR="00D670AD">
        <w:t>æ</w:t>
      </w:r>
      <w:r w:rsidR="00690909" w:rsidRPr="00690909">
        <w:t>rk i K</w:t>
      </w:r>
      <w:r w:rsidR="00D670AD">
        <w:t>ø</w:t>
      </w:r>
      <w:r w:rsidR="00690909" w:rsidRPr="00690909">
        <w:t>benhavns Lufthavn.</w:t>
      </w:r>
    </w:p>
    <w:p w14:paraId="1D3DE6D1" w14:textId="436D479D" w:rsidR="00690909" w:rsidRPr="00690909" w:rsidRDefault="00EE639E" w:rsidP="00690909">
      <w:r>
        <w:t>SAS bemærker endvidere, at s</w:t>
      </w:r>
      <w:r w:rsidR="00690909" w:rsidRPr="00690909">
        <w:t>afety-bidraget sikrer fuld omkostningsd</w:t>
      </w:r>
      <w:r w:rsidR="00D670AD">
        <w:t>æ</w:t>
      </w:r>
      <w:r w:rsidR="00690909" w:rsidRPr="00690909">
        <w:t>kning af Trafikstyrelsens tilsynsaktiviteter uden</w:t>
      </w:r>
      <w:r w:rsidR="00EC2FAD">
        <w:t xml:space="preserve"> </w:t>
      </w:r>
      <w:r w:rsidR="00690909" w:rsidRPr="00690909">
        <w:t xml:space="preserve">krav om </w:t>
      </w:r>
      <w:r w:rsidR="00D670AD">
        <w:t>ø</w:t>
      </w:r>
      <w:r w:rsidR="00690909" w:rsidRPr="00690909">
        <w:t>get produktivitet eller effektivitet. Der er s</w:t>
      </w:r>
      <w:r w:rsidR="002D3129">
        <w:t>å</w:t>
      </w:r>
      <w:r w:rsidR="00690909" w:rsidRPr="00690909">
        <w:t>ledes ingen incitamenter til at drive</w:t>
      </w:r>
      <w:r w:rsidR="00EC2FAD">
        <w:t xml:space="preserve"> </w:t>
      </w:r>
      <w:r w:rsidR="00690909" w:rsidRPr="00690909">
        <w:t>en omkostningseffektiv tilsynsvirksomhed, n</w:t>
      </w:r>
      <w:r w:rsidR="00D670AD">
        <w:t>å</w:t>
      </w:r>
      <w:r w:rsidR="00690909" w:rsidRPr="00690909">
        <w:t>r alle omkostninger uden videre kan v</w:t>
      </w:r>
      <w:r w:rsidR="00D670AD">
        <w:t>æ</w:t>
      </w:r>
      <w:r w:rsidR="00690909" w:rsidRPr="00690909">
        <w:t>ltes</w:t>
      </w:r>
      <w:r w:rsidR="00EC2FAD">
        <w:t xml:space="preserve"> </w:t>
      </w:r>
      <w:r w:rsidR="00690909" w:rsidRPr="00690909">
        <w:t>over p</w:t>
      </w:r>
      <w:r w:rsidR="002D3129">
        <w:t>å</w:t>
      </w:r>
      <w:r w:rsidR="00690909" w:rsidRPr="00690909">
        <w:t xml:space="preserve"> passagererne.</w:t>
      </w:r>
      <w:r>
        <w:t xml:space="preserve"> SAS oplyser, at</w:t>
      </w:r>
      <w:r w:rsidR="00690909" w:rsidRPr="00690909">
        <w:t xml:space="preserve"> SAS ved forskellige lejligheder i m</w:t>
      </w:r>
      <w:r w:rsidR="00D670AD">
        <w:t>ø</w:t>
      </w:r>
      <w:r w:rsidR="00690909" w:rsidRPr="00690909">
        <w:t>der med Trafikstyrelsen</w:t>
      </w:r>
      <w:r w:rsidR="00EC2FAD">
        <w:t xml:space="preserve"> </w:t>
      </w:r>
      <w:r w:rsidR="00690909" w:rsidRPr="00690909">
        <w:t xml:space="preserve">uden held </w:t>
      </w:r>
      <w:r>
        <w:t xml:space="preserve">har </w:t>
      </w:r>
      <w:r w:rsidR="00690909" w:rsidRPr="00690909">
        <w:t>efterlyst relevante n</w:t>
      </w:r>
      <w:r w:rsidR="00D670AD">
        <w:t>ø</w:t>
      </w:r>
      <w:r w:rsidR="00690909" w:rsidRPr="00690909">
        <w:t xml:space="preserve">gletal for udviklingen i </w:t>
      </w:r>
      <w:r>
        <w:t>Trafiks</w:t>
      </w:r>
      <w:r w:rsidR="00690909" w:rsidRPr="00690909">
        <w:t>tyrelsens omkostninger. Efter</w:t>
      </w:r>
      <w:r w:rsidR="00EC2FAD">
        <w:t xml:space="preserve"> </w:t>
      </w:r>
      <w:r w:rsidR="00690909" w:rsidRPr="00690909">
        <w:t>SAS' opfattelse m</w:t>
      </w:r>
      <w:r w:rsidR="00D670AD">
        <w:t xml:space="preserve">å </w:t>
      </w:r>
      <w:r w:rsidR="00690909" w:rsidRPr="00690909">
        <w:t>det v</w:t>
      </w:r>
      <w:r w:rsidR="00D670AD">
        <w:t>æ</w:t>
      </w:r>
      <w:r w:rsidR="00690909" w:rsidRPr="00690909">
        <w:t xml:space="preserve">re </w:t>
      </w:r>
      <w:r w:rsidR="00690909" w:rsidRPr="00690909">
        <w:lastRenderedPageBreak/>
        <w:t>rimeligt, at der, selv om der er tale om en myndighed,</w:t>
      </w:r>
      <w:r w:rsidR="00EC2FAD">
        <w:t xml:space="preserve"> </w:t>
      </w:r>
      <w:r w:rsidR="00690909" w:rsidRPr="00690909">
        <w:t>skabes fuld transparens om styrelsens omkostninger, s</w:t>
      </w:r>
      <w:r w:rsidR="002D3129">
        <w:t>å</w:t>
      </w:r>
      <w:r w:rsidR="00690909" w:rsidRPr="00690909">
        <w:t>ledes som det tiln</w:t>
      </w:r>
      <w:r w:rsidR="002D3129">
        <w:t>æ</w:t>
      </w:r>
      <w:r w:rsidR="00690909" w:rsidRPr="00690909">
        <w:t>rmelsesvis</w:t>
      </w:r>
      <w:r w:rsidR="00EC2FAD">
        <w:t xml:space="preserve"> </w:t>
      </w:r>
      <w:r w:rsidR="00690909" w:rsidRPr="00690909">
        <w:t>ogs</w:t>
      </w:r>
      <w:r w:rsidR="00D670AD">
        <w:t>å</w:t>
      </w:r>
      <w:r w:rsidR="00690909" w:rsidRPr="00690909">
        <w:t xml:space="preserve"> sker p</w:t>
      </w:r>
      <w:r w:rsidR="00D670AD">
        <w:t>å</w:t>
      </w:r>
      <w:r w:rsidR="00690909" w:rsidRPr="00690909">
        <w:t xml:space="preserve"> andre offentligt regulerede omr</w:t>
      </w:r>
      <w:r w:rsidR="00D670AD">
        <w:t>å</w:t>
      </w:r>
      <w:r w:rsidR="00690909" w:rsidRPr="00690909">
        <w:t>der inden for luftfarten.</w:t>
      </w:r>
    </w:p>
    <w:p w14:paraId="155CF662" w14:textId="70905519" w:rsidR="00690909" w:rsidRPr="00690909" w:rsidRDefault="00690909" w:rsidP="00690909">
      <w:r w:rsidRPr="00690909">
        <w:t>If</w:t>
      </w:r>
      <w:r w:rsidR="00D670AD">
        <w:t>ø</w:t>
      </w:r>
      <w:r w:rsidRPr="00690909">
        <w:t>lge bem</w:t>
      </w:r>
      <w:r w:rsidR="00D670AD">
        <w:t>æ</w:t>
      </w:r>
      <w:r w:rsidRPr="00690909">
        <w:t>rkningerne er der oparbejdet et underskud p</w:t>
      </w:r>
      <w:r w:rsidR="002D3129">
        <w:t>å</w:t>
      </w:r>
      <w:r w:rsidRPr="00690909">
        <w:t xml:space="preserve"> 225 mio. kr. </w:t>
      </w:r>
      <w:r w:rsidR="00EE639E">
        <w:t>SAS bemærker, at d</w:t>
      </w:r>
      <w:r w:rsidRPr="00690909">
        <w:t>er ikke</w:t>
      </w:r>
      <w:r w:rsidR="00EC2FAD">
        <w:t xml:space="preserve"> </w:t>
      </w:r>
      <w:r w:rsidR="00EE639E">
        <w:t xml:space="preserve">er </w:t>
      </w:r>
      <w:r w:rsidRPr="00690909">
        <w:t>redegjort for, hvordan dette bel</w:t>
      </w:r>
      <w:r w:rsidR="00D670AD">
        <w:t>ø</w:t>
      </w:r>
      <w:r w:rsidRPr="00690909">
        <w:t>b er fremkommet. Det forekommer at v</w:t>
      </w:r>
      <w:r w:rsidR="00D670AD">
        <w:t>æ</w:t>
      </w:r>
      <w:r w:rsidRPr="00690909">
        <w:t>re et</w:t>
      </w:r>
      <w:r w:rsidR="00EC2FAD">
        <w:t xml:space="preserve"> </w:t>
      </w:r>
      <w:r w:rsidRPr="00690909">
        <w:t>meget h</w:t>
      </w:r>
      <w:r w:rsidR="00D670AD">
        <w:t>ø</w:t>
      </w:r>
      <w:r w:rsidRPr="00690909">
        <w:t>jt tal i forhold til de beregninger, SAS kan foretage. Som en naturlig konsekvens</w:t>
      </w:r>
      <w:r w:rsidR="00EC2FAD">
        <w:t xml:space="preserve"> </w:t>
      </w:r>
      <w:r w:rsidRPr="00690909">
        <w:t xml:space="preserve">heraf synes der </w:t>
      </w:r>
      <w:r w:rsidR="00EE639E">
        <w:t xml:space="preserve">ifølge SAS </w:t>
      </w:r>
      <w:r w:rsidRPr="00690909">
        <w:t>at v</w:t>
      </w:r>
      <w:r w:rsidR="002D3129">
        <w:t>æ</w:t>
      </w:r>
      <w:r w:rsidRPr="00690909">
        <w:t>re udtalt overd</w:t>
      </w:r>
      <w:r w:rsidR="002D3129">
        <w:t>æ</w:t>
      </w:r>
      <w:r w:rsidRPr="00690909">
        <w:t>kning, medmindre omkostningerne til tilsynet er</w:t>
      </w:r>
      <w:r w:rsidR="00EC2FAD">
        <w:t xml:space="preserve"> </w:t>
      </w:r>
      <w:r w:rsidRPr="00690909">
        <w:t>steget meget kraftigt.</w:t>
      </w:r>
    </w:p>
    <w:p w14:paraId="418CFA12" w14:textId="61D9827B" w:rsidR="00690909" w:rsidRPr="00690909" w:rsidRDefault="00690909" w:rsidP="00690909">
      <w:r w:rsidRPr="00690909">
        <w:t>P</w:t>
      </w:r>
      <w:r w:rsidR="00D670AD">
        <w:t>å</w:t>
      </w:r>
      <w:r w:rsidRPr="00690909">
        <w:t xml:space="preserve"> baggrund af de store stigninger, der er tale om, finder SAS, at det m</w:t>
      </w:r>
      <w:r w:rsidR="00D670AD">
        <w:t>å</w:t>
      </w:r>
      <w:r w:rsidRPr="00690909">
        <w:t xml:space="preserve"> v</w:t>
      </w:r>
      <w:r w:rsidR="00D670AD">
        <w:t>æ</w:t>
      </w:r>
      <w:r w:rsidRPr="00690909">
        <w:t>re en</w:t>
      </w:r>
      <w:r w:rsidR="00EC2FAD">
        <w:t xml:space="preserve"> </w:t>
      </w:r>
      <w:r w:rsidRPr="00690909">
        <w:t>foruds</w:t>
      </w:r>
      <w:r w:rsidR="002D3129">
        <w:t>æ</w:t>
      </w:r>
      <w:r w:rsidRPr="00690909">
        <w:t>tning, at der n</w:t>
      </w:r>
      <w:r w:rsidR="002D3129">
        <w:t>æ</w:t>
      </w:r>
      <w:r w:rsidRPr="00690909">
        <w:t>rmere redeg</w:t>
      </w:r>
      <w:r w:rsidR="00D670AD">
        <w:t>ø</w:t>
      </w:r>
      <w:r w:rsidRPr="00690909">
        <w:t>res for de bagvedliggende tal. Dette g</w:t>
      </w:r>
      <w:r w:rsidR="002D3129">
        <w:t>æ</w:t>
      </w:r>
      <w:r w:rsidRPr="00690909">
        <w:t>lder</w:t>
      </w:r>
      <w:r w:rsidR="00EC2FAD">
        <w:t xml:space="preserve"> </w:t>
      </w:r>
      <w:r w:rsidRPr="00690909">
        <w:t>udviklingen i omkostningerne til tilsynet historisk s</w:t>
      </w:r>
      <w:r w:rsidR="00D670AD">
        <w:t>å</w:t>
      </w:r>
      <w:r w:rsidRPr="00690909">
        <w:t>vel som fremadrettet fordelt p</w:t>
      </w:r>
      <w:r w:rsidR="00D670AD">
        <w:t>å</w:t>
      </w:r>
      <w:r w:rsidRPr="00690909">
        <w:t xml:space="preserve"> de</w:t>
      </w:r>
      <w:r w:rsidR="00EC2FAD">
        <w:t xml:space="preserve"> </w:t>
      </w:r>
      <w:r w:rsidRPr="00690909">
        <w:t>respektive tilsynsomr</w:t>
      </w:r>
      <w:r w:rsidR="002D3129">
        <w:t>å</w:t>
      </w:r>
      <w:r w:rsidRPr="00690909">
        <w:t>der og de tilsvarende indt</w:t>
      </w:r>
      <w:r w:rsidR="00D670AD">
        <w:t>æ</w:t>
      </w:r>
      <w:r w:rsidRPr="00690909">
        <w:t>gter suppleret med n</w:t>
      </w:r>
      <w:r w:rsidR="00D670AD">
        <w:t>ø</w:t>
      </w:r>
      <w:r w:rsidRPr="00690909">
        <w:t>gletal for</w:t>
      </w:r>
      <w:r w:rsidR="00EC2FAD">
        <w:t xml:space="preserve"> </w:t>
      </w:r>
      <w:r w:rsidRPr="00690909">
        <w:t>udviklingen i produktivitet og effektivitet.</w:t>
      </w:r>
    </w:p>
    <w:p w14:paraId="5C6DBB98" w14:textId="3FEF3DDA" w:rsidR="00690909" w:rsidRPr="00690909" w:rsidRDefault="00690909" w:rsidP="00690909">
      <w:r w:rsidRPr="00690909">
        <w:t>Endelig foresl</w:t>
      </w:r>
      <w:r w:rsidR="002D3129">
        <w:t>å</w:t>
      </w:r>
      <w:r w:rsidRPr="00690909">
        <w:t>s den nuv</w:t>
      </w:r>
      <w:r w:rsidR="002D3129">
        <w:t>æ</w:t>
      </w:r>
      <w:r w:rsidRPr="00690909">
        <w:t xml:space="preserve">rende reguleringsmekanisme </w:t>
      </w:r>
      <w:r w:rsidR="002D3129">
        <w:t>æ</w:t>
      </w:r>
      <w:r w:rsidRPr="00690909">
        <w:t>ndret s</w:t>
      </w:r>
      <w:r w:rsidR="002D3129">
        <w:t>å</w:t>
      </w:r>
      <w:r w:rsidRPr="00690909">
        <w:t>ledes, at den fremover</w:t>
      </w:r>
      <w:r w:rsidR="00EC2FAD">
        <w:t xml:space="preserve"> </w:t>
      </w:r>
      <w:r w:rsidRPr="00690909">
        <w:t xml:space="preserve">reguleres </w:t>
      </w:r>
      <w:r w:rsidR="00D670AD">
        <w:t>å</w:t>
      </w:r>
      <w:r w:rsidRPr="00690909">
        <w:t>rligt p</w:t>
      </w:r>
      <w:r w:rsidR="002D3129">
        <w:t>å</w:t>
      </w:r>
      <w:r w:rsidRPr="00690909">
        <w:t xml:space="preserve"> basis af den </w:t>
      </w:r>
      <w:r w:rsidR="002D3129">
        <w:t>å</w:t>
      </w:r>
      <w:r w:rsidRPr="00690909">
        <w:t>rlige pris- og l</w:t>
      </w:r>
      <w:r w:rsidR="00D670AD">
        <w:t>ø</w:t>
      </w:r>
      <w:r w:rsidRPr="00690909">
        <w:t xml:space="preserve">nindeksregulering. </w:t>
      </w:r>
      <w:r w:rsidR="003E4227">
        <w:t>SAS bemærker, at d</w:t>
      </w:r>
      <w:r w:rsidRPr="00690909">
        <w:t>a den hidtidige</w:t>
      </w:r>
      <w:r w:rsidR="00EC2FAD">
        <w:t xml:space="preserve"> </w:t>
      </w:r>
      <w:r w:rsidRPr="00690909">
        <w:t>mekanisme med indregning af udviklingen i passagertallet tilsyneladende bortfalder, vil</w:t>
      </w:r>
      <w:r w:rsidR="00EC2FAD">
        <w:t xml:space="preserve"> </w:t>
      </w:r>
      <w:r w:rsidRPr="00690909">
        <w:t>der ikke l</w:t>
      </w:r>
      <w:r w:rsidR="00D670AD">
        <w:t>æ</w:t>
      </w:r>
      <w:r w:rsidRPr="00690909">
        <w:t>ngere v</w:t>
      </w:r>
      <w:r w:rsidR="00D670AD">
        <w:t>æ</w:t>
      </w:r>
      <w:r w:rsidRPr="00690909">
        <w:t>re en sammenh</w:t>
      </w:r>
      <w:r w:rsidR="002D3129">
        <w:t>æ</w:t>
      </w:r>
      <w:r w:rsidRPr="00690909">
        <w:t xml:space="preserve">ng mellem de faktiske omkostninger og </w:t>
      </w:r>
      <w:proofErr w:type="spellStart"/>
      <w:r w:rsidRPr="00690909">
        <w:t>safetybidragets</w:t>
      </w:r>
      <w:proofErr w:type="spellEnd"/>
      <w:r w:rsidR="00EC2FAD">
        <w:t xml:space="preserve"> </w:t>
      </w:r>
      <w:r w:rsidRPr="00690909">
        <w:t>st</w:t>
      </w:r>
      <w:r w:rsidR="00D670AD">
        <w:t>ø</w:t>
      </w:r>
      <w:r w:rsidRPr="00690909">
        <w:t>rrelse. Dette kan selvsagt i teorien betyde b</w:t>
      </w:r>
      <w:r w:rsidR="00D670AD">
        <w:t>å</w:t>
      </w:r>
      <w:r w:rsidRPr="00690909">
        <w:t>de en over- og en</w:t>
      </w:r>
      <w:r w:rsidR="00EC2FAD">
        <w:t xml:space="preserve"> </w:t>
      </w:r>
      <w:r w:rsidRPr="00690909">
        <w:t>underd</w:t>
      </w:r>
      <w:r w:rsidR="00D670AD">
        <w:t>æ</w:t>
      </w:r>
      <w:r w:rsidRPr="00690909">
        <w:t xml:space="preserve">kning. Ved det </w:t>
      </w:r>
      <w:r w:rsidR="003E4227">
        <w:t xml:space="preserve">ifølge SAS </w:t>
      </w:r>
      <w:r w:rsidRPr="00690909">
        <w:t>mest sandsynlige scenarie - nemlig overd</w:t>
      </w:r>
      <w:r w:rsidR="00D670AD">
        <w:t>æ</w:t>
      </w:r>
      <w:r w:rsidRPr="00690909">
        <w:t>kning - m</w:t>
      </w:r>
      <w:r w:rsidR="002D3129">
        <w:t>å</w:t>
      </w:r>
      <w:r w:rsidRPr="00690909">
        <w:t xml:space="preserve"> det</w:t>
      </w:r>
      <w:r w:rsidR="00EC2FAD">
        <w:t xml:space="preserve"> </w:t>
      </w:r>
      <w:r w:rsidRPr="00690909">
        <w:t>formodes, at det overskydende provenu g</w:t>
      </w:r>
      <w:r w:rsidR="002D3129">
        <w:t>å</w:t>
      </w:r>
      <w:r w:rsidRPr="00690909">
        <w:t>r i statskassen, hvilket p</w:t>
      </w:r>
      <w:r w:rsidR="00D670AD">
        <w:t>å</w:t>
      </w:r>
      <w:r w:rsidRPr="00690909">
        <w:t xml:space="preserve"> urimelig vis bidrager</w:t>
      </w:r>
      <w:r w:rsidR="00EC2FAD">
        <w:t xml:space="preserve"> </w:t>
      </w:r>
      <w:r w:rsidRPr="00690909">
        <w:t>til en un</w:t>
      </w:r>
      <w:r w:rsidR="00D670AD">
        <w:t>ø</w:t>
      </w:r>
      <w:r w:rsidRPr="00690909">
        <w:t>dvendig omkostningso</w:t>
      </w:r>
      <w:r w:rsidR="00D670AD">
        <w:t>rd</w:t>
      </w:r>
      <w:r w:rsidRPr="00690909">
        <w:t>ning for luftfarten.</w:t>
      </w:r>
    </w:p>
    <w:p w14:paraId="3400FAEE" w14:textId="2E20F6DB" w:rsidR="00690909" w:rsidRPr="00690909" w:rsidRDefault="003E4227" w:rsidP="00690909">
      <w:r>
        <w:t>Afslutningsvis bemærker SAS, at n</w:t>
      </w:r>
      <w:r w:rsidR="00690909" w:rsidRPr="00690909">
        <w:t>iveauet for safety-afgiften til og med 2028 indeholder d</w:t>
      </w:r>
      <w:r w:rsidR="002D3129">
        <w:t>æ</w:t>
      </w:r>
      <w:r w:rsidR="00690909" w:rsidRPr="00690909">
        <w:t>kning af historiske underskud,</w:t>
      </w:r>
      <w:r w:rsidR="00EC2FAD">
        <w:t xml:space="preserve"> </w:t>
      </w:r>
      <w:r w:rsidR="00690909" w:rsidRPr="00690909">
        <w:t xml:space="preserve">som angiveligt er endeligt afviklet samme </w:t>
      </w:r>
      <w:r w:rsidR="00D670AD">
        <w:t>å</w:t>
      </w:r>
      <w:r w:rsidR="00690909" w:rsidRPr="00690909">
        <w:t>r</w:t>
      </w:r>
      <w:r>
        <w:t>, og e</w:t>
      </w:r>
      <w:r w:rsidR="00690909" w:rsidRPr="00690909">
        <w:t>n pris- og l</w:t>
      </w:r>
      <w:r w:rsidR="00D670AD">
        <w:t>ø</w:t>
      </w:r>
      <w:r w:rsidR="00690909" w:rsidRPr="00690909">
        <w:t>nregulering af safety-bidraget</w:t>
      </w:r>
      <w:r w:rsidR="00EC2FAD">
        <w:t xml:space="preserve"> </w:t>
      </w:r>
      <w:r w:rsidR="00690909" w:rsidRPr="00690909">
        <w:t>herefter vil s</w:t>
      </w:r>
      <w:r w:rsidR="002D3129">
        <w:t>å</w:t>
      </w:r>
      <w:r w:rsidR="00690909" w:rsidRPr="00690909">
        <w:t>ledes indeb</w:t>
      </w:r>
      <w:r w:rsidR="00D670AD">
        <w:t>æ</w:t>
      </w:r>
      <w:r w:rsidR="00690909" w:rsidRPr="00690909">
        <w:t>re en voldsom overd</w:t>
      </w:r>
      <w:r w:rsidR="002D3129">
        <w:t>æ</w:t>
      </w:r>
      <w:r w:rsidR="00690909" w:rsidRPr="00690909">
        <w:t>kning, hvilket n</w:t>
      </w:r>
      <w:r w:rsidR="00D670AD">
        <w:t>æ</w:t>
      </w:r>
      <w:r w:rsidR="00690909" w:rsidRPr="00690909">
        <w:t>ppe kan v</w:t>
      </w:r>
      <w:r w:rsidR="00D670AD">
        <w:t>æ</w:t>
      </w:r>
      <w:r w:rsidR="00690909" w:rsidRPr="00690909">
        <w:t>re</w:t>
      </w:r>
      <w:r w:rsidR="00EC2FAD">
        <w:t xml:space="preserve"> </w:t>
      </w:r>
      <w:r w:rsidR="00690909" w:rsidRPr="00690909">
        <w:t>hensigten</w:t>
      </w:r>
      <w:r>
        <w:t xml:space="preserve">. </w:t>
      </w:r>
    </w:p>
    <w:p w14:paraId="1D29BE1F" w14:textId="356F4B97" w:rsidR="008136BE" w:rsidRDefault="002A1483" w:rsidP="002A1483">
      <w:pPr>
        <w:rPr>
          <w:i/>
        </w:rPr>
      </w:pPr>
      <w:r>
        <w:rPr>
          <w:i/>
        </w:rPr>
        <w:t xml:space="preserve">Transportministeriet </w:t>
      </w:r>
      <w:r w:rsidR="00690909">
        <w:rPr>
          <w:i/>
        </w:rPr>
        <w:t>skal hertil bemærke, at</w:t>
      </w:r>
      <w:r w:rsidR="00692277">
        <w:rPr>
          <w:i/>
        </w:rPr>
        <w:t xml:space="preserve"> forslaget om forhøjelsen af safety-afgiften i kølvandet på covid-19-pandemien</w:t>
      </w:r>
      <w:r w:rsidR="008136BE">
        <w:rPr>
          <w:i/>
        </w:rPr>
        <w:t xml:space="preserve"> sker som led i en forventning om</w:t>
      </w:r>
      <w:r w:rsidR="008136BE" w:rsidRPr="008136BE">
        <w:rPr>
          <w:i/>
        </w:rPr>
        <w:t xml:space="preserve">, at passagergrundlaget i 2025 vil være </w:t>
      </w:r>
      <w:r w:rsidR="008136BE">
        <w:rPr>
          <w:i/>
        </w:rPr>
        <w:t>på niveau med 2019.</w:t>
      </w:r>
      <w:r w:rsidR="006430F5">
        <w:rPr>
          <w:i/>
        </w:rPr>
        <w:t xml:space="preserve"> </w:t>
      </w:r>
    </w:p>
    <w:p w14:paraId="1991A95E" w14:textId="423740CA" w:rsidR="006E6670" w:rsidRDefault="006B3847" w:rsidP="002A1483">
      <w:pPr>
        <w:rPr>
          <w:i/>
        </w:rPr>
      </w:pPr>
      <w:r>
        <w:rPr>
          <w:i/>
        </w:rPr>
        <w:t xml:space="preserve">Det beskrives i lovforslaget, at underskuddet i safety-afgiftsordningen forventes at udgøre ca. 225 mio. kr. ved udgangen af 2024. </w:t>
      </w:r>
      <w:r w:rsidR="00F673D0">
        <w:rPr>
          <w:i/>
        </w:rPr>
        <w:t xml:space="preserve">Beløbet baserer sig på et årligt underskud i </w:t>
      </w:r>
      <w:r w:rsidR="006E6670">
        <w:rPr>
          <w:i/>
        </w:rPr>
        <w:t>safety-afgiftsordningen</w:t>
      </w:r>
      <w:r w:rsidR="00F673D0">
        <w:rPr>
          <w:i/>
        </w:rPr>
        <w:t xml:space="preserve"> på </w:t>
      </w:r>
      <w:r w:rsidR="006E6670">
        <w:rPr>
          <w:i/>
        </w:rPr>
        <w:t xml:space="preserve">ca. 10 mio. kr. i 2019, på ca. 46 mio. kr. i 2020, ca. </w:t>
      </w:r>
      <w:r w:rsidR="006E6670">
        <w:rPr>
          <w:i/>
        </w:rPr>
        <w:lastRenderedPageBreak/>
        <w:t>31 mio. kr. i 2021 og mellem ca. 52</w:t>
      </w:r>
      <w:r w:rsidR="00836576">
        <w:rPr>
          <w:i/>
        </w:rPr>
        <w:t>-</w:t>
      </w:r>
      <w:r w:rsidR="006E6670">
        <w:rPr>
          <w:i/>
        </w:rPr>
        <w:t xml:space="preserve">56 mio. kr. i årene 2022-2024. Omkostningerne til tilsynsområdet er i tilsvarende periode steget fra ca. 78 mio. kr. om året til ca. 127 mio. kr. om året. </w:t>
      </w:r>
    </w:p>
    <w:p w14:paraId="7DAFB831" w14:textId="28C6C41C" w:rsidR="00E4426F" w:rsidRDefault="0021247A" w:rsidP="002A1483">
      <w:pPr>
        <w:rPr>
          <w:i/>
        </w:rPr>
      </w:pPr>
      <w:r w:rsidRPr="0021247A">
        <w:rPr>
          <w:i/>
        </w:rPr>
        <w:t>Omkostningerne til tilsynet med den civile luftfart har været stigende over tid og forventes også at stige fremover. Dette skyldes, at de internationale krav til luftfart løbende skærpes. Der er eksempelvis kommet nye krav til implementeringen af safety-management</w:t>
      </w:r>
      <w:r w:rsidR="00F76437">
        <w:rPr>
          <w:i/>
        </w:rPr>
        <w:t>-</w:t>
      </w:r>
      <w:r w:rsidRPr="0021247A">
        <w:rPr>
          <w:i/>
        </w:rPr>
        <w:t>systemer hos luftfartsorganisationerne, som medfører</w:t>
      </w:r>
      <w:r w:rsidR="00804A4B">
        <w:rPr>
          <w:i/>
        </w:rPr>
        <w:t>,</w:t>
      </w:r>
      <w:r w:rsidRPr="0021247A">
        <w:rPr>
          <w:i/>
        </w:rPr>
        <w:t xml:space="preserve"> at Trafikstyrelsen skal vejlede, godkende og føre tilsyn på området</w:t>
      </w:r>
      <w:r w:rsidR="00804A4B">
        <w:rPr>
          <w:i/>
        </w:rPr>
        <w:t xml:space="preserve"> på en anderledes måde end hidtil</w:t>
      </w:r>
      <w:r w:rsidRPr="0021247A">
        <w:rPr>
          <w:i/>
        </w:rPr>
        <w:t>.</w:t>
      </w:r>
      <w:r w:rsidR="00804A4B">
        <w:rPr>
          <w:i/>
        </w:rPr>
        <w:t xml:space="preserve"> Kompleksiteten på de områder Trafikstyrelsen fører tilsyn med, har ændret sig, hvilket </w:t>
      </w:r>
      <w:r w:rsidR="005B5BDB">
        <w:rPr>
          <w:i/>
        </w:rPr>
        <w:t>bland</w:t>
      </w:r>
      <w:r w:rsidR="00F76437">
        <w:rPr>
          <w:i/>
        </w:rPr>
        <w:t>t</w:t>
      </w:r>
      <w:r w:rsidR="005B5BDB">
        <w:rPr>
          <w:i/>
        </w:rPr>
        <w:t xml:space="preserve"> andet </w:t>
      </w:r>
      <w:r w:rsidR="00804A4B">
        <w:rPr>
          <w:i/>
        </w:rPr>
        <w:t xml:space="preserve">forudsætter ændrede kompetencer hos de tilsynsførende. </w:t>
      </w:r>
      <w:r w:rsidRPr="0021247A">
        <w:rPr>
          <w:i/>
        </w:rPr>
        <w:t xml:space="preserve"> Trafikstyrelsen har endvidere skulle allokere yderligere ressourcer til området for at sikre overensstemmelse med kravene i EU-forordningerne. Det har konkret medført, at der har været behov for opnormering af antallet af tilsynsmedarbejdere på området</w:t>
      </w:r>
      <w:r w:rsidR="00804A4B">
        <w:rPr>
          <w:i/>
        </w:rPr>
        <w:t>, hvilket i sig selv har udgjort en ikke uvæsentlig ressourcebelastning i forbindelse med oplæringen af nye medarbejdere.</w:t>
      </w:r>
    </w:p>
    <w:p w14:paraId="7D09BC5C" w14:textId="5F22F170" w:rsidR="00804A4B" w:rsidRDefault="00804A4B" w:rsidP="002A1483">
      <w:pPr>
        <w:rPr>
          <w:i/>
        </w:rPr>
      </w:pPr>
      <w:r>
        <w:rPr>
          <w:i/>
        </w:rPr>
        <w:t xml:space="preserve">Som det anføres i flere høringssvar, oplevede </w:t>
      </w:r>
      <w:r w:rsidRPr="00804A4B">
        <w:rPr>
          <w:i/>
        </w:rPr>
        <w:t>branchen</w:t>
      </w:r>
      <w:r>
        <w:rPr>
          <w:i/>
        </w:rPr>
        <w:t>, at covid-19</w:t>
      </w:r>
      <w:r w:rsidR="005B027F">
        <w:rPr>
          <w:i/>
        </w:rPr>
        <w:t>-pandemien</w:t>
      </w:r>
      <w:r>
        <w:rPr>
          <w:i/>
        </w:rPr>
        <w:t xml:space="preserve"> havde en </w:t>
      </w:r>
      <w:r w:rsidRPr="00804A4B">
        <w:rPr>
          <w:i/>
        </w:rPr>
        <w:t xml:space="preserve">endog meget </w:t>
      </w:r>
      <w:r>
        <w:rPr>
          <w:i/>
        </w:rPr>
        <w:t xml:space="preserve">negativ </w:t>
      </w:r>
      <w:r w:rsidRPr="00804A4B">
        <w:rPr>
          <w:i/>
        </w:rPr>
        <w:t>påvirk</w:t>
      </w:r>
      <w:r>
        <w:rPr>
          <w:i/>
        </w:rPr>
        <w:t>ning på</w:t>
      </w:r>
      <w:r w:rsidRPr="00804A4B">
        <w:rPr>
          <w:i/>
        </w:rPr>
        <w:t xml:space="preserve"> luftfartsbranchen verden over. For manges vedkommende førte det til afskedigelse af personale og andre nødvendige nedskaleringer af virksomhederne. I luftfartsbranchen stod luftfartøjer og lufthavne </w:t>
      </w:r>
      <w:r w:rsidR="005B5BDB">
        <w:rPr>
          <w:i/>
        </w:rPr>
        <w:t xml:space="preserve">i perioder delvis </w:t>
      </w:r>
      <w:r w:rsidRPr="00804A4B">
        <w:rPr>
          <w:i/>
        </w:rPr>
        <w:t>tomme hen. Ikke desto mindre var det fortsat nødvendigt, at piloter og flyveledere</w:t>
      </w:r>
      <w:r>
        <w:rPr>
          <w:i/>
        </w:rPr>
        <w:t xml:space="preserve"> (om nødvendigt ved egenbetaling)</w:t>
      </w:r>
      <w:r w:rsidRPr="00804A4B">
        <w:rPr>
          <w:i/>
        </w:rPr>
        <w:t xml:space="preserve"> vedligeholdt deres certifikater, at skoler relateret til luftfarten fortsatte med at uddanne luftfartspersonale, at luftfartøjerne blev vedligeholdt i overensstemmelse med reglerne</w:t>
      </w:r>
      <w:r w:rsidR="003F55B8">
        <w:rPr>
          <w:i/>
        </w:rPr>
        <w:t>,</w:t>
      </w:r>
      <w:r>
        <w:rPr>
          <w:i/>
        </w:rPr>
        <w:t xml:space="preserve"> og</w:t>
      </w:r>
      <w:r w:rsidRPr="00804A4B">
        <w:rPr>
          <w:i/>
        </w:rPr>
        <w:t xml:space="preserve"> at lufthavnene blev ved med at vedligeholde træning og uddannelse af personalet</w:t>
      </w:r>
      <w:r>
        <w:rPr>
          <w:i/>
        </w:rPr>
        <w:t>. Alt sammen</w:t>
      </w:r>
      <w:r w:rsidRPr="00804A4B">
        <w:rPr>
          <w:i/>
        </w:rPr>
        <w:t xml:space="preserve"> for at</w:t>
      </w:r>
      <w:r>
        <w:rPr>
          <w:i/>
        </w:rPr>
        <w:t xml:space="preserve"> branchen kunne genoptage driften </w:t>
      </w:r>
      <w:r w:rsidRPr="00804A4B">
        <w:rPr>
          <w:i/>
        </w:rPr>
        <w:t xml:space="preserve">efter </w:t>
      </w:r>
      <w:r>
        <w:rPr>
          <w:i/>
        </w:rPr>
        <w:t xml:space="preserve">pandemien. </w:t>
      </w:r>
    </w:p>
    <w:p w14:paraId="3F301784" w14:textId="6C5E3418" w:rsidR="00804A4B" w:rsidRDefault="00BA1F82" w:rsidP="00804A4B">
      <w:pPr>
        <w:rPr>
          <w:i/>
        </w:rPr>
      </w:pPr>
      <w:r>
        <w:rPr>
          <w:i/>
        </w:rPr>
        <w:t xml:space="preserve">Ministeriet skal understrege, at uanset at passagergrundlaget i de første år af covid-19-pandemien i perioder </w:t>
      </w:r>
      <w:r w:rsidR="00804A4B">
        <w:rPr>
          <w:i/>
        </w:rPr>
        <w:t xml:space="preserve">således </w:t>
      </w:r>
      <w:r>
        <w:rPr>
          <w:i/>
        </w:rPr>
        <w:t>var væsentligt lavere end hidtil,</w:t>
      </w:r>
      <w:r w:rsidR="00804A4B">
        <w:rPr>
          <w:i/>
        </w:rPr>
        <w:t xml:space="preserve"> bestod en lang række af Trafikstyrelsens tilsynsopgaver fortsat. Ud over opgaver knyttet til udstedelse af </w:t>
      </w:r>
      <w:r w:rsidR="00804A4B" w:rsidRPr="00804A4B">
        <w:rPr>
          <w:i/>
        </w:rPr>
        <w:t>certifikater</w:t>
      </w:r>
      <w:r w:rsidR="00804A4B">
        <w:rPr>
          <w:i/>
        </w:rPr>
        <w:t xml:space="preserve"> og </w:t>
      </w:r>
      <w:r w:rsidR="00804A4B" w:rsidRPr="00804A4B">
        <w:rPr>
          <w:i/>
        </w:rPr>
        <w:t>gennemfør</w:t>
      </w:r>
      <w:r w:rsidR="00804A4B">
        <w:rPr>
          <w:i/>
        </w:rPr>
        <w:t xml:space="preserve">else af </w:t>
      </w:r>
      <w:r w:rsidR="00804A4B" w:rsidRPr="00804A4B">
        <w:rPr>
          <w:i/>
        </w:rPr>
        <w:t>tiltrædelseskontroller</w:t>
      </w:r>
      <w:r w:rsidR="00804A4B">
        <w:rPr>
          <w:i/>
        </w:rPr>
        <w:t>, gennemførte Trafikstyrelsen under covid-19 en lang række løbende</w:t>
      </w:r>
      <w:r w:rsidR="00804A4B" w:rsidRPr="00804A4B">
        <w:rPr>
          <w:i/>
        </w:rPr>
        <w:t xml:space="preserve"> tilsyn</w:t>
      </w:r>
      <w:r w:rsidR="00804A4B">
        <w:rPr>
          <w:i/>
        </w:rPr>
        <w:t xml:space="preserve"> i overensstemmelse med kravene i såvel international som national lovgivning. Det bemærkes i den forbindelse, at styrelsen med visse i lovgivningen fastsatte intervaller er forpligtet til at føre tilsyn med de luftfartsoperatører, der i styrelsen er noteret som aktive. Derudover vil styrelsen være forpligtet til at udføre ad hoc</w:t>
      </w:r>
      <w:r w:rsidR="003F55B8">
        <w:rPr>
          <w:i/>
        </w:rPr>
        <w:t>-</w:t>
      </w:r>
      <w:r w:rsidR="00804A4B">
        <w:rPr>
          <w:i/>
        </w:rPr>
        <w:t xml:space="preserve">tilsyn, hvis der er indikationer på, at lovgivningen ikke efterleves til </w:t>
      </w:r>
      <w:r w:rsidR="00804A4B">
        <w:rPr>
          <w:i/>
        </w:rPr>
        <w:lastRenderedPageBreak/>
        <w:t>fulde. Begrænset aktivitet i branchen fører således alene til en begrænsning i Trafikstyrelsens tilsynsopgaver i det omfang</w:t>
      </w:r>
      <w:r w:rsidR="003F55B8">
        <w:rPr>
          <w:i/>
        </w:rPr>
        <w:t>,</w:t>
      </w:r>
      <w:r w:rsidR="00804A4B">
        <w:rPr>
          <w:i/>
        </w:rPr>
        <w:t xml:space="preserve"> en operatør ophører med at drive luftfartsvirksomhed. Det forhold, at en luftfartsvirksomhed gennem en kortere eller længere periode begrænser sin aktivitet, fører således ikke til</w:t>
      </w:r>
      <w:r w:rsidR="00F76437">
        <w:rPr>
          <w:i/>
        </w:rPr>
        <w:t>,</w:t>
      </w:r>
      <w:r w:rsidR="00804A4B">
        <w:rPr>
          <w:i/>
        </w:rPr>
        <w:t xml:space="preserve"> at Trafikstyrelsen kan undlade at føre tilsyn med luftfartsvirksomheden. </w:t>
      </w:r>
    </w:p>
    <w:p w14:paraId="763A188D" w14:textId="1F4B4C3E" w:rsidR="00804A4B" w:rsidRPr="00804A4B" w:rsidRDefault="00804A4B" w:rsidP="00804A4B">
      <w:pPr>
        <w:rPr>
          <w:i/>
        </w:rPr>
      </w:pPr>
      <w:r>
        <w:rPr>
          <w:i/>
        </w:rPr>
        <w:t xml:space="preserve">Ministeriet kan derudover oplyse, at det </w:t>
      </w:r>
      <w:r w:rsidRPr="00804A4B">
        <w:rPr>
          <w:i/>
        </w:rPr>
        <w:t xml:space="preserve">Europæiske </w:t>
      </w:r>
      <w:r w:rsidR="00F76437">
        <w:rPr>
          <w:i/>
        </w:rPr>
        <w:t>L</w:t>
      </w:r>
      <w:r w:rsidRPr="00804A4B">
        <w:rPr>
          <w:i/>
        </w:rPr>
        <w:t>uftfartssikkerheds Agentur (EASA)</w:t>
      </w:r>
      <w:r>
        <w:rPr>
          <w:i/>
        </w:rPr>
        <w:t xml:space="preserve"> i </w:t>
      </w:r>
      <w:r w:rsidRPr="00804A4B">
        <w:rPr>
          <w:i/>
        </w:rPr>
        <w:t>samme periode tilkendegav, at der i Trafikstyrelsen ikke var det nødvendige antal medarbejdere til at løfte de til stadighed mere komplekse myndighedsopgaver, herunder tilsynet inden</w:t>
      </w:r>
      <w:r w:rsidR="00F76437">
        <w:rPr>
          <w:i/>
        </w:rPr>
        <w:t xml:space="preserve"> </w:t>
      </w:r>
      <w:r w:rsidRPr="00804A4B">
        <w:rPr>
          <w:i/>
        </w:rPr>
        <w:t>for den civile luftfart</w:t>
      </w:r>
      <w:r>
        <w:rPr>
          <w:i/>
        </w:rPr>
        <w:t>, hvilket i samme periode førte til ændringer i Trafikstyrelsens organisation</w:t>
      </w:r>
      <w:r w:rsidR="005B5BDB">
        <w:rPr>
          <w:i/>
        </w:rPr>
        <w:t xml:space="preserve"> og en vis </w:t>
      </w:r>
      <w:proofErr w:type="spellStart"/>
      <w:r w:rsidR="005B5BDB">
        <w:rPr>
          <w:i/>
        </w:rPr>
        <w:t>opmanding</w:t>
      </w:r>
      <w:proofErr w:type="spellEnd"/>
      <w:r w:rsidR="005B5BDB">
        <w:rPr>
          <w:i/>
        </w:rPr>
        <w:t xml:space="preserve"> med tilsynsførende medarbejdere</w:t>
      </w:r>
      <w:r w:rsidRPr="00804A4B">
        <w:rPr>
          <w:i/>
        </w:rPr>
        <w:t xml:space="preserve">. </w:t>
      </w:r>
    </w:p>
    <w:p w14:paraId="25035043" w14:textId="44A01E35" w:rsidR="00804A4B" w:rsidRPr="00804A4B" w:rsidRDefault="00804A4B" w:rsidP="00804A4B">
      <w:pPr>
        <w:rPr>
          <w:i/>
        </w:rPr>
      </w:pPr>
      <w:r w:rsidRPr="00804A4B">
        <w:rPr>
          <w:i/>
        </w:rPr>
        <w:t xml:space="preserve">Det er på den baggrund </w:t>
      </w:r>
      <w:r>
        <w:rPr>
          <w:i/>
        </w:rPr>
        <w:t>ministeriets</w:t>
      </w:r>
      <w:r w:rsidRPr="00804A4B">
        <w:rPr>
          <w:i/>
        </w:rPr>
        <w:t xml:space="preserve"> vurdering, at der ikke var mulighed for at nedskalere arbejdsopgaverne i Trafikstyrelsen under </w:t>
      </w:r>
      <w:r w:rsidR="003F55B8">
        <w:rPr>
          <w:i/>
        </w:rPr>
        <w:t>covid</w:t>
      </w:r>
      <w:r>
        <w:rPr>
          <w:i/>
        </w:rPr>
        <w:t>-</w:t>
      </w:r>
      <w:r w:rsidRPr="00804A4B">
        <w:rPr>
          <w:i/>
        </w:rPr>
        <w:t>19</w:t>
      </w:r>
      <w:r w:rsidR="003F55B8">
        <w:rPr>
          <w:i/>
        </w:rPr>
        <w:t>-</w:t>
      </w:r>
      <w:r w:rsidR="005B5BDB">
        <w:rPr>
          <w:i/>
        </w:rPr>
        <w:t>pandemien i noget betydende omfang</w:t>
      </w:r>
      <w:r w:rsidRPr="00804A4B">
        <w:rPr>
          <w:i/>
        </w:rPr>
        <w:t xml:space="preserve">. </w:t>
      </w:r>
    </w:p>
    <w:p w14:paraId="4262E3EB" w14:textId="7082D2C5" w:rsidR="00804A4B" w:rsidRDefault="00804A4B" w:rsidP="002A1483">
      <w:pPr>
        <w:rPr>
          <w:i/>
        </w:rPr>
      </w:pPr>
      <w:r>
        <w:rPr>
          <w:i/>
        </w:rPr>
        <w:t xml:space="preserve">Ministeriet </w:t>
      </w:r>
      <w:r w:rsidRPr="00804A4B">
        <w:rPr>
          <w:i/>
        </w:rPr>
        <w:t>vurderer således ikke, at underskuddet skyldes manglende tilpasning</w:t>
      </w:r>
      <w:r>
        <w:rPr>
          <w:i/>
        </w:rPr>
        <w:t xml:space="preserve"> til ændringer i opgavemængden</w:t>
      </w:r>
      <w:r w:rsidRPr="00804A4B">
        <w:rPr>
          <w:i/>
        </w:rPr>
        <w:t xml:space="preserve">, men derimod at passagerantallet under </w:t>
      </w:r>
      <w:r w:rsidR="003F55B8">
        <w:rPr>
          <w:i/>
        </w:rPr>
        <w:t>covid</w:t>
      </w:r>
      <w:r w:rsidRPr="00804A4B">
        <w:rPr>
          <w:i/>
        </w:rPr>
        <w:t>-19</w:t>
      </w:r>
      <w:r w:rsidR="003F55B8">
        <w:rPr>
          <w:i/>
        </w:rPr>
        <w:t>-</w:t>
      </w:r>
      <w:r w:rsidR="005B5BDB">
        <w:rPr>
          <w:i/>
        </w:rPr>
        <w:t xml:space="preserve">pandemien </w:t>
      </w:r>
      <w:r w:rsidRPr="00804A4B">
        <w:rPr>
          <w:i/>
        </w:rPr>
        <w:t>faldt i meget betydeligt omfang, og at safety-afgiften netop er bundet op på antallet af afrejsende passagerer fra en dansk lufthavn.</w:t>
      </w:r>
    </w:p>
    <w:p w14:paraId="1F9A6A05" w14:textId="4672F091" w:rsidR="0021247A" w:rsidRPr="00FA7A57" w:rsidRDefault="00E4426F" w:rsidP="002A1483">
      <w:pPr>
        <w:rPr>
          <w:i/>
          <w:color w:val="auto"/>
        </w:rPr>
      </w:pPr>
      <w:r>
        <w:rPr>
          <w:i/>
        </w:rPr>
        <w:t>Trafikstyrelsens vurderinger af</w:t>
      </w:r>
      <w:r w:rsidR="00BA1F82">
        <w:rPr>
          <w:i/>
        </w:rPr>
        <w:t xml:space="preserve"> bl.a.</w:t>
      </w:r>
      <w:r>
        <w:rPr>
          <w:i/>
        </w:rPr>
        <w:t xml:space="preserve">, </w:t>
      </w:r>
      <w:r w:rsidR="00804A4B">
        <w:rPr>
          <w:i/>
        </w:rPr>
        <w:t>hvor mange</w:t>
      </w:r>
      <w:r>
        <w:rPr>
          <w:i/>
        </w:rPr>
        <w:t xml:space="preserve"> medarbejdere</w:t>
      </w:r>
      <w:r w:rsidR="00804A4B">
        <w:rPr>
          <w:i/>
        </w:rPr>
        <w:t xml:space="preserve"> og hvilke kompetencer medarbejderne skal have for</w:t>
      </w:r>
      <w:r w:rsidR="003F55B8">
        <w:rPr>
          <w:i/>
        </w:rPr>
        <w:t>,</w:t>
      </w:r>
      <w:r w:rsidR="00804A4B">
        <w:rPr>
          <w:i/>
        </w:rPr>
        <w:t xml:space="preserve"> at de kan</w:t>
      </w:r>
      <w:r>
        <w:rPr>
          <w:i/>
        </w:rPr>
        <w:t xml:space="preserve"> løfte tilsynsopgaverne i overensstemmelse med</w:t>
      </w:r>
      <w:r w:rsidR="00BA1F82">
        <w:rPr>
          <w:i/>
        </w:rPr>
        <w:t xml:space="preserve"> lovgivningen, vil have </w:t>
      </w:r>
      <w:r w:rsidR="00804A4B">
        <w:rPr>
          <w:i/>
        </w:rPr>
        <w:t>betydning for omkostningerne til det løbende tilsyn og dermed</w:t>
      </w:r>
      <w:r w:rsidR="00BA1F82">
        <w:rPr>
          <w:i/>
        </w:rPr>
        <w:t xml:space="preserve"> indflydelse på safety-afgiftssatsen. Trafikstyrelsen er i den forbindelse opmærksom på, at der skal være balance mellem det forudsatte ressourcetræk til tilsynsarbejdet og antallet af medarbejdere til at løfte opgaverne. Heri indgår også effektivitetsbetragtninger.</w:t>
      </w:r>
      <w:r w:rsidR="00804A4B">
        <w:rPr>
          <w:i/>
        </w:rPr>
        <w:t xml:space="preserve"> </w:t>
      </w:r>
      <w:bookmarkStart w:id="12" w:name="_Hlk175650252"/>
      <w:bookmarkStart w:id="13" w:name="_Hlk175649050"/>
      <w:r w:rsidR="00804A4B">
        <w:rPr>
          <w:i/>
        </w:rPr>
        <w:t xml:space="preserve">Det bemærkes i den forbindelse, at styrelsen i </w:t>
      </w:r>
      <w:r w:rsidR="00CB054F">
        <w:rPr>
          <w:i/>
        </w:rPr>
        <w:t xml:space="preserve">efteråret </w:t>
      </w:r>
      <w:r w:rsidR="00804A4B">
        <w:rPr>
          <w:i/>
        </w:rPr>
        <w:t>2020, og dermed under covid 19-</w:t>
      </w:r>
      <w:r w:rsidR="00CB054F">
        <w:rPr>
          <w:i/>
        </w:rPr>
        <w:t>pandemien,</w:t>
      </w:r>
      <w:r w:rsidR="00804A4B">
        <w:rPr>
          <w:i/>
        </w:rPr>
        <w:t xml:space="preserve"> gennemførte en </w:t>
      </w:r>
      <w:r w:rsidR="00FA7A57">
        <w:rPr>
          <w:i/>
        </w:rPr>
        <w:t>personaletilpasning</w:t>
      </w:r>
      <w:r w:rsidR="00804A4B">
        <w:rPr>
          <w:i/>
        </w:rPr>
        <w:t>, hvor også medarbejdere på luftfartsområdet var omfattet.</w:t>
      </w:r>
      <w:r w:rsidR="00AD2EA7">
        <w:rPr>
          <w:i/>
        </w:rPr>
        <w:t xml:space="preserve"> </w:t>
      </w:r>
      <w:r w:rsidR="00FA7A57">
        <w:rPr>
          <w:i/>
        </w:rPr>
        <w:t>Personaletilpasningen skyldtes blandt andet en forventning om nedgang i antallet af tilsynsobjekter (luftfartsselskaber, flyveskoler, værksteder</w:t>
      </w:r>
      <w:r w:rsidR="00CA1288">
        <w:rPr>
          <w:i/>
        </w:rPr>
        <w:t>, registrerede luftfartøjer,</w:t>
      </w:r>
      <w:r w:rsidR="00FA7A57">
        <w:rPr>
          <w:i/>
        </w:rPr>
        <w:t xml:space="preserve"> m.v.)</w:t>
      </w:r>
      <w:r w:rsidR="00CF1E3D">
        <w:rPr>
          <w:i/>
        </w:rPr>
        <w:t xml:space="preserve">, som følge af </w:t>
      </w:r>
      <w:r w:rsidR="009021CB">
        <w:rPr>
          <w:i/>
        </w:rPr>
        <w:t>c</w:t>
      </w:r>
      <w:r w:rsidR="00CF1E3D">
        <w:rPr>
          <w:i/>
        </w:rPr>
        <w:t>ovid</w:t>
      </w:r>
      <w:r w:rsidR="00CA1288">
        <w:rPr>
          <w:i/>
        </w:rPr>
        <w:t>-</w:t>
      </w:r>
      <w:r w:rsidR="00CF1E3D">
        <w:rPr>
          <w:i/>
        </w:rPr>
        <w:t>19-pandemien.</w:t>
      </w:r>
      <w:r w:rsidR="00FA7A57">
        <w:rPr>
          <w:i/>
        </w:rPr>
        <w:t xml:space="preserve"> </w:t>
      </w:r>
      <w:bookmarkStart w:id="14" w:name="_Hlk175649173"/>
      <w:r w:rsidR="00FA7A57">
        <w:rPr>
          <w:i/>
        </w:rPr>
        <w:t>Det kan i den forbindelse oplyses, at et fald i antallet af tilsynsobjekter ikke indtrådte som forventet, hvilket formentlig til dels skyldes de støtteordninger, der under covid-19 blev udformet til gavn for erhvervet</w:t>
      </w:r>
      <w:bookmarkEnd w:id="14"/>
      <w:r w:rsidR="00FA7A57">
        <w:rPr>
          <w:i/>
        </w:rPr>
        <w:t xml:space="preserve">. </w:t>
      </w:r>
      <w:bookmarkEnd w:id="12"/>
      <w:r w:rsidR="00BA1F82">
        <w:rPr>
          <w:i/>
        </w:rPr>
        <w:t xml:space="preserve"> </w:t>
      </w:r>
      <w:r>
        <w:rPr>
          <w:i/>
        </w:rPr>
        <w:t xml:space="preserve"> </w:t>
      </w:r>
    </w:p>
    <w:bookmarkEnd w:id="13"/>
    <w:p w14:paraId="0954B5A3" w14:textId="4283C603" w:rsidR="0021247A" w:rsidRDefault="0021247A" w:rsidP="002A1483">
      <w:pPr>
        <w:rPr>
          <w:i/>
        </w:rPr>
      </w:pPr>
      <w:r>
        <w:rPr>
          <w:i/>
        </w:rPr>
        <w:lastRenderedPageBreak/>
        <w:t>Oplysninger om den løbende opbygning af underskud</w:t>
      </w:r>
      <w:r w:rsidR="00804A4B">
        <w:rPr>
          <w:i/>
        </w:rPr>
        <w:t>det</w:t>
      </w:r>
      <w:r>
        <w:rPr>
          <w:i/>
        </w:rPr>
        <w:t xml:space="preserve"> i </w:t>
      </w:r>
      <w:proofErr w:type="spellStart"/>
      <w:r>
        <w:rPr>
          <w:i/>
        </w:rPr>
        <w:t>safety</w:t>
      </w:r>
      <w:proofErr w:type="spellEnd"/>
      <w:r>
        <w:rPr>
          <w:i/>
        </w:rPr>
        <w:t xml:space="preserve">-afgiftsordningen </w:t>
      </w:r>
      <w:r w:rsidR="00804A4B">
        <w:rPr>
          <w:i/>
        </w:rPr>
        <w:t xml:space="preserve">som følge af en ikke omkostningsdækkende safety-afgiftssats, </w:t>
      </w:r>
      <w:r>
        <w:rPr>
          <w:i/>
        </w:rPr>
        <w:t xml:space="preserve">har løbende kunne findes i relevante aktstykker, hvori Finansudvalget har skulle give tilslutning til, at Trafikstyrelsens egenkapital </w:t>
      </w:r>
      <w:r w:rsidR="00836576">
        <w:rPr>
          <w:i/>
        </w:rPr>
        <w:t xml:space="preserve">kunne </w:t>
      </w:r>
      <w:r>
        <w:rPr>
          <w:i/>
        </w:rPr>
        <w:t xml:space="preserve">hæves som følge af underskuddet i ordningen. Der henvises bl.a. til aktstykke nr. 100 af 6. december 2023 og senest aktstykke nr. 236 af 19. juni 2024 vedrørende EMPIC-systemet. </w:t>
      </w:r>
      <w:r w:rsidR="00804A4B">
        <w:rPr>
          <w:i/>
        </w:rPr>
        <w:t>Derudover er det fremgået af Finansloven for 2022 og 2023, at styrelsens underskud er væsentligt forøget i perioden.</w:t>
      </w:r>
    </w:p>
    <w:p w14:paraId="72204CD4" w14:textId="63A7295D" w:rsidR="00BB58B2" w:rsidRDefault="00BB58B2" w:rsidP="002A1483">
      <w:pPr>
        <w:rPr>
          <w:i/>
        </w:rPr>
      </w:pPr>
      <w:r>
        <w:rPr>
          <w:i/>
        </w:rPr>
        <w:t xml:space="preserve">For så vidt angår de foreslåede afgiftsforhøjelser frem mod 2028 og en forventet udligning af underskuddet i ordningen over en 6-årig periode er </w:t>
      </w:r>
      <w:r w:rsidRPr="00BB58B2">
        <w:rPr>
          <w:i/>
        </w:rPr>
        <w:t>der regnet med de passagertal, der ligger til grund for passagerafgiften fra regeringsinitiativet om Grøn luftfart. Det er</w:t>
      </w:r>
      <w:r w:rsidR="007E15A6">
        <w:rPr>
          <w:i/>
        </w:rPr>
        <w:t xml:space="preserve"> således</w:t>
      </w:r>
      <w:r w:rsidRPr="00BB58B2">
        <w:rPr>
          <w:i/>
        </w:rPr>
        <w:t xml:space="preserve"> lagt til grund, at passagergrundlaget i 2025 vil være som i 2019. Passagergrundlaget for 2026-2030 er beregnet ved at fremskrive passagertallet for 2025 med den forventede vækstrate for flytrafikken fra Energistyrelsens Klimastatus og -fremskrivning 2023. Der er </w:t>
      </w:r>
      <w:r w:rsidR="007E15A6">
        <w:rPr>
          <w:i/>
        </w:rPr>
        <w:t>endvidere</w:t>
      </w:r>
      <w:r w:rsidRPr="00BB58B2">
        <w:rPr>
          <w:i/>
        </w:rPr>
        <w:t xml:space="preserve"> tillagt skønsmæssigt 300.000 betalende passagerer for Grønland og Færøerne</w:t>
      </w:r>
      <w:r w:rsidR="007E15A6">
        <w:rPr>
          <w:i/>
        </w:rPr>
        <w:t xml:space="preserve">. </w:t>
      </w:r>
      <w:bookmarkStart w:id="15" w:name="_Hlk165907534"/>
      <w:r w:rsidR="005D15D6" w:rsidRPr="005D15D6">
        <w:rPr>
          <w:i/>
        </w:rPr>
        <w:t>Der er i fremskrivningen af passagergrundlaget ikke beregnet en evt. negativ adfærdseffekt af forøgelsen af safety-afgiften på antallet af passager</w:t>
      </w:r>
      <w:r w:rsidR="009021CB">
        <w:rPr>
          <w:i/>
        </w:rPr>
        <w:t>er</w:t>
      </w:r>
      <w:r w:rsidR="00804A4B">
        <w:rPr>
          <w:i/>
        </w:rPr>
        <w:t>, da det er vurderet, at safety-afgiften</w:t>
      </w:r>
      <w:r w:rsidR="00F76437">
        <w:rPr>
          <w:i/>
        </w:rPr>
        <w:t xml:space="preserve"> ikke</w:t>
      </w:r>
      <w:r w:rsidR="00804A4B">
        <w:rPr>
          <w:i/>
        </w:rPr>
        <w:t xml:space="preserve"> </w:t>
      </w:r>
      <w:r w:rsidR="009021CB">
        <w:rPr>
          <w:i/>
        </w:rPr>
        <w:t>i sig selv</w:t>
      </w:r>
      <w:r w:rsidR="00804A4B">
        <w:rPr>
          <w:i/>
        </w:rPr>
        <w:t xml:space="preserve"> vil påvirke passageradfærden</w:t>
      </w:r>
      <w:r w:rsidR="005D15D6" w:rsidRPr="005D15D6">
        <w:rPr>
          <w:i/>
        </w:rPr>
        <w:t>.</w:t>
      </w:r>
      <w:bookmarkEnd w:id="15"/>
    </w:p>
    <w:p w14:paraId="53E54809" w14:textId="4A6A9CFD" w:rsidR="007E15A6" w:rsidRDefault="007E15A6" w:rsidP="002A1483">
      <w:pPr>
        <w:rPr>
          <w:i/>
        </w:rPr>
      </w:pPr>
      <w:r>
        <w:rPr>
          <w:i/>
        </w:rPr>
        <w:t>De forudsatte o</w:t>
      </w:r>
      <w:r w:rsidRPr="007E15A6">
        <w:rPr>
          <w:i/>
        </w:rPr>
        <w:t>mkostninger er baseret på Trafikstyrelsens nuværende forventninger til 2024-2027. Fra 2027 indregne</w:t>
      </w:r>
      <w:r>
        <w:rPr>
          <w:i/>
        </w:rPr>
        <w:t>s</w:t>
      </w:r>
      <w:r w:rsidRPr="007E15A6">
        <w:rPr>
          <w:i/>
        </w:rPr>
        <w:t xml:space="preserve"> en årlig stigning på 4 </w:t>
      </w:r>
      <w:r>
        <w:rPr>
          <w:i/>
        </w:rPr>
        <w:t>pct.</w:t>
      </w:r>
      <w:r w:rsidRPr="007E15A6">
        <w:rPr>
          <w:i/>
        </w:rPr>
        <w:t xml:space="preserve"> fra det foregående år. Dertil </w:t>
      </w:r>
      <w:r w:rsidR="00804A4B">
        <w:rPr>
          <w:i/>
        </w:rPr>
        <w:t xml:space="preserve">er der tillagt </w:t>
      </w:r>
      <w:r w:rsidRPr="007E15A6">
        <w:rPr>
          <w:i/>
        </w:rPr>
        <w:t xml:space="preserve">10 mio. kr. årligt til </w:t>
      </w:r>
      <w:r w:rsidR="00CA1288">
        <w:rPr>
          <w:i/>
        </w:rPr>
        <w:t xml:space="preserve">finansiering af </w:t>
      </w:r>
      <w:r w:rsidRPr="007E15A6">
        <w:rPr>
          <w:i/>
        </w:rPr>
        <w:t xml:space="preserve">implementering af styrelsens nye </w:t>
      </w:r>
      <w:r w:rsidR="00CA1288">
        <w:rPr>
          <w:i/>
        </w:rPr>
        <w:t>it-understøttelses</w:t>
      </w:r>
      <w:r w:rsidRPr="007E15A6">
        <w:rPr>
          <w:i/>
        </w:rPr>
        <w:t xml:space="preserve">system </w:t>
      </w:r>
      <w:r w:rsidR="00CA1288">
        <w:rPr>
          <w:i/>
        </w:rPr>
        <w:t xml:space="preserve">til tilsyn og godkendelser </w:t>
      </w:r>
      <w:r w:rsidR="00804A4B">
        <w:rPr>
          <w:i/>
        </w:rPr>
        <w:t>på</w:t>
      </w:r>
      <w:r w:rsidRPr="007E15A6">
        <w:rPr>
          <w:i/>
        </w:rPr>
        <w:t xml:space="preserve"> luftfartsområdet, EMPIC. </w:t>
      </w:r>
      <w:r>
        <w:rPr>
          <w:i/>
        </w:rPr>
        <w:t xml:space="preserve">Dette svarer </w:t>
      </w:r>
      <w:r w:rsidR="00CA1288">
        <w:rPr>
          <w:i/>
        </w:rPr>
        <w:t xml:space="preserve">samlet </w:t>
      </w:r>
      <w:r>
        <w:rPr>
          <w:i/>
        </w:rPr>
        <w:t xml:space="preserve">til et omkostningsniveau på henholdsvis 140 mio. kr. i 2025, ca. 143 mio. kr. i 2026, ca. 153 mio. kr. i 2027, ca. 164 mio. kr. i 2029 og ca. 170 mio. kr. i 2030. </w:t>
      </w:r>
    </w:p>
    <w:p w14:paraId="7AD224C8" w14:textId="7D9C0E31" w:rsidR="00BB58B2" w:rsidRDefault="00BB58B2" w:rsidP="002A1483">
      <w:pPr>
        <w:rPr>
          <w:i/>
        </w:rPr>
      </w:pPr>
      <w:r w:rsidRPr="00BB58B2">
        <w:rPr>
          <w:i/>
        </w:rPr>
        <w:t>Den faktiske udvikling i antal afrejsende passagerer og omkostningerne til tilsynet vil have betydning for afviklingen af det oparbejdede underskud i ordningen.</w:t>
      </w:r>
    </w:p>
    <w:p w14:paraId="386F8161" w14:textId="13FF0E29" w:rsidR="009E5F71" w:rsidRDefault="006B3847" w:rsidP="002A1483">
      <w:pPr>
        <w:rPr>
          <w:i/>
        </w:rPr>
      </w:pPr>
      <w:r>
        <w:rPr>
          <w:i/>
        </w:rPr>
        <w:t xml:space="preserve">Transportministeriet kan i forlængelse heraf afkræfte, at der er tale om overdækning i safety-afgiftsordningen. </w:t>
      </w:r>
      <w:r w:rsidR="006E6670">
        <w:rPr>
          <w:i/>
        </w:rPr>
        <w:t xml:space="preserve">Det har fra safety-afgiftsordningens indførelse været hensigten, at ordningen skulle balancere økonomisk. Af samme årsag blev safety-afgiften også sænket både i 2016 og 2018 i forbindelse med, at indtægtsgrundlaget i ordningen </w:t>
      </w:r>
      <w:r w:rsidR="00CA1288">
        <w:rPr>
          <w:i/>
        </w:rPr>
        <w:t xml:space="preserve">i de umiddelbart forudgående år </w:t>
      </w:r>
      <w:r w:rsidR="006E6670">
        <w:rPr>
          <w:i/>
        </w:rPr>
        <w:t>var højere end omkostningsniveauet.</w:t>
      </w:r>
      <w:r w:rsidR="007E15A6">
        <w:rPr>
          <w:i/>
        </w:rPr>
        <w:t xml:space="preserve"> </w:t>
      </w:r>
      <w:r w:rsidR="00FE398C">
        <w:rPr>
          <w:i/>
        </w:rPr>
        <w:t xml:space="preserve">Som beskrevet i lovforslaget vil </w:t>
      </w:r>
      <w:r w:rsidR="00E4426F">
        <w:rPr>
          <w:i/>
        </w:rPr>
        <w:t>s</w:t>
      </w:r>
      <w:r w:rsidR="00E4426F" w:rsidRPr="00E4426F">
        <w:rPr>
          <w:i/>
        </w:rPr>
        <w:t>a</w:t>
      </w:r>
      <w:r w:rsidR="00E4426F" w:rsidRPr="00E4426F">
        <w:rPr>
          <w:i/>
        </w:rPr>
        <w:lastRenderedPageBreak/>
        <w:t xml:space="preserve">fety-afgiftssatsen </w:t>
      </w:r>
      <w:r w:rsidR="00E4426F">
        <w:rPr>
          <w:i/>
        </w:rPr>
        <w:t>på samme vis kunne</w:t>
      </w:r>
      <w:r w:rsidR="00E4426F" w:rsidRPr="00E4426F">
        <w:rPr>
          <w:i/>
        </w:rPr>
        <w:t xml:space="preserve"> sænkes til et omkostningsdækkende niveau i forhold til de løbende tilsynsudgifter</w:t>
      </w:r>
      <w:r w:rsidR="00E4426F">
        <w:rPr>
          <w:i/>
        </w:rPr>
        <w:t xml:space="preserve">, </w:t>
      </w:r>
      <w:r w:rsidR="00804A4B">
        <w:rPr>
          <w:i/>
        </w:rPr>
        <w:t>under forudsætning af, at</w:t>
      </w:r>
      <w:r w:rsidR="00E4426F">
        <w:rPr>
          <w:i/>
        </w:rPr>
        <w:t xml:space="preserve"> underskuddet i ordningen er udlignet</w:t>
      </w:r>
      <w:r w:rsidR="00804A4B">
        <w:rPr>
          <w:i/>
        </w:rPr>
        <w:t xml:space="preserve"> med de tiltag, der følger af lovforslaget</w:t>
      </w:r>
      <w:r w:rsidR="00E4426F">
        <w:rPr>
          <w:i/>
        </w:rPr>
        <w:t xml:space="preserve">. </w:t>
      </w:r>
    </w:p>
    <w:p w14:paraId="6087E40A" w14:textId="4F72F3A3" w:rsidR="008050A9" w:rsidRDefault="008050A9" w:rsidP="002A1483">
      <w:pPr>
        <w:rPr>
          <w:i/>
        </w:rPr>
      </w:pPr>
      <w:r>
        <w:rPr>
          <w:i/>
        </w:rPr>
        <w:t>For så vidt angår forslag</w:t>
      </w:r>
      <w:r w:rsidR="00836576">
        <w:rPr>
          <w:i/>
        </w:rPr>
        <w:t>et om</w:t>
      </w:r>
      <w:r>
        <w:rPr>
          <w:i/>
        </w:rPr>
        <w:t xml:space="preserve"> ændring af reguleringsmekanismen er dette, som det er beskrevet i lovforslaget, baseret på, at </w:t>
      </w:r>
      <w:r w:rsidRPr="008050A9">
        <w:rPr>
          <w:i/>
        </w:rPr>
        <w:t xml:space="preserve">forholdene under covid-19-pandemien </w:t>
      </w:r>
      <w:r>
        <w:rPr>
          <w:i/>
        </w:rPr>
        <w:t xml:space="preserve">har </w:t>
      </w:r>
      <w:r w:rsidRPr="008050A9">
        <w:rPr>
          <w:i/>
        </w:rPr>
        <w:t xml:space="preserve">vist, at den nuværende reguleringsmekanisme virker ved en stabil udvikling med begrænsede udsving i passagertallene fra år til år, men at den i visse tilfælde kan give nogle uhensigtsmæssige udsving i afgiftssatsen, som alene kan korrigeres ved lovændring i tilfælde af større udsving i passagertallet. </w:t>
      </w:r>
      <w:r>
        <w:rPr>
          <w:i/>
        </w:rPr>
        <w:t>Foruden dette</w:t>
      </w:r>
      <w:r w:rsidRPr="008050A9">
        <w:rPr>
          <w:i/>
        </w:rPr>
        <w:t xml:space="preserve"> har de seneste års pris- og lønudvikling vist, at afgiftsprovenuet løbende udhules, når der ikke foretages en egentlig pris- og lønindeksregulering (PL-regulering) på samme måde, som det f.eks. er tilfældet for afgifterne på den del af jernbaneområdet, der vedrører Trafikstyrelsen og Jernbanenævnet.</w:t>
      </w:r>
      <w:r>
        <w:rPr>
          <w:i/>
        </w:rPr>
        <w:t xml:space="preserve"> </w:t>
      </w:r>
      <w:r w:rsidR="00374082">
        <w:rPr>
          <w:i/>
        </w:rPr>
        <w:t xml:space="preserve">Formålet med PL-reguleringen er således at undgå en udhuling af afgiftsprovenuet i safety-afgiftsordningen generelt, uanset opbygget underskud i safety-afgiftsordningen eller ej. Med forslaget bringes den årlige regulering af safety-afgiften på linje med øvrige afgiftsområder. </w:t>
      </w:r>
      <w:r w:rsidR="00F63CA7">
        <w:rPr>
          <w:i/>
        </w:rPr>
        <w:t xml:space="preserve">Høringssvarene har givet anledning til en præcisering af dele af bemærkningerne til lovforslaget med henblik på at tydeliggøre samspillet mellem ændringer i safety-afgiftssatsen og reguleringsmekanismen. </w:t>
      </w:r>
    </w:p>
    <w:p w14:paraId="25647718" w14:textId="28395740" w:rsidR="008050A9" w:rsidRDefault="008050A9" w:rsidP="002A1483">
      <w:pPr>
        <w:rPr>
          <w:i/>
        </w:rPr>
      </w:pPr>
      <w:r>
        <w:rPr>
          <w:i/>
        </w:rPr>
        <w:t xml:space="preserve">Såfremt pris- og lønindeksreguleringen </w:t>
      </w:r>
      <w:r w:rsidR="00836576">
        <w:rPr>
          <w:i/>
        </w:rPr>
        <w:t xml:space="preserve">i fremtiden </w:t>
      </w:r>
      <w:r>
        <w:rPr>
          <w:i/>
        </w:rPr>
        <w:t xml:space="preserve">måtte bidrage til en overdækning i </w:t>
      </w:r>
      <w:proofErr w:type="spellStart"/>
      <w:r>
        <w:rPr>
          <w:i/>
        </w:rPr>
        <w:t>safety</w:t>
      </w:r>
      <w:proofErr w:type="spellEnd"/>
      <w:r>
        <w:rPr>
          <w:i/>
        </w:rPr>
        <w:t>-afgiftsordningen, vil dette –</w:t>
      </w:r>
      <w:r w:rsidR="009021CB">
        <w:rPr>
          <w:i/>
        </w:rPr>
        <w:t xml:space="preserve"> </w:t>
      </w:r>
      <w:r>
        <w:rPr>
          <w:i/>
        </w:rPr>
        <w:t xml:space="preserve">med henvisning til, at ordningen skal balancere økonomisk – give anledning til en </w:t>
      </w:r>
      <w:r w:rsidR="00374082">
        <w:rPr>
          <w:i/>
        </w:rPr>
        <w:t>formindskelse</w:t>
      </w:r>
      <w:r>
        <w:rPr>
          <w:i/>
        </w:rPr>
        <w:t xml:space="preserve"> af safety-afgiftssatsen</w:t>
      </w:r>
      <w:r w:rsidR="00374082">
        <w:rPr>
          <w:i/>
        </w:rPr>
        <w:t xml:space="preserve">. </w:t>
      </w:r>
      <w:r>
        <w:rPr>
          <w:i/>
        </w:rPr>
        <w:t xml:space="preserve"> </w:t>
      </w:r>
    </w:p>
    <w:p w14:paraId="57C4D39F" w14:textId="2E27D054" w:rsidR="002A1483" w:rsidRDefault="009E5F71" w:rsidP="002A1483">
      <w:pPr>
        <w:rPr>
          <w:i/>
        </w:rPr>
      </w:pPr>
      <w:r>
        <w:rPr>
          <w:i/>
        </w:rPr>
        <w:t>For så vidt angår den forespurgte fremtidige transparens i forhold til Trafikstyrelsens tilsynsudgifter med den civile luftfart</w:t>
      </w:r>
      <w:r w:rsidR="00804A4B">
        <w:rPr>
          <w:i/>
        </w:rPr>
        <w:t>, oplyser Trafikstyrelsen, at branchen også fremadrettet vil blive præsenteret for kommende reguleringer på møder med branchen. På den måde vil branchen have mulighed for at indrette sig på de regulerede afgifter så tidligt på året som hidtil.</w:t>
      </w:r>
      <w:r w:rsidR="00E4426F">
        <w:rPr>
          <w:i/>
        </w:rPr>
        <w:t xml:space="preserve"> </w:t>
      </w:r>
      <w:r w:rsidR="00E4426F" w:rsidRPr="00E4426F">
        <w:rPr>
          <w:i/>
        </w:rPr>
        <w:t xml:space="preserve"> </w:t>
      </w:r>
      <w:r w:rsidR="006E6670">
        <w:rPr>
          <w:i/>
        </w:rPr>
        <w:t xml:space="preserve"> </w:t>
      </w:r>
      <w:r w:rsidR="002A1483">
        <w:rPr>
          <w:i/>
        </w:rPr>
        <w:t xml:space="preserve"> </w:t>
      </w:r>
    </w:p>
    <w:p w14:paraId="1DB82BD8" w14:textId="5F45FE45" w:rsidR="0021247A" w:rsidRDefault="005E30A0" w:rsidP="002A1483">
      <w:pPr>
        <w:rPr>
          <w:i/>
        </w:rPr>
      </w:pPr>
      <w:r>
        <w:rPr>
          <w:i/>
        </w:rPr>
        <w:t xml:space="preserve">I flere af høringssvarene lægges dernæst op til en </w:t>
      </w:r>
      <w:r w:rsidR="00E14923">
        <w:rPr>
          <w:i/>
        </w:rPr>
        <w:t>omlægning</w:t>
      </w:r>
      <w:r>
        <w:rPr>
          <w:i/>
        </w:rPr>
        <w:t xml:space="preserve"> af safety-afgiftsordningen i forhold til passagerluftfartens finansiering af tilsyn </w:t>
      </w:r>
      <w:r w:rsidR="00795D4D">
        <w:rPr>
          <w:i/>
        </w:rPr>
        <w:t xml:space="preserve">med </w:t>
      </w:r>
      <w:r w:rsidR="008164BF">
        <w:rPr>
          <w:i/>
        </w:rPr>
        <w:t>aktører, der ikke er pålagt afgiften, men hvis aktivitet har betydning for luftfartpassagerernes sikkerhed.</w:t>
      </w:r>
      <w:r w:rsidR="00043ACE">
        <w:rPr>
          <w:i/>
        </w:rPr>
        <w:t xml:space="preserve"> </w:t>
      </w:r>
      <w:bookmarkStart w:id="16" w:name="_Hlk175342093"/>
      <w:r w:rsidR="00043ACE">
        <w:rPr>
          <w:i/>
        </w:rPr>
        <w:t>Der lægges således i høringssvarene op til, at safety-afgiften, der pålægges luftfartspassagererne, ikke</w:t>
      </w:r>
      <w:r w:rsidR="003C756E">
        <w:rPr>
          <w:i/>
        </w:rPr>
        <w:t xml:space="preserve"> også</w:t>
      </w:r>
      <w:r w:rsidR="00043ACE">
        <w:rPr>
          <w:i/>
        </w:rPr>
        <w:t xml:space="preserve"> </w:t>
      </w:r>
      <w:r w:rsidR="003C756E">
        <w:rPr>
          <w:i/>
        </w:rPr>
        <w:t xml:space="preserve">skal finansiere tilsynet med i særdeleshed droner og luftfragt. </w:t>
      </w:r>
      <w:bookmarkEnd w:id="16"/>
      <w:r w:rsidR="003C756E">
        <w:rPr>
          <w:i/>
        </w:rPr>
        <w:t>Hertil bemærker ministe</w:t>
      </w:r>
      <w:r w:rsidR="003C756E">
        <w:rPr>
          <w:i/>
        </w:rPr>
        <w:lastRenderedPageBreak/>
        <w:t>riet, at det bærende hensyn bag safety-afgiften er luftfartspassagerernes sikkerhed. Formålet med Trafikstyrelsens tilsyn med den civile luftfart er at sikre, at luftfart i dansk luftrum sker i overensstemmelse med gældende lovgivning for her</w:t>
      </w:r>
      <w:r w:rsidR="00116C26">
        <w:rPr>
          <w:i/>
        </w:rPr>
        <w:t>igennem</w:t>
      </w:r>
      <w:r w:rsidR="003C756E">
        <w:rPr>
          <w:i/>
        </w:rPr>
        <w:t xml:space="preserve"> at sikre luftfartspassagerernes sikkerhed. Af den årsag finansierer safety-afgiften også Trafikstyrelsens tilsyn med aktører, der ikke betaler afgiften, men som har en betydning for sikkerheden i dansk luftrum. </w:t>
      </w:r>
      <w:bookmarkStart w:id="17" w:name="_Hlk175577688"/>
      <w:r w:rsidR="003C756E">
        <w:rPr>
          <w:i/>
        </w:rPr>
        <w:t xml:space="preserve">Det </w:t>
      </w:r>
      <w:r w:rsidR="00116C26">
        <w:rPr>
          <w:i/>
        </w:rPr>
        <w:t>bemærkes i den forbindelse</w:t>
      </w:r>
      <w:r w:rsidR="003C756E">
        <w:rPr>
          <w:i/>
        </w:rPr>
        <w:t>, at langt størstedelen af luftfarten i dansk luftrum – og derfor også langt den største</w:t>
      </w:r>
      <w:r w:rsidR="00836576">
        <w:rPr>
          <w:i/>
        </w:rPr>
        <w:t xml:space="preserve"> hertil</w:t>
      </w:r>
      <w:r w:rsidR="003C756E">
        <w:rPr>
          <w:i/>
        </w:rPr>
        <w:t xml:space="preserve"> </w:t>
      </w:r>
      <w:r w:rsidR="00116C26">
        <w:rPr>
          <w:i/>
        </w:rPr>
        <w:t xml:space="preserve">tilknyttede </w:t>
      </w:r>
      <w:r w:rsidR="003C756E">
        <w:rPr>
          <w:i/>
        </w:rPr>
        <w:t xml:space="preserve">tilsynsaktivitet – udgøres af passagertransport.  </w:t>
      </w:r>
      <w:bookmarkEnd w:id="17"/>
      <w:r w:rsidR="009E5F71">
        <w:rPr>
          <w:i/>
        </w:rPr>
        <w:t xml:space="preserve">Som det bemærkes i flere af høringssvarene, forudsættes safety-afgiften i praksis overvæltet på passagererne. </w:t>
      </w:r>
      <w:bookmarkStart w:id="18" w:name="_Hlk175648995"/>
      <w:r w:rsidRPr="005E30A0">
        <w:rPr>
          <w:i/>
        </w:rPr>
        <w:t xml:space="preserve">For så vidt angår bemærkningen om, at det er en forkert antagelse, at safety-afgiften lægges oven i billetpriserne, </w:t>
      </w:r>
      <w:r w:rsidR="00804A4B">
        <w:rPr>
          <w:i/>
        </w:rPr>
        <w:t xml:space="preserve">og at safety-afgiften dermed påvirker konkurrencen til ulempe for danske luftfartsselskaber, </w:t>
      </w:r>
      <w:r w:rsidRPr="005E30A0">
        <w:rPr>
          <w:i/>
        </w:rPr>
        <w:t>bemærker</w:t>
      </w:r>
      <w:r w:rsidR="000F444B">
        <w:rPr>
          <w:i/>
        </w:rPr>
        <w:t xml:space="preserve"> m</w:t>
      </w:r>
      <w:r w:rsidRPr="005E30A0">
        <w:rPr>
          <w:i/>
        </w:rPr>
        <w:t>inisteriet, at</w:t>
      </w:r>
      <w:r w:rsidR="00FA7A57">
        <w:rPr>
          <w:i/>
        </w:rPr>
        <w:t xml:space="preserve"> ca. 15</w:t>
      </w:r>
      <w:r w:rsidR="009021CB">
        <w:rPr>
          <w:i/>
        </w:rPr>
        <w:t xml:space="preserve"> pct.</w:t>
      </w:r>
      <w:r w:rsidR="00FA7A57">
        <w:rPr>
          <w:i/>
        </w:rPr>
        <w:t xml:space="preserve"> af indtægterne fra safety-afgiften vedrører passagerer, der flyver med danske luftfartsselskaber, mens ca. </w:t>
      </w:r>
      <w:r w:rsidR="00397EBF">
        <w:rPr>
          <w:i/>
        </w:rPr>
        <w:t>8</w:t>
      </w:r>
      <w:r w:rsidR="00FA7A57">
        <w:rPr>
          <w:i/>
        </w:rPr>
        <w:t>5</w:t>
      </w:r>
      <w:r w:rsidR="009021CB">
        <w:rPr>
          <w:i/>
        </w:rPr>
        <w:t xml:space="preserve"> pct.</w:t>
      </w:r>
      <w:r w:rsidR="00FA7A57">
        <w:rPr>
          <w:i/>
        </w:rPr>
        <w:t xml:space="preserve"> af indtægterne vedrører passagerer, der flyver med udenlandske luftfartsselskaber. Såvel de danske som de udenlandske l</w:t>
      </w:r>
      <w:r w:rsidRPr="005E30A0">
        <w:rPr>
          <w:i/>
        </w:rPr>
        <w:t xml:space="preserve">uftfartsselskaber </w:t>
      </w:r>
      <w:r w:rsidR="00FA7A57">
        <w:rPr>
          <w:i/>
        </w:rPr>
        <w:t xml:space="preserve">kan </w:t>
      </w:r>
      <w:r w:rsidRPr="005E30A0">
        <w:rPr>
          <w:i/>
        </w:rPr>
        <w:t xml:space="preserve">i praksis vælge fuldt ud at overvælte afgiften på passagererne, hvormed passagererne bærer udgiften. Lovforslagets bemærkninger </w:t>
      </w:r>
      <w:r w:rsidR="00EA6C94">
        <w:rPr>
          <w:i/>
        </w:rPr>
        <w:t>er</w:t>
      </w:r>
      <w:r w:rsidRPr="005E30A0">
        <w:rPr>
          <w:i/>
        </w:rPr>
        <w:t xml:space="preserve"> </w:t>
      </w:r>
      <w:r w:rsidR="00F63CA7">
        <w:rPr>
          <w:i/>
        </w:rPr>
        <w:t xml:space="preserve">forud for supplerende offentlig høring over det reviderede lovudkast </w:t>
      </w:r>
      <w:r w:rsidRPr="005E30A0">
        <w:rPr>
          <w:i/>
        </w:rPr>
        <w:t>bl</w:t>
      </w:r>
      <w:r w:rsidR="00EA6C94">
        <w:rPr>
          <w:i/>
        </w:rPr>
        <w:t>evet</w:t>
      </w:r>
      <w:r w:rsidRPr="005E30A0">
        <w:rPr>
          <w:i/>
        </w:rPr>
        <w:t xml:space="preserve"> tilrettet i overensstemmelse hermed. </w:t>
      </w:r>
      <w:bookmarkEnd w:id="18"/>
    </w:p>
    <w:p w14:paraId="42E34F77" w14:textId="098A2509" w:rsidR="005D15D6" w:rsidRDefault="00795D4D" w:rsidP="002A1483">
      <w:pPr>
        <w:rPr>
          <w:i/>
        </w:rPr>
      </w:pPr>
      <w:r>
        <w:rPr>
          <w:i/>
        </w:rPr>
        <w:t xml:space="preserve">Ministeriet har derudover noteret sig branchens kritik af, at den foreslåede forhøjelse af safety-afgiften falder sammen med øvrige nye afgifter og omkostningsstigninger, men må henvise til bemærkningerne om normalisering af passagergrundlag, hensigten med </w:t>
      </w:r>
      <w:proofErr w:type="spellStart"/>
      <w:r>
        <w:rPr>
          <w:i/>
        </w:rPr>
        <w:t>safety</w:t>
      </w:r>
      <w:proofErr w:type="spellEnd"/>
      <w:r>
        <w:rPr>
          <w:i/>
        </w:rPr>
        <w:t>-afgiftsordningens balancering økonomisk mv.</w:t>
      </w:r>
    </w:p>
    <w:p w14:paraId="1CDF27FB" w14:textId="1EEAB8AB" w:rsidR="003441BE" w:rsidRPr="002A1483" w:rsidRDefault="005D15D6" w:rsidP="002A1483">
      <w:pPr>
        <w:rPr>
          <w:i/>
        </w:rPr>
      </w:pPr>
      <w:r>
        <w:rPr>
          <w:i/>
        </w:rPr>
        <w:t xml:space="preserve">Afslutningsvis har ministeriet noteret sig opfordringen til at tænke omkostningseffektivitet i forhold til safety-afgiften ind i en bredere kontekst. </w:t>
      </w:r>
      <w:r w:rsidR="003508AD">
        <w:rPr>
          <w:i/>
        </w:rPr>
        <w:t xml:space="preserve"> </w:t>
      </w:r>
      <w:r w:rsidR="00CA7761">
        <w:rPr>
          <w:i/>
        </w:rPr>
        <w:t>Ministeriet har noteret sig det konkrete forslag, men bemærker, at dette ligger uden for lovforslaget, hvorfor det ikke giver anledning til ændringer af lovforslaget</w:t>
      </w:r>
      <w:r w:rsidR="00CA7761" w:rsidRPr="00804A4B">
        <w:rPr>
          <w:i/>
        </w:rPr>
        <w:t xml:space="preserve">. </w:t>
      </w:r>
      <w:bookmarkStart w:id="19" w:name="_Hlk175559282"/>
      <w:r w:rsidR="00804A4B" w:rsidRPr="00804A4B">
        <w:rPr>
          <w:rStyle w:val="cf01"/>
          <w:i/>
        </w:rPr>
        <w:t xml:space="preserve"> </w:t>
      </w:r>
      <w:bookmarkStart w:id="20" w:name="_Hlk175640495"/>
      <w:r w:rsidR="00804A4B" w:rsidRPr="00804A4B">
        <w:rPr>
          <w:rStyle w:val="cf01"/>
          <w:rFonts w:asciiTheme="minorHAnsi" w:hAnsiTheme="minorHAnsi"/>
          <w:i/>
          <w:sz w:val="21"/>
          <w:szCs w:val="21"/>
        </w:rPr>
        <w:t>Trafikstyrelsen</w:t>
      </w:r>
      <w:r w:rsidR="00804A4B">
        <w:rPr>
          <w:rStyle w:val="cf01"/>
          <w:rFonts w:asciiTheme="minorHAnsi" w:hAnsiTheme="minorHAnsi"/>
          <w:i/>
          <w:sz w:val="21"/>
          <w:szCs w:val="21"/>
        </w:rPr>
        <w:t xml:space="preserve"> har over</w:t>
      </w:r>
      <w:r w:rsidR="00F76437">
        <w:rPr>
          <w:rStyle w:val="cf01"/>
          <w:rFonts w:asciiTheme="minorHAnsi" w:hAnsiTheme="minorHAnsi"/>
          <w:i/>
          <w:sz w:val="21"/>
          <w:szCs w:val="21"/>
        </w:rPr>
        <w:t xml:space="preserve"> </w:t>
      </w:r>
      <w:r w:rsidR="00804A4B">
        <w:rPr>
          <w:rStyle w:val="cf01"/>
          <w:rFonts w:asciiTheme="minorHAnsi" w:hAnsiTheme="minorHAnsi"/>
          <w:i/>
          <w:sz w:val="21"/>
          <w:szCs w:val="21"/>
        </w:rPr>
        <w:t xml:space="preserve">for </w:t>
      </w:r>
      <w:r w:rsidR="00804A4B" w:rsidRPr="00804A4B">
        <w:rPr>
          <w:rStyle w:val="cf01"/>
          <w:rFonts w:asciiTheme="minorHAnsi" w:hAnsiTheme="minorHAnsi"/>
          <w:i/>
          <w:sz w:val="21"/>
          <w:szCs w:val="21"/>
        </w:rPr>
        <w:t>ministeriet</w:t>
      </w:r>
      <w:r w:rsidR="00804A4B">
        <w:rPr>
          <w:rStyle w:val="cf01"/>
          <w:rFonts w:asciiTheme="minorHAnsi" w:hAnsiTheme="minorHAnsi"/>
          <w:i/>
          <w:sz w:val="21"/>
          <w:szCs w:val="21"/>
        </w:rPr>
        <w:t xml:space="preserve"> oplyst, at styrelsen</w:t>
      </w:r>
      <w:r w:rsidR="00804A4B" w:rsidRPr="00804A4B">
        <w:rPr>
          <w:rStyle w:val="cf01"/>
          <w:rFonts w:asciiTheme="minorHAnsi" w:hAnsiTheme="minorHAnsi"/>
          <w:i/>
          <w:sz w:val="21"/>
          <w:szCs w:val="21"/>
        </w:rPr>
        <w:t xml:space="preserve"> er opmærksom på konklusionerne i rapporten fra Udvalget for forberedelse af ny flerårsaftale for domstolene</w:t>
      </w:r>
      <w:r w:rsidR="009021CB">
        <w:rPr>
          <w:rStyle w:val="cf01"/>
          <w:rFonts w:asciiTheme="minorHAnsi" w:hAnsiTheme="minorHAnsi"/>
          <w:i/>
          <w:sz w:val="21"/>
          <w:szCs w:val="21"/>
        </w:rPr>
        <w:t>,</w:t>
      </w:r>
      <w:r w:rsidR="00804A4B" w:rsidRPr="00804A4B">
        <w:rPr>
          <w:rStyle w:val="cf01"/>
          <w:rFonts w:asciiTheme="minorHAnsi" w:hAnsiTheme="minorHAnsi"/>
          <w:i/>
          <w:sz w:val="21"/>
          <w:szCs w:val="21"/>
        </w:rPr>
        <w:t xml:space="preserve"> og</w:t>
      </w:r>
      <w:r w:rsidR="009021CB">
        <w:rPr>
          <w:rStyle w:val="cf01"/>
          <w:rFonts w:asciiTheme="minorHAnsi" w:hAnsiTheme="minorHAnsi"/>
          <w:i/>
          <w:sz w:val="21"/>
          <w:szCs w:val="21"/>
        </w:rPr>
        <w:t xml:space="preserve"> at</w:t>
      </w:r>
      <w:r w:rsidR="00804A4B">
        <w:rPr>
          <w:rStyle w:val="cf01"/>
          <w:rFonts w:asciiTheme="minorHAnsi" w:hAnsiTheme="minorHAnsi"/>
          <w:i/>
          <w:sz w:val="21"/>
          <w:szCs w:val="21"/>
        </w:rPr>
        <w:t xml:space="preserve"> styrelsen</w:t>
      </w:r>
      <w:r w:rsidR="00804A4B" w:rsidRPr="00804A4B">
        <w:rPr>
          <w:rStyle w:val="cf01"/>
          <w:rFonts w:asciiTheme="minorHAnsi" w:hAnsiTheme="minorHAnsi"/>
          <w:i/>
          <w:sz w:val="21"/>
          <w:szCs w:val="21"/>
        </w:rPr>
        <w:t xml:space="preserve"> indgår i en løbende dialog med Justitsministeriet herom.</w:t>
      </w:r>
      <w:r w:rsidR="00804A4B" w:rsidRPr="001A3015">
        <w:rPr>
          <w:rStyle w:val="cf01"/>
          <w:rFonts w:asciiTheme="minorHAnsi" w:hAnsiTheme="minorHAnsi"/>
          <w:sz w:val="21"/>
          <w:szCs w:val="21"/>
        </w:rPr>
        <w:t xml:space="preserve"> </w:t>
      </w:r>
      <w:bookmarkEnd w:id="19"/>
      <w:bookmarkEnd w:id="20"/>
      <w:r w:rsidR="003508AD">
        <w:rPr>
          <w:i/>
        </w:rPr>
        <w:t xml:space="preserve">Ministeriet har endvidere noteret sig opfordringen til at tage initiativ til at påvirke i særdeleshed EU-lovgivning i en nytteværdibaseret frem </w:t>
      </w:r>
      <w:r w:rsidR="008050A9">
        <w:rPr>
          <w:i/>
        </w:rPr>
        <w:t>for</w:t>
      </w:r>
      <w:r w:rsidR="003508AD">
        <w:rPr>
          <w:i/>
        </w:rPr>
        <w:t xml:space="preserve"> en kvantitetsbaseret retning. </w:t>
      </w:r>
    </w:p>
    <w:p w14:paraId="1B6E35E2" w14:textId="5220BD0D" w:rsidR="002A1483" w:rsidRPr="002A1483" w:rsidRDefault="002A1483" w:rsidP="002A1483">
      <w:pPr>
        <w:pStyle w:val="Overskrift2"/>
      </w:pPr>
      <w:bookmarkStart w:id="21" w:name="_Toc176768725"/>
      <w:r>
        <w:t>2.</w:t>
      </w:r>
      <w:r w:rsidR="00FF634D">
        <w:t>1</w:t>
      </w:r>
      <w:r>
        <w:t>.2. Øvrige dele af lovforslaget</w:t>
      </w:r>
      <w:bookmarkEnd w:id="21"/>
    </w:p>
    <w:p w14:paraId="59966C70" w14:textId="6BBCEBB9" w:rsidR="00D441AE" w:rsidRPr="00D441AE" w:rsidRDefault="00D441AE" w:rsidP="008535BC">
      <w:r>
        <w:rPr>
          <w:b/>
        </w:rPr>
        <w:lastRenderedPageBreak/>
        <w:t xml:space="preserve">Brancheforeningen Dansk Luftfart </w:t>
      </w:r>
      <w:r>
        <w:t xml:space="preserve">har ingen bemærkninger til udkastet om ophævelse af lov om det skandinaviske luftfartssamarbejde. </w:t>
      </w:r>
    </w:p>
    <w:p w14:paraId="171C14EC" w14:textId="103B9A2D" w:rsidR="008535BC" w:rsidRPr="008535BC" w:rsidRDefault="008535BC" w:rsidP="008535BC">
      <w:r>
        <w:rPr>
          <w:b/>
        </w:rPr>
        <w:t xml:space="preserve">Dansk Ultralet Flyver Union (DULFU) </w:t>
      </w:r>
      <w:r>
        <w:t>bemærker,</w:t>
      </w:r>
      <w:r w:rsidRPr="008535BC">
        <w:t xml:space="preserve"> at lovforslaget har betydning for fremme af ultralet flyvning i Danmark, selvom DULFU kun er nævnt i bemærkningerne til lovforslaget. </w:t>
      </w:r>
    </w:p>
    <w:p w14:paraId="2B5B6E9D" w14:textId="6BD739DA" w:rsidR="008535BC" w:rsidRDefault="008535BC" w:rsidP="008535BC">
      <w:r w:rsidRPr="008535BC">
        <w:t xml:space="preserve">DULFU håber, at lovændringen vil udvikle og fremme ultralet flyvning i Danmark, ligesom i de fleste EU/EØS-lande. </w:t>
      </w:r>
    </w:p>
    <w:p w14:paraId="3AD34F8A" w14:textId="626C8961" w:rsidR="008535BC" w:rsidRPr="008535BC" w:rsidRDefault="008535BC" w:rsidP="008535BC">
      <w:r>
        <w:t xml:space="preserve">DULFU har en bemærkning til følgende tekstpassage i lovforslaget (til nr. 12, side 42 i udkastet): </w:t>
      </w:r>
    </w:p>
    <w:p w14:paraId="2B184A65" w14:textId="68C18F3A" w:rsidR="008535BC" w:rsidRDefault="008535BC" w:rsidP="008535BC">
      <w:pPr>
        <w:ind w:firstLine="1304"/>
        <w:rPr>
          <w:i/>
          <w:iCs/>
        </w:rPr>
      </w:pPr>
      <w:r>
        <w:rPr>
          <w:b/>
          <w:bCs/>
        </w:rPr>
        <w:t>”</w:t>
      </w:r>
      <w:r w:rsidRPr="008535BC">
        <w:rPr>
          <w:i/>
          <w:iCs/>
        </w:rPr>
        <w:t>Den foreslåede bemyndigelsesbestemmelse forventes blandt andet udmøntet ved førstkommende revision af de bestående Bestemmelser for Civil Luftfart, der fastlægger de krav, der er nødvendige for, at luftfartøjer, der ikke er omfattet af EU-reguleringen, kan leve op til de internationale krav til luftdygtighed, således som disse fastsættes af ICAO.</w:t>
      </w:r>
      <w:r>
        <w:rPr>
          <w:i/>
          <w:iCs/>
        </w:rPr>
        <w:t>”</w:t>
      </w:r>
      <w:r w:rsidRPr="008535BC">
        <w:rPr>
          <w:i/>
          <w:iCs/>
        </w:rPr>
        <w:t xml:space="preserve"> </w:t>
      </w:r>
    </w:p>
    <w:p w14:paraId="64A08A45" w14:textId="5250441A" w:rsidR="008535BC" w:rsidRPr="008535BC" w:rsidRDefault="008535BC" w:rsidP="008535BC">
      <w:r>
        <w:t xml:space="preserve">Hertil bemærker DULFU, at </w:t>
      </w:r>
    </w:p>
    <w:p w14:paraId="2F674929" w14:textId="1376E180" w:rsidR="008535BC" w:rsidRDefault="008535BC" w:rsidP="008535BC">
      <w:pPr>
        <w:pStyle w:val="Listeafsnit"/>
        <w:numPr>
          <w:ilvl w:val="0"/>
          <w:numId w:val="11"/>
        </w:numPr>
      </w:pPr>
      <w:r w:rsidRPr="008535BC">
        <w:t xml:space="preserve">Alle ultralette luftfartøjer i EU/EØS-lande, er </w:t>
      </w:r>
      <w:r w:rsidRPr="008535BC">
        <w:rPr>
          <w:bCs/>
        </w:rPr>
        <w:t xml:space="preserve">ikke </w:t>
      </w:r>
      <w:r w:rsidRPr="008535BC">
        <w:t>omfattet af EU-reguleringen. De er nationalreguleret, jævnfør EASA Grundforordning 2018/1139.</w:t>
      </w:r>
    </w:p>
    <w:p w14:paraId="52B59C34" w14:textId="77777777" w:rsidR="008535BC" w:rsidRDefault="008535BC" w:rsidP="008535BC">
      <w:pPr>
        <w:pStyle w:val="Listeafsnit"/>
        <w:ind w:left="720"/>
      </w:pPr>
    </w:p>
    <w:p w14:paraId="5C891EFE" w14:textId="58430D61" w:rsidR="008535BC" w:rsidRPr="008535BC" w:rsidRDefault="008535BC" w:rsidP="008535BC">
      <w:pPr>
        <w:pStyle w:val="Listeafsnit"/>
        <w:numPr>
          <w:ilvl w:val="0"/>
          <w:numId w:val="11"/>
        </w:numPr>
      </w:pPr>
      <w:r w:rsidRPr="008535BC">
        <w:t xml:space="preserve">Bilag 1-luftfartøjer (ultralette luftfartfartøjer) er </w:t>
      </w:r>
      <w:r w:rsidRPr="008535BC">
        <w:rPr>
          <w:bCs/>
        </w:rPr>
        <w:t>ikke CS certificerede ICAO</w:t>
      </w:r>
      <w:r w:rsidR="00836576">
        <w:rPr>
          <w:bCs/>
        </w:rPr>
        <w:t>-</w:t>
      </w:r>
      <w:r w:rsidRPr="008535BC">
        <w:rPr>
          <w:bCs/>
        </w:rPr>
        <w:t xml:space="preserve">luftfartøjer. </w:t>
      </w:r>
    </w:p>
    <w:p w14:paraId="6B25A335" w14:textId="77777777" w:rsidR="008535BC" w:rsidRPr="008535BC" w:rsidRDefault="008535BC" w:rsidP="008535BC">
      <w:pPr>
        <w:pStyle w:val="Listeafsnit"/>
        <w:ind w:left="720"/>
      </w:pPr>
    </w:p>
    <w:p w14:paraId="1A21B04E" w14:textId="6DC9B765" w:rsidR="008535BC" w:rsidRDefault="008535BC" w:rsidP="008535BC">
      <w:pPr>
        <w:pStyle w:val="Listeafsnit"/>
        <w:numPr>
          <w:ilvl w:val="0"/>
          <w:numId w:val="11"/>
        </w:numPr>
      </w:pPr>
      <w:r w:rsidRPr="008535BC">
        <w:t xml:space="preserve">For at ultralette luftfartøjer kan leve op til de krav, der stillet til luftdygtighed, skal disse luftfartøjer have en typegodkendelse, der er udstedt af </w:t>
      </w:r>
      <w:r w:rsidR="00A72094">
        <w:t>l</w:t>
      </w:r>
      <w:r w:rsidRPr="008535BC">
        <w:t xml:space="preserve">uftfartsmyndigheden i det pågældende land, hvor flyet er produceret. </w:t>
      </w:r>
    </w:p>
    <w:p w14:paraId="4816E1F6" w14:textId="77777777" w:rsidR="008535BC" w:rsidRDefault="008535BC" w:rsidP="008535BC">
      <w:pPr>
        <w:pStyle w:val="Listeafsnit"/>
        <w:ind w:left="720"/>
      </w:pPr>
    </w:p>
    <w:p w14:paraId="2AA26B39" w14:textId="77777777" w:rsidR="008535BC" w:rsidRDefault="008535BC" w:rsidP="008535BC">
      <w:pPr>
        <w:pStyle w:val="Listeafsnit"/>
        <w:numPr>
          <w:ilvl w:val="0"/>
          <w:numId w:val="11"/>
        </w:numPr>
      </w:pPr>
      <w:r w:rsidRPr="008535BC">
        <w:t xml:space="preserve">Luftfartsmyndigheden kontrollerer, at det ultralette luftfartøj kan leve op til de internationale krav til luftdygtighed, således som disse fastsættes af ICAO. </w:t>
      </w:r>
    </w:p>
    <w:p w14:paraId="5569AD5C" w14:textId="77777777" w:rsidR="008535BC" w:rsidRDefault="008535BC" w:rsidP="008535BC">
      <w:pPr>
        <w:pStyle w:val="Listeafsnit"/>
        <w:ind w:left="720"/>
      </w:pPr>
    </w:p>
    <w:p w14:paraId="6942F9CB" w14:textId="045AA3CC" w:rsidR="008535BC" w:rsidRDefault="008535BC" w:rsidP="008535BC">
      <w:pPr>
        <w:pStyle w:val="Listeafsnit"/>
        <w:numPr>
          <w:ilvl w:val="0"/>
          <w:numId w:val="11"/>
        </w:numPr>
      </w:pPr>
      <w:r w:rsidRPr="008535BC">
        <w:t xml:space="preserve">Efter aftale med Trafikstyrelsen har DULFU tilladelse til at flyve i ultralette luftfartøjer, der har en typegodkendelse fra følgende landes </w:t>
      </w:r>
      <w:r w:rsidR="00836576">
        <w:t>l</w:t>
      </w:r>
      <w:r w:rsidRPr="008535BC">
        <w:t xml:space="preserve">uftfartsmyndighed: Tjekkiet, Slovakiet, Tyskland, Sverige og England. </w:t>
      </w:r>
    </w:p>
    <w:p w14:paraId="503BFF6A" w14:textId="77777777" w:rsidR="008535BC" w:rsidRDefault="008535BC" w:rsidP="008535BC">
      <w:pPr>
        <w:pStyle w:val="Listeafsnit"/>
        <w:ind w:left="720"/>
      </w:pPr>
    </w:p>
    <w:p w14:paraId="372286CA" w14:textId="77777777" w:rsidR="008535BC" w:rsidRDefault="008535BC" w:rsidP="008535BC">
      <w:pPr>
        <w:pStyle w:val="Listeafsnit"/>
        <w:numPr>
          <w:ilvl w:val="0"/>
          <w:numId w:val="11"/>
        </w:numPr>
      </w:pPr>
      <w:r w:rsidRPr="008535BC">
        <w:lastRenderedPageBreak/>
        <w:t xml:space="preserve">Ultralette luftfartøjer, der importeres til Danmark med en typegodkendelse fra et af ovennævnte lande, skal registreres og godkendes af en flykontrollant fra DULFU, før luftfartøjet kan få en flyvetilladelse. </w:t>
      </w:r>
    </w:p>
    <w:p w14:paraId="1F660C46" w14:textId="77777777" w:rsidR="008535BC" w:rsidRDefault="008535BC" w:rsidP="008535BC">
      <w:pPr>
        <w:pStyle w:val="Listeafsnit"/>
        <w:ind w:left="720"/>
      </w:pPr>
    </w:p>
    <w:p w14:paraId="50E0F5F8" w14:textId="239557C5" w:rsidR="008535BC" w:rsidRPr="008535BC" w:rsidRDefault="008535BC" w:rsidP="008535BC">
      <w:pPr>
        <w:pStyle w:val="Listeafsnit"/>
        <w:numPr>
          <w:ilvl w:val="0"/>
          <w:numId w:val="11"/>
        </w:numPr>
      </w:pPr>
      <w:r w:rsidRPr="008535BC">
        <w:t xml:space="preserve">Flykontrollanten skal kontrollere, at det ultralette luftfartøj lever op til typegodkendelseskravet og luftdygtighed, før luftfartøjet kan registreres i </w:t>
      </w:r>
      <w:proofErr w:type="spellStart"/>
      <w:r w:rsidRPr="008535BC">
        <w:t>DULFUs</w:t>
      </w:r>
      <w:proofErr w:type="spellEnd"/>
      <w:r w:rsidRPr="008535BC">
        <w:t xml:space="preserve"> register over ultralette luftfartøjer. </w:t>
      </w:r>
    </w:p>
    <w:p w14:paraId="52B1EEDC" w14:textId="1807D229" w:rsidR="008535BC" w:rsidRPr="008535BC" w:rsidRDefault="008535BC" w:rsidP="008535BC">
      <w:r>
        <w:rPr>
          <w:bCs/>
        </w:rPr>
        <w:t xml:space="preserve">I forhold til </w:t>
      </w:r>
      <w:r w:rsidRPr="008535BC">
        <w:rPr>
          <w:bCs/>
        </w:rPr>
        <w:t>EASA</w:t>
      </w:r>
      <w:r>
        <w:rPr>
          <w:bCs/>
        </w:rPr>
        <w:t>-</w:t>
      </w:r>
      <w:r w:rsidRPr="008535BC">
        <w:rPr>
          <w:bCs/>
        </w:rPr>
        <w:t>deklarerede fly</w:t>
      </w:r>
      <w:r>
        <w:rPr>
          <w:bCs/>
        </w:rPr>
        <w:t xml:space="preserve"> bemærker DULFU endvidere, at l</w:t>
      </w:r>
      <w:r w:rsidRPr="008535BC">
        <w:t>uftfartøjer til ma</w:t>
      </w:r>
      <w:r>
        <w:t>ksimalt</w:t>
      </w:r>
      <w:r w:rsidRPr="008535BC">
        <w:t xml:space="preserve"> to personer og en MTOM på 1.200 kg., som blev indført af EASA i 2023, reguleres inden for forordningen, jævnfør Part 21 Light. </w:t>
      </w:r>
      <w:r>
        <w:t>DULFU bemærker, at d</w:t>
      </w:r>
      <w:r w:rsidRPr="008535BC">
        <w:t>isse EASA</w:t>
      </w:r>
      <w:r>
        <w:t>-</w:t>
      </w:r>
      <w:r w:rsidRPr="008535BC">
        <w:t xml:space="preserve">deklarerede luftfartøjer </w:t>
      </w:r>
      <w:r w:rsidRPr="008535BC">
        <w:rPr>
          <w:bCs/>
        </w:rPr>
        <w:t>ikke</w:t>
      </w:r>
      <w:r w:rsidR="00FF634D">
        <w:rPr>
          <w:bCs/>
        </w:rPr>
        <w:t xml:space="preserve"> er</w:t>
      </w:r>
      <w:r w:rsidRPr="008535BC">
        <w:rPr>
          <w:bCs/>
        </w:rPr>
        <w:t xml:space="preserve"> CS</w:t>
      </w:r>
      <w:r>
        <w:rPr>
          <w:bCs/>
        </w:rPr>
        <w:t>-</w:t>
      </w:r>
      <w:r w:rsidRPr="008535BC">
        <w:rPr>
          <w:bCs/>
        </w:rPr>
        <w:t>certificerede ICAO</w:t>
      </w:r>
      <w:r>
        <w:rPr>
          <w:bCs/>
        </w:rPr>
        <w:t>-</w:t>
      </w:r>
      <w:r w:rsidRPr="008535BC">
        <w:rPr>
          <w:bCs/>
        </w:rPr>
        <w:t>luftfartøjer.</w:t>
      </w:r>
    </w:p>
    <w:p w14:paraId="61D309DD" w14:textId="6A2E16A0" w:rsidR="002A1483" w:rsidRDefault="002A1483" w:rsidP="00745BE4">
      <w:pPr>
        <w:rPr>
          <w:rFonts w:ascii="Georgia" w:eastAsia="Times New Roman" w:hAnsi="Georgia"/>
          <w:color w:val="auto"/>
        </w:rPr>
      </w:pPr>
      <w:r w:rsidRPr="002A1483">
        <w:rPr>
          <w:b/>
        </w:rPr>
        <w:t>Erhvervsflyvningens Sammenslutning</w:t>
      </w:r>
      <w:r w:rsidRPr="002A1483">
        <w:t xml:space="preserve"> </w:t>
      </w:r>
      <w:r>
        <w:t>bemærker, at lovf</w:t>
      </w:r>
      <w:r w:rsidRPr="002A1483">
        <w:rPr>
          <w:rFonts w:ascii="Georgia" w:eastAsia="Times New Roman" w:hAnsi="Georgia"/>
          <w:color w:val="auto"/>
        </w:rPr>
        <w:t>orslagets øvrige ændringer af teknisk karakter i luftfartsloven</w:t>
      </w:r>
      <w:r>
        <w:rPr>
          <w:rFonts w:ascii="Georgia" w:eastAsia="Times New Roman" w:hAnsi="Georgia"/>
          <w:color w:val="auto"/>
        </w:rPr>
        <w:t xml:space="preserve"> ud over ændringen af safety-afgiften</w:t>
      </w:r>
      <w:r w:rsidRPr="002A1483">
        <w:rPr>
          <w:rFonts w:ascii="Georgia" w:eastAsia="Times New Roman" w:hAnsi="Georgia"/>
          <w:color w:val="auto"/>
        </w:rPr>
        <w:t xml:space="preserve">, som fastsættelse af regler vedrørende luftfartøjers luftdygtighed og mærkning, at præcisere bestemmelserne om registrering af luftfartøjer i Nationalitetsregisteret samt territorialbestemmelse ændret for så vidt angår Grønland, ikke </w:t>
      </w:r>
      <w:r>
        <w:rPr>
          <w:rFonts w:ascii="Georgia" w:eastAsia="Times New Roman" w:hAnsi="Georgia"/>
          <w:color w:val="auto"/>
        </w:rPr>
        <w:t xml:space="preserve">giver </w:t>
      </w:r>
      <w:r w:rsidRPr="002A1483">
        <w:t>Erhvervsflyvningens Sammenslutning</w:t>
      </w:r>
      <w:r w:rsidRPr="002A1483">
        <w:rPr>
          <w:rFonts w:ascii="Georgia" w:eastAsia="Times New Roman" w:hAnsi="Georgia"/>
          <w:color w:val="auto"/>
        </w:rPr>
        <w:t xml:space="preserve"> anledning til bemærkninger.</w:t>
      </w:r>
      <w:r w:rsidR="004204A5">
        <w:rPr>
          <w:rFonts w:ascii="Georgia" w:eastAsia="Times New Roman" w:hAnsi="Georgia"/>
          <w:color w:val="auto"/>
        </w:rPr>
        <w:t xml:space="preserve"> </w:t>
      </w:r>
      <w:r w:rsidR="004204A5" w:rsidRPr="004204A5">
        <w:rPr>
          <w:rFonts w:ascii="Georgia" w:eastAsia="Times New Roman" w:hAnsi="Georgia"/>
          <w:color w:val="auto"/>
        </w:rPr>
        <w:t>E</w:t>
      </w:r>
      <w:r w:rsidR="004204A5">
        <w:rPr>
          <w:rFonts w:ascii="Georgia" w:eastAsia="Times New Roman" w:hAnsi="Georgia"/>
          <w:color w:val="auto"/>
        </w:rPr>
        <w:t>rhvervsflyvningens Sammenslutning</w:t>
      </w:r>
      <w:r w:rsidR="004204A5" w:rsidRPr="004204A5">
        <w:rPr>
          <w:rFonts w:ascii="Georgia" w:eastAsia="Times New Roman" w:hAnsi="Georgia"/>
          <w:color w:val="auto"/>
        </w:rPr>
        <w:t xml:space="preserve"> har</w:t>
      </w:r>
      <w:r w:rsidR="004204A5">
        <w:rPr>
          <w:rFonts w:ascii="Georgia" w:eastAsia="Times New Roman" w:hAnsi="Georgia"/>
          <w:color w:val="auto"/>
        </w:rPr>
        <w:t xml:space="preserve"> heller</w:t>
      </w:r>
      <w:r w:rsidR="004204A5" w:rsidRPr="004204A5">
        <w:rPr>
          <w:rFonts w:ascii="Georgia" w:eastAsia="Times New Roman" w:hAnsi="Georgia"/>
          <w:color w:val="auto"/>
        </w:rPr>
        <w:t xml:space="preserve"> ikke bemærkninger til udkastet til lovforslagets indhold om erstatningsansvarsgrænserne.</w:t>
      </w:r>
    </w:p>
    <w:p w14:paraId="36BC22D7" w14:textId="61BF366B" w:rsidR="00C60192" w:rsidRPr="00C60192" w:rsidRDefault="00C60192" w:rsidP="00745BE4">
      <w:pPr>
        <w:rPr>
          <w:rFonts w:ascii="Georgia" w:eastAsia="Times New Roman" w:hAnsi="Georgia"/>
          <w:color w:val="auto"/>
        </w:rPr>
      </w:pPr>
      <w:r>
        <w:rPr>
          <w:rFonts w:ascii="Georgia" w:eastAsia="Times New Roman" w:hAnsi="Georgia"/>
          <w:b/>
          <w:color w:val="auto"/>
        </w:rPr>
        <w:t xml:space="preserve">Københavns Lufthavne A/S </w:t>
      </w:r>
      <w:r>
        <w:rPr>
          <w:rFonts w:ascii="Georgia" w:eastAsia="Times New Roman" w:hAnsi="Georgia"/>
          <w:color w:val="auto"/>
        </w:rPr>
        <w:t xml:space="preserve">har ikke bemærkninger til lovforslagets øvrige indhold udover safety-afgiften. </w:t>
      </w:r>
    </w:p>
    <w:p w14:paraId="2C4C8439" w14:textId="759D831F" w:rsidR="00690909" w:rsidRPr="00690909" w:rsidRDefault="00690909" w:rsidP="00745BE4">
      <w:pPr>
        <w:rPr>
          <w:rFonts w:ascii="Georgia" w:eastAsia="Times New Roman" w:hAnsi="Georgia"/>
          <w:color w:val="auto"/>
        </w:rPr>
      </w:pPr>
      <w:r>
        <w:rPr>
          <w:rFonts w:ascii="Georgia" w:eastAsia="Times New Roman" w:hAnsi="Georgia"/>
          <w:b/>
          <w:color w:val="auto"/>
        </w:rPr>
        <w:t xml:space="preserve">SAS </w:t>
      </w:r>
      <w:r>
        <w:rPr>
          <w:rFonts w:ascii="Georgia" w:eastAsia="Times New Roman" w:hAnsi="Georgia"/>
          <w:color w:val="auto"/>
        </w:rPr>
        <w:t xml:space="preserve">oplyser, at selskabet ikke har bemærkninger til de tekniske ændringer i lovforslaget. </w:t>
      </w:r>
    </w:p>
    <w:p w14:paraId="29C8AF24" w14:textId="0CC9BF79" w:rsidR="00771A25" w:rsidRDefault="00771A25" w:rsidP="00745BE4">
      <w:pPr>
        <w:rPr>
          <w:rFonts w:ascii="Georgia" w:eastAsia="Times New Roman" w:hAnsi="Georgia"/>
          <w:i/>
          <w:color w:val="auto"/>
        </w:rPr>
      </w:pPr>
      <w:r>
        <w:rPr>
          <w:rFonts w:ascii="Georgia" w:eastAsia="Times New Roman" w:hAnsi="Georgia"/>
          <w:i/>
          <w:color w:val="auto"/>
        </w:rPr>
        <w:t xml:space="preserve">Transportministeriet </w:t>
      </w:r>
      <w:r w:rsidR="00804A4B">
        <w:rPr>
          <w:rFonts w:ascii="Georgia" w:eastAsia="Times New Roman" w:hAnsi="Georgia"/>
          <w:i/>
          <w:color w:val="auto"/>
        </w:rPr>
        <w:t>har noteret sig, at DULFU i sit høringssvar er opmærksom på, at de nationale bestemmelser</w:t>
      </w:r>
      <w:r w:rsidR="00B831AF">
        <w:rPr>
          <w:rFonts w:ascii="Georgia" w:eastAsia="Times New Roman" w:hAnsi="Georgia"/>
          <w:i/>
          <w:color w:val="auto"/>
        </w:rPr>
        <w:t>,</w:t>
      </w:r>
      <w:r w:rsidR="00804A4B">
        <w:rPr>
          <w:rFonts w:ascii="Georgia" w:eastAsia="Times New Roman" w:hAnsi="Georgia"/>
          <w:i/>
          <w:color w:val="auto"/>
        </w:rPr>
        <w:t xml:space="preserve"> der vil blive fastsat i medfør af de foreslåede bemyndigelsesbestemmelser, vil være relevante for de ultralette luftfartøjer, der sorterer under DULFU, da disse ikke er omfattet af de EU-retlige regler om civil luftfart. Beføjelsen til at fastsætte nærmere regler i medfør af de foreslåede bemyndigelsesbestemmelser forventes overladt til Trafikstyrelsen, der også i dag udsteder nationale regler i form af Bestemmelser for Civil Luftfart. Ved udstedelse af nye Bestemmelser for Civil Luftfart vil et udkast blive sendt i høring, hvor der vil være mulighed for</w:t>
      </w:r>
      <w:r w:rsidR="00485C43">
        <w:rPr>
          <w:rFonts w:ascii="Georgia" w:eastAsia="Times New Roman" w:hAnsi="Georgia"/>
          <w:i/>
          <w:color w:val="auto"/>
        </w:rPr>
        <w:t>,</w:t>
      </w:r>
      <w:r w:rsidR="00804A4B">
        <w:rPr>
          <w:rFonts w:ascii="Georgia" w:eastAsia="Times New Roman" w:hAnsi="Georgia"/>
          <w:i/>
          <w:color w:val="auto"/>
        </w:rPr>
        <w:t xml:space="preserve"> at DULFU kan kommentere konkret på de foreslåede regelsæt, herunder i forhold til de emner</w:t>
      </w:r>
      <w:r w:rsidR="00C94C08">
        <w:rPr>
          <w:rFonts w:ascii="Georgia" w:eastAsia="Times New Roman" w:hAnsi="Georgia"/>
          <w:i/>
          <w:color w:val="auto"/>
        </w:rPr>
        <w:t xml:space="preserve">, der nævnes i </w:t>
      </w:r>
      <w:proofErr w:type="spellStart"/>
      <w:r w:rsidR="00C94C08">
        <w:rPr>
          <w:rFonts w:ascii="Georgia" w:eastAsia="Times New Roman" w:hAnsi="Georgia"/>
          <w:i/>
          <w:color w:val="auto"/>
        </w:rPr>
        <w:t>DULFU</w:t>
      </w:r>
      <w:r w:rsidR="00485C43">
        <w:rPr>
          <w:rFonts w:ascii="Georgia" w:eastAsia="Times New Roman" w:hAnsi="Georgia"/>
          <w:i/>
          <w:color w:val="auto"/>
        </w:rPr>
        <w:t>’</w:t>
      </w:r>
      <w:r w:rsidR="00C94C08">
        <w:rPr>
          <w:rFonts w:ascii="Georgia" w:eastAsia="Times New Roman" w:hAnsi="Georgia"/>
          <w:i/>
          <w:color w:val="auto"/>
        </w:rPr>
        <w:t>s</w:t>
      </w:r>
      <w:proofErr w:type="spellEnd"/>
      <w:r w:rsidR="00C94C08">
        <w:rPr>
          <w:rFonts w:ascii="Georgia" w:eastAsia="Times New Roman" w:hAnsi="Georgia"/>
          <w:i/>
          <w:color w:val="auto"/>
        </w:rPr>
        <w:t xml:space="preserve"> høringssvar.</w:t>
      </w:r>
      <w:r w:rsidR="00804A4B">
        <w:rPr>
          <w:rFonts w:ascii="Georgia" w:eastAsia="Times New Roman" w:hAnsi="Georgia"/>
          <w:i/>
          <w:color w:val="auto"/>
        </w:rPr>
        <w:t xml:space="preserve"> </w:t>
      </w:r>
    </w:p>
    <w:p w14:paraId="0ED9A543" w14:textId="255AF0C2" w:rsidR="00804A4B" w:rsidRDefault="00307073" w:rsidP="00307073">
      <w:pPr>
        <w:pStyle w:val="Overskrift2"/>
      </w:pPr>
      <w:bookmarkStart w:id="22" w:name="_Toc176768726"/>
      <w:r>
        <w:lastRenderedPageBreak/>
        <w:t>2.1.3. Ikraftsættelse af regelændringerne på Færøerne</w:t>
      </w:r>
      <w:bookmarkEnd w:id="22"/>
    </w:p>
    <w:p w14:paraId="35CC379D" w14:textId="7DD179FB" w:rsidR="00307073" w:rsidRPr="00307073" w:rsidRDefault="00307073" w:rsidP="00307073">
      <w:pPr>
        <w:rPr>
          <w:rFonts w:ascii="Georgia" w:eastAsia="Times New Roman" w:hAnsi="Georgia"/>
          <w:color w:val="auto"/>
        </w:rPr>
      </w:pPr>
      <w:proofErr w:type="spellStart"/>
      <w:r w:rsidRPr="00307073">
        <w:rPr>
          <w:rFonts w:ascii="Georgia" w:eastAsia="Times New Roman" w:hAnsi="Georgia"/>
          <w:b/>
          <w:color w:val="auto"/>
        </w:rPr>
        <w:t>Vágar</w:t>
      </w:r>
      <w:proofErr w:type="spellEnd"/>
      <w:r w:rsidRPr="00307073">
        <w:rPr>
          <w:rFonts w:ascii="Georgia" w:eastAsia="Times New Roman" w:hAnsi="Georgia"/>
          <w:b/>
          <w:color w:val="auto"/>
        </w:rPr>
        <w:t xml:space="preserve"> Lufthavn</w:t>
      </w:r>
      <w:r w:rsidRPr="00307073">
        <w:rPr>
          <w:rFonts w:ascii="Georgia" w:eastAsia="Times New Roman" w:hAnsi="Georgia"/>
          <w:color w:val="auto"/>
        </w:rPr>
        <w:t xml:space="preserve"> </w:t>
      </w:r>
      <w:r>
        <w:rPr>
          <w:rFonts w:ascii="Georgia" w:eastAsia="Times New Roman" w:hAnsi="Georgia"/>
          <w:color w:val="auto"/>
        </w:rPr>
        <w:t xml:space="preserve">bemærker, at lufthavnen </w:t>
      </w:r>
      <w:r w:rsidRPr="00307073">
        <w:rPr>
          <w:rFonts w:ascii="Georgia" w:eastAsia="Times New Roman" w:hAnsi="Georgia"/>
          <w:color w:val="auto"/>
        </w:rPr>
        <w:t xml:space="preserve">noterer sig, at </w:t>
      </w:r>
      <w:r>
        <w:rPr>
          <w:rFonts w:ascii="Georgia" w:eastAsia="Times New Roman" w:hAnsi="Georgia"/>
          <w:color w:val="auto"/>
        </w:rPr>
        <w:t>i medfør af</w:t>
      </w:r>
      <w:r w:rsidRPr="00307073">
        <w:rPr>
          <w:rFonts w:ascii="Georgia" w:eastAsia="Times New Roman" w:hAnsi="Georgia"/>
          <w:color w:val="auto"/>
        </w:rPr>
        <w:t xml:space="preserve"> §</w:t>
      </w:r>
      <w:r>
        <w:rPr>
          <w:rFonts w:ascii="Georgia" w:eastAsia="Times New Roman" w:hAnsi="Georgia"/>
          <w:color w:val="auto"/>
        </w:rPr>
        <w:t xml:space="preserve"> </w:t>
      </w:r>
      <w:r w:rsidRPr="00307073">
        <w:rPr>
          <w:rFonts w:ascii="Georgia" w:eastAsia="Times New Roman" w:hAnsi="Georgia"/>
          <w:color w:val="auto"/>
        </w:rPr>
        <w:t>5, stk. 1</w:t>
      </w:r>
      <w:r>
        <w:rPr>
          <w:rFonts w:ascii="Georgia" w:eastAsia="Times New Roman" w:hAnsi="Georgia"/>
          <w:color w:val="auto"/>
        </w:rPr>
        <w:t>,</w:t>
      </w:r>
      <w:r w:rsidRPr="00307073">
        <w:rPr>
          <w:rFonts w:ascii="Georgia" w:eastAsia="Times New Roman" w:hAnsi="Georgia"/>
          <w:color w:val="auto"/>
        </w:rPr>
        <w:t xml:space="preserve"> i lovforslaget, så gælder dette ikke for Færøerne og Grønland.</w:t>
      </w:r>
      <w:r>
        <w:rPr>
          <w:rFonts w:ascii="Georgia" w:eastAsia="Times New Roman" w:hAnsi="Georgia"/>
          <w:color w:val="auto"/>
        </w:rPr>
        <w:t xml:space="preserve"> </w:t>
      </w:r>
      <w:r w:rsidRPr="00307073">
        <w:rPr>
          <w:rFonts w:ascii="Georgia" w:eastAsia="Times New Roman" w:hAnsi="Georgia"/>
          <w:color w:val="auto"/>
        </w:rPr>
        <w:t>Det fremgår dog samtidig af lovforslagets §</w:t>
      </w:r>
      <w:r>
        <w:rPr>
          <w:rFonts w:ascii="Georgia" w:eastAsia="Times New Roman" w:hAnsi="Georgia"/>
          <w:color w:val="auto"/>
        </w:rPr>
        <w:t xml:space="preserve"> </w:t>
      </w:r>
      <w:r w:rsidRPr="00307073">
        <w:rPr>
          <w:rFonts w:ascii="Georgia" w:eastAsia="Times New Roman" w:hAnsi="Georgia"/>
          <w:color w:val="auto"/>
        </w:rPr>
        <w:t>5, stk. 2, at loven ved kongelig anordning helt eller delvis</w:t>
      </w:r>
      <w:r>
        <w:rPr>
          <w:rFonts w:ascii="Georgia" w:eastAsia="Times New Roman" w:hAnsi="Georgia"/>
          <w:color w:val="auto"/>
        </w:rPr>
        <w:t xml:space="preserve"> kan</w:t>
      </w:r>
      <w:r w:rsidRPr="00307073">
        <w:rPr>
          <w:rFonts w:ascii="Georgia" w:eastAsia="Times New Roman" w:hAnsi="Georgia"/>
          <w:color w:val="auto"/>
        </w:rPr>
        <w:t xml:space="preserve"> sættes i kraft for Færøerne og Grønland.</w:t>
      </w:r>
    </w:p>
    <w:p w14:paraId="6894922D" w14:textId="70FCA3B1" w:rsidR="00307073" w:rsidRPr="00307073" w:rsidRDefault="00307073" w:rsidP="00307073">
      <w:pPr>
        <w:rPr>
          <w:rFonts w:ascii="Georgia" w:eastAsia="Times New Roman" w:hAnsi="Georgia"/>
          <w:color w:val="auto"/>
        </w:rPr>
      </w:pPr>
      <w:proofErr w:type="spellStart"/>
      <w:r>
        <w:rPr>
          <w:rFonts w:ascii="Georgia" w:eastAsia="Times New Roman" w:hAnsi="Georgia"/>
          <w:color w:val="auto"/>
        </w:rPr>
        <w:t>Vágar</w:t>
      </w:r>
      <w:proofErr w:type="spellEnd"/>
      <w:r>
        <w:rPr>
          <w:rFonts w:ascii="Georgia" w:eastAsia="Times New Roman" w:hAnsi="Georgia"/>
          <w:color w:val="auto"/>
        </w:rPr>
        <w:t xml:space="preserve"> Lufthavn</w:t>
      </w:r>
      <w:r w:rsidRPr="00307073">
        <w:rPr>
          <w:rFonts w:ascii="Georgia" w:eastAsia="Times New Roman" w:hAnsi="Georgia"/>
          <w:color w:val="auto"/>
        </w:rPr>
        <w:t xml:space="preserve"> noterer sig derfor, at der er nogle forskelle i de paragraffer i den danske ”</w:t>
      </w:r>
      <w:r w:rsidRPr="00307073">
        <w:rPr>
          <w:rFonts w:ascii="Georgia" w:eastAsia="Times New Roman" w:hAnsi="Georgia"/>
          <w:i/>
          <w:iCs/>
          <w:color w:val="auto"/>
        </w:rPr>
        <w:t>Lov om luftfart jf. lovbekendtgørelse nr. 118 af 31. januar 2024</w:t>
      </w:r>
      <w:r w:rsidRPr="00307073">
        <w:rPr>
          <w:rFonts w:ascii="Georgia" w:eastAsia="Times New Roman" w:hAnsi="Georgia"/>
          <w:color w:val="auto"/>
        </w:rPr>
        <w:t>” og den tilsvarende lov, som er sat i kraft for Færøerne med ”</w:t>
      </w:r>
      <w:r w:rsidRPr="00307073">
        <w:rPr>
          <w:rFonts w:ascii="Georgia" w:eastAsia="Times New Roman" w:hAnsi="Georgia"/>
          <w:i/>
          <w:iCs/>
          <w:color w:val="auto"/>
        </w:rPr>
        <w:t>Anordningsbekendtgørelse nr. 141 af 6. februar 2024 om ikrafttræden for Færøerne af lov om luftfart</w:t>
      </w:r>
      <w:r w:rsidRPr="00307073">
        <w:rPr>
          <w:rFonts w:ascii="Georgia" w:eastAsia="Times New Roman" w:hAnsi="Georgia"/>
          <w:color w:val="auto"/>
        </w:rPr>
        <w:t>”.</w:t>
      </w:r>
      <w:r>
        <w:rPr>
          <w:rFonts w:ascii="Georgia" w:eastAsia="Times New Roman" w:hAnsi="Georgia"/>
          <w:color w:val="auto"/>
        </w:rPr>
        <w:t xml:space="preserve"> </w:t>
      </w:r>
    </w:p>
    <w:p w14:paraId="081A0319" w14:textId="38C91F30" w:rsidR="00307073" w:rsidRPr="00307073" w:rsidRDefault="00307073" w:rsidP="00307073">
      <w:pPr>
        <w:rPr>
          <w:rFonts w:ascii="Georgia" w:eastAsia="Times New Roman" w:hAnsi="Georgia"/>
          <w:color w:val="auto"/>
        </w:rPr>
      </w:pPr>
      <w:proofErr w:type="spellStart"/>
      <w:r>
        <w:rPr>
          <w:rFonts w:ascii="Georgia" w:eastAsia="Times New Roman" w:hAnsi="Georgia"/>
          <w:color w:val="auto"/>
        </w:rPr>
        <w:t>Vágar</w:t>
      </w:r>
      <w:proofErr w:type="spellEnd"/>
      <w:r>
        <w:rPr>
          <w:rFonts w:ascii="Georgia" w:eastAsia="Times New Roman" w:hAnsi="Georgia"/>
          <w:color w:val="auto"/>
        </w:rPr>
        <w:t xml:space="preserve"> Lufthavn</w:t>
      </w:r>
      <w:r w:rsidRPr="00307073">
        <w:rPr>
          <w:rFonts w:ascii="Georgia" w:eastAsia="Times New Roman" w:hAnsi="Georgia"/>
          <w:color w:val="auto"/>
        </w:rPr>
        <w:t xml:space="preserve"> </w:t>
      </w:r>
      <w:r>
        <w:rPr>
          <w:rFonts w:ascii="Georgia" w:eastAsia="Times New Roman" w:hAnsi="Georgia"/>
          <w:color w:val="auto"/>
        </w:rPr>
        <w:t>bemærker, at s</w:t>
      </w:r>
      <w:r w:rsidRPr="00307073">
        <w:rPr>
          <w:rFonts w:ascii="Georgia" w:eastAsia="Times New Roman" w:hAnsi="Georgia"/>
          <w:color w:val="auto"/>
        </w:rPr>
        <w:t>åfremt loven sættes i kraft for Færøerne</w:t>
      </w:r>
      <w:r>
        <w:rPr>
          <w:rFonts w:ascii="Georgia" w:eastAsia="Times New Roman" w:hAnsi="Georgia"/>
          <w:color w:val="auto"/>
        </w:rPr>
        <w:t>,</w:t>
      </w:r>
      <w:r w:rsidRPr="00307073">
        <w:rPr>
          <w:rFonts w:ascii="Georgia" w:eastAsia="Times New Roman" w:hAnsi="Georgia"/>
          <w:color w:val="auto"/>
        </w:rPr>
        <w:t xml:space="preserve"> jf. §</w:t>
      </w:r>
      <w:r>
        <w:rPr>
          <w:rFonts w:ascii="Georgia" w:eastAsia="Times New Roman" w:hAnsi="Georgia"/>
          <w:color w:val="auto"/>
        </w:rPr>
        <w:t xml:space="preserve"> </w:t>
      </w:r>
      <w:r w:rsidRPr="00307073">
        <w:rPr>
          <w:rFonts w:ascii="Georgia" w:eastAsia="Times New Roman" w:hAnsi="Georgia"/>
          <w:color w:val="auto"/>
        </w:rPr>
        <w:t>5, stk. 2, skal der tages højde for disse forskelle</w:t>
      </w:r>
      <w:r>
        <w:rPr>
          <w:rFonts w:ascii="Georgia" w:eastAsia="Times New Roman" w:hAnsi="Georgia"/>
          <w:color w:val="auto"/>
        </w:rPr>
        <w:t xml:space="preserve">, og at </w:t>
      </w:r>
      <w:proofErr w:type="spellStart"/>
      <w:r>
        <w:rPr>
          <w:rFonts w:ascii="Georgia" w:eastAsia="Times New Roman" w:hAnsi="Georgia"/>
          <w:color w:val="auto"/>
        </w:rPr>
        <w:t>Vágar</w:t>
      </w:r>
      <w:proofErr w:type="spellEnd"/>
      <w:r>
        <w:rPr>
          <w:rFonts w:ascii="Georgia" w:eastAsia="Times New Roman" w:hAnsi="Georgia"/>
          <w:color w:val="auto"/>
        </w:rPr>
        <w:t xml:space="preserve"> Lufthavn</w:t>
      </w:r>
      <w:r w:rsidRPr="00307073">
        <w:rPr>
          <w:rFonts w:ascii="Georgia" w:eastAsia="Times New Roman" w:hAnsi="Georgia"/>
          <w:color w:val="auto"/>
        </w:rPr>
        <w:t xml:space="preserve"> derfor </w:t>
      </w:r>
      <w:r>
        <w:rPr>
          <w:rFonts w:ascii="Georgia" w:eastAsia="Times New Roman" w:hAnsi="Georgia"/>
          <w:color w:val="auto"/>
        </w:rPr>
        <w:t>har følgende</w:t>
      </w:r>
      <w:r w:rsidRPr="00307073">
        <w:rPr>
          <w:rFonts w:ascii="Georgia" w:eastAsia="Times New Roman" w:hAnsi="Georgia"/>
          <w:color w:val="auto"/>
        </w:rPr>
        <w:t xml:space="preserve"> bemærkninger til lovforslaget.</w:t>
      </w:r>
    </w:p>
    <w:p w14:paraId="379E162D" w14:textId="5F428839" w:rsidR="00307073" w:rsidRPr="00307073" w:rsidRDefault="00307073" w:rsidP="00307073">
      <w:pPr>
        <w:rPr>
          <w:rFonts w:ascii="Georgia" w:eastAsia="Times New Roman" w:hAnsi="Georgia"/>
          <w:color w:val="auto"/>
        </w:rPr>
      </w:pPr>
      <w:r w:rsidRPr="00307073">
        <w:rPr>
          <w:rFonts w:ascii="Georgia" w:eastAsia="Times New Roman" w:hAnsi="Georgia"/>
          <w:bCs/>
          <w:color w:val="auto"/>
        </w:rPr>
        <w:t xml:space="preserve">Til § 1, nr. 14, bemærker </w:t>
      </w:r>
      <w:proofErr w:type="spellStart"/>
      <w:r w:rsidRPr="00307073">
        <w:rPr>
          <w:rFonts w:ascii="Georgia" w:eastAsia="Times New Roman" w:hAnsi="Georgia"/>
          <w:color w:val="auto"/>
        </w:rPr>
        <w:t>Vágar</w:t>
      </w:r>
      <w:proofErr w:type="spellEnd"/>
      <w:r w:rsidRPr="00307073">
        <w:rPr>
          <w:rFonts w:ascii="Georgia" w:eastAsia="Times New Roman" w:hAnsi="Georgia"/>
          <w:color w:val="auto"/>
        </w:rPr>
        <w:t xml:space="preserve"> Lufthavn, at det fremgår, at i </w:t>
      </w:r>
      <w:r w:rsidRPr="00307073">
        <w:rPr>
          <w:rFonts w:ascii="Georgia" w:eastAsia="Times New Roman" w:hAnsi="Georgia"/>
          <w:i/>
          <w:iCs/>
          <w:color w:val="auto"/>
        </w:rPr>
        <w:t xml:space="preserve">§ 146 a, stk. 1, </w:t>
      </w:r>
      <w:r w:rsidRPr="00307073">
        <w:rPr>
          <w:rFonts w:ascii="Georgia" w:eastAsia="Times New Roman" w:hAnsi="Georgia"/>
          <w:color w:val="auto"/>
        </w:rPr>
        <w:t xml:space="preserve">og </w:t>
      </w:r>
      <w:r w:rsidRPr="00307073">
        <w:rPr>
          <w:rFonts w:ascii="Georgia" w:eastAsia="Times New Roman" w:hAnsi="Georgia"/>
          <w:i/>
          <w:iCs/>
          <w:color w:val="auto"/>
        </w:rPr>
        <w:t xml:space="preserve">§ 148, stk. 5, </w:t>
      </w:r>
      <w:r w:rsidRPr="00307073">
        <w:rPr>
          <w:rFonts w:ascii="Georgia" w:eastAsia="Times New Roman" w:hAnsi="Georgia"/>
          <w:color w:val="auto"/>
        </w:rPr>
        <w:t>ændres »fællesskabsretlige« til: »</w:t>
      </w:r>
      <w:proofErr w:type="spellStart"/>
      <w:r w:rsidRPr="00307073">
        <w:rPr>
          <w:rFonts w:ascii="Georgia" w:eastAsia="Times New Roman" w:hAnsi="Georgia"/>
          <w:color w:val="auto"/>
        </w:rPr>
        <w:t>EU-retlige</w:t>
      </w:r>
      <w:proofErr w:type="spellEnd"/>
      <w:r w:rsidRPr="00307073">
        <w:rPr>
          <w:rFonts w:ascii="Georgia" w:eastAsia="Times New Roman" w:hAnsi="Georgia"/>
          <w:color w:val="auto"/>
        </w:rPr>
        <w:t>«, men at ordet »fællesskabsretlige« ikke indgår i § 146 a, stk. 1, i ”</w:t>
      </w:r>
      <w:r w:rsidRPr="00307073">
        <w:rPr>
          <w:rFonts w:ascii="Georgia" w:eastAsia="Times New Roman" w:hAnsi="Georgia"/>
          <w:i/>
          <w:iCs/>
          <w:color w:val="auto"/>
        </w:rPr>
        <w:t>Anordningsbekendtgørelse nr. 141 af 6. februar 2024 om ikrafttræden for Færøerne af lov om luftfart</w:t>
      </w:r>
      <w:r w:rsidRPr="00307073">
        <w:rPr>
          <w:rFonts w:ascii="Georgia" w:eastAsia="Times New Roman" w:hAnsi="Georgia"/>
          <w:color w:val="auto"/>
        </w:rPr>
        <w:t>”.</w:t>
      </w:r>
    </w:p>
    <w:p w14:paraId="2CD31772" w14:textId="680D3F4E" w:rsidR="00307073" w:rsidRDefault="00307073" w:rsidP="00745BE4">
      <w:pPr>
        <w:rPr>
          <w:rFonts w:ascii="Georgia" w:eastAsia="Times New Roman" w:hAnsi="Georgia"/>
          <w:color w:val="auto"/>
        </w:rPr>
      </w:pPr>
      <w:r w:rsidRPr="00307073">
        <w:rPr>
          <w:rFonts w:ascii="Georgia" w:eastAsia="Times New Roman" w:hAnsi="Georgia"/>
          <w:color w:val="auto"/>
        </w:rPr>
        <w:t xml:space="preserve">Til </w:t>
      </w:r>
      <w:r w:rsidRPr="00307073">
        <w:rPr>
          <w:rFonts w:ascii="Georgia" w:eastAsia="Times New Roman" w:hAnsi="Georgia"/>
          <w:bCs/>
          <w:color w:val="auto"/>
        </w:rPr>
        <w:t xml:space="preserve">§ 1, nr. 19, bemærker </w:t>
      </w:r>
      <w:proofErr w:type="spellStart"/>
      <w:r w:rsidRPr="00307073">
        <w:rPr>
          <w:rFonts w:ascii="Georgia" w:eastAsia="Times New Roman" w:hAnsi="Georgia"/>
          <w:color w:val="auto"/>
        </w:rPr>
        <w:t>Vágar</w:t>
      </w:r>
      <w:proofErr w:type="spellEnd"/>
      <w:r w:rsidRPr="00307073">
        <w:rPr>
          <w:rFonts w:ascii="Georgia" w:eastAsia="Times New Roman" w:hAnsi="Georgia"/>
          <w:color w:val="auto"/>
        </w:rPr>
        <w:t xml:space="preserve"> Lufthavn, at det fremgår, at i </w:t>
      </w:r>
      <w:r w:rsidRPr="00307073">
        <w:rPr>
          <w:rFonts w:ascii="Georgia" w:eastAsia="Times New Roman" w:hAnsi="Georgia"/>
          <w:i/>
          <w:iCs/>
          <w:color w:val="auto"/>
        </w:rPr>
        <w:t xml:space="preserve">§ 149 a, stk. 1 og 2 </w:t>
      </w:r>
      <w:r w:rsidRPr="00307073">
        <w:rPr>
          <w:rFonts w:ascii="Georgia" w:eastAsia="Times New Roman" w:hAnsi="Georgia"/>
          <w:color w:val="auto"/>
        </w:rPr>
        <w:t xml:space="preserve">ændres »områder omfattet af loven« til: »luftfartsområdet«, men at ordene »områder omfattet af loven« </w:t>
      </w:r>
      <w:r>
        <w:rPr>
          <w:rFonts w:ascii="Georgia" w:eastAsia="Times New Roman" w:hAnsi="Georgia"/>
          <w:color w:val="auto"/>
        </w:rPr>
        <w:t>ikke</w:t>
      </w:r>
      <w:r w:rsidRPr="00307073">
        <w:rPr>
          <w:rFonts w:ascii="Georgia" w:eastAsia="Times New Roman" w:hAnsi="Georgia"/>
          <w:color w:val="auto"/>
        </w:rPr>
        <w:t xml:space="preserve"> indgår </w:t>
      </w:r>
      <w:r>
        <w:rPr>
          <w:rFonts w:ascii="Georgia" w:eastAsia="Times New Roman" w:hAnsi="Georgia"/>
          <w:color w:val="auto"/>
        </w:rPr>
        <w:t xml:space="preserve">i </w:t>
      </w:r>
      <w:r w:rsidRPr="00307073">
        <w:rPr>
          <w:rFonts w:ascii="Georgia" w:eastAsia="Times New Roman" w:hAnsi="Georgia"/>
          <w:color w:val="auto"/>
        </w:rPr>
        <w:t>§</w:t>
      </w:r>
      <w:r>
        <w:rPr>
          <w:rFonts w:ascii="Georgia" w:eastAsia="Times New Roman" w:hAnsi="Georgia"/>
          <w:color w:val="auto"/>
        </w:rPr>
        <w:t xml:space="preserve"> </w:t>
      </w:r>
      <w:r w:rsidRPr="00307073">
        <w:rPr>
          <w:rFonts w:ascii="Georgia" w:eastAsia="Times New Roman" w:hAnsi="Georgia"/>
          <w:color w:val="auto"/>
        </w:rPr>
        <w:t>149 a, stk. 1</w:t>
      </w:r>
      <w:r>
        <w:rPr>
          <w:rFonts w:ascii="Georgia" w:eastAsia="Times New Roman" w:hAnsi="Georgia"/>
          <w:color w:val="auto"/>
        </w:rPr>
        <w:t>,</w:t>
      </w:r>
      <w:r w:rsidRPr="00307073">
        <w:rPr>
          <w:rFonts w:ascii="Georgia" w:eastAsia="Times New Roman" w:hAnsi="Georgia"/>
          <w:color w:val="auto"/>
        </w:rPr>
        <w:t xml:space="preserve"> i ”</w:t>
      </w:r>
      <w:r w:rsidRPr="00307073">
        <w:rPr>
          <w:rFonts w:ascii="Georgia" w:eastAsia="Times New Roman" w:hAnsi="Georgia"/>
          <w:i/>
          <w:iCs/>
          <w:color w:val="auto"/>
        </w:rPr>
        <w:t>Anordningsbekendtgørelse nr. 141 af 6. februar 2024 om ikrafttræden for Færøerne af lov om luftfart</w:t>
      </w:r>
      <w:r w:rsidRPr="00307073">
        <w:rPr>
          <w:rFonts w:ascii="Georgia" w:eastAsia="Times New Roman" w:hAnsi="Georgia"/>
          <w:color w:val="auto"/>
        </w:rPr>
        <w:t>”</w:t>
      </w:r>
      <w:r>
        <w:rPr>
          <w:rFonts w:ascii="Georgia" w:eastAsia="Times New Roman" w:hAnsi="Georgia"/>
          <w:color w:val="auto"/>
        </w:rPr>
        <w:t>.</w:t>
      </w:r>
    </w:p>
    <w:p w14:paraId="154891DC" w14:textId="05D3AE71" w:rsidR="00307073" w:rsidRPr="00307073" w:rsidRDefault="00307073" w:rsidP="00745BE4">
      <w:pPr>
        <w:rPr>
          <w:rFonts w:ascii="Georgia" w:eastAsia="Times New Roman" w:hAnsi="Georgia"/>
          <w:i/>
          <w:color w:val="auto"/>
        </w:rPr>
      </w:pPr>
      <w:r>
        <w:rPr>
          <w:rFonts w:ascii="Georgia" w:eastAsia="Times New Roman" w:hAnsi="Georgia"/>
          <w:i/>
          <w:color w:val="auto"/>
        </w:rPr>
        <w:t xml:space="preserve">Transportministeriet har noteret sig </w:t>
      </w:r>
      <w:proofErr w:type="spellStart"/>
      <w:r>
        <w:rPr>
          <w:rFonts w:ascii="Georgia" w:eastAsia="Times New Roman" w:hAnsi="Georgia"/>
          <w:i/>
          <w:color w:val="auto"/>
        </w:rPr>
        <w:t>Vágar</w:t>
      </w:r>
      <w:proofErr w:type="spellEnd"/>
      <w:r>
        <w:rPr>
          <w:rFonts w:ascii="Georgia" w:eastAsia="Times New Roman" w:hAnsi="Georgia"/>
          <w:i/>
          <w:color w:val="auto"/>
        </w:rPr>
        <w:t xml:space="preserve"> Lufthavns bemærkninger. Ved en ikraftsættelse af regelændringerne ved anordning gældende for Færøerne vil dette ske med de ændringer, som de færøske forhold tilsiger, herunder tilpasning til luftfartsloven, som den gælder for Færøerne. </w:t>
      </w:r>
    </w:p>
    <w:p w14:paraId="27AC8AEF" w14:textId="77777777" w:rsidR="00353737" w:rsidRPr="00353737" w:rsidRDefault="00353737" w:rsidP="00E538A1">
      <w:pPr>
        <w:pStyle w:val="Overskrift1"/>
      </w:pPr>
      <w:bookmarkStart w:id="23" w:name="_Toc176768727"/>
      <w:r w:rsidRPr="00353737">
        <w:t>3. Lovforslaget i forhold til lovudkastet</w:t>
      </w:r>
      <w:bookmarkEnd w:id="23"/>
    </w:p>
    <w:p w14:paraId="215AC2C6" w14:textId="77777777" w:rsidR="00353737" w:rsidRPr="00353737" w:rsidRDefault="00353737" w:rsidP="00353737">
      <w:pPr>
        <w:rPr>
          <w:rFonts w:ascii="Georgia" w:eastAsia="Times New Roman" w:hAnsi="Georgia"/>
          <w:color w:val="auto"/>
        </w:rPr>
      </w:pPr>
      <w:bookmarkStart w:id="24" w:name="_Hlk175137025"/>
      <w:r w:rsidRPr="00353737">
        <w:rPr>
          <w:rFonts w:ascii="Georgia" w:eastAsia="Times New Roman" w:hAnsi="Georgia"/>
          <w:color w:val="auto"/>
        </w:rPr>
        <w:t>I forhold til det udkast til lovforslag, der har været i høring, indeholder det fremsatte lovforslag følgende indholdsmæssige ændringer:</w:t>
      </w:r>
    </w:p>
    <w:p w14:paraId="1D3E5B28" w14:textId="5F5518AD" w:rsidR="005E30A0" w:rsidRDefault="005E30A0" w:rsidP="008535BC">
      <w:pPr>
        <w:pStyle w:val="Listeafsnit"/>
        <w:numPr>
          <w:ilvl w:val="0"/>
          <w:numId w:val="8"/>
        </w:numPr>
        <w:rPr>
          <w:rFonts w:ascii="Georgia" w:eastAsia="Times New Roman" w:hAnsi="Georgia"/>
          <w:color w:val="auto"/>
        </w:rPr>
      </w:pPr>
      <w:r w:rsidRPr="005E30A0">
        <w:rPr>
          <w:rFonts w:ascii="Georgia" w:eastAsia="Times New Roman" w:hAnsi="Georgia"/>
          <w:color w:val="auto"/>
        </w:rPr>
        <w:t xml:space="preserve">Høringssvarene har givet anledning til en præcisering af lovforslagets bemærkninger for så vidt angår spørgsmålet om </w:t>
      </w:r>
      <w:proofErr w:type="spellStart"/>
      <w:r w:rsidRPr="005E30A0">
        <w:rPr>
          <w:rFonts w:ascii="Georgia" w:eastAsia="Times New Roman" w:hAnsi="Georgia"/>
          <w:color w:val="auto"/>
        </w:rPr>
        <w:t>overvæltning</w:t>
      </w:r>
      <w:proofErr w:type="spellEnd"/>
      <w:r w:rsidRPr="005E30A0">
        <w:rPr>
          <w:rFonts w:ascii="Georgia" w:eastAsia="Times New Roman" w:hAnsi="Georgia"/>
          <w:color w:val="auto"/>
        </w:rPr>
        <w:t xml:space="preserve"> af safety-afgiften på passagererne.</w:t>
      </w:r>
      <w:r>
        <w:rPr>
          <w:rFonts w:ascii="Georgia" w:eastAsia="Times New Roman" w:hAnsi="Georgia"/>
          <w:color w:val="auto"/>
        </w:rPr>
        <w:t xml:space="preserve"> Lov</w:t>
      </w:r>
      <w:r>
        <w:rPr>
          <w:rFonts w:ascii="Georgia" w:eastAsia="Times New Roman" w:hAnsi="Georgia"/>
          <w:color w:val="auto"/>
        </w:rPr>
        <w:lastRenderedPageBreak/>
        <w:t xml:space="preserve">forslaget er ændret, således at det fremgår, at </w:t>
      </w:r>
      <w:r w:rsidRPr="005E30A0">
        <w:rPr>
          <w:rFonts w:ascii="Georgia" w:eastAsia="Times New Roman" w:hAnsi="Georgia"/>
          <w:color w:val="auto"/>
        </w:rPr>
        <w:t xml:space="preserve">luftfartsselskaberne i praksis kan vælge fuldt ud at overvælte afgiften, der er ens for alle </w:t>
      </w:r>
      <w:r w:rsidR="00116C26">
        <w:rPr>
          <w:rFonts w:ascii="Georgia" w:eastAsia="Times New Roman" w:hAnsi="Georgia"/>
          <w:color w:val="auto"/>
        </w:rPr>
        <w:t xml:space="preserve">danske og udenlandske </w:t>
      </w:r>
      <w:r w:rsidRPr="005E30A0">
        <w:rPr>
          <w:rFonts w:ascii="Georgia" w:eastAsia="Times New Roman" w:hAnsi="Georgia"/>
          <w:color w:val="auto"/>
        </w:rPr>
        <w:t xml:space="preserve">selskaber, på passagererne, hvormed passagererne bærer udgiften. </w:t>
      </w:r>
    </w:p>
    <w:p w14:paraId="3C574110" w14:textId="77777777" w:rsidR="005E30A0" w:rsidRPr="005E30A0" w:rsidRDefault="005E30A0" w:rsidP="005E30A0">
      <w:pPr>
        <w:pStyle w:val="Listeafsnit"/>
        <w:ind w:left="720"/>
        <w:rPr>
          <w:rFonts w:ascii="Georgia" w:eastAsia="Times New Roman" w:hAnsi="Georgia"/>
          <w:color w:val="auto"/>
        </w:rPr>
      </w:pPr>
    </w:p>
    <w:p w14:paraId="6BFCC5F1" w14:textId="0C16320B" w:rsidR="008535BC" w:rsidRDefault="00C23F2A" w:rsidP="008535BC">
      <w:pPr>
        <w:pStyle w:val="Listeafsnit"/>
        <w:numPr>
          <w:ilvl w:val="0"/>
          <w:numId w:val="8"/>
        </w:numPr>
        <w:rPr>
          <w:rFonts w:ascii="Georgia" w:eastAsia="Times New Roman" w:hAnsi="Georgia"/>
          <w:color w:val="auto"/>
        </w:rPr>
      </w:pPr>
      <w:r>
        <w:rPr>
          <w:rFonts w:ascii="Georgia" w:eastAsia="Times New Roman" w:hAnsi="Georgia"/>
          <w:color w:val="auto"/>
        </w:rPr>
        <w:t>I lovforslagsudkast</w:t>
      </w:r>
      <w:r w:rsidR="00F63CA7">
        <w:rPr>
          <w:rFonts w:ascii="Georgia" w:eastAsia="Times New Roman" w:hAnsi="Georgia"/>
          <w:color w:val="auto"/>
        </w:rPr>
        <w:t>et</w:t>
      </w:r>
      <w:r>
        <w:rPr>
          <w:rFonts w:ascii="Georgia" w:eastAsia="Times New Roman" w:hAnsi="Georgia"/>
          <w:color w:val="auto"/>
        </w:rPr>
        <w:t xml:space="preserve"> indgår den årlige pris- og lønindeksregulering af safety-afgiften som led i de foreslåede ændringer af luftfartslovens § 148. I høringsudkastet fremgik det, at pris- og lønindeksreguleringen ville ske årligt ved tekstanmærkning på finansloven. </w:t>
      </w:r>
      <w:bookmarkEnd w:id="24"/>
      <w:r w:rsidR="008535BC" w:rsidRPr="005E30A0">
        <w:rPr>
          <w:rFonts w:ascii="Georgia" w:eastAsia="Times New Roman" w:hAnsi="Georgia"/>
          <w:color w:val="auto"/>
        </w:rPr>
        <w:t xml:space="preserve">Ændringen er foretaget på ministeriets egen foranledning. </w:t>
      </w:r>
    </w:p>
    <w:p w14:paraId="43B92EF7" w14:textId="77777777" w:rsidR="00F63CA7" w:rsidRDefault="00F63CA7" w:rsidP="00F63CA7">
      <w:pPr>
        <w:pStyle w:val="Listeafsnit"/>
        <w:ind w:left="720"/>
        <w:rPr>
          <w:rFonts w:ascii="Georgia" w:eastAsia="Times New Roman" w:hAnsi="Georgia"/>
          <w:color w:val="auto"/>
        </w:rPr>
      </w:pPr>
    </w:p>
    <w:p w14:paraId="387F8FC4" w14:textId="6D1DD5A1" w:rsidR="004D6A46" w:rsidRDefault="00F63CA7" w:rsidP="004D6A46">
      <w:pPr>
        <w:pStyle w:val="Listeafsnit"/>
        <w:numPr>
          <w:ilvl w:val="0"/>
          <w:numId w:val="8"/>
        </w:numPr>
        <w:rPr>
          <w:rFonts w:ascii="Georgia" w:eastAsia="Times New Roman" w:hAnsi="Georgia"/>
          <w:color w:val="auto"/>
        </w:rPr>
      </w:pPr>
      <w:r w:rsidRPr="00F63CA7">
        <w:rPr>
          <w:rFonts w:ascii="Georgia" w:eastAsia="Times New Roman" w:hAnsi="Georgia"/>
          <w:color w:val="auto"/>
        </w:rPr>
        <w:t>Høringssvarene har givet anledning til en præcisering af dele af bemærkningerne til lovforslaget med henblik på at tydeliggøre samspillet mellem ændringer i safety-afgiftssatsen og reguleringsmekanismen.</w:t>
      </w:r>
    </w:p>
    <w:p w14:paraId="2C9985E3" w14:textId="77777777" w:rsidR="004D6A46" w:rsidRDefault="004D6A46" w:rsidP="004D6A46">
      <w:pPr>
        <w:pStyle w:val="Listeafsnit"/>
        <w:ind w:left="720"/>
        <w:rPr>
          <w:rFonts w:ascii="Georgia" w:eastAsia="Times New Roman" w:hAnsi="Georgia"/>
          <w:color w:val="auto"/>
        </w:rPr>
      </w:pPr>
    </w:p>
    <w:p w14:paraId="2CBE4D36" w14:textId="4699B475" w:rsidR="004D6A46" w:rsidRDefault="004772BA" w:rsidP="004D6A46">
      <w:pPr>
        <w:pStyle w:val="Listeafsnit"/>
        <w:numPr>
          <w:ilvl w:val="0"/>
          <w:numId w:val="8"/>
        </w:numPr>
        <w:rPr>
          <w:rFonts w:ascii="Georgia" w:eastAsia="Times New Roman" w:hAnsi="Georgia"/>
          <w:color w:val="auto"/>
        </w:rPr>
      </w:pPr>
      <w:r>
        <w:rPr>
          <w:rFonts w:ascii="Georgia" w:eastAsia="Times New Roman" w:hAnsi="Georgia"/>
          <w:color w:val="auto"/>
        </w:rPr>
        <w:t>Af</w:t>
      </w:r>
      <w:r w:rsidR="004D6A46">
        <w:rPr>
          <w:rFonts w:ascii="Georgia" w:eastAsia="Times New Roman" w:hAnsi="Georgia"/>
          <w:color w:val="auto"/>
        </w:rPr>
        <w:t xml:space="preserve"> høringsudkastet </w:t>
      </w:r>
      <w:r>
        <w:rPr>
          <w:rFonts w:ascii="Georgia" w:eastAsia="Times New Roman" w:hAnsi="Georgia"/>
          <w:color w:val="auto"/>
        </w:rPr>
        <w:t>fremgik</w:t>
      </w:r>
      <w:r w:rsidR="004D6A46">
        <w:rPr>
          <w:rFonts w:ascii="Georgia" w:eastAsia="Times New Roman" w:hAnsi="Georgia"/>
          <w:color w:val="auto"/>
        </w:rPr>
        <w:t xml:space="preserve"> det, at safety-afgiftssatsen </w:t>
      </w:r>
      <w:r>
        <w:rPr>
          <w:rFonts w:ascii="Georgia" w:eastAsia="Times New Roman" w:hAnsi="Georgia"/>
          <w:color w:val="auto"/>
        </w:rPr>
        <w:t>foresloges</w:t>
      </w:r>
      <w:r w:rsidR="004D6A46">
        <w:rPr>
          <w:rFonts w:ascii="Georgia" w:eastAsia="Times New Roman" w:hAnsi="Georgia"/>
          <w:color w:val="auto"/>
        </w:rPr>
        <w:t xml:space="preserve"> pris- og lønindeksregulere</w:t>
      </w:r>
      <w:r>
        <w:rPr>
          <w:rFonts w:ascii="Georgia" w:eastAsia="Times New Roman" w:hAnsi="Georgia"/>
          <w:color w:val="auto"/>
        </w:rPr>
        <w:t>t</w:t>
      </w:r>
      <w:r w:rsidR="004D6A46">
        <w:rPr>
          <w:rFonts w:ascii="Georgia" w:eastAsia="Times New Roman" w:hAnsi="Georgia"/>
          <w:color w:val="auto"/>
        </w:rPr>
        <w:t xml:space="preserve"> første gang pr. 1. januar 2025. Dette er ændret til den 1. januar 2026. </w:t>
      </w:r>
      <w:r w:rsidR="004D6A46" w:rsidRPr="005E30A0">
        <w:rPr>
          <w:rFonts w:ascii="Georgia" w:eastAsia="Times New Roman" w:hAnsi="Georgia"/>
          <w:color w:val="auto"/>
        </w:rPr>
        <w:t>Ændringen er foretaget på ministeriets egen foranledning.</w:t>
      </w:r>
      <w:bookmarkStart w:id="25" w:name="_GoBack"/>
      <w:bookmarkEnd w:id="25"/>
    </w:p>
    <w:p w14:paraId="63876A77" w14:textId="77777777" w:rsidR="004D6A46" w:rsidRDefault="004D6A46" w:rsidP="004D6A46">
      <w:pPr>
        <w:pStyle w:val="Listeafsnit"/>
        <w:ind w:left="720"/>
        <w:rPr>
          <w:rFonts w:ascii="Georgia" w:eastAsia="Times New Roman" w:hAnsi="Georgia"/>
          <w:color w:val="auto"/>
        </w:rPr>
      </w:pPr>
    </w:p>
    <w:p w14:paraId="0FC0406C" w14:textId="7023D65D" w:rsidR="004D6A46" w:rsidRPr="004D6A46" w:rsidRDefault="004D6A46" w:rsidP="004D6A46">
      <w:pPr>
        <w:pStyle w:val="Listeafsnit"/>
        <w:numPr>
          <w:ilvl w:val="0"/>
          <w:numId w:val="8"/>
        </w:numPr>
        <w:rPr>
          <w:rFonts w:ascii="Georgia" w:eastAsia="Times New Roman" w:hAnsi="Georgia"/>
          <w:color w:val="auto"/>
        </w:rPr>
      </w:pPr>
      <w:r>
        <w:rPr>
          <w:rFonts w:ascii="Georgia" w:eastAsia="Times New Roman" w:hAnsi="Georgia"/>
          <w:color w:val="auto"/>
        </w:rPr>
        <w:t>Lov</w:t>
      </w:r>
      <w:r w:rsidR="00A817A9">
        <w:rPr>
          <w:rFonts w:ascii="Georgia" w:eastAsia="Times New Roman" w:hAnsi="Georgia"/>
          <w:color w:val="auto"/>
        </w:rPr>
        <w:t>ens</w:t>
      </w:r>
      <w:r>
        <w:rPr>
          <w:rFonts w:ascii="Georgia" w:eastAsia="Times New Roman" w:hAnsi="Georgia"/>
          <w:color w:val="auto"/>
        </w:rPr>
        <w:t xml:space="preserve"> </w:t>
      </w:r>
      <w:r w:rsidR="00A817A9">
        <w:rPr>
          <w:rFonts w:ascii="Georgia" w:eastAsia="Times New Roman" w:hAnsi="Georgia"/>
          <w:color w:val="auto"/>
        </w:rPr>
        <w:t xml:space="preserve">foreslåede </w:t>
      </w:r>
      <w:r>
        <w:rPr>
          <w:rFonts w:ascii="Georgia" w:eastAsia="Times New Roman" w:hAnsi="Georgia"/>
          <w:color w:val="auto"/>
        </w:rPr>
        <w:t xml:space="preserve">ikrafttrædelsestidspunkt er ændret fra den 1. januar 2025 til den 28. december 2024 for at tage højde for Danmarks folkeretlige forpligtelser i forbindelse med implementeringen af ændrede erstatningsansvarsgrænser. De dele af loven, der ikke vedrører de ændrede erstatningsansvarsgrænser, foreslås fortsat sat i kraft den 1. januar 2025. </w:t>
      </w:r>
      <w:r w:rsidR="00A817A9" w:rsidRPr="005E30A0">
        <w:rPr>
          <w:rFonts w:ascii="Georgia" w:eastAsia="Times New Roman" w:hAnsi="Georgia"/>
          <w:color w:val="auto"/>
        </w:rPr>
        <w:t>Ændringen er foretaget på ministeriets egen foranledning.</w:t>
      </w:r>
    </w:p>
    <w:p w14:paraId="0FB8A319" w14:textId="05E78B95" w:rsidR="00B85E8E" w:rsidRPr="009021CB" w:rsidRDefault="00353737" w:rsidP="009021CB">
      <w:pPr>
        <w:rPr>
          <w:rFonts w:ascii="Georgia" w:eastAsia="Times New Roman" w:hAnsi="Georgia"/>
          <w:color w:val="auto"/>
        </w:rPr>
      </w:pPr>
      <w:r w:rsidRPr="008535BC">
        <w:rPr>
          <w:rFonts w:ascii="Georgia" w:eastAsia="Times New Roman" w:hAnsi="Georgia"/>
          <w:color w:val="auto"/>
        </w:rPr>
        <w:t>Herudover er der foretaget ændringer af sproglig, redaktionel og lovteknisk karakter.</w:t>
      </w:r>
    </w:p>
    <w:sectPr w:rsidR="00B85E8E" w:rsidRPr="009021CB" w:rsidSect="00A32AD7">
      <w:headerReference w:type="default" r:id="rId8"/>
      <w:headerReference w:type="first" r:id="rId9"/>
      <w:pgSz w:w="11906" w:h="16838" w:code="9"/>
      <w:pgMar w:top="1418" w:right="4309" w:bottom="1418" w:left="1361" w:header="624"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6DEAA" w16cex:dateUtc="2024-08-26T08:59:00Z"/>
  <w16cex:commentExtensible w16cex:durableId="2A77149A" w16cex:dateUtc="2024-08-26T12:50:00Z"/>
  <w16cex:commentExtensible w16cex:durableId="2A79A9CC" w16cex:dateUtc="2024-08-28T11:51:00Z"/>
  <w16cex:commentExtensible w16cex:durableId="2A76FDB7" w16cex:dateUtc="2024-08-26T11:12:00Z"/>
  <w16cex:commentExtensible w16cex:durableId="2A76FF5B" w16cex:dateUtc="2024-08-26T11:19:00Z"/>
  <w16cex:commentExtensible w16cex:durableId="2A770025" w16cex:dateUtc="2024-08-26T11:22:00Z"/>
  <w16cex:commentExtensible w16cex:durableId="2A770953" w16cex:dateUtc="2024-08-26T12:01:00Z"/>
  <w16cex:commentExtensible w16cex:durableId="2A772196" w16cex:dateUtc="2024-08-26T13:45:00Z"/>
  <w16cex:commentExtensible w16cex:durableId="2A7724DC" w16cex:dateUtc="2024-08-26T13: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03C2A" w14:textId="77777777" w:rsidR="00AA0C76" w:rsidRDefault="00AA0C76" w:rsidP="00A56EBB">
      <w:pPr>
        <w:spacing w:line="240" w:lineRule="auto"/>
      </w:pPr>
      <w:r>
        <w:separator/>
      </w:r>
    </w:p>
  </w:endnote>
  <w:endnote w:type="continuationSeparator" w:id="0">
    <w:p w14:paraId="398C9810" w14:textId="77777777" w:rsidR="00AA0C76" w:rsidRDefault="00AA0C76"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08921" w14:textId="77777777" w:rsidR="00AA0C76" w:rsidRDefault="00AA0C76" w:rsidP="00A56EBB">
      <w:pPr>
        <w:spacing w:line="240" w:lineRule="auto"/>
      </w:pPr>
      <w:r>
        <w:separator/>
      </w:r>
    </w:p>
  </w:footnote>
  <w:footnote w:type="continuationSeparator" w:id="0">
    <w:p w14:paraId="103508E4" w14:textId="77777777" w:rsidR="00AA0C76" w:rsidRDefault="00AA0C76"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AE281A" w14:paraId="73067F01" w14:textId="77777777" w:rsidTr="00A32AD7">
      <w:trPr>
        <w:trHeight w:hRule="exact" w:val="794"/>
      </w:trPr>
      <w:tc>
        <w:tcPr>
          <w:tcW w:w="6521" w:type="dxa"/>
        </w:tcPr>
        <w:p w14:paraId="73F251A6" w14:textId="77777777" w:rsidR="00AE281A" w:rsidRDefault="00AE281A" w:rsidP="00630E97">
          <w:pPr>
            <w:pStyle w:val="Billedfelt"/>
          </w:pPr>
          <w:bookmarkStart w:id="26" w:name="Logo_Side2" w:colFirst="1" w:colLast="1"/>
        </w:p>
      </w:tc>
      <w:tc>
        <w:tcPr>
          <w:tcW w:w="3402" w:type="dxa"/>
        </w:tcPr>
        <w:p w14:paraId="32333F0C" w14:textId="77777777" w:rsidR="00AE281A" w:rsidRDefault="00AE281A" w:rsidP="00630E97">
          <w:pPr>
            <w:pStyle w:val="Billedfelt"/>
          </w:pPr>
          <w:r>
            <w:rPr>
              <w:noProof/>
              <w:lang w:eastAsia="da-DK"/>
            </w:rPr>
            <w:drawing>
              <wp:inline distT="0" distB="0" distL="0" distR="0" wp14:anchorId="279A296F" wp14:editId="60346090">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AE281A" w14:paraId="6901E5C2" w14:textId="77777777" w:rsidTr="00B06CE9">
      <w:trPr>
        <w:trHeight w:hRule="exact" w:val="680"/>
      </w:trPr>
      <w:tc>
        <w:tcPr>
          <w:tcW w:w="6521" w:type="dxa"/>
          <w:vAlign w:val="bottom"/>
        </w:tcPr>
        <w:p w14:paraId="5B434CC9" w14:textId="77777777" w:rsidR="00AE281A" w:rsidRDefault="00AE281A" w:rsidP="00B06CE9">
          <w:bookmarkStart w:id="27" w:name="Sidetal" w:colFirst="1" w:colLast="1"/>
          <w:bookmarkEnd w:id="26"/>
        </w:p>
      </w:tc>
      <w:tc>
        <w:tcPr>
          <w:tcW w:w="3402" w:type="dxa"/>
          <w:vAlign w:val="bottom"/>
        </w:tcPr>
        <w:p w14:paraId="3FE5ABF0" w14:textId="1397DE4A" w:rsidR="00AE281A" w:rsidRPr="00B06CE9" w:rsidRDefault="00AE281A" w:rsidP="0027154C">
          <w:pPr>
            <w:pStyle w:val="Sidenummerering"/>
          </w:pPr>
          <w:r w:rsidRPr="00B06CE9">
            <w:t xml:space="preserve">Side </w:t>
          </w:r>
          <w:r w:rsidRPr="00B06CE9">
            <w:fldChar w:fldCharType="begin"/>
          </w:r>
          <w:r w:rsidRPr="00B06CE9">
            <w:instrText xml:space="preserve"> PAGE </w:instrText>
          </w:r>
          <w:r w:rsidRPr="00B06CE9">
            <w:fldChar w:fldCharType="separate"/>
          </w:r>
          <w:r>
            <w:t>4</w:t>
          </w:r>
          <w:r w:rsidRPr="00B06CE9">
            <w:fldChar w:fldCharType="end"/>
          </w:r>
          <w:r w:rsidRPr="00B06CE9">
            <w:t>/</w:t>
          </w:r>
          <w:r>
            <w:fldChar w:fldCharType="begin"/>
          </w:r>
          <w:r>
            <w:instrText xml:space="preserve"> NUMPAGES </w:instrText>
          </w:r>
          <w:r>
            <w:fldChar w:fldCharType="separate"/>
          </w:r>
          <w:r>
            <w:t>4</w:t>
          </w:r>
          <w:r>
            <w:fldChar w:fldCharType="end"/>
          </w:r>
        </w:p>
      </w:tc>
    </w:tr>
    <w:tr w:rsidR="00AE281A" w14:paraId="4CAA77F5" w14:textId="77777777" w:rsidTr="00B06CE9">
      <w:trPr>
        <w:trHeight w:hRule="exact" w:val="397"/>
      </w:trPr>
      <w:tc>
        <w:tcPr>
          <w:tcW w:w="6521" w:type="dxa"/>
          <w:vAlign w:val="bottom"/>
        </w:tcPr>
        <w:p w14:paraId="08D83FF0" w14:textId="77777777" w:rsidR="00AE281A" w:rsidRDefault="00AE281A" w:rsidP="00B06CE9">
          <w:bookmarkStart w:id="28" w:name="AfstandEfterSidehoved2" w:colFirst="1" w:colLast="1"/>
          <w:bookmarkEnd w:id="27"/>
        </w:p>
      </w:tc>
      <w:tc>
        <w:tcPr>
          <w:tcW w:w="3402" w:type="dxa"/>
          <w:vAlign w:val="bottom"/>
        </w:tcPr>
        <w:p w14:paraId="6B198259" w14:textId="77777777" w:rsidR="00AE281A" w:rsidRPr="00B06CE9" w:rsidRDefault="00AE281A" w:rsidP="0027154C">
          <w:pPr>
            <w:pStyle w:val="Sidenummerering"/>
          </w:pPr>
        </w:p>
      </w:tc>
    </w:tr>
    <w:bookmarkEnd w:id="28"/>
  </w:tbl>
  <w:p w14:paraId="42C8D3EF" w14:textId="77777777" w:rsidR="00AE281A" w:rsidRPr="00B06CE9" w:rsidRDefault="00AE281A"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AE281A" w14:paraId="63217DE4" w14:textId="77777777" w:rsidTr="00213607">
      <w:trPr>
        <w:trHeight w:hRule="exact" w:val="794"/>
      </w:trPr>
      <w:tc>
        <w:tcPr>
          <w:tcW w:w="6520" w:type="dxa"/>
        </w:tcPr>
        <w:p w14:paraId="57D7BDA8" w14:textId="445570A7" w:rsidR="00AE281A" w:rsidRPr="00630E97" w:rsidRDefault="00AE281A" w:rsidP="007C69C4">
          <w:pPr>
            <w:pStyle w:val="Billedfelt"/>
          </w:pPr>
          <w:bookmarkStart w:id="29" w:name="Logo_Side1" w:colFirst="1" w:colLast="1"/>
          <w:bookmarkStart w:id="30" w:name="AfstandHøjre_Logo1" w:colFirst="0" w:colLast="0"/>
        </w:p>
      </w:tc>
      <w:tc>
        <w:tcPr>
          <w:tcW w:w="3458" w:type="dxa"/>
        </w:tcPr>
        <w:p w14:paraId="0A93CCB9" w14:textId="77777777" w:rsidR="00AE281A" w:rsidRPr="00630E97" w:rsidRDefault="00AE281A" w:rsidP="00630E97">
          <w:pPr>
            <w:pStyle w:val="Billedfelt"/>
          </w:pPr>
          <w:r>
            <w:rPr>
              <w:noProof/>
              <w:lang w:eastAsia="da-DK"/>
            </w:rPr>
            <w:drawing>
              <wp:inline distT="0" distB="0" distL="0" distR="0" wp14:anchorId="54695AF7" wp14:editId="68D389B9">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29"/>
  <w:bookmarkEnd w:id="30"/>
  <w:p w14:paraId="16E785DF" w14:textId="77777777" w:rsidR="00AE281A" w:rsidRPr="00B06CE9" w:rsidRDefault="00AE281A"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16576FCD" wp14:editId="3368CD09">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AE281A"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AE281A" w:rsidRPr="00447719" w:rsidRDefault="00AE281A" w:rsidP="00A32AD7">
                                <w:pPr>
                                  <w:pStyle w:val="Ministernavn"/>
                                </w:pPr>
                                <w:bookmarkStart w:id="31" w:name="Ministernavn" w:colFirst="0" w:colLast="0"/>
                              </w:p>
                            </w:tc>
                          </w:tr>
                          <w:tr w:rsidR="00AE281A"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AE281A" w:rsidRDefault="00AE281A" w:rsidP="00447719">
                                <w:pPr>
                                  <w:pStyle w:val="Template-Adresse"/>
                                </w:pPr>
                                <w:bookmarkStart w:id="32" w:name="AfstandFørDato" w:colFirst="0" w:colLast="0"/>
                                <w:bookmarkEnd w:id="31"/>
                              </w:p>
                            </w:tc>
                          </w:tr>
                          <w:tr w:rsidR="00AE281A"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AE281A" w:rsidRDefault="00AE281A" w:rsidP="00447719">
                                <w:pPr>
                                  <w:pStyle w:val="Template-Adresse"/>
                                </w:pPr>
                                <w:bookmarkStart w:id="33" w:name="Adresse" w:colFirst="0" w:colLast="0"/>
                                <w:bookmarkEnd w:id="32"/>
                              </w:p>
                            </w:tc>
                          </w:tr>
                          <w:tr w:rsidR="00AE281A"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AE281A" w:rsidRDefault="00AE281A" w:rsidP="00447719">
                                <w:pPr>
                                  <w:pStyle w:val="Template-Adresse"/>
                                </w:pPr>
                                <w:bookmarkStart w:id="34" w:name="AfstandFørTelefon" w:colFirst="0" w:colLast="0"/>
                                <w:bookmarkEnd w:id="33"/>
                              </w:p>
                            </w:tc>
                          </w:tr>
                          <w:tr w:rsidR="00AE281A"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AE281A" w:rsidRDefault="00AE281A" w:rsidP="00447719">
                                <w:pPr>
                                  <w:pStyle w:val="Template-Adresse"/>
                                </w:pPr>
                                <w:bookmarkStart w:id="35" w:name="Telefon" w:colFirst="0" w:colLast="0"/>
                                <w:bookmarkEnd w:id="34"/>
                              </w:p>
                            </w:tc>
                          </w:tr>
                          <w:tr w:rsidR="00AE281A"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AE281A" w:rsidRDefault="00AE281A" w:rsidP="00A32AD7">
                                <w:pPr>
                                  <w:pStyle w:val="Template-Adresse"/>
                                </w:pPr>
                                <w:bookmarkStart w:id="36" w:name="Mail_Web" w:colFirst="0" w:colLast="0"/>
                                <w:bookmarkEnd w:id="35"/>
                              </w:p>
                            </w:tc>
                          </w:tr>
                          <w:tr w:rsidR="00AE281A"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AE281A" w:rsidRDefault="00AE281A" w:rsidP="00A32AD7">
                                <w:pPr>
                                  <w:pStyle w:val="Template-Adresse"/>
                                </w:pPr>
                              </w:p>
                            </w:tc>
                          </w:tr>
                          <w:bookmarkEnd w:id="36"/>
                        </w:tbl>
                        <w:p w14:paraId="204031C3" w14:textId="77777777" w:rsidR="00AE281A" w:rsidRDefault="00AE281A"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76FCD" id="_x0000_t202" coordsize="21600,21600" o:spt="202" path="m,l,21600r21600,l21600,xe">
              <v:stroke joinstyle="miter"/>
              <v:path gradientshapeok="t" o:connecttype="rect"/>
            </v:shapetype>
            <v:shape id="kolofon" o:spid="_x0000_s1026"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AE281A"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AE281A" w:rsidRPr="00447719" w:rsidRDefault="00AE281A" w:rsidP="00A32AD7">
                          <w:pPr>
                            <w:pStyle w:val="Ministernavn"/>
                          </w:pPr>
                          <w:bookmarkStart w:id="37" w:name="Ministernavn" w:colFirst="0" w:colLast="0"/>
                        </w:p>
                      </w:tc>
                    </w:tr>
                    <w:tr w:rsidR="00AE281A"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AE281A" w:rsidRDefault="00AE281A" w:rsidP="00447719">
                          <w:pPr>
                            <w:pStyle w:val="Template-Adresse"/>
                          </w:pPr>
                          <w:bookmarkStart w:id="38" w:name="AfstandFørDato" w:colFirst="0" w:colLast="0"/>
                          <w:bookmarkEnd w:id="37"/>
                        </w:p>
                      </w:tc>
                    </w:tr>
                    <w:tr w:rsidR="00AE281A"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AE281A" w:rsidRDefault="00AE281A" w:rsidP="00447719">
                          <w:pPr>
                            <w:pStyle w:val="Template-Adresse"/>
                          </w:pPr>
                          <w:bookmarkStart w:id="39" w:name="Adresse" w:colFirst="0" w:colLast="0"/>
                          <w:bookmarkEnd w:id="38"/>
                        </w:p>
                      </w:tc>
                    </w:tr>
                    <w:tr w:rsidR="00AE281A"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AE281A" w:rsidRDefault="00AE281A" w:rsidP="00447719">
                          <w:pPr>
                            <w:pStyle w:val="Template-Adresse"/>
                          </w:pPr>
                          <w:bookmarkStart w:id="40" w:name="AfstandFørTelefon" w:colFirst="0" w:colLast="0"/>
                          <w:bookmarkEnd w:id="39"/>
                        </w:p>
                      </w:tc>
                    </w:tr>
                    <w:tr w:rsidR="00AE281A"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AE281A" w:rsidRDefault="00AE281A" w:rsidP="00447719">
                          <w:pPr>
                            <w:pStyle w:val="Template-Adresse"/>
                          </w:pPr>
                          <w:bookmarkStart w:id="41" w:name="Telefon" w:colFirst="0" w:colLast="0"/>
                          <w:bookmarkEnd w:id="40"/>
                        </w:p>
                      </w:tc>
                    </w:tr>
                    <w:tr w:rsidR="00AE281A"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AE281A" w:rsidRDefault="00AE281A" w:rsidP="00A32AD7">
                          <w:pPr>
                            <w:pStyle w:val="Template-Adresse"/>
                          </w:pPr>
                          <w:bookmarkStart w:id="42" w:name="Mail_Web" w:colFirst="0" w:colLast="0"/>
                          <w:bookmarkEnd w:id="41"/>
                        </w:p>
                      </w:tc>
                    </w:tr>
                    <w:tr w:rsidR="00AE281A"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AE281A" w:rsidRDefault="00AE281A" w:rsidP="00A32AD7">
                          <w:pPr>
                            <w:pStyle w:val="Template-Adresse"/>
                          </w:pPr>
                        </w:p>
                      </w:tc>
                    </w:tr>
                    <w:bookmarkEnd w:id="42"/>
                  </w:tbl>
                  <w:p w14:paraId="204031C3" w14:textId="77777777" w:rsidR="00AE281A" w:rsidRDefault="00AE281A"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E9F21A"/>
    <w:multiLevelType w:val="hybridMultilevel"/>
    <w:tmpl w:val="42BB00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5E81F6"/>
    <w:multiLevelType w:val="hybridMultilevel"/>
    <w:tmpl w:val="03EBD0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5C540F"/>
    <w:multiLevelType w:val="hybridMultilevel"/>
    <w:tmpl w:val="1C38E7D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 w15:restartNumberingAfterBreak="0">
    <w:nsid w:val="01F94B92"/>
    <w:multiLevelType w:val="hybridMultilevel"/>
    <w:tmpl w:val="00F868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327095"/>
    <w:multiLevelType w:val="hybridMultilevel"/>
    <w:tmpl w:val="C21646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65222FB"/>
    <w:multiLevelType w:val="hybridMultilevel"/>
    <w:tmpl w:val="7E0026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C500A7B"/>
    <w:multiLevelType w:val="hybridMultilevel"/>
    <w:tmpl w:val="8E8C24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29D3024"/>
    <w:multiLevelType w:val="hybridMultilevel"/>
    <w:tmpl w:val="35823622"/>
    <w:lvl w:ilvl="0" w:tplc="3B36E71E">
      <w:start w:val="1"/>
      <w:numFmt w:val="decimal"/>
      <w:lvlText w:val="%1."/>
      <w:lvlJc w:val="left"/>
      <w:pPr>
        <w:ind w:left="1020" w:hanging="360"/>
      </w:pPr>
    </w:lvl>
    <w:lvl w:ilvl="1" w:tplc="1E9A3C92">
      <w:start w:val="1"/>
      <w:numFmt w:val="decimal"/>
      <w:lvlText w:val="%2."/>
      <w:lvlJc w:val="left"/>
      <w:pPr>
        <w:ind w:left="1020" w:hanging="360"/>
      </w:pPr>
    </w:lvl>
    <w:lvl w:ilvl="2" w:tplc="35C8BB30">
      <w:start w:val="1"/>
      <w:numFmt w:val="decimal"/>
      <w:lvlText w:val="%3."/>
      <w:lvlJc w:val="left"/>
      <w:pPr>
        <w:ind w:left="1020" w:hanging="360"/>
      </w:pPr>
    </w:lvl>
    <w:lvl w:ilvl="3" w:tplc="A0601658">
      <w:start w:val="1"/>
      <w:numFmt w:val="decimal"/>
      <w:lvlText w:val="%4."/>
      <w:lvlJc w:val="left"/>
      <w:pPr>
        <w:ind w:left="1020" w:hanging="360"/>
      </w:pPr>
    </w:lvl>
    <w:lvl w:ilvl="4" w:tplc="8ADEDF7E">
      <w:start w:val="1"/>
      <w:numFmt w:val="decimal"/>
      <w:lvlText w:val="%5."/>
      <w:lvlJc w:val="left"/>
      <w:pPr>
        <w:ind w:left="1020" w:hanging="360"/>
      </w:pPr>
    </w:lvl>
    <w:lvl w:ilvl="5" w:tplc="6344AED6">
      <w:start w:val="1"/>
      <w:numFmt w:val="decimal"/>
      <w:lvlText w:val="%6."/>
      <w:lvlJc w:val="left"/>
      <w:pPr>
        <w:ind w:left="1020" w:hanging="360"/>
      </w:pPr>
    </w:lvl>
    <w:lvl w:ilvl="6" w:tplc="F7FE8EA6">
      <w:start w:val="1"/>
      <w:numFmt w:val="decimal"/>
      <w:lvlText w:val="%7."/>
      <w:lvlJc w:val="left"/>
      <w:pPr>
        <w:ind w:left="1020" w:hanging="360"/>
      </w:pPr>
    </w:lvl>
    <w:lvl w:ilvl="7" w:tplc="029097B8">
      <w:start w:val="1"/>
      <w:numFmt w:val="decimal"/>
      <w:lvlText w:val="%8."/>
      <w:lvlJc w:val="left"/>
      <w:pPr>
        <w:ind w:left="1020" w:hanging="360"/>
      </w:pPr>
    </w:lvl>
    <w:lvl w:ilvl="8" w:tplc="FC54D0AE">
      <w:start w:val="1"/>
      <w:numFmt w:val="decimal"/>
      <w:lvlText w:val="%9."/>
      <w:lvlJc w:val="left"/>
      <w:pPr>
        <w:ind w:left="1020" w:hanging="360"/>
      </w:pPr>
    </w:lvl>
  </w:abstractNum>
  <w:num w:numId="1">
    <w:abstractNumId w:val="5"/>
  </w:num>
  <w:num w:numId="2">
    <w:abstractNumId w:val="7"/>
  </w:num>
  <w:num w:numId="3">
    <w:abstractNumId w:val="2"/>
  </w:num>
  <w:num w:numId="4">
    <w:abstractNumId w:val="5"/>
  </w:num>
  <w:num w:numId="5">
    <w:abstractNumId w:val="4"/>
  </w:num>
  <w:num w:numId="6">
    <w:abstractNumId w:val="6"/>
  </w:num>
  <w:num w:numId="7">
    <w:abstractNumId w:val="3"/>
  </w:num>
  <w:num w:numId="8">
    <w:abstractNumId w:val="8"/>
  </w:num>
  <w:num w:numId="9">
    <w:abstractNumId w:val="0"/>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E4"/>
    <w:rsid w:val="00016421"/>
    <w:rsid w:val="00021748"/>
    <w:rsid w:val="00034F5F"/>
    <w:rsid w:val="00043ACE"/>
    <w:rsid w:val="00052A42"/>
    <w:rsid w:val="000530EA"/>
    <w:rsid w:val="00055044"/>
    <w:rsid w:val="00061AE8"/>
    <w:rsid w:val="00062009"/>
    <w:rsid w:val="000B02E8"/>
    <w:rsid w:val="000B05E0"/>
    <w:rsid w:val="000C56EA"/>
    <w:rsid w:val="000D6EFE"/>
    <w:rsid w:val="000D7C3F"/>
    <w:rsid w:val="000E3C87"/>
    <w:rsid w:val="000F3CD3"/>
    <w:rsid w:val="000F444B"/>
    <w:rsid w:val="00102E61"/>
    <w:rsid w:val="00103517"/>
    <w:rsid w:val="00107FA5"/>
    <w:rsid w:val="00114B55"/>
    <w:rsid w:val="00116C26"/>
    <w:rsid w:val="001278C7"/>
    <w:rsid w:val="00133D52"/>
    <w:rsid w:val="00151EE5"/>
    <w:rsid w:val="00166E12"/>
    <w:rsid w:val="00170437"/>
    <w:rsid w:val="00185859"/>
    <w:rsid w:val="0019641B"/>
    <w:rsid w:val="001A1309"/>
    <w:rsid w:val="001B253F"/>
    <w:rsid w:val="001C5895"/>
    <w:rsid w:val="001D31D5"/>
    <w:rsid w:val="001E4B9B"/>
    <w:rsid w:val="001E69D1"/>
    <w:rsid w:val="0021247A"/>
    <w:rsid w:val="00213607"/>
    <w:rsid w:val="00224DF9"/>
    <w:rsid w:val="00226B28"/>
    <w:rsid w:val="0024065A"/>
    <w:rsid w:val="00252317"/>
    <w:rsid w:val="00256B21"/>
    <w:rsid w:val="0025719F"/>
    <w:rsid w:val="002632FC"/>
    <w:rsid w:val="0027154C"/>
    <w:rsid w:val="00277ADB"/>
    <w:rsid w:val="00294439"/>
    <w:rsid w:val="002A0B45"/>
    <w:rsid w:val="002A1483"/>
    <w:rsid w:val="002D3129"/>
    <w:rsid w:val="002F2B98"/>
    <w:rsid w:val="002F4BFB"/>
    <w:rsid w:val="003023D1"/>
    <w:rsid w:val="00307073"/>
    <w:rsid w:val="003243C9"/>
    <w:rsid w:val="00330B03"/>
    <w:rsid w:val="00334AE0"/>
    <w:rsid w:val="003370DF"/>
    <w:rsid w:val="00340CEF"/>
    <w:rsid w:val="003441BE"/>
    <w:rsid w:val="00345EB2"/>
    <w:rsid w:val="003508AD"/>
    <w:rsid w:val="00353737"/>
    <w:rsid w:val="0036246E"/>
    <w:rsid w:val="0037357C"/>
    <w:rsid w:val="00374082"/>
    <w:rsid w:val="00377BF5"/>
    <w:rsid w:val="00383EB6"/>
    <w:rsid w:val="00397EBF"/>
    <w:rsid w:val="003A4EFE"/>
    <w:rsid w:val="003B3C77"/>
    <w:rsid w:val="003B6DDA"/>
    <w:rsid w:val="003C1BF3"/>
    <w:rsid w:val="003C756E"/>
    <w:rsid w:val="003D44E4"/>
    <w:rsid w:val="003E4227"/>
    <w:rsid w:val="003E582D"/>
    <w:rsid w:val="003F43B5"/>
    <w:rsid w:val="003F55B8"/>
    <w:rsid w:val="004002F2"/>
    <w:rsid w:val="00405341"/>
    <w:rsid w:val="004204A5"/>
    <w:rsid w:val="00421E8A"/>
    <w:rsid w:val="004275D1"/>
    <w:rsid w:val="00441A40"/>
    <w:rsid w:val="00447719"/>
    <w:rsid w:val="0045753E"/>
    <w:rsid w:val="004639E2"/>
    <w:rsid w:val="00464E39"/>
    <w:rsid w:val="004772BA"/>
    <w:rsid w:val="00477E19"/>
    <w:rsid w:val="00485C43"/>
    <w:rsid w:val="004951EC"/>
    <w:rsid w:val="004B5A47"/>
    <w:rsid w:val="004C570F"/>
    <w:rsid w:val="004D6A46"/>
    <w:rsid w:val="004F33E7"/>
    <w:rsid w:val="004F5D4A"/>
    <w:rsid w:val="00515B1F"/>
    <w:rsid w:val="00530A37"/>
    <w:rsid w:val="005425FF"/>
    <w:rsid w:val="005740FB"/>
    <w:rsid w:val="005B027F"/>
    <w:rsid w:val="005B126C"/>
    <w:rsid w:val="005B5B0B"/>
    <w:rsid w:val="005B5BDB"/>
    <w:rsid w:val="005C484C"/>
    <w:rsid w:val="005D15D6"/>
    <w:rsid w:val="005D173D"/>
    <w:rsid w:val="005D330E"/>
    <w:rsid w:val="005D3BF3"/>
    <w:rsid w:val="005E0353"/>
    <w:rsid w:val="005E30A0"/>
    <w:rsid w:val="005E394C"/>
    <w:rsid w:val="005E4A2D"/>
    <w:rsid w:val="005E5363"/>
    <w:rsid w:val="005F3C36"/>
    <w:rsid w:val="005F73D8"/>
    <w:rsid w:val="00616D97"/>
    <w:rsid w:val="00617895"/>
    <w:rsid w:val="00625D27"/>
    <w:rsid w:val="00630E97"/>
    <w:rsid w:val="00640F19"/>
    <w:rsid w:val="006430F5"/>
    <w:rsid w:val="0066548A"/>
    <w:rsid w:val="00690909"/>
    <w:rsid w:val="00692277"/>
    <w:rsid w:val="006A117C"/>
    <w:rsid w:val="006A1325"/>
    <w:rsid w:val="006A1DCB"/>
    <w:rsid w:val="006B3847"/>
    <w:rsid w:val="006E1899"/>
    <w:rsid w:val="006E6670"/>
    <w:rsid w:val="006F0AA7"/>
    <w:rsid w:val="006F67A1"/>
    <w:rsid w:val="006F6CD0"/>
    <w:rsid w:val="00702228"/>
    <w:rsid w:val="00723CCD"/>
    <w:rsid w:val="007302E0"/>
    <w:rsid w:val="00730564"/>
    <w:rsid w:val="0073127D"/>
    <w:rsid w:val="0074238B"/>
    <w:rsid w:val="00745BE4"/>
    <w:rsid w:val="00752F78"/>
    <w:rsid w:val="00757C21"/>
    <w:rsid w:val="00766FAD"/>
    <w:rsid w:val="00771A25"/>
    <w:rsid w:val="00782495"/>
    <w:rsid w:val="00795D4D"/>
    <w:rsid w:val="007B7B63"/>
    <w:rsid w:val="007C0F16"/>
    <w:rsid w:val="007C3067"/>
    <w:rsid w:val="007C69C4"/>
    <w:rsid w:val="007D5C57"/>
    <w:rsid w:val="007D6620"/>
    <w:rsid w:val="007D7CE2"/>
    <w:rsid w:val="007E0EA1"/>
    <w:rsid w:val="007E15A6"/>
    <w:rsid w:val="007E355D"/>
    <w:rsid w:val="007F1F50"/>
    <w:rsid w:val="007F48D0"/>
    <w:rsid w:val="007F555F"/>
    <w:rsid w:val="00804A4B"/>
    <w:rsid w:val="008050A9"/>
    <w:rsid w:val="00806622"/>
    <w:rsid w:val="008136BE"/>
    <w:rsid w:val="008164BF"/>
    <w:rsid w:val="00820B67"/>
    <w:rsid w:val="0083364B"/>
    <w:rsid w:val="00836576"/>
    <w:rsid w:val="008535BC"/>
    <w:rsid w:val="0085516A"/>
    <w:rsid w:val="0087651B"/>
    <w:rsid w:val="00885CFB"/>
    <w:rsid w:val="008912FD"/>
    <w:rsid w:val="008953DC"/>
    <w:rsid w:val="008A30C6"/>
    <w:rsid w:val="008A4849"/>
    <w:rsid w:val="008A5EAA"/>
    <w:rsid w:val="008B04D1"/>
    <w:rsid w:val="008B2837"/>
    <w:rsid w:val="008D2628"/>
    <w:rsid w:val="008F7E27"/>
    <w:rsid w:val="009021CB"/>
    <w:rsid w:val="0090472D"/>
    <w:rsid w:val="00935DD1"/>
    <w:rsid w:val="00936696"/>
    <w:rsid w:val="00944FE4"/>
    <w:rsid w:val="00994F63"/>
    <w:rsid w:val="009978E9"/>
    <w:rsid w:val="00997E41"/>
    <w:rsid w:val="009A1D62"/>
    <w:rsid w:val="009A3416"/>
    <w:rsid w:val="009A37B2"/>
    <w:rsid w:val="009A50EF"/>
    <w:rsid w:val="009C2AC5"/>
    <w:rsid w:val="009D6F99"/>
    <w:rsid w:val="009E0D9C"/>
    <w:rsid w:val="009E5F71"/>
    <w:rsid w:val="009F2D78"/>
    <w:rsid w:val="00A02DFA"/>
    <w:rsid w:val="00A05213"/>
    <w:rsid w:val="00A2528E"/>
    <w:rsid w:val="00A32AD7"/>
    <w:rsid w:val="00A46F2B"/>
    <w:rsid w:val="00A519EC"/>
    <w:rsid w:val="00A56EBB"/>
    <w:rsid w:val="00A619E9"/>
    <w:rsid w:val="00A63784"/>
    <w:rsid w:val="00A72094"/>
    <w:rsid w:val="00A817A9"/>
    <w:rsid w:val="00A848BF"/>
    <w:rsid w:val="00AA0C76"/>
    <w:rsid w:val="00AA46C9"/>
    <w:rsid w:val="00AA46DD"/>
    <w:rsid w:val="00AA4AA8"/>
    <w:rsid w:val="00AB1D2D"/>
    <w:rsid w:val="00AB47B7"/>
    <w:rsid w:val="00AD2EA7"/>
    <w:rsid w:val="00AD44A8"/>
    <w:rsid w:val="00AD5F3D"/>
    <w:rsid w:val="00AD602E"/>
    <w:rsid w:val="00AE281A"/>
    <w:rsid w:val="00B06CE9"/>
    <w:rsid w:val="00B13569"/>
    <w:rsid w:val="00B15235"/>
    <w:rsid w:val="00B22A5F"/>
    <w:rsid w:val="00B24EB5"/>
    <w:rsid w:val="00B260EA"/>
    <w:rsid w:val="00B40F49"/>
    <w:rsid w:val="00B45F8E"/>
    <w:rsid w:val="00B60A1B"/>
    <w:rsid w:val="00B6130D"/>
    <w:rsid w:val="00B7452A"/>
    <w:rsid w:val="00B82C3C"/>
    <w:rsid w:val="00B831AF"/>
    <w:rsid w:val="00B85E8E"/>
    <w:rsid w:val="00B94418"/>
    <w:rsid w:val="00BA1F82"/>
    <w:rsid w:val="00BB4BCC"/>
    <w:rsid w:val="00BB58B2"/>
    <w:rsid w:val="00BC02B1"/>
    <w:rsid w:val="00BE543C"/>
    <w:rsid w:val="00BF6DA2"/>
    <w:rsid w:val="00C0593A"/>
    <w:rsid w:val="00C2016A"/>
    <w:rsid w:val="00C21C9A"/>
    <w:rsid w:val="00C23F2A"/>
    <w:rsid w:val="00C26EDD"/>
    <w:rsid w:val="00C34A5A"/>
    <w:rsid w:val="00C60192"/>
    <w:rsid w:val="00C671D3"/>
    <w:rsid w:val="00C736C6"/>
    <w:rsid w:val="00C94C08"/>
    <w:rsid w:val="00CA0161"/>
    <w:rsid w:val="00CA1288"/>
    <w:rsid w:val="00CA2EC9"/>
    <w:rsid w:val="00CA7761"/>
    <w:rsid w:val="00CB054F"/>
    <w:rsid w:val="00CC4256"/>
    <w:rsid w:val="00CC53CB"/>
    <w:rsid w:val="00CD6CE9"/>
    <w:rsid w:val="00CF1E3D"/>
    <w:rsid w:val="00D0532D"/>
    <w:rsid w:val="00D07B60"/>
    <w:rsid w:val="00D237AE"/>
    <w:rsid w:val="00D441AE"/>
    <w:rsid w:val="00D56605"/>
    <w:rsid w:val="00D567DB"/>
    <w:rsid w:val="00D670AD"/>
    <w:rsid w:val="00D84AC5"/>
    <w:rsid w:val="00D946E8"/>
    <w:rsid w:val="00D94B80"/>
    <w:rsid w:val="00DB558C"/>
    <w:rsid w:val="00DC5B8A"/>
    <w:rsid w:val="00DE697D"/>
    <w:rsid w:val="00DF2480"/>
    <w:rsid w:val="00E034A2"/>
    <w:rsid w:val="00E14923"/>
    <w:rsid w:val="00E36770"/>
    <w:rsid w:val="00E4426F"/>
    <w:rsid w:val="00E538A1"/>
    <w:rsid w:val="00E56E39"/>
    <w:rsid w:val="00E65EC0"/>
    <w:rsid w:val="00E74E0F"/>
    <w:rsid w:val="00E847DB"/>
    <w:rsid w:val="00E857AD"/>
    <w:rsid w:val="00EA2DFA"/>
    <w:rsid w:val="00EA6C94"/>
    <w:rsid w:val="00EC2FAD"/>
    <w:rsid w:val="00EC7CF6"/>
    <w:rsid w:val="00EE639E"/>
    <w:rsid w:val="00F07F9C"/>
    <w:rsid w:val="00F360FC"/>
    <w:rsid w:val="00F47FD8"/>
    <w:rsid w:val="00F63CA7"/>
    <w:rsid w:val="00F673D0"/>
    <w:rsid w:val="00F72D04"/>
    <w:rsid w:val="00F76437"/>
    <w:rsid w:val="00F77344"/>
    <w:rsid w:val="00F93E81"/>
    <w:rsid w:val="00F96D54"/>
    <w:rsid w:val="00FA6734"/>
    <w:rsid w:val="00FA7A57"/>
    <w:rsid w:val="00FD4B9D"/>
    <w:rsid w:val="00FE398C"/>
    <w:rsid w:val="00FF634D"/>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5E13"/>
  <w15:docId w15:val="{AE9C76A6-CE83-4301-B561-A5B90F62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4B5A47"/>
    <w:pPr>
      <w:outlineLvl w:val="0"/>
    </w:pPr>
    <w:rPr>
      <w:rFonts w:ascii="Georgia" w:eastAsia="Times New Roman" w:hAnsi="Georgia"/>
      <w:b/>
      <w:color w:val="auto"/>
    </w:rPr>
  </w:style>
  <w:style w:type="paragraph" w:styleId="Overskrift2">
    <w:name w:val="heading 2"/>
    <w:basedOn w:val="Normal"/>
    <w:next w:val="Normal"/>
    <w:link w:val="Overskrift2Tegn"/>
    <w:qFormat/>
    <w:rsid w:val="004B5A47"/>
    <w:pPr>
      <w:outlineLvl w:val="1"/>
    </w:pPr>
    <w:rPr>
      <w:rFonts w:ascii="Georgia" w:eastAsia="Times New Roman" w:hAnsi="Georgia"/>
      <w:i/>
      <w:color w:val="auto"/>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99"/>
    <w:rsid w:val="00021748"/>
    <w:rPr>
      <w:rFonts w:ascii="Georgia" w:hAnsi="Georgia"/>
      <w:color w:val="0000FF"/>
      <w:u w:val="single"/>
    </w:rPr>
  </w:style>
  <w:style w:type="paragraph" w:styleId="Indholdsfortegnelse1">
    <w:name w:val="toc 1"/>
    <w:basedOn w:val="Normal"/>
    <w:next w:val="Normal"/>
    <w:autoRedefine/>
    <w:uiPriority w:val="39"/>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qFormat/>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4B5A47"/>
    <w:rPr>
      <w:rFonts w:ascii="Georgia" w:eastAsia="Times New Roman" w:hAnsi="Georgia" w:cs="Georgia"/>
      <w:b/>
      <w:sz w:val="21"/>
      <w:szCs w:val="21"/>
    </w:rPr>
  </w:style>
  <w:style w:type="paragraph" w:styleId="Overskrift">
    <w:name w:val="TOC Heading"/>
    <w:basedOn w:val="Overskrift1"/>
    <w:next w:val="Normal"/>
    <w:uiPriority w:val="39"/>
    <w:unhideWhenUsed/>
    <w:qFormat/>
    <w:rsid w:val="00021748"/>
    <w:pPr>
      <w:outlineLvl w:val="9"/>
    </w:pPr>
  </w:style>
  <w:style w:type="character" w:customStyle="1" w:styleId="Overskrift2Tegn">
    <w:name w:val="Overskrift 2 Tegn"/>
    <w:basedOn w:val="Standardskrifttypeiafsnit"/>
    <w:link w:val="Overskrift2"/>
    <w:rsid w:val="004B5A47"/>
    <w:rPr>
      <w:rFonts w:ascii="Georgia" w:eastAsia="Times New Roman" w:hAnsi="Georgia" w:cs="Georgia"/>
      <w:i/>
      <w:sz w:val="21"/>
      <w:szCs w:val="21"/>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uiPriority w:val="59"/>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table" w:customStyle="1" w:styleId="Tabel-Gitter0TRM1">
    <w:name w:val="Tabel - Gitter 0 TRM1"/>
    <w:basedOn w:val="Tabel-Normal"/>
    <w:rsid w:val="00745BE4"/>
    <w:pPr>
      <w:spacing w:after="0" w:line="240" w:lineRule="auto"/>
      <w:jc w:val="right"/>
    </w:pPr>
    <w:rPr>
      <w:rFonts w:ascii="Georgia" w:eastAsia="Times New Roman" w:hAnsi="Georgia" w:cs="Times New Roman"/>
      <w:color w:val="0D0D0D"/>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character" w:styleId="Kommentarhenvisning">
    <w:name w:val="annotation reference"/>
    <w:basedOn w:val="Standardskrifttypeiafsnit"/>
    <w:uiPriority w:val="99"/>
    <w:semiHidden/>
    <w:unhideWhenUsed/>
    <w:rsid w:val="0019641B"/>
    <w:rPr>
      <w:sz w:val="16"/>
      <w:szCs w:val="16"/>
    </w:rPr>
  </w:style>
  <w:style w:type="paragraph" w:styleId="Kommentartekst">
    <w:name w:val="annotation text"/>
    <w:basedOn w:val="Normal"/>
    <w:link w:val="KommentartekstTegn"/>
    <w:uiPriority w:val="99"/>
    <w:unhideWhenUsed/>
    <w:rsid w:val="0019641B"/>
    <w:pPr>
      <w:spacing w:line="240" w:lineRule="auto"/>
    </w:pPr>
    <w:rPr>
      <w:sz w:val="20"/>
      <w:szCs w:val="20"/>
    </w:rPr>
  </w:style>
  <w:style w:type="character" w:customStyle="1" w:styleId="KommentartekstTegn">
    <w:name w:val="Kommentartekst Tegn"/>
    <w:basedOn w:val="Standardskrifttypeiafsnit"/>
    <w:link w:val="Kommentartekst"/>
    <w:uiPriority w:val="99"/>
    <w:rsid w:val="0019641B"/>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19641B"/>
    <w:rPr>
      <w:b/>
      <w:bCs/>
    </w:rPr>
  </w:style>
  <w:style w:type="character" w:customStyle="1" w:styleId="KommentaremneTegn">
    <w:name w:val="Kommentaremne Tegn"/>
    <w:basedOn w:val="KommentartekstTegn"/>
    <w:link w:val="Kommentaremne"/>
    <w:uiPriority w:val="99"/>
    <w:semiHidden/>
    <w:rsid w:val="0019641B"/>
    <w:rPr>
      <w:rFonts w:eastAsiaTheme="minorEastAsia" w:cs="Georgia"/>
      <w:b/>
      <w:bCs/>
      <w:color w:val="0D0D0D" w:themeColor="text1" w:themeTint="F2"/>
      <w:sz w:val="20"/>
      <w:szCs w:val="20"/>
    </w:rPr>
  </w:style>
  <w:style w:type="paragraph" w:styleId="Korrektur">
    <w:name w:val="Revision"/>
    <w:hidden/>
    <w:uiPriority w:val="99"/>
    <w:semiHidden/>
    <w:rsid w:val="0019641B"/>
    <w:pPr>
      <w:spacing w:after="0" w:line="240" w:lineRule="auto"/>
    </w:pPr>
    <w:rPr>
      <w:rFonts w:eastAsiaTheme="minorEastAsia" w:cs="Georgia"/>
      <w:color w:val="0D0D0D" w:themeColor="text1" w:themeTint="F2"/>
      <w:sz w:val="21"/>
      <w:szCs w:val="21"/>
    </w:rPr>
  </w:style>
  <w:style w:type="paragraph" w:styleId="Indholdsfortegnelse2">
    <w:name w:val="toc 2"/>
    <w:basedOn w:val="Normal"/>
    <w:next w:val="Normal"/>
    <w:autoRedefine/>
    <w:uiPriority w:val="39"/>
    <w:unhideWhenUsed/>
    <w:rsid w:val="004B5A47"/>
    <w:pPr>
      <w:spacing w:after="100"/>
      <w:ind w:left="210"/>
    </w:pPr>
  </w:style>
  <w:style w:type="character" w:customStyle="1" w:styleId="cf01">
    <w:name w:val="cf01"/>
    <w:basedOn w:val="Standardskrifttypeiafsnit"/>
    <w:rsid w:val="00804A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47531">
      <w:bodyDiv w:val="1"/>
      <w:marLeft w:val="0"/>
      <w:marRight w:val="0"/>
      <w:marTop w:val="0"/>
      <w:marBottom w:val="0"/>
      <w:divBdr>
        <w:top w:val="none" w:sz="0" w:space="0" w:color="auto"/>
        <w:left w:val="none" w:sz="0" w:space="0" w:color="auto"/>
        <w:bottom w:val="none" w:sz="0" w:space="0" w:color="auto"/>
        <w:right w:val="none" w:sz="0" w:space="0" w:color="auto"/>
      </w:divBdr>
    </w:div>
    <w:div w:id="852450490">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210510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3A8D-4CCB-4A98-894E-08423946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32</Pages>
  <Words>7746</Words>
  <Characters>47252</Characters>
  <Application>Microsoft Office Word</Application>
  <DocSecurity>0</DocSecurity>
  <Lines>393</Lines>
  <Paragraphs>109</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54889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TRM Mathias Volmer Pedersen</dc:creator>
  <cp:lastModifiedBy>Simone Ritter</cp:lastModifiedBy>
  <cp:revision>22</cp:revision>
  <cp:lastPrinted>2024-08-26T08:34:00Z</cp:lastPrinted>
  <dcterms:created xsi:type="dcterms:W3CDTF">2024-08-28T12:04:00Z</dcterms:created>
  <dcterms:modified xsi:type="dcterms:W3CDTF">2024-09-24T19:16:00Z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ies>
</file>