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A3E59" w14:textId="77777777" w:rsidR="00043B6E" w:rsidRDefault="00043B6E" w:rsidP="00780E58">
      <w:pPr>
        <w:pStyle w:val="Overskrift1"/>
        <w:jc w:val="center"/>
      </w:pPr>
      <w:r>
        <w:t>Kommenteret høringsoversigt</w:t>
      </w:r>
    </w:p>
    <w:p w14:paraId="0BF540C2" w14:textId="77777777" w:rsidR="00043B6E" w:rsidRDefault="00043B6E" w:rsidP="00780E58">
      <w:pPr>
        <w:pStyle w:val="Overskrift1"/>
        <w:jc w:val="center"/>
      </w:pPr>
    </w:p>
    <w:p w14:paraId="74E32617" w14:textId="7223C9A6" w:rsidR="00307B29" w:rsidRDefault="00780E58" w:rsidP="00780E58">
      <w:pPr>
        <w:jc w:val="center"/>
      </w:pPr>
      <w:proofErr w:type="gramStart"/>
      <w:r>
        <w:t>t</w:t>
      </w:r>
      <w:r w:rsidR="00043B6E">
        <w:t>il</w:t>
      </w:r>
      <w:proofErr w:type="gramEnd"/>
      <w:r w:rsidR="00043B6E">
        <w:t xml:space="preserve"> udkast til lovforslag om etablering af en ordning for borgerforslag med henb</w:t>
      </w:r>
      <w:r>
        <w:t>lik på behandling i Folketinget og bekendtgørelse om en ordning for borgerforslag med henblik på behandling i Folketinget</w:t>
      </w:r>
    </w:p>
    <w:p w14:paraId="4FBA1E23" w14:textId="77777777" w:rsidR="00780E58" w:rsidRDefault="00780E58" w:rsidP="00780E58">
      <w:pPr>
        <w:jc w:val="center"/>
      </w:pPr>
    </w:p>
    <w:p w14:paraId="322305E6" w14:textId="77777777" w:rsidR="00780E58" w:rsidRDefault="00780E58" w:rsidP="00043B6E"/>
    <w:p w14:paraId="42E5DBF7" w14:textId="77777777" w:rsidR="00043B6E" w:rsidRDefault="00043B6E" w:rsidP="00043B6E"/>
    <w:p w14:paraId="47ECBE69" w14:textId="664F7BD7" w:rsidR="00EE0F09" w:rsidRDefault="00EE0F09" w:rsidP="00043B6E">
      <w:pPr>
        <w:rPr>
          <w:b/>
        </w:rPr>
      </w:pPr>
      <w:r w:rsidRPr="00EE0F09">
        <w:rPr>
          <w:b/>
        </w:rPr>
        <w:t>Høring over udkastene til lovforslag og bekendtgørelse</w:t>
      </w:r>
    </w:p>
    <w:p w14:paraId="73F64271" w14:textId="77777777" w:rsidR="0075594A" w:rsidRDefault="0075594A" w:rsidP="00043B6E"/>
    <w:p w14:paraId="423854ED" w14:textId="2645341B" w:rsidR="00E10998" w:rsidRDefault="00780E58" w:rsidP="00043B6E">
      <w:r>
        <w:t xml:space="preserve">Et udkast til </w:t>
      </w:r>
      <w:r w:rsidR="00043B6E">
        <w:t>forslag til lov om etablering af en ordning for borgerforslag med henb</w:t>
      </w:r>
      <w:r>
        <w:t xml:space="preserve">lik på behandling i Folketinget </w:t>
      </w:r>
      <w:r w:rsidR="001868EF">
        <w:t>samt</w:t>
      </w:r>
      <w:r>
        <w:t xml:space="preserve"> et </w:t>
      </w:r>
      <w:r w:rsidR="00043B6E">
        <w:t>udkast til bekendtgørelse om en ordning for borgerforslag med henblik på behandling</w:t>
      </w:r>
      <w:r w:rsidR="001868EF">
        <w:t xml:space="preserve"> i Folketinget, som påtænkes udstedt med hjemmel i loven</w:t>
      </w:r>
      <w:r w:rsidR="00020C2C">
        <w:t>,</w:t>
      </w:r>
      <w:r>
        <w:t xml:space="preserve"> har i perioden fra den 3. oktober 2017 til den 31. oktober 2017 </w:t>
      </w:r>
      <w:r w:rsidR="00E10998">
        <w:t xml:space="preserve">været sendt i høring hos følgende myndigheder og organisationer: </w:t>
      </w:r>
    </w:p>
    <w:p w14:paraId="685E9669" w14:textId="77777777" w:rsidR="00E10998" w:rsidRDefault="00E10998" w:rsidP="00043B6E"/>
    <w:p w14:paraId="02AA453F" w14:textId="7FE1FAB1" w:rsidR="00E10998" w:rsidRDefault="00E10998" w:rsidP="00E10998">
      <w:r>
        <w:t>Økonomi- og Indenrigsministeriet</w:t>
      </w:r>
      <w:r w:rsidR="001868EF">
        <w:t xml:space="preserve">, </w:t>
      </w:r>
      <w:r>
        <w:t>Datatilsynet</w:t>
      </w:r>
      <w:r w:rsidR="001868EF">
        <w:t xml:space="preserve">, </w:t>
      </w:r>
      <w:r>
        <w:t>Digitaliseringsstyrelsen</w:t>
      </w:r>
      <w:r w:rsidR="001868EF">
        <w:t xml:space="preserve">, </w:t>
      </w:r>
      <w:r>
        <w:t>Danske Regioner</w:t>
      </w:r>
      <w:r w:rsidR="001868EF">
        <w:t xml:space="preserve">, </w:t>
      </w:r>
      <w:r>
        <w:t>KL</w:t>
      </w:r>
      <w:r w:rsidR="001868EF">
        <w:t xml:space="preserve">, </w:t>
      </w:r>
      <w:r>
        <w:t>Danske Handicaporganisationer</w:t>
      </w:r>
      <w:r w:rsidR="001868EF">
        <w:t xml:space="preserve"> og </w:t>
      </w:r>
      <w:r>
        <w:t>Ældre</w:t>
      </w:r>
      <w:r w:rsidR="001868EF">
        <w:t xml:space="preserve"> S</w:t>
      </w:r>
      <w:r>
        <w:t>agen</w:t>
      </w:r>
      <w:r w:rsidR="001868EF">
        <w:t xml:space="preserve">. </w:t>
      </w:r>
    </w:p>
    <w:p w14:paraId="72DC3BC2" w14:textId="77777777" w:rsidR="00020C2C" w:rsidRDefault="00020C2C" w:rsidP="00E10998"/>
    <w:p w14:paraId="05ED65BC" w14:textId="7F649245" w:rsidR="00020C2C" w:rsidRDefault="00020C2C" w:rsidP="00E10998">
      <w:r>
        <w:t xml:space="preserve">Høringsmaterialet har i samme periode været i offentlig høring på Høringsportalen. </w:t>
      </w:r>
    </w:p>
    <w:p w14:paraId="7D760B1C" w14:textId="77777777" w:rsidR="00020C2C" w:rsidRDefault="00020C2C" w:rsidP="00E10998"/>
    <w:p w14:paraId="00086E6A" w14:textId="77777777" w:rsidR="0075594A" w:rsidRDefault="0075594A" w:rsidP="00E10998"/>
    <w:p w14:paraId="62610026" w14:textId="124ECC09" w:rsidR="00EE0F09" w:rsidRDefault="00EE0F09" w:rsidP="00E10998">
      <w:pPr>
        <w:rPr>
          <w:b/>
        </w:rPr>
      </w:pPr>
      <w:r>
        <w:rPr>
          <w:b/>
        </w:rPr>
        <w:t>Høringssvarene</w:t>
      </w:r>
    </w:p>
    <w:p w14:paraId="495FECB3" w14:textId="77777777" w:rsidR="0075594A" w:rsidRDefault="0075594A" w:rsidP="00E10998">
      <w:pPr>
        <w:rPr>
          <w:b/>
        </w:rPr>
      </w:pPr>
    </w:p>
    <w:p w14:paraId="08CEA64D" w14:textId="3E4FA26C" w:rsidR="00020C2C" w:rsidRDefault="00020C2C" w:rsidP="00E10998">
      <w:r w:rsidRPr="00020C2C">
        <w:t xml:space="preserve">Der </w:t>
      </w:r>
      <w:r>
        <w:t xml:space="preserve">er modtaget høringssvar fra Økonomi- og Indenrigsministeriet, Datatilsynet, Digitaliseringsstyrelsen, KL, Danske Handicaporganisationer og Ældre Sagen. </w:t>
      </w:r>
      <w:r w:rsidRPr="00020C2C">
        <w:t>Der er ikke modtage</w:t>
      </w:r>
      <w:r>
        <w:t>t høringssv</w:t>
      </w:r>
      <w:r w:rsidR="00EE0F09">
        <w:t>ar fra andre end høringsparter</w:t>
      </w:r>
      <w:r>
        <w:t xml:space="preserve">. </w:t>
      </w:r>
    </w:p>
    <w:p w14:paraId="3D3885E4" w14:textId="77777777" w:rsidR="00EE0F09" w:rsidRDefault="00EE0F09" w:rsidP="00E10998"/>
    <w:p w14:paraId="493D529B" w14:textId="25CB8B19" w:rsidR="00EE0F09" w:rsidRDefault="00527C64" w:rsidP="00E10998">
      <w:r w:rsidRPr="00527C64">
        <w:rPr>
          <w:b/>
        </w:rPr>
        <w:t>Økonomi- og Indenrigsministeriet</w:t>
      </w:r>
      <w:r>
        <w:t xml:space="preserve"> og </w:t>
      </w:r>
      <w:r w:rsidRPr="00527C64">
        <w:rPr>
          <w:b/>
        </w:rPr>
        <w:t>Digitaliseringsstyrelsen</w:t>
      </w:r>
      <w:r>
        <w:t xml:space="preserve"> har oplyst ikke at have bemærkninger til høringen. </w:t>
      </w:r>
    </w:p>
    <w:p w14:paraId="0CA4129B" w14:textId="77777777" w:rsidR="00527C64" w:rsidRDefault="00527C64" w:rsidP="00E10998"/>
    <w:p w14:paraId="0D6A7397" w14:textId="53270A8A" w:rsidR="00527C64" w:rsidRDefault="005F1058" w:rsidP="00E10998">
      <w:r w:rsidRPr="005F1058">
        <w:rPr>
          <w:b/>
        </w:rPr>
        <w:t>Ældre Sagen</w:t>
      </w:r>
      <w:r>
        <w:t xml:space="preserve"> har oplyst, at Ældre Sagen læser med tilfredshed, at der i bekendtgørelsen er fastsat en alternativ fremgangsmåde for personer, der ikke kan eller har mulighed for at benytte den digitale løsning. Ældre Sagen har anført, at det er positivt, at den alternative fremgangs</w:t>
      </w:r>
      <w:r w:rsidR="00704718">
        <w:t xml:space="preserve">måde vil være tilgængelig uden ansøgning om mulighed for at benytte denne fremgangsmåde. </w:t>
      </w:r>
    </w:p>
    <w:p w14:paraId="1BCC416D" w14:textId="77777777" w:rsidR="00704718" w:rsidRDefault="00704718" w:rsidP="00E10998"/>
    <w:p w14:paraId="05F6BEA7" w14:textId="65FCCE27" w:rsidR="00704718" w:rsidRDefault="00704718" w:rsidP="00E10998">
      <w:r>
        <w:t xml:space="preserve">Ældre Sagen har i forlængelse heraf anført, at det er vigtigt, at der i forbindelse med oplysning og vejledning om muligheden for at benytte </w:t>
      </w:r>
      <w:r>
        <w:lastRenderedPageBreak/>
        <w:t xml:space="preserve">borgerforslag.dk også gives en fyldestgørende oplysning om den alternative mulighed og klar information om, hvordan blanketten til formålet rekvireres. </w:t>
      </w:r>
    </w:p>
    <w:p w14:paraId="2E7DA4EE" w14:textId="77777777" w:rsidR="00704718" w:rsidRDefault="00704718" w:rsidP="00E10998"/>
    <w:p w14:paraId="252D147B" w14:textId="1D22E0C4" w:rsidR="00704718" w:rsidRPr="0075594A" w:rsidRDefault="00704718" w:rsidP="00E10998">
      <w:pPr>
        <w:rPr>
          <w:i/>
        </w:rPr>
      </w:pPr>
      <w:r w:rsidRPr="0075594A">
        <w:rPr>
          <w:i/>
        </w:rPr>
        <w:t xml:space="preserve">Det bemærkes til Ældre Sagens høringssvar, at det er hensigten, at der vil blive vejledt </w:t>
      </w:r>
      <w:r w:rsidR="00B910ED" w:rsidRPr="0075594A">
        <w:rPr>
          <w:i/>
        </w:rPr>
        <w:t xml:space="preserve">om den alternative fremgangsmåde for personer, som ikke kan eller har mulighed for at benytte den digitale løsning, både på selve hjemmesiden borgerforslag.dk og i anden information fra Folketinget om ordningen. </w:t>
      </w:r>
    </w:p>
    <w:p w14:paraId="5E157453" w14:textId="77777777" w:rsidR="00B910ED" w:rsidRPr="0075594A" w:rsidRDefault="00B910ED" w:rsidP="00E10998">
      <w:pPr>
        <w:rPr>
          <w:i/>
        </w:rPr>
      </w:pPr>
    </w:p>
    <w:p w14:paraId="781C8C09" w14:textId="34E573F5" w:rsidR="00B910ED" w:rsidRPr="0075594A" w:rsidRDefault="0047486B" w:rsidP="00E10998">
      <w:pPr>
        <w:rPr>
          <w:i/>
        </w:rPr>
      </w:pPr>
      <w:r w:rsidRPr="0075594A">
        <w:rPr>
          <w:i/>
        </w:rPr>
        <w:t>Det er hensigten, at den blanket, der vil skulle benyttes ved den alternative fremgangsmåde, enten vil kunne udskrives</w:t>
      </w:r>
      <w:r w:rsidR="00956345" w:rsidRPr="0075594A">
        <w:rPr>
          <w:i/>
        </w:rPr>
        <w:t xml:space="preserve"> direkte</w:t>
      </w:r>
      <w:r w:rsidRPr="0075594A">
        <w:rPr>
          <w:i/>
        </w:rPr>
        <w:t xml:space="preserve"> fra hjemmesiden borgerforslag.dk eller rekvireres </w:t>
      </w:r>
      <w:r w:rsidR="004B36A6" w:rsidRPr="0075594A">
        <w:rPr>
          <w:i/>
        </w:rPr>
        <w:t xml:space="preserve">fra Folketingets administration </w:t>
      </w:r>
      <w:r w:rsidRPr="0075594A">
        <w:rPr>
          <w:i/>
        </w:rPr>
        <w:t>pr. e-mail eller pr</w:t>
      </w:r>
      <w:r w:rsidR="004B36A6" w:rsidRPr="0075594A">
        <w:rPr>
          <w:i/>
        </w:rPr>
        <w:t>. post</w:t>
      </w:r>
      <w:r w:rsidR="00F33FE0" w:rsidRPr="0075594A">
        <w:rPr>
          <w:i/>
        </w:rPr>
        <w:t xml:space="preserve">. Det vil kunne ske ved henvendelse </w:t>
      </w:r>
      <w:r w:rsidR="004B36A6" w:rsidRPr="0075594A">
        <w:rPr>
          <w:i/>
        </w:rPr>
        <w:t>pr. e-mail, post eller telefon.</w:t>
      </w:r>
      <w:r w:rsidRPr="0075594A">
        <w:rPr>
          <w:i/>
        </w:rPr>
        <w:t xml:space="preserve"> </w:t>
      </w:r>
      <w:r w:rsidR="00956345" w:rsidRPr="0075594A">
        <w:rPr>
          <w:i/>
        </w:rPr>
        <w:t xml:space="preserve">Den udfyldte blanket vil kunne sendes til Folketingets administration enten pr. e-mail eller pr. post. </w:t>
      </w:r>
    </w:p>
    <w:p w14:paraId="2BFB57AD" w14:textId="77777777" w:rsidR="00956345" w:rsidRDefault="00956345" w:rsidP="00E10998"/>
    <w:p w14:paraId="25B86276" w14:textId="4CCE2981" w:rsidR="00956345" w:rsidRPr="00956345" w:rsidRDefault="00956345" w:rsidP="00956345">
      <w:r w:rsidRPr="00F02D90">
        <w:rPr>
          <w:b/>
        </w:rPr>
        <w:t>Danske Handicaporganisationer (DH)</w:t>
      </w:r>
      <w:r w:rsidR="00F02D90">
        <w:t xml:space="preserve"> </w:t>
      </w:r>
      <w:r w:rsidR="001132F6">
        <w:t xml:space="preserve">har </w:t>
      </w:r>
      <w:r w:rsidR="00F02D90">
        <w:t xml:space="preserve">anført, at det er </w:t>
      </w:r>
      <w:r w:rsidRPr="00956345">
        <w:t>vigtigt, at den hjemmeside, der stilles til rådighed til dette formål i Folketingets regi</w:t>
      </w:r>
      <w:r w:rsidR="00F02D90">
        <w:t>,</w:t>
      </w:r>
      <w:r w:rsidRPr="00956345">
        <w:t xml:space="preserve"> også kan benyttes af personer med handicap. Det vil sige, at hjemmesiden skal leve op til krav om tilgængelighed i henhold til de gældende internationale standarder for it-tilgængelighed.</w:t>
      </w:r>
    </w:p>
    <w:p w14:paraId="2DA614EC" w14:textId="77777777" w:rsidR="00956345" w:rsidRPr="00956345" w:rsidRDefault="00956345" w:rsidP="00956345"/>
    <w:p w14:paraId="577D6338" w14:textId="05D76518" w:rsidR="00956345" w:rsidRDefault="00F02D90" w:rsidP="00956345">
      <w:r>
        <w:t>DH har anbefalet</w:t>
      </w:r>
      <w:r w:rsidR="00956345" w:rsidRPr="00956345">
        <w:t>, at Folketinget indhenter råd og vejledning hos Digitaliseringsstyrelsen, der rådgiver offentlige myn</w:t>
      </w:r>
      <w:r w:rsidR="00B22566">
        <w:t>digheder og leverandører om</w:t>
      </w:r>
      <w:r w:rsidR="00956345" w:rsidRPr="00956345">
        <w:t xml:space="preserve"> it-tilgængeli</w:t>
      </w:r>
      <w:r>
        <w:t>ghed for personer med handicap, og har i den forbindelse h</w:t>
      </w:r>
      <w:r w:rsidR="0075594A">
        <w:t>envist til oplysninger herom på Digitaliserings</w:t>
      </w:r>
      <w:r>
        <w:t xml:space="preserve">styrelsens hjemmeside. </w:t>
      </w:r>
    </w:p>
    <w:p w14:paraId="33D72FEC" w14:textId="77777777" w:rsidR="00F02D90" w:rsidRDefault="00F02D90" w:rsidP="00956345"/>
    <w:p w14:paraId="61564447" w14:textId="5E81A74D" w:rsidR="00F02D90" w:rsidRPr="0075594A" w:rsidRDefault="00F02D90" w:rsidP="00956345">
      <w:pPr>
        <w:rPr>
          <w:i/>
        </w:rPr>
      </w:pPr>
      <w:r w:rsidRPr="0075594A">
        <w:rPr>
          <w:i/>
        </w:rPr>
        <w:t xml:space="preserve">Det bemærkes til Danske Handicaporganisationers høringssvar, at man fra Folketingets administrations side har været opmærksom på </w:t>
      </w:r>
      <w:r w:rsidR="00B22566" w:rsidRPr="0075594A">
        <w:rPr>
          <w:i/>
        </w:rPr>
        <w:t>spørgsmålet om tilgængelighed for personer med handicap i forbindelse med udv</w:t>
      </w:r>
      <w:r w:rsidR="00CD7A95">
        <w:rPr>
          <w:i/>
        </w:rPr>
        <w:t>iklingen af hjemmesiden</w:t>
      </w:r>
      <w:r w:rsidR="00BE539F" w:rsidRPr="0075594A">
        <w:rPr>
          <w:i/>
        </w:rPr>
        <w:t>. Det</w:t>
      </w:r>
      <w:r w:rsidR="00B22566" w:rsidRPr="0075594A">
        <w:rPr>
          <w:i/>
        </w:rPr>
        <w:t xml:space="preserve"> indgår</w:t>
      </w:r>
      <w:r w:rsidR="00BE539F" w:rsidRPr="0075594A">
        <w:rPr>
          <w:i/>
        </w:rPr>
        <w:t xml:space="preserve"> således</w:t>
      </w:r>
      <w:r w:rsidR="00B22566" w:rsidRPr="0075594A">
        <w:rPr>
          <w:i/>
        </w:rPr>
        <w:t xml:space="preserve"> i kravene til leverandøren af løsningen, at </w:t>
      </w:r>
      <w:r w:rsidR="00FE5751">
        <w:rPr>
          <w:i/>
        </w:rPr>
        <w:t xml:space="preserve">de </w:t>
      </w:r>
      <w:r w:rsidR="00FE5751" w:rsidRPr="00FE5751">
        <w:rPr>
          <w:i/>
        </w:rPr>
        <w:t>internationale retningslinjer for tilgængelighed</w:t>
      </w:r>
      <w:r w:rsidR="00FE5751">
        <w:rPr>
          <w:i/>
        </w:rPr>
        <w:t>,</w:t>
      </w:r>
      <w:r w:rsidR="00FE5751" w:rsidRPr="00FE5751">
        <w:rPr>
          <w:i/>
        </w:rPr>
        <w:t xml:space="preserve"> Web Content Accessibility Guidelines (WCAG)</w:t>
      </w:r>
      <w:r w:rsidR="00FE5751">
        <w:rPr>
          <w:i/>
        </w:rPr>
        <w:t xml:space="preserve">, </w:t>
      </w:r>
      <w:r w:rsidR="00B22566" w:rsidRPr="0075594A">
        <w:rPr>
          <w:i/>
        </w:rPr>
        <w:t xml:space="preserve">skal overholdes. </w:t>
      </w:r>
    </w:p>
    <w:p w14:paraId="15A0B34E" w14:textId="77777777" w:rsidR="006D4C6F" w:rsidRPr="0075594A" w:rsidRDefault="006D4C6F" w:rsidP="00956345">
      <w:pPr>
        <w:rPr>
          <w:i/>
        </w:rPr>
      </w:pPr>
    </w:p>
    <w:p w14:paraId="510B66FD" w14:textId="107A9DF0" w:rsidR="006D4C6F" w:rsidRPr="0075594A" w:rsidRDefault="00215A9F" w:rsidP="00956345">
      <w:pPr>
        <w:rPr>
          <w:i/>
        </w:rPr>
      </w:pPr>
      <w:r>
        <w:rPr>
          <w:i/>
        </w:rPr>
        <w:t xml:space="preserve">Af hensyn </w:t>
      </w:r>
      <w:r w:rsidR="004658D8">
        <w:rPr>
          <w:i/>
        </w:rPr>
        <w:t xml:space="preserve">til </w:t>
      </w:r>
      <w:r w:rsidR="006C0DD3">
        <w:rPr>
          <w:i/>
        </w:rPr>
        <w:t>større offentlighed</w:t>
      </w:r>
      <w:r>
        <w:rPr>
          <w:i/>
        </w:rPr>
        <w:t xml:space="preserve"> om spørgsmålet er der dog i</w:t>
      </w:r>
      <w:r w:rsidR="006D4C6F" w:rsidRPr="0075594A">
        <w:rPr>
          <w:i/>
        </w:rPr>
        <w:t xml:space="preserve"> forlængelse af høringssvaret </w:t>
      </w:r>
      <w:r w:rsidR="00BF60B6">
        <w:rPr>
          <w:i/>
        </w:rPr>
        <w:t>indsat en</w:t>
      </w:r>
      <w:r w:rsidR="00FE5751">
        <w:rPr>
          <w:i/>
        </w:rPr>
        <w:t xml:space="preserve"> udtrykkelig bemærkning i lovforslaget om, at det forudsættes, at </w:t>
      </w:r>
      <w:r>
        <w:rPr>
          <w:i/>
        </w:rPr>
        <w:t>hjemmesiden</w:t>
      </w:r>
      <w:r w:rsidR="00FE5751">
        <w:rPr>
          <w:i/>
        </w:rPr>
        <w:t xml:space="preserve"> </w:t>
      </w:r>
      <w:r w:rsidR="00CD7A95">
        <w:rPr>
          <w:i/>
        </w:rPr>
        <w:t>skal overholde</w:t>
      </w:r>
      <w:r w:rsidR="006D4C6F" w:rsidRPr="0075594A">
        <w:rPr>
          <w:i/>
        </w:rPr>
        <w:t xml:space="preserve"> internationale </w:t>
      </w:r>
      <w:r w:rsidR="00FE5751">
        <w:rPr>
          <w:i/>
        </w:rPr>
        <w:t>retningslinjer</w:t>
      </w:r>
      <w:r w:rsidR="006D4C6F" w:rsidRPr="0075594A">
        <w:rPr>
          <w:i/>
        </w:rPr>
        <w:t xml:space="preserve"> for tilgængelighed for personer med handicap. </w:t>
      </w:r>
    </w:p>
    <w:p w14:paraId="49B6AD64" w14:textId="77777777" w:rsidR="006D4C6F" w:rsidRDefault="006D4C6F" w:rsidP="00956345"/>
    <w:p w14:paraId="73F0761D" w14:textId="7E206643" w:rsidR="004E5D66" w:rsidRPr="004E5D66" w:rsidRDefault="004E5D66" w:rsidP="004E5D66">
      <w:r w:rsidRPr="001132F6">
        <w:rPr>
          <w:b/>
        </w:rPr>
        <w:t>Datatilsynet</w:t>
      </w:r>
      <w:r w:rsidR="005B2F18">
        <w:t xml:space="preserve"> har noteret sig, at det følger af § 11 i udkastet til bekendtgørelse, at </w:t>
      </w:r>
      <w:r w:rsidRPr="004E5D66">
        <w:t>forslag af</w:t>
      </w:r>
      <w:r w:rsidR="005B2F18">
        <w:t xml:space="preserve">vises i forskellige situationer, og at det </w:t>
      </w:r>
      <w:r w:rsidRPr="004E5D66">
        <w:t>bl.a.</w:t>
      </w:r>
      <w:r w:rsidR="005B2F18">
        <w:t xml:space="preserve"> følger af § 11, </w:t>
      </w:r>
      <w:r w:rsidR="004073BF">
        <w:t xml:space="preserve">stk. 2, </w:t>
      </w:r>
      <w:r w:rsidR="005B2F18">
        <w:t>nr. 22</w:t>
      </w:r>
      <w:r w:rsidRPr="004E5D66">
        <w:t>, at</w:t>
      </w:r>
      <w:r w:rsidR="005B2F18">
        <w:t xml:space="preserve"> et </w:t>
      </w:r>
      <w:r w:rsidRPr="004E5D66">
        <w:t>forslag afvises, hvis det på anden måde end de</w:t>
      </w:r>
      <w:r w:rsidR="00EF756E">
        <w:t xml:space="preserve"> øvrige</w:t>
      </w:r>
      <w:r w:rsidRPr="004E5D66">
        <w:t xml:space="preserve"> nævnte </w:t>
      </w:r>
      <w:r w:rsidRPr="004E5D66">
        <w:lastRenderedPageBreak/>
        <w:t>har et indhold, hvis offentliggørelse på en hjemmeside, som drives for Folketinget, vil stride mod gældende ret eller Folketingets værdighed.</w:t>
      </w:r>
    </w:p>
    <w:p w14:paraId="6AF022CE" w14:textId="77777777" w:rsidR="004E5D66" w:rsidRPr="004E5D66" w:rsidRDefault="004E5D66" w:rsidP="004E5D66"/>
    <w:p w14:paraId="55E4E2F6" w14:textId="28C5FC8A" w:rsidR="00EF756E" w:rsidRDefault="00EF756E" w:rsidP="004E5D66">
      <w:r>
        <w:t>Datatilsynet har i den forbindelse henvist til, at Folketingets L</w:t>
      </w:r>
      <w:r w:rsidR="004E5D66" w:rsidRPr="004E5D66">
        <w:t>ovsekretariat telefonisk</w:t>
      </w:r>
      <w:r>
        <w:t xml:space="preserve"> har oplyst</w:t>
      </w:r>
      <w:r w:rsidR="004E5D66" w:rsidRPr="004E5D66">
        <w:t>, a</w:t>
      </w:r>
      <w:r>
        <w:t xml:space="preserve">t bekendtgørelsens § 11, </w:t>
      </w:r>
      <w:r w:rsidR="004073BF">
        <w:t xml:space="preserve">stk. 2, </w:t>
      </w:r>
      <w:r>
        <w:t>nr. 22,</w:t>
      </w:r>
      <w:r w:rsidR="004E5D66" w:rsidRPr="004E5D66">
        <w:t xml:space="preserve"> medfører, at forslag afvises, hvis offentliggørelsen strider mod de gældende regler for behandling af personoplysninger. </w:t>
      </w:r>
    </w:p>
    <w:p w14:paraId="6A0E0B32" w14:textId="77777777" w:rsidR="00EF756E" w:rsidRDefault="00EF756E" w:rsidP="004E5D66"/>
    <w:p w14:paraId="0026A98D" w14:textId="48E3E67C" w:rsidR="006D4C6F" w:rsidRDefault="00EF756E" w:rsidP="004E5D66">
      <w:r>
        <w:t xml:space="preserve">Datatilsynet har oplyst, at udkastet </w:t>
      </w:r>
      <w:r w:rsidR="004E5D66" w:rsidRPr="004E5D66">
        <w:t>herefter ikke</w:t>
      </w:r>
      <w:r>
        <w:t xml:space="preserve"> giver</w:t>
      </w:r>
      <w:r w:rsidR="004E5D66" w:rsidRPr="004E5D66">
        <w:t xml:space="preserve"> Datatilsynet anledning til bemærkninger</w:t>
      </w:r>
      <w:r>
        <w:t xml:space="preserve">. </w:t>
      </w:r>
    </w:p>
    <w:p w14:paraId="2F61677E" w14:textId="77777777" w:rsidR="00EF756E" w:rsidRDefault="00EF756E" w:rsidP="004E5D66"/>
    <w:p w14:paraId="46CC1DB2" w14:textId="5C3D3E3F" w:rsidR="00EF756E" w:rsidRPr="00D20BA7" w:rsidRDefault="00EF756E" w:rsidP="004E5D66">
      <w:pPr>
        <w:rPr>
          <w:i/>
        </w:rPr>
      </w:pPr>
      <w:r w:rsidRPr="00D20BA7">
        <w:rPr>
          <w:i/>
        </w:rPr>
        <w:t>Det bemærkes til Data</w:t>
      </w:r>
      <w:r w:rsidR="001132F6" w:rsidRPr="00D20BA7">
        <w:rPr>
          <w:i/>
        </w:rPr>
        <w:t xml:space="preserve">tilsynets høringssvar, at bekendtgørelsesudkastets § 11, </w:t>
      </w:r>
      <w:r w:rsidR="004073BF" w:rsidRPr="00D20BA7">
        <w:rPr>
          <w:i/>
        </w:rPr>
        <w:t xml:space="preserve">stk. 2, </w:t>
      </w:r>
      <w:r w:rsidR="001132F6" w:rsidRPr="00D20BA7">
        <w:rPr>
          <w:i/>
        </w:rPr>
        <w:t xml:space="preserve">nr. 22, har karakter af en opsamlingsbestemmelse, som </w:t>
      </w:r>
      <w:r w:rsidR="006C2CF1">
        <w:rPr>
          <w:i/>
        </w:rPr>
        <w:t xml:space="preserve">forudsættes anvendt </w:t>
      </w:r>
      <w:r w:rsidR="009F6E94" w:rsidRPr="00D20BA7">
        <w:rPr>
          <w:i/>
        </w:rPr>
        <w:t xml:space="preserve">sparsomt. </w:t>
      </w:r>
    </w:p>
    <w:p w14:paraId="32FF9675" w14:textId="77777777" w:rsidR="009F6E94" w:rsidRPr="00D20BA7" w:rsidRDefault="009F6E94" w:rsidP="004E5D66">
      <w:pPr>
        <w:rPr>
          <w:i/>
        </w:rPr>
      </w:pPr>
    </w:p>
    <w:p w14:paraId="69CB71E1" w14:textId="6B5B69BD" w:rsidR="0066318B" w:rsidRDefault="009F6E94" w:rsidP="004073BF">
      <w:pPr>
        <w:rPr>
          <w:rFonts w:cs="Arial"/>
          <w:i/>
        </w:rPr>
      </w:pPr>
      <w:r w:rsidRPr="00D20BA7">
        <w:rPr>
          <w:i/>
        </w:rPr>
        <w:t>For at sikre større klarhed over, i hvi</w:t>
      </w:r>
      <w:r w:rsidR="00B12DC9" w:rsidRPr="00D20BA7">
        <w:rPr>
          <w:i/>
        </w:rPr>
        <w:t>lket omfang der må fremgå oplysninger om enk</w:t>
      </w:r>
      <w:r w:rsidR="00D20BA7">
        <w:rPr>
          <w:i/>
        </w:rPr>
        <w:t>eltpersoners forhold af forslag –</w:t>
      </w:r>
      <w:r w:rsidR="00B12DC9" w:rsidRPr="00D20BA7">
        <w:rPr>
          <w:i/>
        </w:rPr>
        <w:t xml:space="preserve"> he</w:t>
      </w:r>
      <w:r w:rsidR="00D20BA7">
        <w:rPr>
          <w:i/>
        </w:rPr>
        <w:t>runder bemærkninger til forslag –</w:t>
      </w:r>
      <w:r w:rsidR="00B12DC9" w:rsidRPr="00D20BA7">
        <w:rPr>
          <w:i/>
        </w:rPr>
        <w:t xml:space="preserve"> der offentliggøres gennem borgerforslagsordningen, </w:t>
      </w:r>
      <w:r w:rsidR="00D20BA7">
        <w:rPr>
          <w:i/>
        </w:rPr>
        <w:t>e</w:t>
      </w:r>
      <w:r w:rsidR="002D2F1C">
        <w:rPr>
          <w:i/>
        </w:rPr>
        <w:t>r det</w:t>
      </w:r>
      <w:r w:rsidR="00D20BA7">
        <w:rPr>
          <w:i/>
        </w:rPr>
        <w:t xml:space="preserve"> </w:t>
      </w:r>
      <w:r w:rsidR="0094527E">
        <w:rPr>
          <w:i/>
        </w:rPr>
        <w:t>som følge af</w:t>
      </w:r>
      <w:r w:rsidR="00D20BA7">
        <w:rPr>
          <w:i/>
        </w:rPr>
        <w:t xml:space="preserve"> D</w:t>
      </w:r>
      <w:r w:rsidR="004D2D69" w:rsidRPr="00D20BA7">
        <w:rPr>
          <w:i/>
        </w:rPr>
        <w:t xml:space="preserve">atatilsynets høringssvar genovervejet, om </w:t>
      </w:r>
      <w:r w:rsidR="004073BF" w:rsidRPr="00D20BA7">
        <w:rPr>
          <w:i/>
        </w:rPr>
        <w:t xml:space="preserve">de øvrige bestemmelser i bekendtgørelsesudkastets § 11, stk. 2, med fordel kan </w:t>
      </w:r>
      <w:r w:rsidR="006C2CF1">
        <w:rPr>
          <w:i/>
        </w:rPr>
        <w:t>justeres</w:t>
      </w:r>
      <w:r w:rsidR="004073BF" w:rsidRPr="00D20BA7">
        <w:rPr>
          <w:i/>
        </w:rPr>
        <w:t>.</w:t>
      </w:r>
      <w:r w:rsidR="002D2F1C">
        <w:rPr>
          <w:i/>
        </w:rPr>
        <w:t xml:space="preserve"> </w:t>
      </w:r>
      <w:r w:rsidR="0094527E">
        <w:rPr>
          <w:i/>
        </w:rPr>
        <w:t>I fo</w:t>
      </w:r>
      <w:r w:rsidR="002E367A">
        <w:rPr>
          <w:i/>
        </w:rPr>
        <w:t>rlængelse af disse overvejelser</w:t>
      </w:r>
      <w:r w:rsidR="002D2F1C">
        <w:rPr>
          <w:i/>
        </w:rPr>
        <w:t xml:space="preserve"> </w:t>
      </w:r>
      <w:r w:rsidR="00EF7435">
        <w:rPr>
          <w:i/>
        </w:rPr>
        <w:t xml:space="preserve">lægges op til en </w:t>
      </w:r>
      <w:r w:rsidR="006C2CF1">
        <w:rPr>
          <w:i/>
        </w:rPr>
        <w:t>justering</w:t>
      </w:r>
      <w:r w:rsidR="00EF7435">
        <w:rPr>
          <w:i/>
        </w:rPr>
        <w:t xml:space="preserve"> af </w:t>
      </w:r>
      <w:r w:rsidR="002D2F1C">
        <w:rPr>
          <w:i/>
        </w:rPr>
        <w:t>§ 11, stk. 2, nr. 1</w:t>
      </w:r>
      <w:r w:rsidR="00EF7435">
        <w:rPr>
          <w:i/>
        </w:rPr>
        <w:t>1</w:t>
      </w:r>
      <w:r w:rsidR="005A2C6E">
        <w:rPr>
          <w:i/>
        </w:rPr>
        <w:t xml:space="preserve">. </w:t>
      </w:r>
      <w:r w:rsidR="00E473CF">
        <w:rPr>
          <w:i/>
        </w:rPr>
        <w:t>I det udkast</w:t>
      </w:r>
      <w:r w:rsidR="00EF7435">
        <w:rPr>
          <w:i/>
        </w:rPr>
        <w:t xml:space="preserve"> til bekendtgørelse</w:t>
      </w:r>
      <w:r w:rsidR="00E473CF">
        <w:rPr>
          <w:i/>
        </w:rPr>
        <w:t xml:space="preserve">, der blev sendt i høring, fremgår det af bestemmelsen, at et </w:t>
      </w:r>
      <w:r w:rsidR="002E367A">
        <w:rPr>
          <w:i/>
        </w:rPr>
        <w:t>borger</w:t>
      </w:r>
      <w:r w:rsidR="00E473CF">
        <w:rPr>
          <w:i/>
        </w:rPr>
        <w:t xml:space="preserve">forslag </w:t>
      </w:r>
      <w:r w:rsidR="002E367A">
        <w:rPr>
          <w:i/>
        </w:rPr>
        <w:t>forhånds</w:t>
      </w:r>
      <w:r w:rsidR="00E473CF">
        <w:rPr>
          <w:i/>
        </w:rPr>
        <w:t xml:space="preserve">afvises, hvis det angår </w:t>
      </w:r>
      <w:r w:rsidR="00E473CF" w:rsidRPr="00E473CF">
        <w:rPr>
          <w:i/>
        </w:rPr>
        <w:t>enkeltpersoners privat</w:t>
      </w:r>
      <w:r w:rsidR="00E473CF">
        <w:rPr>
          <w:i/>
        </w:rPr>
        <w:t xml:space="preserve">e, herunder økonomiske, forhold. </w:t>
      </w:r>
      <w:r w:rsidR="00731378">
        <w:rPr>
          <w:i/>
        </w:rPr>
        <w:t>I</w:t>
      </w:r>
      <w:r w:rsidR="00E473CF">
        <w:rPr>
          <w:i/>
        </w:rPr>
        <w:t xml:space="preserve"> den udgave af bekendtgørelsen, der ventes udstedt med hjemmel i loven, </w:t>
      </w:r>
      <w:r w:rsidR="006C2CF1">
        <w:rPr>
          <w:i/>
        </w:rPr>
        <w:t>er</w:t>
      </w:r>
      <w:r w:rsidR="00731378">
        <w:rPr>
          <w:i/>
        </w:rPr>
        <w:t xml:space="preserve"> dette </w:t>
      </w:r>
      <w:r w:rsidR="006C2CF1">
        <w:rPr>
          <w:i/>
        </w:rPr>
        <w:t xml:space="preserve">ændret </w:t>
      </w:r>
      <w:r w:rsidR="00731378">
        <w:rPr>
          <w:i/>
        </w:rPr>
        <w:t xml:space="preserve">til, at et forslag </w:t>
      </w:r>
      <w:r w:rsidR="00A6419A">
        <w:rPr>
          <w:i/>
        </w:rPr>
        <w:t>forhånds</w:t>
      </w:r>
      <w:r w:rsidR="00731378">
        <w:rPr>
          <w:i/>
        </w:rPr>
        <w:t>afvises, hvis det indeholder oplysninger om hovedstillerens, medstilleres eller andre</w:t>
      </w:r>
      <w:r w:rsidR="00912EF5">
        <w:rPr>
          <w:i/>
        </w:rPr>
        <w:t xml:space="preserve"> navngivne eller på anden måde identificerbare enkelt</w:t>
      </w:r>
      <w:r w:rsidR="00731378">
        <w:rPr>
          <w:i/>
        </w:rPr>
        <w:t xml:space="preserve">personers </w:t>
      </w:r>
      <w:r w:rsidR="004073BF" w:rsidRPr="00D20BA7">
        <w:rPr>
          <w:rFonts w:cs="Arial"/>
          <w:i/>
        </w:rPr>
        <w:t>privat</w:t>
      </w:r>
      <w:r w:rsidR="00731378">
        <w:rPr>
          <w:rFonts w:cs="Arial"/>
          <w:i/>
        </w:rPr>
        <w:t>e, herunder økonomiske, forhold</w:t>
      </w:r>
      <w:r w:rsidR="00E25A63">
        <w:rPr>
          <w:rFonts w:cs="Arial"/>
          <w:i/>
        </w:rPr>
        <w:t>, medmindre der er tale om oplysninger, der har været bredt gengivet i offentligheden</w:t>
      </w:r>
      <w:r w:rsidR="00731378">
        <w:rPr>
          <w:rFonts w:cs="Arial"/>
          <w:i/>
        </w:rPr>
        <w:t xml:space="preserve">. </w:t>
      </w:r>
      <w:r w:rsidR="006C2CF1">
        <w:rPr>
          <w:rFonts w:cs="Arial"/>
          <w:i/>
        </w:rPr>
        <w:t>Dette</w:t>
      </w:r>
      <w:r w:rsidR="00EF7435">
        <w:rPr>
          <w:rFonts w:cs="Arial"/>
          <w:i/>
        </w:rPr>
        <w:t xml:space="preserve"> indeb</w:t>
      </w:r>
      <w:r w:rsidR="0094527E">
        <w:rPr>
          <w:rFonts w:cs="Arial"/>
          <w:i/>
        </w:rPr>
        <w:t>ærer, at stillere af borger</w:t>
      </w:r>
      <w:r w:rsidR="00EF7435">
        <w:rPr>
          <w:rFonts w:cs="Arial"/>
          <w:i/>
        </w:rPr>
        <w:t>forslag</w:t>
      </w:r>
      <w:r w:rsidR="0094527E">
        <w:rPr>
          <w:rFonts w:cs="Arial"/>
          <w:i/>
        </w:rPr>
        <w:t xml:space="preserve"> som udgangspunkt hverken må omtale andre personers</w:t>
      </w:r>
      <w:r w:rsidR="0042147A">
        <w:rPr>
          <w:rFonts w:cs="Arial"/>
          <w:i/>
        </w:rPr>
        <w:t xml:space="preserve"> eller egne</w:t>
      </w:r>
      <w:r w:rsidR="0094527E">
        <w:rPr>
          <w:rFonts w:cs="Arial"/>
          <w:i/>
        </w:rPr>
        <w:t xml:space="preserve"> private forhold i borgerforslag</w:t>
      </w:r>
      <w:r w:rsidR="00F850DE">
        <w:rPr>
          <w:rFonts w:cs="Arial"/>
          <w:i/>
        </w:rPr>
        <w:t xml:space="preserve">. </w:t>
      </w:r>
      <w:r w:rsidR="0042147A">
        <w:rPr>
          <w:rFonts w:cs="Arial"/>
          <w:i/>
        </w:rPr>
        <w:t>Denne regel forventes være enklere og mere entydig at administrere end en regel</w:t>
      </w:r>
      <w:r w:rsidR="00EC4B30">
        <w:rPr>
          <w:rFonts w:cs="Arial"/>
          <w:i/>
        </w:rPr>
        <w:t>, der kan efterlade tvivl om, hvorvidt en forslagsstiller må eller ikke må inddrage oplysninger om egne private forhold eller pårørendes, f.eks. mindreårige børns, private formål. Endvidere er det forventningen, at der med præciseringen</w:t>
      </w:r>
      <w:r w:rsidR="00F850DE">
        <w:rPr>
          <w:rFonts w:cs="Arial"/>
          <w:i/>
        </w:rPr>
        <w:t xml:space="preserve"> </w:t>
      </w:r>
      <w:r w:rsidR="00EC4B30">
        <w:rPr>
          <w:rFonts w:cs="Arial"/>
          <w:i/>
        </w:rPr>
        <w:t>sikres</w:t>
      </w:r>
      <w:r w:rsidR="00F850DE">
        <w:rPr>
          <w:rFonts w:cs="Arial"/>
          <w:i/>
        </w:rPr>
        <w:t xml:space="preserve"> </w:t>
      </w:r>
      <w:r w:rsidR="00EC4B30">
        <w:rPr>
          <w:rFonts w:cs="Arial"/>
          <w:i/>
        </w:rPr>
        <w:t>en større lighed med de</w:t>
      </w:r>
      <w:r w:rsidR="00F850DE">
        <w:rPr>
          <w:rFonts w:cs="Arial"/>
          <w:i/>
        </w:rPr>
        <w:t xml:space="preserve"> beslutningsforslag,</w:t>
      </w:r>
      <w:r w:rsidR="00EC4B30">
        <w:rPr>
          <w:rFonts w:cs="Arial"/>
          <w:i/>
        </w:rPr>
        <w:t xml:space="preserve"> som Folketingets medlemmer </w:t>
      </w:r>
      <w:r w:rsidR="00B246FE">
        <w:rPr>
          <w:rFonts w:cs="Arial"/>
          <w:i/>
        </w:rPr>
        <w:t xml:space="preserve">stiller på eget initiativ, idet disse typisk ikke indeholder oplysninger om enkeltpersoner. </w:t>
      </w:r>
    </w:p>
    <w:p w14:paraId="7C5F6483" w14:textId="77777777" w:rsidR="0066318B" w:rsidRDefault="0066318B" w:rsidP="004073BF">
      <w:pPr>
        <w:rPr>
          <w:rFonts w:cs="Arial"/>
          <w:i/>
        </w:rPr>
      </w:pPr>
    </w:p>
    <w:p w14:paraId="59AB53AF" w14:textId="729FF830" w:rsidR="004073BF" w:rsidRDefault="00B246FE" w:rsidP="004073BF">
      <w:pPr>
        <w:rPr>
          <w:rFonts w:cs="Arial"/>
          <w:i/>
        </w:rPr>
      </w:pPr>
      <w:r>
        <w:rPr>
          <w:rFonts w:cs="Arial"/>
          <w:i/>
        </w:rPr>
        <w:t>Den ændrede formulering af afvisningsgrunden indebærer som en undtagelse, at der gerne må henvises til enkeltpersoners private forhold, hvis der er tale om oplysninger, der har været bredt gengivet i offentligheden. Der henses her navnlig til oplysninger, der har været omtalt i nyhedsmedier</w:t>
      </w:r>
      <w:r w:rsidR="008A534D">
        <w:rPr>
          <w:rFonts w:cs="Arial"/>
          <w:i/>
        </w:rPr>
        <w:t xml:space="preserve"> og har </w:t>
      </w:r>
      <w:r w:rsidR="008A534D">
        <w:rPr>
          <w:rFonts w:cs="Arial"/>
          <w:i/>
        </w:rPr>
        <w:lastRenderedPageBreak/>
        <w:t xml:space="preserve">indgået i den offentlige debat, og som det derfor vil forekomme unaturligt ikke at tillade omtalt i et borgerforslag. </w:t>
      </w:r>
      <w:r w:rsidR="00F850DE">
        <w:rPr>
          <w:rFonts w:cs="Arial"/>
          <w:i/>
        </w:rPr>
        <w:t xml:space="preserve"> </w:t>
      </w:r>
    </w:p>
    <w:p w14:paraId="7DBC8E32" w14:textId="77777777" w:rsidR="0059227C" w:rsidRDefault="0059227C" w:rsidP="004073BF">
      <w:pPr>
        <w:rPr>
          <w:rFonts w:cs="Arial"/>
        </w:rPr>
      </w:pPr>
    </w:p>
    <w:p w14:paraId="2CD8AAD0" w14:textId="19838C28" w:rsidR="0059227C" w:rsidRDefault="0059227C" w:rsidP="0059227C">
      <w:pPr>
        <w:rPr>
          <w:rFonts w:cs="Arial"/>
        </w:rPr>
      </w:pPr>
      <w:r w:rsidRPr="0059227C">
        <w:rPr>
          <w:rFonts w:cs="Arial"/>
          <w:b/>
        </w:rPr>
        <w:t xml:space="preserve">KL </w:t>
      </w:r>
      <w:r>
        <w:rPr>
          <w:rFonts w:cs="Arial"/>
        </w:rPr>
        <w:t xml:space="preserve">har oplyst ikke at have </w:t>
      </w:r>
      <w:r w:rsidRPr="0059227C">
        <w:rPr>
          <w:rFonts w:cs="Arial"/>
        </w:rPr>
        <w:t>konkrete bemærkninger</w:t>
      </w:r>
      <w:r>
        <w:rPr>
          <w:rFonts w:cs="Arial"/>
        </w:rPr>
        <w:t xml:space="preserve">, hverken til </w:t>
      </w:r>
      <w:r w:rsidRPr="0059227C">
        <w:rPr>
          <w:rFonts w:cs="Arial"/>
        </w:rPr>
        <w:t>lovudkastet eller udkastet til bekendtgørelse, så længe der ikke v</w:t>
      </w:r>
      <w:r>
        <w:rPr>
          <w:rFonts w:cs="Arial"/>
        </w:rPr>
        <w:t>il være økonomiske eller admini</w:t>
      </w:r>
      <w:r w:rsidRPr="0059227C">
        <w:rPr>
          <w:rFonts w:cs="Arial"/>
        </w:rPr>
        <w:t>strative konsekvenser for kommuner</w:t>
      </w:r>
      <w:r>
        <w:rPr>
          <w:rFonts w:cs="Arial"/>
        </w:rPr>
        <w:t>ne, som det fremgår i bemærknin</w:t>
      </w:r>
      <w:r w:rsidRPr="0059227C">
        <w:rPr>
          <w:rFonts w:cs="Arial"/>
        </w:rPr>
        <w:t xml:space="preserve">gerne til lovudkastet. </w:t>
      </w:r>
    </w:p>
    <w:p w14:paraId="66A4A396" w14:textId="77777777" w:rsidR="0059227C" w:rsidRPr="0059227C" w:rsidRDefault="0059227C" w:rsidP="0059227C">
      <w:pPr>
        <w:rPr>
          <w:rFonts w:cs="Arial"/>
        </w:rPr>
      </w:pPr>
    </w:p>
    <w:p w14:paraId="0F1DB9B1" w14:textId="53BFFBBD" w:rsidR="0059227C" w:rsidRDefault="0059227C" w:rsidP="0059227C">
      <w:pPr>
        <w:rPr>
          <w:rFonts w:cs="Arial"/>
        </w:rPr>
      </w:pPr>
      <w:r w:rsidRPr="0059227C">
        <w:rPr>
          <w:rFonts w:cs="Arial"/>
        </w:rPr>
        <w:t>KL</w:t>
      </w:r>
      <w:r>
        <w:rPr>
          <w:rFonts w:cs="Arial"/>
        </w:rPr>
        <w:t xml:space="preserve"> har </w:t>
      </w:r>
      <w:r w:rsidR="00FB1D11">
        <w:rPr>
          <w:rFonts w:cs="Arial"/>
        </w:rPr>
        <w:t>anført</w:t>
      </w:r>
      <w:r>
        <w:rPr>
          <w:rFonts w:cs="Arial"/>
        </w:rPr>
        <w:t>, at KL</w:t>
      </w:r>
      <w:r w:rsidRPr="0059227C">
        <w:rPr>
          <w:rFonts w:cs="Arial"/>
        </w:rPr>
        <w:t xml:space="preserve"> lægger vægt på, at Folketingets administration skal afvise </w:t>
      </w:r>
      <w:bookmarkStart w:id="0" w:name="_GoBack"/>
      <w:bookmarkEnd w:id="0"/>
      <w:r w:rsidRPr="0059227C">
        <w:rPr>
          <w:rFonts w:cs="Arial"/>
        </w:rPr>
        <w:t>et forslag, hvis det angår kommuners enkelte beslutn</w:t>
      </w:r>
      <w:r w:rsidR="00FB1D11">
        <w:rPr>
          <w:rFonts w:cs="Arial"/>
        </w:rPr>
        <w:t>inger, jf. § 11 i udkastet til bekendtgørelse</w:t>
      </w:r>
      <w:r w:rsidRPr="0059227C">
        <w:rPr>
          <w:rFonts w:cs="Arial"/>
        </w:rPr>
        <w:t xml:space="preserve">. </w:t>
      </w:r>
    </w:p>
    <w:p w14:paraId="5BF6199F" w14:textId="77777777" w:rsidR="00FB1D11" w:rsidRPr="0059227C" w:rsidRDefault="00FB1D11" w:rsidP="0059227C">
      <w:pPr>
        <w:rPr>
          <w:rFonts w:cs="Arial"/>
        </w:rPr>
      </w:pPr>
    </w:p>
    <w:p w14:paraId="45A7FF29" w14:textId="185292A6" w:rsidR="0059227C" w:rsidRDefault="0059227C" w:rsidP="0059227C">
      <w:pPr>
        <w:rPr>
          <w:rFonts w:cs="Arial"/>
        </w:rPr>
      </w:pPr>
      <w:r w:rsidRPr="0059227C">
        <w:rPr>
          <w:rFonts w:cs="Arial"/>
        </w:rPr>
        <w:t>KL</w:t>
      </w:r>
      <w:r w:rsidR="00FB1D11">
        <w:rPr>
          <w:rFonts w:cs="Arial"/>
        </w:rPr>
        <w:t xml:space="preserve"> har endvidere anført, at KL</w:t>
      </w:r>
      <w:r w:rsidRPr="0059227C">
        <w:rPr>
          <w:rFonts w:cs="Arial"/>
        </w:rPr>
        <w:t xml:space="preserve"> ønsker at understrege vigtigheden af, at det repræsentative demokrati forbliver et bærende element i det danske demokrati. For kommunernes vedkommende er den legitimitet og det</w:t>
      </w:r>
      <w:r w:rsidR="00FB1D11">
        <w:rPr>
          <w:rFonts w:cs="Arial"/>
        </w:rPr>
        <w:t xml:space="preserve"> mandat, der gives til kommunal</w:t>
      </w:r>
      <w:r w:rsidRPr="0059227C">
        <w:rPr>
          <w:rFonts w:cs="Arial"/>
        </w:rPr>
        <w:t>bestyrelser ved kommunalvalg, essensen af det lokale repræsentative demokrati. Elementer fra direkte demokrat</w:t>
      </w:r>
      <w:r w:rsidR="00FB1D11">
        <w:rPr>
          <w:rFonts w:cs="Arial"/>
        </w:rPr>
        <w:t>i – som borgerforslag til Folke</w:t>
      </w:r>
      <w:r w:rsidRPr="0059227C">
        <w:rPr>
          <w:rFonts w:cs="Arial"/>
        </w:rPr>
        <w:t>tinget og bindende folkeafstemninger i kommunerne – må ikke udhule det repræsentative demokrati, der er en grundpille i det danske demokrati.</w:t>
      </w:r>
    </w:p>
    <w:p w14:paraId="32D0BBD4" w14:textId="77777777" w:rsidR="00FB1D11" w:rsidRDefault="00FB1D11" w:rsidP="0059227C">
      <w:pPr>
        <w:rPr>
          <w:rFonts w:cs="Arial"/>
        </w:rPr>
      </w:pPr>
    </w:p>
    <w:p w14:paraId="0CC27F79" w14:textId="5B97B398" w:rsidR="00FB1D11" w:rsidRPr="0066318B" w:rsidRDefault="00FB1D11" w:rsidP="0059227C">
      <w:pPr>
        <w:rPr>
          <w:rFonts w:cs="Arial"/>
          <w:i/>
        </w:rPr>
      </w:pPr>
      <w:r w:rsidRPr="0066318B">
        <w:rPr>
          <w:rFonts w:cs="Arial"/>
          <w:i/>
        </w:rPr>
        <w:t>Det bemærkes til KL’s høringssvar, at det</w:t>
      </w:r>
      <w:r w:rsidR="004227DB" w:rsidRPr="0066318B">
        <w:rPr>
          <w:rFonts w:cs="Arial"/>
          <w:i/>
        </w:rPr>
        <w:t xml:space="preserve"> kan bekræftes, at kommunerne ikke er tænkt at skulle have nogen opgaver i forbindelse med administrationen af borgerforslagsordningen. Det kan</w:t>
      </w:r>
      <w:r w:rsidRPr="0066318B">
        <w:rPr>
          <w:rFonts w:cs="Arial"/>
          <w:i/>
        </w:rPr>
        <w:t xml:space="preserve"> </w:t>
      </w:r>
      <w:r w:rsidR="004227DB" w:rsidRPr="0066318B">
        <w:rPr>
          <w:rFonts w:cs="Arial"/>
          <w:i/>
        </w:rPr>
        <w:t>naturligvis ikke udelukkes, at visse borgere vil rette forespørgsler om ordningen til deres kommune</w:t>
      </w:r>
      <w:r w:rsidR="00F539E4" w:rsidRPr="0066318B">
        <w:rPr>
          <w:rFonts w:cs="Arial"/>
          <w:i/>
        </w:rPr>
        <w:t xml:space="preserve">. Det forventes dog, at kommunernes opgave i sådanne tilfælde i alt væsentligt vil være at henvise borgeren til Folketingets administration, som vil kunne vejlede nærmere om ordningen. </w:t>
      </w:r>
    </w:p>
    <w:p w14:paraId="65D1AB0E" w14:textId="77777777" w:rsidR="00F539E4" w:rsidRDefault="00F539E4" w:rsidP="0059227C">
      <w:pPr>
        <w:rPr>
          <w:rFonts w:cs="Arial"/>
        </w:rPr>
      </w:pPr>
    </w:p>
    <w:p w14:paraId="379C13F3" w14:textId="77777777" w:rsidR="00F539E4" w:rsidRDefault="00F539E4" w:rsidP="0059227C">
      <w:pPr>
        <w:rPr>
          <w:rFonts w:cs="Arial"/>
        </w:rPr>
      </w:pPr>
    </w:p>
    <w:p w14:paraId="07143C4B" w14:textId="77777777" w:rsidR="004073BF" w:rsidRPr="00956345" w:rsidRDefault="004073BF" w:rsidP="004E5D66"/>
    <w:p w14:paraId="645F5BBA" w14:textId="38FF7C91" w:rsidR="00956345" w:rsidRPr="00020C2C" w:rsidRDefault="00956345" w:rsidP="00E10998"/>
    <w:sectPr w:rsidR="00956345" w:rsidRPr="00020C2C" w:rsidSect="00307B29">
      <w:headerReference w:type="even" r:id="rId8"/>
      <w:headerReference w:type="default" r:id="rId9"/>
      <w:footerReference w:type="even" r:id="rId10"/>
      <w:footerReference w:type="default" r:id="rId11"/>
      <w:headerReference w:type="first" r:id="rId12"/>
      <w:footerReference w:type="first" r:id="rId13"/>
      <w:pgSz w:w="11906" w:h="16838" w:code="9"/>
      <w:pgMar w:top="2835" w:right="3561" w:bottom="170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3261A" w14:textId="77777777" w:rsidR="007055E5" w:rsidRDefault="007055E5">
      <w:r>
        <w:separator/>
      </w:r>
    </w:p>
  </w:endnote>
  <w:endnote w:type="continuationSeparator" w:id="0">
    <w:p w14:paraId="74E3261B" w14:textId="77777777" w:rsidR="007055E5" w:rsidRDefault="0070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261E" w14:textId="77777777" w:rsidR="00F3577E" w:rsidRDefault="00F3577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261F" w14:textId="77777777" w:rsidR="00F47304" w:rsidRDefault="00346026">
    <w:pPr>
      <w:pStyle w:val="Sidefod"/>
    </w:pPr>
    <w:r>
      <w:rPr>
        <w:noProof/>
        <w:lang w:val="en-US"/>
      </w:rPr>
      <w:pict w14:anchorId="74E32622">
        <v:shapetype id="_x0000_t202" coordsize="21600,21600" o:spt="202" path="m,l,21600r21600,l21600,xe">
          <v:stroke joinstyle="miter"/>
          <v:path gradientshapeok="t" o:connecttype="rect"/>
        </v:shapetype>
        <v:shape id="_x0000_s2092" type="#_x0000_t202" style="position:absolute;margin-left:447.85pt;margin-top:-1.4pt;width:56.3pt;height:23.2pt;z-index:251657216" filled="f" stroked="f">
          <v:textbox style="mso-next-textbox:#_x0000_s2092" inset="0">
            <w:txbxContent>
              <w:p w14:paraId="74E32625" w14:textId="77777777" w:rsidR="00F47304" w:rsidRPr="00CC6F6B" w:rsidRDefault="00843268" w:rsidP="001D2C12">
                <w:pPr>
                  <w:pStyle w:val="Sidefod"/>
                  <w:jc w:val="right"/>
                  <w:rPr>
                    <w:sz w:val="16"/>
                  </w:rPr>
                </w:pPr>
                <w:r>
                  <w:rPr>
                    <w:rStyle w:val="Sidetal"/>
                  </w:rPr>
                  <w:fldChar w:fldCharType="begin"/>
                </w:r>
                <w:r w:rsidR="00F47304">
                  <w:rPr>
                    <w:rStyle w:val="Sidetal"/>
                  </w:rPr>
                  <w:instrText xml:space="preserve"> PAGE </w:instrText>
                </w:r>
                <w:r>
                  <w:rPr>
                    <w:rStyle w:val="Sidetal"/>
                  </w:rPr>
                  <w:fldChar w:fldCharType="separate"/>
                </w:r>
                <w:r w:rsidR="00346026">
                  <w:rPr>
                    <w:rStyle w:val="Sidetal"/>
                    <w:noProof/>
                  </w:rPr>
                  <w:t>2</w:t>
                </w:r>
                <w:r>
                  <w:rPr>
                    <w:rStyle w:val="Sidetal"/>
                  </w:rPr>
                  <w:fldChar w:fldCharType="end"/>
                </w:r>
                <w:r w:rsidR="00F47304">
                  <w:rPr>
                    <w:rStyle w:val="Sidetal"/>
                  </w:rPr>
                  <w:t>/</w:t>
                </w:r>
                <w:r>
                  <w:rPr>
                    <w:rStyle w:val="Sidetal"/>
                  </w:rPr>
                  <w:fldChar w:fldCharType="begin"/>
                </w:r>
                <w:r w:rsidR="00F47304">
                  <w:rPr>
                    <w:rStyle w:val="Sidetal"/>
                  </w:rPr>
                  <w:instrText xml:space="preserve"> NUMPAGES </w:instrText>
                </w:r>
                <w:r>
                  <w:rPr>
                    <w:rStyle w:val="Sidetal"/>
                  </w:rPr>
                  <w:fldChar w:fldCharType="separate"/>
                </w:r>
                <w:r w:rsidR="00346026">
                  <w:rPr>
                    <w:rStyle w:val="Sidetal"/>
                    <w:noProof/>
                  </w:rPr>
                  <w:t>4</w:t>
                </w:r>
                <w:r>
                  <w:rPr>
                    <w:rStyle w:val="Sidetal"/>
                  </w:rPr>
                  <w:fldChar w:fldCharType="end"/>
                </w:r>
              </w:p>
              <w:p w14:paraId="74E32626" w14:textId="77777777" w:rsidR="00F47304" w:rsidRDefault="00F47304" w:rsidP="00A11E5C"/>
              <w:p w14:paraId="74E32627" w14:textId="77777777" w:rsidR="00F47304" w:rsidRDefault="00F47304" w:rsidP="00A11E5C"/>
              <w:p w14:paraId="74E32628" w14:textId="77777777" w:rsidR="00F47304" w:rsidRDefault="00F47304" w:rsidP="00A11E5C"/>
            </w:txbxContent>
          </v:textbox>
          <w10:wrap type="square"/>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2621" w14:textId="43BC16E5" w:rsidR="00F47304" w:rsidRPr="00AC3957" w:rsidRDefault="00131B3D" w:rsidP="00131B3D">
    <w:pPr>
      <w:pStyle w:val="Sidefod"/>
      <w:tabs>
        <w:tab w:val="clear" w:pos="8640"/>
        <w:tab w:val="right" w:pos="9923"/>
      </w:tabs>
      <w:rPr>
        <w:sz w:val="16"/>
        <w:szCs w:val="16"/>
      </w:rPr>
    </w:pPr>
    <w:r>
      <w:tab/>
    </w:r>
    <w:r w:rsidRPr="00AC3957">
      <w:rPr>
        <w:sz w:val="16"/>
        <w:szCs w:val="16"/>
      </w:rPr>
      <w:tab/>
    </w:r>
    <w:r w:rsidR="003D0B52" w:rsidRPr="00AC3957">
      <w:rPr>
        <w:sz w:val="16"/>
        <w:szCs w:val="16"/>
      </w:rPr>
      <w:t xml:space="preserve">Ref. </w:t>
    </w:r>
    <w:sdt>
      <w:sdtPr>
        <w:rPr>
          <w:sz w:val="16"/>
          <w:szCs w:val="16"/>
        </w:rPr>
        <w:tag w:val="DocumentNumber"/>
        <w:id w:val="10000"/>
        <w:placeholder>
          <w:docPart w:val="DefaultPlaceholder_22675703"/>
        </w:placeholder>
        <w:dataBinding w:prefixMappings="xmlns:gbs='http://www.software-innovation.no/growBusinessDocument'" w:xpath="/gbs:GrowBusinessDocument/gbs:DocumentNumber[@gbs:key='10000']" w:storeItemID="{E37B54F5-2A63-4EB2-BC56-C55837EC24B8}"/>
        <w:text/>
      </w:sdtPr>
      <w:sdtEndPr/>
      <w:sdtContent>
        <w:r w:rsidR="00C20CF8">
          <w:rPr>
            <w:sz w:val="16"/>
            <w:szCs w:val="16"/>
          </w:rPr>
          <w:t>17-000206-22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32618" w14:textId="77777777" w:rsidR="007055E5" w:rsidRDefault="007055E5">
      <w:r>
        <w:separator/>
      </w:r>
    </w:p>
  </w:footnote>
  <w:footnote w:type="continuationSeparator" w:id="0">
    <w:p w14:paraId="74E32619" w14:textId="77777777" w:rsidR="007055E5" w:rsidRDefault="0070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261C" w14:textId="77777777" w:rsidR="00F3577E" w:rsidRDefault="00F357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261D" w14:textId="77777777" w:rsidR="00F3577E" w:rsidRDefault="00F3577E">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2620" w14:textId="77777777" w:rsidR="00F47304" w:rsidRPr="00131B3D" w:rsidRDefault="00F3577E">
    <w:pPr>
      <w:pStyle w:val="Sidehoved"/>
    </w:pPr>
    <w:r w:rsidRPr="00F3577E">
      <w:rPr>
        <w:noProof/>
        <w:lang w:eastAsia="da-DK"/>
      </w:rPr>
      <w:drawing>
        <wp:anchor distT="0" distB="0" distL="114300" distR="114300" simplePos="0" relativeHeight="251659264" behindDoc="0" locked="0" layoutInCell="1" allowOverlap="1" wp14:anchorId="74E32623" wp14:editId="74E32624">
          <wp:simplePos x="0" y="0"/>
          <wp:positionH relativeFrom="column">
            <wp:posOffset>4676140</wp:posOffset>
          </wp:positionH>
          <wp:positionV relativeFrom="paragraph">
            <wp:posOffset>-4445</wp:posOffset>
          </wp:positionV>
          <wp:extent cx="1606550" cy="873760"/>
          <wp:effectExtent l="19050" t="0" r="0" b="0"/>
          <wp:wrapNone/>
          <wp:docPr id="2" name="Billede 1" descr="FT_Logo_brev1_RGB"/>
          <wp:cNvGraphicFramePr/>
          <a:graphic xmlns:a="http://schemas.openxmlformats.org/drawingml/2006/main">
            <a:graphicData uri="http://schemas.openxmlformats.org/drawingml/2006/picture">
              <pic:pic xmlns:pic="http://schemas.openxmlformats.org/drawingml/2006/picture">
                <pic:nvPicPr>
                  <pic:cNvPr id="0" name="Picture 47" descr="FT_Logo_brev1_RGB"/>
                  <pic:cNvPicPr>
                    <a:picLocks noChangeAspect="1" noChangeArrowheads="1"/>
                  </pic:cNvPicPr>
                </pic:nvPicPr>
                <pic:blipFill>
                  <a:blip r:embed="rId1"/>
                  <a:srcRect b="65462"/>
                  <a:stretch>
                    <a:fillRect/>
                  </a:stretch>
                </pic:blipFill>
                <pic:spPr bwMode="auto">
                  <a:xfrm>
                    <a:off x="0" y="0"/>
                    <a:ext cx="1606550" cy="873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F7413"/>
    <w:multiLevelType w:val="hybridMultilevel"/>
    <w:tmpl w:val="BD4A55C8"/>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94" strokecolor="#969696">
      <v:stroke weight=".25pt" color="#969696"/>
      <o:colormenu v:ext="edit" stroke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D01"/>
    <w:rsid w:val="0001221E"/>
    <w:rsid w:val="00020C2C"/>
    <w:rsid w:val="00043B6E"/>
    <w:rsid w:val="0008360C"/>
    <w:rsid w:val="000C7ACB"/>
    <w:rsid w:val="000E1539"/>
    <w:rsid w:val="000F7B73"/>
    <w:rsid w:val="001132F6"/>
    <w:rsid w:val="00131B3D"/>
    <w:rsid w:val="00156D01"/>
    <w:rsid w:val="00172D71"/>
    <w:rsid w:val="001868EF"/>
    <w:rsid w:val="00196120"/>
    <w:rsid w:val="001A02E5"/>
    <w:rsid w:val="001A606D"/>
    <w:rsid w:val="001B1B3C"/>
    <w:rsid w:val="001B2835"/>
    <w:rsid w:val="001B28AD"/>
    <w:rsid w:val="001B75A7"/>
    <w:rsid w:val="001D2C12"/>
    <w:rsid w:val="001E3FBA"/>
    <w:rsid w:val="001F5DD3"/>
    <w:rsid w:val="00203B18"/>
    <w:rsid w:val="0021104D"/>
    <w:rsid w:val="00215A9F"/>
    <w:rsid w:val="002163ED"/>
    <w:rsid w:val="00231FD5"/>
    <w:rsid w:val="00234422"/>
    <w:rsid w:val="002564E6"/>
    <w:rsid w:val="0026486D"/>
    <w:rsid w:val="00281CAC"/>
    <w:rsid w:val="00284F60"/>
    <w:rsid w:val="002A3FB3"/>
    <w:rsid w:val="002C1AA9"/>
    <w:rsid w:val="002C3D74"/>
    <w:rsid w:val="002C5640"/>
    <w:rsid w:val="002D2F1C"/>
    <w:rsid w:val="002D334A"/>
    <w:rsid w:val="002D50C6"/>
    <w:rsid w:val="002D70F2"/>
    <w:rsid w:val="002E367A"/>
    <w:rsid w:val="002F7E60"/>
    <w:rsid w:val="00307B29"/>
    <w:rsid w:val="00346026"/>
    <w:rsid w:val="00376D11"/>
    <w:rsid w:val="00377E70"/>
    <w:rsid w:val="00381E8E"/>
    <w:rsid w:val="00382F1C"/>
    <w:rsid w:val="00384616"/>
    <w:rsid w:val="003A0284"/>
    <w:rsid w:val="003A3E44"/>
    <w:rsid w:val="003A5B97"/>
    <w:rsid w:val="003B236F"/>
    <w:rsid w:val="003D0B52"/>
    <w:rsid w:val="003E189B"/>
    <w:rsid w:val="004073BF"/>
    <w:rsid w:val="00416353"/>
    <w:rsid w:val="0042147A"/>
    <w:rsid w:val="004227DB"/>
    <w:rsid w:val="00444379"/>
    <w:rsid w:val="0044604F"/>
    <w:rsid w:val="0045464A"/>
    <w:rsid w:val="004658D8"/>
    <w:rsid w:val="00467F02"/>
    <w:rsid w:val="00470DB6"/>
    <w:rsid w:val="0047486B"/>
    <w:rsid w:val="004933DF"/>
    <w:rsid w:val="00493DD9"/>
    <w:rsid w:val="004B36A6"/>
    <w:rsid w:val="004B486D"/>
    <w:rsid w:val="004D2D69"/>
    <w:rsid w:val="004D5EA0"/>
    <w:rsid w:val="004E5D66"/>
    <w:rsid w:val="00503F02"/>
    <w:rsid w:val="00527C64"/>
    <w:rsid w:val="005324E6"/>
    <w:rsid w:val="00536CB3"/>
    <w:rsid w:val="0053742F"/>
    <w:rsid w:val="005401D5"/>
    <w:rsid w:val="00540516"/>
    <w:rsid w:val="005460F0"/>
    <w:rsid w:val="005520EC"/>
    <w:rsid w:val="00565DB7"/>
    <w:rsid w:val="00573B70"/>
    <w:rsid w:val="00574B4E"/>
    <w:rsid w:val="00575BAB"/>
    <w:rsid w:val="0059227C"/>
    <w:rsid w:val="005A2C6E"/>
    <w:rsid w:val="005A5C84"/>
    <w:rsid w:val="005B0324"/>
    <w:rsid w:val="005B0A29"/>
    <w:rsid w:val="005B0B15"/>
    <w:rsid w:val="005B2F18"/>
    <w:rsid w:val="005C1B88"/>
    <w:rsid w:val="005C2F2C"/>
    <w:rsid w:val="005F1058"/>
    <w:rsid w:val="0060078B"/>
    <w:rsid w:val="00610A10"/>
    <w:rsid w:val="00616C3C"/>
    <w:rsid w:val="00622AA4"/>
    <w:rsid w:val="0063347F"/>
    <w:rsid w:val="006426B5"/>
    <w:rsid w:val="00646CC3"/>
    <w:rsid w:val="00651916"/>
    <w:rsid w:val="0066318B"/>
    <w:rsid w:val="006858FF"/>
    <w:rsid w:val="006A6B7D"/>
    <w:rsid w:val="006A7603"/>
    <w:rsid w:val="006A7AEF"/>
    <w:rsid w:val="006C0DD3"/>
    <w:rsid w:val="006C2CF1"/>
    <w:rsid w:val="006D4C6F"/>
    <w:rsid w:val="006F4346"/>
    <w:rsid w:val="00704718"/>
    <w:rsid w:val="007055E5"/>
    <w:rsid w:val="007153D9"/>
    <w:rsid w:val="0072135E"/>
    <w:rsid w:val="00731378"/>
    <w:rsid w:val="007332AE"/>
    <w:rsid w:val="00736D32"/>
    <w:rsid w:val="00747004"/>
    <w:rsid w:val="00751552"/>
    <w:rsid w:val="0075594A"/>
    <w:rsid w:val="00767746"/>
    <w:rsid w:val="00780E58"/>
    <w:rsid w:val="007A2D6C"/>
    <w:rsid w:val="007C4FD5"/>
    <w:rsid w:val="007C7272"/>
    <w:rsid w:val="007D20F9"/>
    <w:rsid w:val="007D3B2E"/>
    <w:rsid w:val="007E472F"/>
    <w:rsid w:val="007E54E4"/>
    <w:rsid w:val="007E789D"/>
    <w:rsid w:val="007F1461"/>
    <w:rsid w:val="00811809"/>
    <w:rsid w:val="00826220"/>
    <w:rsid w:val="008313ED"/>
    <w:rsid w:val="00843268"/>
    <w:rsid w:val="00876386"/>
    <w:rsid w:val="00877351"/>
    <w:rsid w:val="0088333F"/>
    <w:rsid w:val="00895F7C"/>
    <w:rsid w:val="008A534D"/>
    <w:rsid w:val="008C63B0"/>
    <w:rsid w:val="008D219F"/>
    <w:rsid w:val="008D48C5"/>
    <w:rsid w:val="008E1C5C"/>
    <w:rsid w:val="008F654B"/>
    <w:rsid w:val="00901DDD"/>
    <w:rsid w:val="00902084"/>
    <w:rsid w:val="0090265A"/>
    <w:rsid w:val="0091033E"/>
    <w:rsid w:val="00911E65"/>
    <w:rsid w:val="00912EF5"/>
    <w:rsid w:val="00914415"/>
    <w:rsid w:val="009244F2"/>
    <w:rsid w:val="009275DC"/>
    <w:rsid w:val="009339BF"/>
    <w:rsid w:val="0094527E"/>
    <w:rsid w:val="0094684C"/>
    <w:rsid w:val="00955D47"/>
    <w:rsid w:val="00956345"/>
    <w:rsid w:val="009644A1"/>
    <w:rsid w:val="00971470"/>
    <w:rsid w:val="009872A9"/>
    <w:rsid w:val="0098744A"/>
    <w:rsid w:val="00991D7E"/>
    <w:rsid w:val="00991FE1"/>
    <w:rsid w:val="009B250D"/>
    <w:rsid w:val="009C4BD2"/>
    <w:rsid w:val="009E5894"/>
    <w:rsid w:val="009E6446"/>
    <w:rsid w:val="009E6799"/>
    <w:rsid w:val="009F6E94"/>
    <w:rsid w:val="00A11E5C"/>
    <w:rsid w:val="00A126AA"/>
    <w:rsid w:val="00A168A2"/>
    <w:rsid w:val="00A4311F"/>
    <w:rsid w:val="00A5193A"/>
    <w:rsid w:val="00A6419A"/>
    <w:rsid w:val="00A71422"/>
    <w:rsid w:val="00A81414"/>
    <w:rsid w:val="00A936A6"/>
    <w:rsid w:val="00AB2B0B"/>
    <w:rsid w:val="00AB48E8"/>
    <w:rsid w:val="00AC3957"/>
    <w:rsid w:val="00AC4422"/>
    <w:rsid w:val="00AE512E"/>
    <w:rsid w:val="00AF0C0E"/>
    <w:rsid w:val="00B124C3"/>
    <w:rsid w:val="00B12DC9"/>
    <w:rsid w:val="00B17188"/>
    <w:rsid w:val="00B22566"/>
    <w:rsid w:val="00B246FE"/>
    <w:rsid w:val="00B67890"/>
    <w:rsid w:val="00B75479"/>
    <w:rsid w:val="00B910ED"/>
    <w:rsid w:val="00B93635"/>
    <w:rsid w:val="00BA0531"/>
    <w:rsid w:val="00BA59CD"/>
    <w:rsid w:val="00BA698E"/>
    <w:rsid w:val="00BB2B84"/>
    <w:rsid w:val="00BC6331"/>
    <w:rsid w:val="00BD0BB1"/>
    <w:rsid w:val="00BE15D7"/>
    <w:rsid w:val="00BE539F"/>
    <w:rsid w:val="00BF39BF"/>
    <w:rsid w:val="00BF60B6"/>
    <w:rsid w:val="00C20CF8"/>
    <w:rsid w:val="00C42EEA"/>
    <w:rsid w:val="00C611C0"/>
    <w:rsid w:val="00C64547"/>
    <w:rsid w:val="00C83A77"/>
    <w:rsid w:val="00C856F5"/>
    <w:rsid w:val="00CA020F"/>
    <w:rsid w:val="00CC122E"/>
    <w:rsid w:val="00CD05A3"/>
    <w:rsid w:val="00CD19B9"/>
    <w:rsid w:val="00CD7A95"/>
    <w:rsid w:val="00D04EEC"/>
    <w:rsid w:val="00D207CA"/>
    <w:rsid w:val="00D20BA7"/>
    <w:rsid w:val="00D40E9D"/>
    <w:rsid w:val="00D63745"/>
    <w:rsid w:val="00D80153"/>
    <w:rsid w:val="00D95575"/>
    <w:rsid w:val="00DB2546"/>
    <w:rsid w:val="00DB345F"/>
    <w:rsid w:val="00DB4660"/>
    <w:rsid w:val="00DB6C65"/>
    <w:rsid w:val="00DC07CA"/>
    <w:rsid w:val="00DD26C0"/>
    <w:rsid w:val="00DD657E"/>
    <w:rsid w:val="00DD710D"/>
    <w:rsid w:val="00DE69CE"/>
    <w:rsid w:val="00DE76D4"/>
    <w:rsid w:val="00DF6B98"/>
    <w:rsid w:val="00E01B7D"/>
    <w:rsid w:val="00E0240A"/>
    <w:rsid w:val="00E10998"/>
    <w:rsid w:val="00E134BB"/>
    <w:rsid w:val="00E14138"/>
    <w:rsid w:val="00E25A63"/>
    <w:rsid w:val="00E40506"/>
    <w:rsid w:val="00E452A8"/>
    <w:rsid w:val="00E45F27"/>
    <w:rsid w:val="00E46F7E"/>
    <w:rsid w:val="00E473CF"/>
    <w:rsid w:val="00E517B2"/>
    <w:rsid w:val="00E67CC0"/>
    <w:rsid w:val="00E71C61"/>
    <w:rsid w:val="00E72A06"/>
    <w:rsid w:val="00E741B6"/>
    <w:rsid w:val="00E83296"/>
    <w:rsid w:val="00E875DC"/>
    <w:rsid w:val="00E97801"/>
    <w:rsid w:val="00EA4A76"/>
    <w:rsid w:val="00EA6699"/>
    <w:rsid w:val="00EB1A13"/>
    <w:rsid w:val="00EC4B30"/>
    <w:rsid w:val="00ED1506"/>
    <w:rsid w:val="00EE0F09"/>
    <w:rsid w:val="00EF20BD"/>
    <w:rsid w:val="00EF7435"/>
    <w:rsid w:val="00EF756E"/>
    <w:rsid w:val="00F02D90"/>
    <w:rsid w:val="00F116A3"/>
    <w:rsid w:val="00F12476"/>
    <w:rsid w:val="00F23047"/>
    <w:rsid w:val="00F33277"/>
    <w:rsid w:val="00F33FE0"/>
    <w:rsid w:val="00F3577E"/>
    <w:rsid w:val="00F42299"/>
    <w:rsid w:val="00F47304"/>
    <w:rsid w:val="00F5101C"/>
    <w:rsid w:val="00F539E4"/>
    <w:rsid w:val="00F850DE"/>
    <w:rsid w:val="00FA537C"/>
    <w:rsid w:val="00FA64AD"/>
    <w:rsid w:val="00FA6F68"/>
    <w:rsid w:val="00FB1D11"/>
    <w:rsid w:val="00FB782E"/>
    <w:rsid w:val="00FD4283"/>
    <w:rsid w:val="00FD5318"/>
    <w:rsid w:val="00FE5751"/>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strokecolor="#969696">
      <v:stroke weight=".25pt" color="#969696"/>
      <o:colormenu v:ext="edit" strokecolor="black"/>
    </o:shapedefaults>
    <o:shapelayout v:ext="edit">
      <o:idmap v:ext="edit" data="1"/>
    </o:shapelayout>
  </w:shapeDefaults>
  <w:decimalSymbol w:val=","/>
  <w:listSeparator w:val=";"/>
  <w14:docId w14:val="74E32617"/>
  <w15:docId w15:val="{8AE17233-FB8C-4A03-B4BC-7D92A04A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98"/>
    <w:pPr>
      <w:spacing w:line="280" w:lineRule="atLeast"/>
    </w:pPr>
    <w:rPr>
      <w:rFonts w:ascii="Arial" w:hAnsi="Arial"/>
      <w:lang w:eastAsia="en-US"/>
    </w:rPr>
  </w:style>
  <w:style w:type="paragraph" w:styleId="Overskrift1">
    <w:name w:val="heading 1"/>
    <w:basedOn w:val="Normal"/>
    <w:next w:val="Normal"/>
    <w:qFormat/>
    <w:rsid w:val="00307B29"/>
    <w:pPr>
      <w:keepNext/>
      <w:spacing w:before="100"/>
      <w:outlineLvl w:val="0"/>
    </w:pPr>
    <w:rPr>
      <w:rFonts w:cs="Arial"/>
      <w:b/>
      <w:bCs/>
      <w:kern w:val="32"/>
      <w:sz w:val="24"/>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307B29"/>
    <w:pPr>
      <w:keepNext/>
      <w:outlineLvl w:val="2"/>
    </w:pPr>
    <w:rPr>
      <w:rFonts w:cs="Arial"/>
      <w:b/>
      <w:bCs/>
      <w:i/>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character" w:styleId="Sidetal">
    <w:name w:val="page number"/>
    <w:basedOn w:val="Standardskrifttypeiafsnit"/>
    <w:rsid w:val="00575BAB"/>
    <w:rPr>
      <w:rFonts w:ascii="Arial" w:hAnsi="Arial"/>
      <w:sz w:val="16"/>
    </w:rPr>
  </w:style>
  <w:style w:type="paragraph" w:styleId="Markeringsbobletekst">
    <w:name w:val="Balloon Text"/>
    <w:basedOn w:val="Normal"/>
    <w:link w:val="MarkeringsbobletekstTegn"/>
    <w:rsid w:val="00F3577E"/>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F3577E"/>
    <w:rPr>
      <w:rFonts w:ascii="Tahoma" w:hAnsi="Tahoma" w:cs="Tahoma"/>
      <w:sz w:val="16"/>
      <w:szCs w:val="16"/>
      <w:lang w:eastAsia="en-US"/>
    </w:rPr>
  </w:style>
  <w:style w:type="character" w:styleId="Pladsholdertekst">
    <w:name w:val="Placeholder Text"/>
    <w:basedOn w:val="Standardskrifttypeiafsnit"/>
    <w:uiPriority w:val="99"/>
    <w:semiHidden/>
    <w:rsid w:val="00F3577E"/>
    <w:rPr>
      <w:color w:val="808080"/>
    </w:rPr>
  </w:style>
  <w:style w:type="character" w:styleId="Hyperlink">
    <w:name w:val="Hyperlink"/>
    <w:basedOn w:val="Standardskrifttypeiafsnit"/>
    <w:unhideWhenUsed/>
    <w:rsid w:val="00956345"/>
    <w:rPr>
      <w:color w:val="0000FF" w:themeColor="hyperlink"/>
      <w:u w:val="single"/>
    </w:rPr>
  </w:style>
  <w:style w:type="paragraph" w:styleId="Listeafsnit">
    <w:name w:val="List Paragraph"/>
    <w:basedOn w:val="Normal"/>
    <w:uiPriority w:val="34"/>
    <w:qFormat/>
    <w:rsid w:val="00407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3578">
      <w:bodyDiv w:val="1"/>
      <w:marLeft w:val="0"/>
      <w:marRight w:val="0"/>
      <w:marTop w:val="0"/>
      <w:marBottom w:val="0"/>
      <w:divBdr>
        <w:top w:val="none" w:sz="0" w:space="0" w:color="auto"/>
        <w:left w:val="none" w:sz="0" w:space="0" w:color="auto"/>
        <w:bottom w:val="none" w:sz="0" w:space="0" w:color="auto"/>
        <w:right w:val="none" w:sz="0" w:space="0" w:color="auto"/>
      </w:divBdr>
    </w:div>
    <w:div w:id="912662548">
      <w:bodyDiv w:val="1"/>
      <w:marLeft w:val="0"/>
      <w:marRight w:val="0"/>
      <w:marTop w:val="0"/>
      <w:marBottom w:val="0"/>
      <w:divBdr>
        <w:top w:val="none" w:sz="0" w:space="0" w:color="auto"/>
        <w:left w:val="none" w:sz="0" w:space="0" w:color="auto"/>
        <w:bottom w:val="none" w:sz="0" w:space="0" w:color="auto"/>
        <w:right w:val="none" w:sz="0" w:space="0" w:color="auto"/>
      </w:divBdr>
    </w:div>
    <w:div w:id="959604374">
      <w:bodyDiv w:val="1"/>
      <w:marLeft w:val="0"/>
      <w:marRight w:val="0"/>
      <w:marTop w:val="0"/>
      <w:marBottom w:val="0"/>
      <w:divBdr>
        <w:top w:val="none" w:sz="0" w:space="0" w:color="auto"/>
        <w:left w:val="none" w:sz="0" w:space="0" w:color="auto"/>
        <w:bottom w:val="none" w:sz="0" w:space="0" w:color="auto"/>
        <w:right w:val="none" w:sz="0" w:space="0" w:color="auto"/>
      </w:divBdr>
    </w:div>
    <w:div w:id="960577517">
      <w:bodyDiv w:val="1"/>
      <w:marLeft w:val="0"/>
      <w:marRight w:val="0"/>
      <w:marTop w:val="0"/>
      <w:marBottom w:val="0"/>
      <w:divBdr>
        <w:top w:val="none" w:sz="0" w:space="0" w:color="auto"/>
        <w:left w:val="none" w:sz="0" w:space="0" w:color="auto"/>
        <w:bottom w:val="none" w:sz="0" w:space="0" w:color="auto"/>
        <w:right w:val="none" w:sz="0" w:space="0" w:color="auto"/>
      </w:divBdr>
    </w:div>
    <w:div w:id="1121539047">
      <w:bodyDiv w:val="1"/>
      <w:marLeft w:val="0"/>
      <w:marRight w:val="0"/>
      <w:marTop w:val="0"/>
      <w:marBottom w:val="0"/>
      <w:divBdr>
        <w:top w:val="none" w:sz="0" w:space="0" w:color="auto"/>
        <w:left w:val="none" w:sz="0" w:space="0" w:color="auto"/>
        <w:bottom w:val="none" w:sz="0" w:space="0" w:color="auto"/>
        <w:right w:val="none" w:sz="0" w:space="0" w:color="auto"/>
      </w:divBdr>
    </w:div>
    <w:div w:id="1272932064">
      <w:bodyDiv w:val="1"/>
      <w:marLeft w:val="0"/>
      <w:marRight w:val="0"/>
      <w:marTop w:val="0"/>
      <w:marBottom w:val="0"/>
      <w:divBdr>
        <w:top w:val="none" w:sz="0" w:space="0" w:color="auto"/>
        <w:left w:val="none" w:sz="0" w:space="0" w:color="auto"/>
        <w:bottom w:val="none" w:sz="0" w:space="0" w:color="auto"/>
        <w:right w:val="none" w:sz="0" w:space="0" w:color="auto"/>
      </w:divBdr>
    </w:div>
    <w:div w:id="19331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elt"/>
          <w:gallery w:val="placeholder"/>
        </w:category>
        <w:types>
          <w:type w:val="bbPlcHdr"/>
        </w:types>
        <w:behaviors>
          <w:behavior w:val="content"/>
        </w:behaviors>
        <w:guid w:val="{EE293FC8-7FA9-4253-8268-38280437AF33}"/>
      </w:docPartPr>
      <w:docPartBody>
        <w:p w:rsidR="0090579C" w:rsidRDefault="0064545F">
          <w:r w:rsidRPr="00D94EB1">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64545F"/>
    <w:rsid w:val="002A4BF8"/>
    <w:rsid w:val="0064545F"/>
    <w:rsid w:val="0090579C"/>
    <w:rsid w:val="00E441BA"/>
    <w:rsid w:val="00ED62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79C"/>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454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600092" gbs:entity="Document" gbs:templateDesignerVersion="3.1 F">
  <gbs:DocumentNumber gbs:loadFromGrowBusiness="OnProduce" gbs:saveInGrowBusiness="False" gbs:connected="true" gbs:recno="" gbs:entity="" gbs:datatype="string" gbs:key="10000">17-000206-22</gbs:DocumentNumber>
</gbs:GrowBusinessDocument>
</file>

<file path=customXml/itemProps1.xml><?xml version="1.0" encoding="utf-8"?>
<ds:datastoreItem xmlns:ds="http://schemas.openxmlformats.org/officeDocument/2006/customXml" ds:itemID="{E37B54F5-2A63-4EB2-BC56-C55837EC24B8}">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254</ap:TotalTime>
  <ap:Pages>4</ap:Pages>
  <ap:Words>1173</ap:Words>
  <ap:Characters>7203</ap:Characters>
  <ap:Application>Microsoft Office Word</ap:Application>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Tomt dokument</vt:lpstr>
    </vt:vector>
  </ap:TitlesOfParts>
  <ap:Company>Folketinget</ap:Company>
  <ap:LinksUpToDate>false</ap:LinksUpToDate>
  <ap:CharactersWithSpaces>8360</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Anton Høj Jacobsen</dc:creator>
  <cp:lastModifiedBy>Anton Høj Jacobsen</cp:lastModifiedBy>
  <cp:revision>12</cp:revision>
  <cp:lastPrinted>2007-03-15T09:32:00Z</cp:lastPrinted>
  <dcterms:created xsi:type="dcterms:W3CDTF">2011-01-31T11:52:00Z</dcterms:created>
  <dcterms:modified xsi:type="dcterms:W3CDTF">2017-11-07T17:56:00Z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206100382</vt:i4>
  </property>
  <property fmtid="{D5CDD505-2E9C-101B-9397-08002B2CF9AE}" pid="3" name="_NewReviewCycle">
    <vt:lpwstr/>
  </property>
  <property fmtid="{D5CDD505-2E9C-101B-9397-08002B2CF9AE}" pid="4" name="_EmailSubject">
    <vt:lpwstr>Høringssvar og kommenteret høringsoversigt til borgerforslagslovforslaget</vt:lpwstr>
  </property>
  <property fmtid="{D5CDD505-2E9C-101B-9397-08002B2CF9AE}" pid="5" name="_AuthorEmail">
    <vt:lpwstr>Anton.Hoj.Jacobsen@ft.dk</vt:lpwstr>
  </property>
  <property fmtid="{D5CDD505-2E9C-101B-9397-08002B2CF9AE}" pid="6" name="_AuthorEmailDisplayName">
    <vt:lpwstr>Anton Høj Jacobsen</vt:lpwstr>
  </property>
  <property fmtid="{D5CDD505-2E9C-101B-9397-08002B2CF9AE}" pid="7" name="_PreviousAdHocReviewCycleID">
    <vt:i4>206100382</vt:i4>
  </property>
</Properties>
</file>