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9DD2" w14:textId="77777777" w:rsidR="00A365BC" w:rsidRDefault="00673509" w:rsidP="00B3125C">
      <w:pPr>
        <w:jc w:val="center"/>
        <w:rPr>
          <w:b/>
          <w:sz w:val="32"/>
          <w:szCs w:val="32"/>
        </w:rPr>
      </w:pPr>
      <w:r w:rsidRPr="00AE1EC1">
        <w:rPr>
          <w:b/>
          <w:sz w:val="32"/>
          <w:szCs w:val="32"/>
        </w:rPr>
        <w:t>Bekendtgørelse om folkeuniversitetet</w:t>
      </w:r>
    </w:p>
    <w:p w14:paraId="70F09DD3" w14:textId="77777777" w:rsidR="00693FDD" w:rsidRDefault="00693FDD" w:rsidP="00B3125C">
      <w:pPr>
        <w:jc w:val="center"/>
      </w:pPr>
    </w:p>
    <w:p w14:paraId="70F09DD4" w14:textId="49B461A6" w:rsidR="00673509" w:rsidRPr="00AE1EC1" w:rsidRDefault="00673509" w:rsidP="00B3125C">
      <w:pPr>
        <w:jc w:val="center"/>
      </w:pPr>
      <w:r w:rsidRPr="00AE1EC1">
        <w:t>I medfør af §</w:t>
      </w:r>
      <w:r w:rsidR="004338CC">
        <w:t xml:space="preserve"> 48, stk. 1, § 49, stk. 3 og 4 og § 51, stk. 1</w:t>
      </w:r>
      <w:r w:rsidR="00C64F0B" w:rsidRPr="00AE1EC1">
        <w:t xml:space="preserve"> i </w:t>
      </w:r>
      <w:r w:rsidR="004338CC">
        <w:t>lov om støtte til folkeoplysende voksenundervi</w:t>
      </w:r>
      <w:r w:rsidR="004338CC">
        <w:t>s</w:t>
      </w:r>
      <w:r w:rsidR="004338CC">
        <w:t>ning, frivillige folkeoplysende foreningsarbejde og daghøjskoler samt Folkeuniversitetet (folkeoplysningsl</w:t>
      </w:r>
      <w:r w:rsidR="004338CC">
        <w:t>o</w:t>
      </w:r>
      <w:r w:rsidR="004338CC">
        <w:t xml:space="preserve">ven), jf. lov nr. </w:t>
      </w:r>
      <w:proofErr w:type="spellStart"/>
      <w:r w:rsidR="00C64F0B" w:rsidRPr="00AE1EC1">
        <w:t>xxxx</w:t>
      </w:r>
      <w:proofErr w:type="spellEnd"/>
      <w:r w:rsidR="004338CC">
        <w:t xml:space="preserve"> af </w:t>
      </w:r>
      <w:proofErr w:type="spellStart"/>
      <w:r w:rsidR="004338CC">
        <w:t>xx.yy</w:t>
      </w:r>
      <w:proofErr w:type="spellEnd"/>
      <w:r w:rsidR="004338CC">
        <w:t xml:space="preserve"> 2018</w:t>
      </w:r>
      <w:r w:rsidRPr="00AE1EC1">
        <w:t xml:space="preserve"> fastsættes:</w:t>
      </w:r>
    </w:p>
    <w:p w14:paraId="70F09DD5" w14:textId="77777777" w:rsidR="00673509" w:rsidRPr="00AE1EC1" w:rsidRDefault="00673509" w:rsidP="001F02D9">
      <w:pPr>
        <w:keepNext/>
        <w:jc w:val="center"/>
      </w:pPr>
      <w:r w:rsidRPr="00AE1EC1">
        <w:t>Kapitel 1</w:t>
      </w:r>
    </w:p>
    <w:p w14:paraId="70F09DD6" w14:textId="77777777" w:rsidR="00673509" w:rsidRPr="00AE1EC1" w:rsidRDefault="006A7259" w:rsidP="001F02D9">
      <w:pPr>
        <w:keepNext/>
        <w:jc w:val="center"/>
        <w:rPr>
          <w:i/>
          <w:iCs/>
        </w:rPr>
      </w:pPr>
      <w:r w:rsidRPr="00AE1EC1">
        <w:rPr>
          <w:i/>
          <w:iCs/>
        </w:rPr>
        <w:t>F</w:t>
      </w:r>
      <w:r w:rsidR="0078169A">
        <w:rPr>
          <w:i/>
          <w:iCs/>
        </w:rPr>
        <w:t>olkeuniversitet</w:t>
      </w:r>
      <w:r w:rsidR="00A45C22">
        <w:rPr>
          <w:i/>
          <w:iCs/>
        </w:rPr>
        <w:t>svirksomheden</w:t>
      </w:r>
    </w:p>
    <w:p w14:paraId="70F09DD7" w14:textId="77777777" w:rsidR="00673509" w:rsidRPr="00AE1EC1" w:rsidRDefault="00673509" w:rsidP="00673509">
      <w:r w:rsidRPr="00AE1EC1">
        <w:rPr>
          <w:b/>
          <w:bCs/>
        </w:rPr>
        <w:t xml:space="preserve">§ 1. </w:t>
      </w:r>
      <w:r w:rsidRPr="00AE1EC1">
        <w:t xml:space="preserve">Folkeuniversitetsvirksomheden, jf. lovens § 46, udøves af </w:t>
      </w:r>
      <w:r w:rsidR="00693FDD">
        <w:t xml:space="preserve">fire </w:t>
      </w:r>
      <w:r w:rsidRPr="00AE1EC1">
        <w:t xml:space="preserve">folkeuniversitetsafdelinger </w:t>
      </w:r>
      <w:r w:rsidR="000D12BA">
        <w:t>med tilkny</w:t>
      </w:r>
      <w:r w:rsidR="000D12BA">
        <w:t>t</w:t>
      </w:r>
      <w:r w:rsidR="000D12BA">
        <w:t xml:space="preserve">ning til universiteter </w:t>
      </w:r>
      <w:r w:rsidRPr="00AE1EC1">
        <w:t>(afdelinger) og af folkeu</w:t>
      </w:r>
      <w:r w:rsidR="00693FDD">
        <w:t>niversitetskomit</w:t>
      </w:r>
      <w:r w:rsidR="004338CC">
        <w:t>e</w:t>
      </w:r>
      <w:r w:rsidR="00693FDD">
        <w:t>er (komit</w:t>
      </w:r>
      <w:r w:rsidR="004338CC">
        <w:t>e</w:t>
      </w:r>
      <w:r w:rsidR="00693FDD">
        <w:t>er).</w:t>
      </w:r>
    </w:p>
    <w:p w14:paraId="70F09DD8" w14:textId="77777777" w:rsidR="00673509" w:rsidRPr="00AE1EC1" w:rsidRDefault="00673509" w:rsidP="00673509">
      <w:r w:rsidRPr="00AE1EC1">
        <w:rPr>
          <w:i/>
          <w:iCs/>
        </w:rPr>
        <w:t xml:space="preserve">Stk. 2. </w:t>
      </w:r>
      <w:r w:rsidR="00F552CC" w:rsidRPr="00AE1EC1">
        <w:t>Folkeuniversitets</w:t>
      </w:r>
      <w:r w:rsidR="00693FDD">
        <w:t>komit</w:t>
      </w:r>
      <w:r w:rsidR="004338CC">
        <w:t>e</w:t>
      </w:r>
      <w:r w:rsidR="00693FDD">
        <w:t xml:space="preserve">er kan tilknytte sig en af de </w:t>
      </w:r>
      <w:r w:rsidR="00882A98" w:rsidRPr="00693FDD">
        <w:t>fire</w:t>
      </w:r>
      <w:r w:rsidR="00F552CC" w:rsidRPr="00AE1EC1">
        <w:t xml:space="preserve"> </w:t>
      </w:r>
      <w:r w:rsidRPr="00AE1EC1">
        <w:t>afdelinger. Komit</w:t>
      </w:r>
      <w:r w:rsidR="004338CC">
        <w:t>e</w:t>
      </w:r>
      <w:r w:rsidRPr="00AE1EC1">
        <w:t xml:space="preserve">er, der ikke tilknytter sig en afdeling, tilknyttes </w:t>
      </w:r>
      <w:r w:rsidR="00452CBF" w:rsidRPr="00AE1EC1">
        <w:t>K</w:t>
      </w:r>
      <w:r w:rsidRPr="00AE1EC1">
        <w:t>omit</w:t>
      </w:r>
      <w:r w:rsidR="004338CC">
        <w:t>e</w:t>
      </w:r>
      <w:r w:rsidRPr="00AE1EC1">
        <w:t>styrelse</w:t>
      </w:r>
      <w:r w:rsidR="00452CBF" w:rsidRPr="00AE1EC1">
        <w:t>n</w:t>
      </w:r>
      <w:r w:rsidRPr="00AE1EC1">
        <w:t>, der består af repræsentanter for disse komit</w:t>
      </w:r>
      <w:r w:rsidR="004338CC">
        <w:t>e</w:t>
      </w:r>
      <w:r w:rsidRPr="00AE1EC1">
        <w:t xml:space="preserve">er. Afdelingerne og </w:t>
      </w:r>
      <w:r w:rsidR="00452CBF" w:rsidRPr="00AE1EC1">
        <w:t>K</w:t>
      </w:r>
      <w:r w:rsidRPr="00AE1EC1">
        <w:t>omit</w:t>
      </w:r>
      <w:r w:rsidR="004338CC">
        <w:t>e</w:t>
      </w:r>
      <w:r w:rsidRPr="00AE1EC1">
        <w:t>styrelsen</w:t>
      </w:r>
      <w:r w:rsidR="000D12BA">
        <w:t xml:space="preserve"> benævnes herefter som enheder.</w:t>
      </w:r>
    </w:p>
    <w:p w14:paraId="70F09DD9" w14:textId="77777777" w:rsidR="00673509" w:rsidRPr="00AE1EC1" w:rsidRDefault="00882A98" w:rsidP="00673509">
      <w:r>
        <w:rPr>
          <w:i/>
        </w:rPr>
        <w:t>Stk. 3</w:t>
      </w:r>
      <w:r w:rsidR="00673509" w:rsidRPr="00AE1EC1">
        <w:rPr>
          <w:i/>
        </w:rPr>
        <w:t>.</w:t>
      </w:r>
      <w:r w:rsidR="00673509" w:rsidRPr="00AE1EC1">
        <w:t xml:space="preserve"> Kulturministeriet</w:t>
      </w:r>
      <w:r w:rsidR="00B51BE0" w:rsidRPr="00AE1EC1">
        <w:t xml:space="preserve"> fører tilsyn med Folkeuniversitetet</w:t>
      </w:r>
      <w:r w:rsidR="00A80028">
        <w:t>s enheder</w:t>
      </w:r>
      <w:r w:rsidR="00B51BE0" w:rsidRPr="00AE1EC1">
        <w:t xml:space="preserve"> i henhold til Lov </w:t>
      </w:r>
      <w:r w:rsidR="00B51BE0" w:rsidRPr="00AE1EC1">
        <w:rPr>
          <w:rStyle w:val="kortnavn"/>
        </w:rPr>
        <w:t>nr. 1531 af 21. d</w:t>
      </w:r>
      <w:r w:rsidR="00B51BE0" w:rsidRPr="00AE1EC1">
        <w:rPr>
          <w:rStyle w:val="kortnavn"/>
        </w:rPr>
        <w:t>e</w:t>
      </w:r>
      <w:r w:rsidR="00B51BE0" w:rsidRPr="00AE1EC1">
        <w:rPr>
          <w:rStyle w:val="kortnavn"/>
        </w:rPr>
        <w:t xml:space="preserve">cember 2010 </w:t>
      </w:r>
      <w:r w:rsidR="00B51BE0" w:rsidRPr="00AE1EC1">
        <w:t xml:space="preserve">om økonomiske og administrative forhold for modtagere af driftstilskud fra Kulturministeriet </w:t>
      </w:r>
      <w:r w:rsidR="00F552CC" w:rsidRPr="00AE1EC1">
        <w:t xml:space="preserve">(driftstilskudsloven) </w:t>
      </w:r>
      <w:r w:rsidR="00B51BE0" w:rsidRPr="00AE1EC1">
        <w:t xml:space="preserve">og </w:t>
      </w:r>
      <w:r w:rsidR="00722DEA">
        <w:t>b</w:t>
      </w:r>
      <w:r w:rsidR="00B51BE0" w:rsidRPr="00AE1EC1">
        <w:t xml:space="preserve">ekendtgørelse </w:t>
      </w:r>
      <w:r w:rsidR="00B51BE0" w:rsidRPr="00AE1EC1">
        <w:rPr>
          <w:rStyle w:val="kortnavn"/>
        </w:rPr>
        <w:t xml:space="preserve">nr. 1701 af 21. december 2010 </w:t>
      </w:r>
      <w:r w:rsidR="00B51BE0" w:rsidRPr="00AE1EC1">
        <w:t>om økonomiske og administrative forhold for modtagere af driftstilskud fra Kulturministeriet</w:t>
      </w:r>
      <w:r w:rsidR="00F552CC" w:rsidRPr="00AE1EC1">
        <w:t xml:space="preserve"> (driftstilskudsbekendtgørelsen)</w:t>
      </w:r>
      <w:r w:rsidR="00B51BE0" w:rsidRPr="00AE1EC1">
        <w:t>.</w:t>
      </w:r>
    </w:p>
    <w:p w14:paraId="70F09DDA" w14:textId="77777777" w:rsidR="00673509" w:rsidRPr="00AE1EC1" w:rsidRDefault="00673509" w:rsidP="001F02D9">
      <w:pPr>
        <w:keepNext/>
        <w:jc w:val="center"/>
      </w:pPr>
      <w:r w:rsidRPr="00AE1EC1">
        <w:t>Kapitel 2</w:t>
      </w:r>
    </w:p>
    <w:p w14:paraId="70F09DDB" w14:textId="77777777" w:rsidR="00493D21" w:rsidRPr="00AE1EC1" w:rsidRDefault="00673509" w:rsidP="001F02D9">
      <w:pPr>
        <w:keepNext/>
        <w:jc w:val="center"/>
        <w:rPr>
          <w:i/>
          <w:iCs/>
        </w:rPr>
      </w:pPr>
      <w:r w:rsidRPr="00AE1EC1">
        <w:rPr>
          <w:i/>
          <w:iCs/>
        </w:rPr>
        <w:t>Afdelinger</w:t>
      </w:r>
      <w:r w:rsidR="00493D21" w:rsidRPr="00AE1EC1">
        <w:rPr>
          <w:i/>
          <w:iCs/>
        </w:rPr>
        <w:t>, Komit</w:t>
      </w:r>
      <w:r w:rsidR="004338CC">
        <w:rPr>
          <w:i/>
          <w:iCs/>
        </w:rPr>
        <w:t>e</w:t>
      </w:r>
      <w:r w:rsidR="00493D21" w:rsidRPr="00AE1EC1">
        <w:rPr>
          <w:i/>
          <w:iCs/>
        </w:rPr>
        <w:t>styrelsen</w:t>
      </w:r>
      <w:r w:rsidR="003D60E7">
        <w:rPr>
          <w:i/>
          <w:iCs/>
        </w:rPr>
        <w:t xml:space="preserve"> og komit</w:t>
      </w:r>
      <w:r w:rsidR="004338CC">
        <w:rPr>
          <w:i/>
          <w:iCs/>
        </w:rPr>
        <w:t>e</w:t>
      </w:r>
      <w:r w:rsidR="003D60E7">
        <w:rPr>
          <w:i/>
          <w:iCs/>
        </w:rPr>
        <w:t>er</w:t>
      </w:r>
    </w:p>
    <w:p w14:paraId="70F09DDC" w14:textId="77777777" w:rsidR="00B4688C" w:rsidRPr="00AE1EC1" w:rsidRDefault="00B4688C" w:rsidP="00673509">
      <w:r w:rsidRPr="00AE1EC1">
        <w:rPr>
          <w:b/>
        </w:rPr>
        <w:t>§ 2.</w:t>
      </w:r>
      <w:r w:rsidRPr="00AE1EC1">
        <w:t xml:space="preserve"> </w:t>
      </w:r>
      <w:r w:rsidR="00522B57" w:rsidRPr="00AE1EC1">
        <w:t>Hver a</w:t>
      </w:r>
      <w:r w:rsidR="000D12BA">
        <w:t>fdeling ledes af en bestyrelse</w:t>
      </w:r>
      <w:r w:rsidRPr="00AE1EC1">
        <w:t xml:space="preserve">. </w:t>
      </w:r>
    </w:p>
    <w:p w14:paraId="70F09DDD" w14:textId="77777777" w:rsidR="00B51BE0" w:rsidRPr="00AE1EC1" w:rsidRDefault="00B05C25" w:rsidP="00B51BE0">
      <w:r>
        <w:rPr>
          <w:i/>
          <w:iCs/>
        </w:rPr>
        <w:t>Stk. 2</w:t>
      </w:r>
      <w:r w:rsidR="00B51BE0" w:rsidRPr="00AE1EC1">
        <w:rPr>
          <w:i/>
          <w:iCs/>
        </w:rPr>
        <w:t xml:space="preserve">. </w:t>
      </w:r>
      <w:r w:rsidR="00B51BE0" w:rsidRPr="00AE1EC1">
        <w:t xml:space="preserve">Afdelingen fastsætter en vedtægt for sin virksomhed. Vedtægten skal </w:t>
      </w:r>
      <w:r w:rsidR="009B123C" w:rsidRPr="00AE1EC1">
        <w:t>opfylde kravene</w:t>
      </w:r>
      <w:r w:rsidR="00BD70E7">
        <w:t xml:space="preserve"> til selvejende institutioners vedtægter</w:t>
      </w:r>
      <w:r w:rsidR="009B123C" w:rsidRPr="00AE1EC1">
        <w:t xml:space="preserve"> i </w:t>
      </w:r>
      <w:r w:rsidR="00F552CC" w:rsidRPr="00AE1EC1">
        <w:t>driftstilskudsloven</w:t>
      </w:r>
      <w:r w:rsidR="00517584" w:rsidRPr="00BD70E7">
        <w:t>s kapitel 3</w:t>
      </w:r>
      <w:r w:rsidR="007622FA" w:rsidRPr="00AE1EC1">
        <w:t>,</w:t>
      </w:r>
      <w:r w:rsidR="00DD3F2E" w:rsidRPr="00AE1EC1">
        <w:t xml:space="preserve"> og </w:t>
      </w:r>
      <w:r w:rsidR="009B123C" w:rsidRPr="00AE1EC1">
        <w:t xml:space="preserve">desuden fastlægge </w:t>
      </w:r>
      <w:r w:rsidR="00B51BE0" w:rsidRPr="00AE1EC1">
        <w:t xml:space="preserve">hvordan </w:t>
      </w:r>
      <w:r w:rsidR="00BD70E7">
        <w:t>afdelingens betj</w:t>
      </w:r>
      <w:r w:rsidR="00BD70E7">
        <w:t>e</w:t>
      </w:r>
      <w:r w:rsidR="00BD70E7">
        <w:t>ning</w:t>
      </w:r>
      <w:r w:rsidR="00B51BE0" w:rsidRPr="00AE1EC1">
        <w:t xml:space="preserve"> af de tilknyttede komit</w:t>
      </w:r>
      <w:r w:rsidR="004338CC">
        <w:t>e</w:t>
      </w:r>
      <w:r w:rsidR="00B51BE0" w:rsidRPr="00AE1EC1">
        <w:t>er varetages</w:t>
      </w:r>
      <w:r w:rsidR="0009688F">
        <w:t>, herunder hvordan komiteerne sikres indflydelse i afdelingens bestyrelse.</w:t>
      </w:r>
    </w:p>
    <w:p w14:paraId="70F09DDE" w14:textId="77777777" w:rsidR="00652807" w:rsidRPr="00FB4724" w:rsidRDefault="00DD3F2E" w:rsidP="00DD3F2E">
      <w:r w:rsidRPr="00FB4724">
        <w:rPr>
          <w:b/>
        </w:rPr>
        <w:t xml:space="preserve">§ </w:t>
      </w:r>
      <w:r w:rsidR="0009688F">
        <w:rPr>
          <w:b/>
        </w:rPr>
        <w:t>3</w:t>
      </w:r>
      <w:r w:rsidR="00AC7AB5" w:rsidRPr="00FB4724">
        <w:rPr>
          <w:b/>
        </w:rPr>
        <w:t>.</w:t>
      </w:r>
      <w:r w:rsidR="00AC7AB5" w:rsidRPr="00FB4724">
        <w:t xml:space="preserve"> Komit</w:t>
      </w:r>
      <w:r w:rsidR="004338CC">
        <w:t>e</w:t>
      </w:r>
      <w:r w:rsidR="00AC7AB5" w:rsidRPr="00FB4724">
        <w:t xml:space="preserve">styrelsen </w:t>
      </w:r>
      <w:r w:rsidR="00D362A4">
        <w:t>består af repræsentanter for de</w:t>
      </w:r>
      <w:r w:rsidR="00AC7AB5" w:rsidRPr="00FB4724">
        <w:t xml:space="preserve"> tilknytte</w:t>
      </w:r>
      <w:r w:rsidR="00D362A4">
        <w:t>de</w:t>
      </w:r>
      <w:r w:rsidR="00AC7AB5" w:rsidRPr="00FB4724">
        <w:t xml:space="preserve"> komit</w:t>
      </w:r>
      <w:r w:rsidR="004338CC">
        <w:t>e</w:t>
      </w:r>
      <w:r w:rsidR="00D362A4">
        <w:t>er</w:t>
      </w:r>
      <w:r w:rsidR="00AC7AB5" w:rsidRPr="00FB4724">
        <w:t xml:space="preserve">. </w:t>
      </w:r>
    </w:p>
    <w:p w14:paraId="70F09DDF" w14:textId="77777777" w:rsidR="00BE4BA7" w:rsidRDefault="00DD3F2E" w:rsidP="00BE4BA7">
      <w:r w:rsidRPr="00AE1EC1">
        <w:rPr>
          <w:i/>
        </w:rPr>
        <w:t xml:space="preserve">Stk. </w:t>
      </w:r>
      <w:r w:rsidR="0009688F">
        <w:rPr>
          <w:i/>
        </w:rPr>
        <w:t>2</w:t>
      </w:r>
      <w:r w:rsidRPr="00AE1EC1">
        <w:rPr>
          <w:i/>
        </w:rPr>
        <w:t>.</w:t>
      </w:r>
      <w:r w:rsidRPr="00AE1EC1">
        <w:t xml:space="preserve"> Komitestyrelsen fastsætter en vedtægt for sin </w:t>
      </w:r>
      <w:r w:rsidR="00BE4BA7" w:rsidRPr="00AE1EC1">
        <w:t xml:space="preserve">virksomhed. Vedtægten skal opfylde kravene </w:t>
      </w:r>
      <w:r w:rsidR="00BD70E7">
        <w:t xml:space="preserve">til </w:t>
      </w:r>
      <w:r w:rsidR="0009688F">
        <w:t>sel</w:t>
      </w:r>
      <w:r w:rsidR="0009688F">
        <w:t>v</w:t>
      </w:r>
      <w:r w:rsidR="0009688F">
        <w:t>ejende institutioner</w:t>
      </w:r>
      <w:r w:rsidR="00BD70E7">
        <w:t xml:space="preserve">s vedtægter i </w:t>
      </w:r>
      <w:r w:rsidR="00BE4BA7" w:rsidRPr="00AE1EC1">
        <w:t>driftstilskudsloven</w:t>
      </w:r>
      <w:r w:rsidR="00517584" w:rsidRPr="00BD70E7">
        <w:t xml:space="preserve">s kapitel </w:t>
      </w:r>
      <w:r w:rsidR="0009688F">
        <w:t>3</w:t>
      </w:r>
      <w:r w:rsidR="001115F7" w:rsidRPr="00AE1EC1">
        <w:t>,</w:t>
      </w:r>
      <w:r w:rsidR="00BE4BA7" w:rsidRPr="00AE1EC1">
        <w:t xml:space="preserve"> og desuden fastlægge hvordan betjeningen af de tilknyttede komit</w:t>
      </w:r>
      <w:r w:rsidR="004338CC">
        <w:t>e</w:t>
      </w:r>
      <w:r w:rsidR="00BE4BA7" w:rsidRPr="00AE1EC1">
        <w:t xml:space="preserve">er varetages. </w:t>
      </w:r>
    </w:p>
    <w:p w14:paraId="6FE34D84" w14:textId="77777777" w:rsidR="000741D1" w:rsidRDefault="0009688F" w:rsidP="0009688F">
      <w:r w:rsidRPr="00AE1EC1">
        <w:rPr>
          <w:b/>
          <w:bCs/>
        </w:rPr>
        <w:t>§ </w:t>
      </w:r>
      <w:r>
        <w:rPr>
          <w:b/>
          <w:bCs/>
        </w:rPr>
        <w:t>4</w:t>
      </w:r>
      <w:r w:rsidRPr="00AE1EC1">
        <w:rPr>
          <w:b/>
          <w:bCs/>
        </w:rPr>
        <w:t xml:space="preserve">. </w:t>
      </w:r>
      <w:r w:rsidRPr="00AE1EC1">
        <w:t>En komit</w:t>
      </w:r>
      <w:r w:rsidR="004338CC">
        <w:t>e</w:t>
      </w:r>
      <w:r w:rsidRPr="00AE1EC1">
        <w:t xml:space="preserve"> træffer selv beslutning om, hvilken enhed den tilknytter sig. </w:t>
      </w:r>
    </w:p>
    <w:p w14:paraId="70F09DE1" w14:textId="1C77E569" w:rsidR="0017552D" w:rsidRDefault="0009688F" w:rsidP="0009688F">
      <w:r w:rsidRPr="00AE1EC1">
        <w:rPr>
          <w:i/>
          <w:iCs/>
        </w:rPr>
        <w:t>Stk. 2.</w:t>
      </w:r>
      <w:r w:rsidRPr="00AE1EC1">
        <w:t xml:space="preserve"> Komit</w:t>
      </w:r>
      <w:r w:rsidR="004338CC">
        <w:t>e</w:t>
      </w:r>
      <w:r w:rsidR="00803C82">
        <w:t>erne</w:t>
      </w:r>
      <w:r w:rsidRPr="00AE1EC1">
        <w:t xml:space="preserve">s beslutning om tilknytning til en enhed gælder fra 1. januar og for en periode af </w:t>
      </w:r>
      <w:r w:rsidR="004338CC">
        <w:t>tre</w:t>
      </w:r>
      <w:r w:rsidRPr="00AE1EC1">
        <w:t xml:space="preserve"> k</w:t>
      </w:r>
      <w:r w:rsidRPr="00AE1EC1">
        <w:t>a</w:t>
      </w:r>
      <w:r w:rsidRPr="00AE1EC1">
        <w:t>lenderår. En komit</w:t>
      </w:r>
      <w:r w:rsidR="004338CC">
        <w:t>e</w:t>
      </w:r>
      <w:r w:rsidRPr="00AE1EC1">
        <w:t>, der herefter ønsker at ændre sin tilknytning</w:t>
      </w:r>
      <w:r w:rsidR="00803C82">
        <w:t xml:space="preserve"> for de efterfølgende tre </w:t>
      </w:r>
      <w:r w:rsidR="004338CC">
        <w:t>kalender</w:t>
      </w:r>
      <w:r w:rsidR="00803C82">
        <w:t>år</w:t>
      </w:r>
      <w:r w:rsidRPr="00AE1EC1">
        <w:t xml:space="preserve">, skal inden </w:t>
      </w:r>
      <w:r w:rsidRPr="00BD70E7">
        <w:t>1.</w:t>
      </w:r>
      <w:r w:rsidR="0017552D">
        <w:t xml:space="preserve"> </w:t>
      </w:r>
      <w:r w:rsidR="00150B6C">
        <w:t>april</w:t>
      </w:r>
      <w:bookmarkStart w:id="0" w:name="_GoBack"/>
      <w:bookmarkEnd w:id="0"/>
      <w:r w:rsidRPr="00AE1EC1">
        <w:t xml:space="preserve"> i det 3. kalenderår underrette Kulturministeriet om den tilknytning, den ønsker f</w:t>
      </w:r>
      <w:r w:rsidR="004338CC">
        <w:t>o</w:t>
      </w:r>
      <w:r w:rsidRPr="00AE1EC1">
        <w:t>r de efte</w:t>
      </w:r>
      <w:r w:rsidRPr="00AE1EC1">
        <w:t>r</w:t>
      </w:r>
      <w:r w:rsidRPr="00AE1EC1">
        <w:t xml:space="preserve">følgende </w:t>
      </w:r>
      <w:r w:rsidR="004338CC">
        <w:t xml:space="preserve">tre </w:t>
      </w:r>
      <w:r w:rsidRPr="00AE1EC1">
        <w:t>kalenderår. Kulturministeriet kan afvise ønsker om ændret tilknytning, der modtages e</w:t>
      </w:r>
      <w:r w:rsidRPr="00AE1EC1">
        <w:t>f</w:t>
      </w:r>
      <w:r w:rsidRPr="00AE1EC1">
        <w:t xml:space="preserve">ter fristen. </w:t>
      </w:r>
    </w:p>
    <w:p w14:paraId="70F09DE2" w14:textId="46344720" w:rsidR="00803C82" w:rsidRDefault="00803C82" w:rsidP="00803C82">
      <w:r w:rsidRPr="00AE1EC1">
        <w:rPr>
          <w:i/>
        </w:rPr>
        <w:lastRenderedPageBreak/>
        <w:t xml:space="preserve">Stk. </w:t>
      </w:r>
      <w:r>
        <w:rPr>
          <w:i/>
        </w:rPr>
        <w:t>3</w:t>
      </w:r>
      <w:r w:rsidRPr="00AE1EC1">
        <w:rPr>
          <w:i/>
        </w:rPr>
        <w:t>.</w:t>
      </w:r>
      <w:r w:rsidRPr="00AE1EC1">
        <w:t xml:space="preserve"> </w:t>
      </w:r>
      <w:r w:rsidR="00B3125C">
        <w:t>En k</w:t>
      </w:r>
      <w:r w:rsidR="000540DC">
        <w:t xml:space="preserve">omite, der oprettes </w:t>
      </w:r>
      <w:r w:rsidR="00B3125C">
        <w:t xml:space="preserve">i løbet af en 3-årige periode kan efterfølgende ændre sin </w:t>
      </w:r>
      <w:r w:rsidR="000540DC">
        <w:t xml:space="preserve">tilknytning </w:t>
      </w:r>
      <w:r w:rsidR="00B3125C">
        <w:t>på samme tidspunkt, som de allerede eksisterende komiteer, jf. stk. 2</w:t>
      </w:r>
      <w:r w:rsidR="000540DC">
        <w:t>.</w:t>
      </w:r>
    </w:p>
    <w:p w14:paraId="70F09DE3" w14:textId="77777777" w:rsidR="0009688F" w:rsidRDefault="0009688F" w:rsidP="0009688F">
      <w:r w:rsidRPr="00AE1EC1">
        <w:rPr>
          <w:i/>
        </w:rPr>
        <w:t xml:space="preserve">Stk. </w:t>
      </w:r>
      <w:r w:rsidR="00803C82">
        <w:rPr>
          <w:i/>
        </w:rPr>
        <w:t>4</w:t>
      </w:r>
      <w:r w:rsidRPr="00AE1EC1">
        <w:rPr>
          <w:i/>
        </w:rPr>
        <w:t>.</w:t>
      </w:r>
      <w:r w:rsidRPr="00AE1EC1">
        <w:t xml:space="preserve"> Komit</w:t>
      </w:r>
      <w:r w:rsidR="004338CC">
        <w:t>e</w:t>
      </w:r>
      <w:r w:rsidRPr="00AE1EC1">
        <w:t>en fastsætter en vedtægt for sin virksomhed. Vedtægten skal godkendes af den enhed kom</w:t>
      </w:r>
      <w:r w:rsidRPr="00AE1EC1">
        <w:t>i</w:t>
      </w:r>
      <w:r w:rsidRPr="00AE1EC1">
        <w:t>t</w:t>
      </w:r>
      <w:r w:rsidR="004338CC">
        <w:t>e</w:t>
      </w:r>
      <w:r w:rsidRPr="00AE1EC1">
        <w:t>en tilknytter sig.</w:t>
      </w:r>
    </w:p>
    <w:p w14:paraId="70F09DE4" w14:textId="77777777" w:rsidR="00B4688C" w:rsidRPr="00AE1EC1" w:rsidRDefault="00B4688C" w:rsidP="001F02D9">
      <w:pPr>
        <w:keepNext/>
        <w:jc w:val="center"/>
      </w:pPr>
      <w:r w:rsidRPr="00AE1EC1">
        <w:t xml:space="preserve">Kapitel </w:t>
      </w:r>
      <w:r w:rsidR="00493D21" w:rsidRPr="00AE1EC1">
        <w:t>3</w:t>
      </w:r>
    </w:p>
    <w:p w14:paraId="70F09DE5" w14:textId="77777777" w:rsidR="00B4688C" w:rsidRPr="00AE1EC1" w:rsidRDefault="00B4688C" w:rsidP="001F02D9">
      <w:pPr>
        <w:keepNext/>
        <w:jc w:val="center"/>
        <w:rPr>
          <w:i/>
        </w:rPr>
      </w:pPr>
      <w:r w:rsidRPr="00AE1EC1">
        <w:rPr>
          <w:i/>
        </w:rPr>
        <w:t>Ansvar og opgaver</w:t>
      </w:r>
    </w:p>
    <w:p w14:paraId="70F09DE6" w14:textId="77777777" w:rsidR="00673509" w:rsidRPr="00AE1EC1" w:rsidRDefault="00673509" w:rsidP="00673509">
      <w:r w:rsidRPr="00AE1EC1">
        <w:rPr>
          <w:b/>
          <w:bCs/>
        </w:rPr>
        <w:t>§ </w:t>
      </w:r>
      <w:r w:rsidR="00517584" w:rsidRPr="00AE1EC1">
        <w:rPr>
          <w:b/>
          <w:bCs/>
        </w:rPr>
        <w:t>5</w:t>
      </w:r>
      <w:r w:rsidRPr="00AE1EC1">
        <w:rPr>
          <w:b/>
          <w:bCs/>
        </w:rPr>
        <w:t xml:space="preserve">. </w:t>
      </w:r>
      <w:r w:rsidR="00FC5148" w:rsidRPr="00AE1EC1">
        <w:t>E</w:t>
      </w:r>
      <w:r w:rsidRPr="00AE1EC1">
        <w:t>nhed</w:t>
      </w:r>
      <w:r w:rsidR="00FC5148" w:rsidRPr="00AE1EC1">
        <w:t xml:space="preserve">ens bestyrelse </w:t>
      </w:r>
      <w:r w:rsidRPr="00AE1EC1">
        <w:t xml:space="preserve">har ansvaret for </w:t>
      </w:r>
      <w:r w:rsidR="00AD2D04" w:rsidRPr="00AE1EC1">
        <w:t xml:space="preserve">enhedens </w:t>
      </w:r>
      <w:r w:rsidR="003D71D5">
        <w:t xml:space="preserve">samlede </w:t>
      </w:r>
      <w:r w:rsidR="00AD2D04" w:rsidRPr="00AE1EC1">
        <w:t>virksomhed, herunder</w:t>
      </w:r>
    </w:p>
    <w:p w14:paraId="70F09DE7" w14:textId="77777777" w:rsidR="00D031A8" w:rsidRPr="00AE1EC1" w:rsidRDefault="00D031A8" w:rsidP="00673509">
      <w:r w:rsidRPr="00BD70E7">
        <w:t>1) at statens tilskud anvendes effektivt og sparsommeligt til formålet,</w:t>
      </w:r>
    </w:p>
    <w:p w14:paraId="70F09DE8" w14:textId="77777777" w:rsidR="00673509" w:rsidRPr="00AE1EC1" w:rsidRDefault="00D031A8" w:rsidP="00673509">
      <w:r w:rsidRPr="00AE1EC1">
        <w:t>2</w:t>
      </w:r>
      <w:r w:rsidR="00673509" w:rsidRPr="00AE1EC1">
        <w:t>) forudgående godkendelse af lærere, forelæsere og undervisningsplaner samt fastsættelse af retningsli</w:t>
      </w:r>
      <w:r w:rsidR="00673509" w:rsidRPr="00AE1EC1">
        <w:t>n</w:t>
      </w:r>
      <w:r w:rsidR="00673509" w:rsidRPr="00AE1EC1">
        <w:t xml:space="preserve">jer herfor med henblik på at sikre en forskningsmæssig forankring af godkendelsen, </w:t>
      </w:r>
    </w:p>
    <w:p w14:paraId="70F09DE9" w14:textId="3863B06F" w:rsidR="00BD70E7" w:rsidRDefault="00D031A8" w:rsidP="00673509">
      <w:r w:rsidRPr="00AE1EC1">
        <w:t>3</w:t>
      </w:r>
      <w:r w:rsidR="00673509" w:rsidRPr="00AE1EC1">
        <w:t xml:space="preserve">) indsamling af undervisningstilbud </w:t>
      </w:r>
      <w:r w:rsidR="00BC28F1">
        <w:t xml:space="preserve">fra </w:t>
      </w:r>
      <w:r w:rsidR="00673509" w:rsidRPr="00AE1EC1">
        <w:t>de til</w:t>
      </w:r>
      <w:r w:rsidR="00BC28F1">
        <w:t>kn</w:t>
      </w:r>
      <w:r w:rsidR="00673509" w:rsidRPr="00AE1EC1">
        <w:t>yttede komit</w:t>
      </w:r>
      <w:r w:rsidR="004338CC">
        <w:t>e</w:t>
      </w:r>
      <w:r w:rsidR="00673509" w:rsidRPr="00AE1EC1">
        <w:t xml:space="preserve">er, </w:t>
      </w:r>
    </w:p>
    <w:p w14:paraId="70F09DEA" w14:textId="77777777" w:rsidR="00673509" w:rsidRPr="00AE1EC1" w:rsidRDefault="00D031A8" w:rsidP="00673509">
      <w:r w:rsidRPr="00AE1EC1">
        <w:t>4</w:t>
      </w:r>
      <w:r w:rsidR="00673509" w:rsidRPr="00AE1EC1">
        <w:t>) tilsyn med tilknyttede komit</w:t>
      </w:r>
      <w:r w:rsidR="004338CC">
        <w:t>e</w:t>
      </w:r>
      <w:r w:rsidR="00673509" w:rsidRPr="00AE1EC1">
        <w:t xml:space="preserve">ers udøvelse af virksomheden, herunder ved </w:t>
      </w:r>
      <w:r w:rsidR="0009688F">
        <w:t xml:space="preserve">at </w:t>
      </w:r>
      <w:r w:rsidR="00673509" w:rsidRPr="00AE1EC1">
        <w:t>indhent</w:t>
      </w:r>
      <w:r w:rsidR="0009688F">
        <w:t>e</w:t>
      </w:r>
      <w:r w:rsidR="00673509" w:rsidRPr="00AE1EC1">
        <w:t xml:space="preserve"> </w:t>
      </w:r>
      <w:r w:rsidR="00426271" w:rsidRPr="00AE1EC1">
        <w:t>relevante</w:t>
      </w:r>
      <w:r w:rsidR="00673509" w:rsidRPr="00AE1EC1">
        <w:t xml:space="preserve"> oply</w:t>
      </w:r>
      <w:r w:rsidR="00673509" w:rsidRPr="00AE1EC1">
        <w:t>s</w:t>
      </w:r>
      <w:r w:rsidR="00673509" w:rsidRPr="00AE1EC1">
        <w:t>ninger hos komit</w:t>
      </w:r>
      <w:r w:rsidR="004338CC">
        <w:t>e</w:t>
      </w:r>
      <w:r w:rsidR="00673509" w:rsidRPr="00AE1EC1">
        <w:t>er</w:t>
      </w:r>
      <w:r w:rsidR="00426271" w:rsidRPr="00AE1EC1">
        <w:t>ne</w:t>
      </w:r>
      <w:r w:rsidR="00D61B07" w:rsidRPr="00AE1EC1">
        <w:t>,</w:t>
      </w:r>
    </w:p>
    <w:p w14:paraId="70F09DEB" w14:textId="77777777" w:rsidR="00493D21" w:rsidRDefault="00493D21" w:rsidP="00673509">
      <w:r w:rsidRPr="00785EF9">
        <w:t xml:space="preserve">5) krav </w:t>
      </w:r>
      <w:r w:rsidR="003D60E7" w:rsidRPr="00785EF9">
        <w:t xml:space="preserve">og godkendelse </w:t>
      </w:r>
      <w:r w:rsidR="003D60E7">
        <w:t>af</w:t>
      </w:r>
      <w:r w:rsidRPr="00785EF9">
        <w:t xml:space="preserve"> </w:t>
      </w:r>
      <w:r w:rsidR="00785EF9">
        <w:t xml:space="preserve">de </w:t>
      </w:r>
      <w:r w:rsidR="00785EF9" w:rsidRPr="00785EF9">
        <w:t>tilknyttede komit</w:t>
      </w:r>
      <w:r w:rsidR="004338CC">
        <w:t>e</w:t>
      </w:r>
      <w:r w:rsidR="00785EF9" w:rsidRPr="00785EF9">
        <w:t>ers vedtægter</w:t>
      </w:r>
      <w:r w:rsidRPr="00785EF9">
        <w:t>,</w:t>
      </w:r>
    </w:p>
    <w:p w14:paraId="70F09DEC" w14:textId="77777777" w:rsidR="003D60E7" w:rsidRPr="00AE1EC1" w:rsidRDefault="003D60E7" w:rsidP="00673509">
      <w:r>
        <w:t>6) godkendelse af nye komiteer, der ønsker at være tilknyttet enheden,</w:t>
      </w:r>
    </w:p>
    <w:p w14:paraId="70F09DED" w14:textId="77777777" w:rsidR="00426271" w:rsidRDefault="003D60E7" w:rsidP="00426271">
      <w:r>
        <w:t>7</w:t>
      </w:r>
      <w:r w:rsidR="00426271" w:rsidRPr="00AE1EC1">
        <w:t>)</w:t>
      </w:r>
      <w:r w:rsidR="00B66779">
        <w:t xml:space="preserve"> at aflønning af lærere, </w:t>
      </w:r>
      <w:r w:rsidR="00426271" w:rsidRPr="00AE1EC1">
        <w:t xml:space="preserve">forelæsere </w:t>
      </w:r>
      <w:r w:rsidR="00B66779">
        <w:t xml:space="preserve">og ledere </w:t>
      </w:r>
      <w:r w:rsidR="00426271" w:rsidRPr="00AE1EC1">
        <w:t xml:space="preserve">er i overensstemmelse med de af staten fastsatte regler eller indgåede aftaler, jf. lovens § 52, </w:t>
      </w:r>
    </w:p>
    <w:p w14:paraId="70F09DEE" w14:textId="77777777" w:rsidR="008136BF" w:rsidRPr="00AE1EC1" w:rsidRDefault="003D60E7" w:rsidP="00426271">
      <w:r>
        <w:t>8</w:t>
      </w:r>
      <w:r w:rsidR="008136BF">
        <w:t>) at tjenesterejser mv. godtgøres efter de af staten fastsatte regler eller indgåede aftaler, jf. lovens § 52,</w:t>
      </w:r>
    </w:p>
    <w:p w14:paraId="70F09DEF" w14:textId="77777777" w:rsidR="00492D9C" w:rsidRDefault="003D60E7" w:rsidP="00426271">
      <w:r>
        <w:t>9</w:t>
      </w:r>
      <w:r w:rsidR="00426271" w:rsidRPr="00AE1EC1">
        <w:t xml:space="preserve">) at løn- og arbejdsvilkår for teknisk og administrativt personale fastsættes i henhold til de til enhver tid gældende aftaler og overenskomster mellem staten og de respektive faglige organisationer, </w:t>
      </w:r>
    </w:p>
    <w:p w14:paraId="70F09DF0" w14:textId="77777777" w:rsidR="00733344" w:rsidRPr="00AE1EC1" w:rsidRDefault="003D60E7" w:rsidP="00426271">
      <w:r>
        <w:t>10</w:t>
      </w:r>
      <w:r w:rsidR="00733344">
        <w:t>) at påse at enheder og komit</w:t>
      </w:r>
      <w:r w:rsidR="004338CC">
        <w:t>e</w:t>
      </w:r>
      <w:r w:rsidR="00733344">
        <w:t xml:space="preserve">er overholder gældende regler om </w:t>
      </w:r>
      <w:r w:rsidR="00D74829">
        <w:t xml:space="preserve">informationssikkerhed og </w:t>
      </w:r>
      <w:r w:rsidR="00733344">
        <w:t>beskyttelse af personoplysninger,</w:t>
      </w:r>
    </w:p>
    <w:p w14:paraId="70F09DF1" w14:textId="77777777" w:rsidR="00426271" w:rsidRPr="00AE1EC1" w:rsidRDefault="00733344" w:rsidP="00426271">
      <w:r>
        <w:t>1</w:t>
      </w:r>
      <w:r w:rsidR="003D60E7">
        <w:t>1</w:t>
      </w:r>
      <w:r w:rsidR="00492D9C" w:rsidRPr="00AE1EC1">
        <w:t>) afgørelse af klager over</w:t>
      </w:r>
      <w:r w:rsidR="00AA5D2C">
        <w:t xml:space="preserve"> afdelingens og de</w:t>
      </w:r>
      <w:r w:rsidR="00492D9C" w:rsidRPr="00AE1EC1">
        <w:t xml:space="preserve"> tilknyttede komit</w:t>
      </w:r>
      <w:r w:rsidR="004338CC">
        <w:t>e</w:t>
      </w:r>
      <w:r w:rsidR="00492D9C" w:rsidRPr="00AE1EC1">
        <w:t xml:space="preserve">ers virksomhed, </w:t>
      </w:r>
      <w:r w:rsidR="00426271" w:rsidRPr="00AE1EC1">
        <w:t xml:space="preserve">og </w:t>
      </w:r>
    </w:p>
    <w:p w14:paraId="70F09DF2" w14:textId="77777777" w:rsidR="00673509" w:rsidRPr="00AE1EC1" w:rsidRDefault="00733344" w:rsidP="00673509">
      <w:r>
        <w:t>1</w:t>
      </w:r>
      <w:r w:rsidR="003D60E7">
        <w:t>2</w:t>
      </w:r>
      <w:r w:rsidR="00673509" w:rsidRPr="00AE1EC1">
        <w:t xml:space="preserve">) andre opgaver, der i øvrigt kan henføres til enhedens ansvar. </w:t>
      </w:r>
    </w:p>
    <w:p w14:paraId="70F09DF3" w14:textId="77777777" w:rsidR="008136BF" w:rsidRDefault="00673509" w:rsidP="00673509">
      <w:r w:rsidRPr="00AE1EC1">
        <w:rPr>
          <w:i/>
          <w:iCs/>
        </w:rPr>
        <w:t xml:space="preserve">Stk. 2. </w:t>
      </w:r>
      <w:r w:rsidRPr="00AE1EC1">
        <w:rPr>
          <w:iCs/>
        </w:rPr>
        <w:t>Enheden</w:t>
      </w:r>
      <w:r w:rsidR="00D031A8" w:rsidRPr="00AE1EC1">
        <w:rPr>
          <w:iCs/>
        </w:rPr>
        <w:t>s bestyrelse</w:t>
      </w:r>
      <w:r w:rsidRPr="00AE1EC1">
        <w:rPr>
          <w:iCs/>
        </w:rPr>
        <w:t xml:space="preserve"> </w:t>
      </w:r>
      <w:r w:rsidRPr="00AE1EC1">
        <w:t>har ansvaret for udarbejdelse af budget og regnskab</w:t>
      </w:r>
      <w:r w:rsidR="000643CC">
        <w:t>. Budget og regnskab in</w:t>
      </w:r>
      <w:r w:rsidR="000643CC">
        <w:t>d</w:t>
      </w:r>
      <w:r w:rsidR="000643CC">
        <w:t xml:space="preserve">sendes </w:t>
      </w:r>
      <w:r w:rsidR="00517584" w:rsidRPr="00AE1EC1">
        <w:t>i henhold til driftstilskudsbekendtgørelsen</w:t>
      </w:r>
      <w:r w:rsidR="000643CC">
        <w:t xml:space="preserve"> til godkendelse i Kulturministeriet</w:t>
      </w:r>
      <w:r w:rsidR="00517584" w:rsidRPr="00AE1EC1">
        <w:t xml:space="preserve">. </w:t>
      </w:r>
    </w:p>
    <w:p w14:paraId="70F09DF4" w14:textId="77777777" w:rsidR="0009688F" w:rsidRDefault="0009688F" w:rsidP="001F02D9">
      <w:pPr>
        <w:keepNext/>
        <w:jc w:val="center"/>
      </w:pPr>
      <w:r>
        <w:t>Kapitel 4</w:t>
      </w:r>
    </w:p>
    <w:p w14:paraId="70F09DF5" w14:textId="77777777" w:rsidR="0009688F" w:rsidRDefault="0009688F" w:rsidP="001F02D9">
      <w:pPr>
        <w:keepNext/>
        <w:jc w:val="center"/>
        <w:rPr>
          <w:i/>
        </w:rPr>
      </w:pPr>
      <w:r>
        <w:rPr>
          <w:i/>
        </w:rPr>
        <w:t>Klage</w:t>
      </w:r>
    </w:p>
    <w:p w14:paraId="70F09DF6" w14:textId="77777777" w:rsidR="0009688F" w:rsidRDefault="0009688F" w:rsidP="0009688F">
      <w:r>
        <w:rPr>
          <w:b/>
        </w:rPr>
        <w:t xml:space="preserve">§ 6. </w:t>
      </w:r>
      <w:r>
        <w:t>Klage over en komit</w:t>
      </w:r>
      <w:r w:rsidR="004338CC">
        <w:t>e</w:t>
      </w:r>
      <w:r>
        <w:t>s udøvelse af folkeuniversitetsvirksomhed kan indbringes for den enhed, som komit</w:t>
      </w:r>
      <w:r w:rsidR="004338CC">
        <w:t>e</w:t>
      </w:r>
      <w:r>
        <w:t xml:space="preserve">en er tilknyttet. </w:t>
      </w:r>
    </w:p>
    <w:p w14:paraId="70F09DF7" w14:textId="77777777" w:rsidR="0009688F" w:rsidRDefault="0009688F" w:rsidP="0009688F">
      <w:r>
        <w:rPr>
          <w:i/>
        </w:rPr>
        <w:lastRenderedPageBreak/>
        <w:t>Stk. 2.</w:t>
      </w:r>
      <w:r>
        <w:t xml:space="preserve"> Klage over en enheds udøvelse af folkeuniversitetsvirksomhed kan indbringes for dennes bestyrelse. </w:t>
      </w:r>
    </w:p>
    <w:p w14:paraId="70F09DF8" w14:textId="77777777" w:rsidR="0009688F" w:rsidRPr="008B670C" w:rsidRDefault="0009688F" w:rsidP="0009688F">
      <w:r>
        <w:rPr>
          <w:i/>
        </w:rPr>
        <w:t xml:space="preserve">Stk. 3. </w:t>
      </w:r>
      <w:r>
        <w:t xml:space="preserve">Afgørelser truffet af en enheds bestyrelse kan ikke indbringes for anden administrativ myndighed. </w:t>
      </w:r>
    </w:p>
    <w:p w14:paraId="70F09DF9" w14:textId="77777777" w:rsidR="0009688F" w:rsidRDefault="0009688F" w:rsidP="001F02D9">
      <w:pPr>
        <w:keepNext/>
        <w:jc w:val="center"/>
      </w:pPr>
      <w:r>
        <w:t>Kapitel 5</w:t>
      </w:r>
    </w:p>
    <w:p w14:paraId="70F09DFA" w14:textId="77777777" w:rsidR="0009688F" w:rsidRDefault="0009688F" w:rsidP="001F02D9">
      <w:pPr>
        <w:keepNext/>
        <w:jc w:val="center"/>
      </w:pPr>
      <w:r>
        <w:rPr>
          <w:i/>
        </w:rPr>
        <w:t>Tilskud</w:t>
      </w:r>
      <w:r>
        <w:t xml:space="preserve"> </w:t>
      </w:r>
    </w:p>
    <w:p w14:paraId="70F09DFB" w14:textId="007377CF" w:rsidR="0009688F" w:rsidRDefault="0009688F" w:rsidP="0009688F">
      <w:r>
        <w:rPr>
          <w:b/>
        </w:rPr>
        <w:t xml:space="preserve">§ 7. </w:t>
      </w:r>
      <w:r>
        <w:t>Staten yder tilskud til folkeuniversitetsvirksomheden, jf. lovens § 49, stk. 1</w:t>
      </w:r>
      <w:r w:rsidR="000741D1">
        <w:t>. T</w:t>
      </w:r>
      <w:r>
        <w:t xml:space="preserve">ilskuddet fastsættes årligt på finansloven. </w:t>
      </w:r>
    </w:p>
    <w:p w14:paraId="70F09DFC" w14:textId="77777777" w:rsidR="0009688F" w:rsidRDefault="0009688F" w:rsidP="0009688F">
      <w:r>
        <w:rPr>
          <w:i/>
        </w:rPr>
        <w:t>Stk. 2.</w:t>
      </w:r>
      <w:r>
        <w:t xml:space="preserve"> Tilskuddet udbetales en gang årligt til de fem enheder efter p</w:t>
      </w:r>
      <w:r w:rsidR="00772798">
        <w:t>rincipperne fastsat i stk. 3-5</w:t>
      </w:r>
      <w:r>
        <w:t xml:space="preserve">. </w:t>
      </w:r>
    </w:p>
    <w:p w14:paraId="70F09DFD" w14:textId="77777777" w:rsidR="0009688F" w:rsidRDefault="0009688F" w:rsidP="0009688F">
      <w:r>
        <w:rPr>
          <w:i/>
        </w:rPr>
        <w:t xml:space="preserve">Stk. 3. </w:t>
      </w:r>
      <w:r>
        <w:t>Hver enhed modtager 10.000 kr. pr. komit</w:t>
      </w:r>
      <w:r w:rsidR="004338CC">
        <w:t>e</w:t>
      </w:r>
      <w:r>
        <w:t>, der er tilknyttet enheden. Den resterende del af tilsku</w:t>
      </w:r>
      <w:r>
        <w:t>d</w:t>
      </w:r>
      <w:r>
        <w:t>det fordeles efter en fordelingsnøgle, jf. stk. 4.</w:t>
      </w:r>
    </w:p>
    <w:p w14:paraId="70F09DFE" w14:textId="64C83698" w:rsidR="0009688F" w:rsidRDefault="0009688F" w:rsidP="0009688F">
      <w:r>
        <w:rPr>
          <w:i/>
        </w:rPr>
        <w:t>Stk. 4.</w:t>
      </w:r>
      <w:r>
        <w:t xml:space="preserve"> Kulturministeriet udarbejder </w:t>
      </w:r>
      <w:r w:rsidR="001F4C21">
        <w:t xml:space="preserve">ved bekendtgørelsens ikrafttræden </w:t>
      </w:r>
      <w:r>
        <w:t>en fordelingsnøgle,</w:t>
      </w:r>
      <w:r w:rsidR="0083454E">
        <w:t xml:space="preserve"> der </w:t>
      </w:r>
      <w:r w:rsidR="000741D1">
        <w:t>som</w:t>
      </w:r>
      <w:r w:rsidR="0083454E">
        <w:t xml:space="preserve"> u</w:t>
      </w:r>
      <w:r w:rsidR="0083454E">
        <w:t>d</w:t>
      </w:r>
      <w:r w:rsidR="0083454E">
        <w:t xml:space="preserve">gangspunkt </w:t>
      </w:r>
      <w:r>
        <w:t xml:space="preserve">baserer sig på </w:t>
      </w:r>
      <w:r w:rsidR="000540DC">
        <w:t xml:space="preserve">et </w:t>
      </w:r>
      <w:r>
        <w:t xml:space="preserve">gennemsnit af </w:t>
      </w:r>
      <w:r w:rsidR="0083454E">
        <w:t xml:space="preserve">tilskuddet </w:t>
      </w:r>
      <w:r w:rsidR="00B549FB">
        <w:t xml:space="preserve">til </w:t>
      </w:r>
      <w:r>
        <w:t>enhederne</w:t>
      </w:r>
      <w:r w:rsidR="00B549FB">
        <w:t xml:space="preserve"> </w:t>
      </w:r>
      <w:r>
        <w:t>i de foregående tre år</w:t>
      </w:r>
      <w:r w:rsidR="0083454E">
        <w:t>, jf. bilag 1</w:t>
      </w:r>
      <w:r>
        <w:t xml:space="preserve">. </w:t>
      </w:r>
    </w:p>
    <w:p w14:paraId="70F09DFF" w14:textId="77777777" w:rsidR="0009688F" w:rsidRPr="00AE1EC1" w:rsidRDefault="0009688F" w:rsidP="00673509">
      <w:r>
        <w:rPr>
          <w:i/>
        </w:rPr>
        <w:t xml:space="preserve">Stk. 5. </w:t>
      </w:r>
      <w:r>
        <w:t>Fordelingsnøglen finder anvendelse for forde</w:t>
      </w:r>
      <w:r w:rsidR="009E582A">
        <w:t xml:space="preserve">lingen af tilskuddet i tre finansår. </w:t>
      </w:r>
      <w:r w:rsidR="00500157">
        <w:t>Forud for udløbet af det tredje år</w:t>
      </w:r>
      <w:r w:rsidR="009E582A">
        <w:t xml:space="preserve"> vurderer Kulturministeriet, om der er grundlag for at ændre i fordelingsnøglen for de ko</w:t>
      </w:r>
      <w:r w:rsidR="009E582A">
        <w:t>m</w:t>
      </w:r>
      <w:r w:rsidR="009E582A">
        <w:t>mende tre år. Er der ikke grundlag for at æn</w:t>
      </w:r>
      <w:r w:rsidR="00CB0178">
        <w:t>dre fordelingsnøglen, fortsætter fordelingen efter den samme fordelingsnøgle i yderligere tre år.</w:t>
      </w:r>
    </w:p>
    <w:p w14:paraId="70F09E00" w14:textId="77777777" w:rsidR="00673509" w:rsidRPr="00AE1EC1" w:rsidRDefault="00673509" w:rsidP="001F02D9">
      <w:pPr>
        <w:keepNext/>
        <w:jc w:val="center"/>
      </w:pPr>
      <w:r w:rsidRPr="00AE1EC1">
        <w:t xml:space="preserve">Kapitel </w:t>
      </w:r>
      <w:r w:rsidR="0009688F">
        <w:t>6</w:t>
      </w:r>
    </w:p>
    <w:p w14:paraId="70F09E01" w14:textId="77777777" w:rsidR="00673509" w:rsidRPr="00AE1EC1" w:rsidRDefault="00673509" w:rsidP="001F02D9">
      <w:pPr>
        <w:keepNext/>
        <w:jc w:val="center"/>
        <w:rPr>
          <w:i/>
          <w:iCs/>
        </w:rPr>
      </w:pPr>
      <w:r w:rsidRPr="00AE1EC1">
        <w:rPr>
          <w:i/>
          <w:iCs/>
        </w:rPr>
        <w:t xml:space="preserve">Ikrafttrædelses- og overgangsbestemmelser </w:t>
      </w:r>
    </w:p>
    <w:p w14:paraId="70F09E02" w14:textId="77777777" w:rsidR="00673509" w:rsidRPr="00AE1EC1" w:rsidRDefault="00673509" w:rsidP="00673509">
      <w:r w:rsidRPr="00AE1EC1">
        <w:rPr>
          <w:b/>
          <w:bCs/>
        </w:rPr>
        <w:t>§ </w:t>
      </w:r>
      <w:r w:rsidR="00CB0178">
        <w:rPr>
          <w:b/>
          <w:bCs/>
        </w:rPr>
        <w:t>8</w:t>
      </w:r>
      <w:r w:rsidRPr="00AE1EC1">
        <w:rPr>
          <w:b/>
          <w:bCs/>
        </w:rPr>
        <w:t xml:space="preserve">. </w:t>
      </w:r>
      <w:r w:rsidRPr="00AE1EC1">
        <w:t xml:space="preserve">Bekendtgørelsen træder i kraft den </w:t>
      </w:r>
      <w:r w:rsidRPr="00B66779">
        <w:t>1. august</w:t>
      </w:r>
      <w:r w:rsidR="00537925" w:rsidRPr="00B66779">
        <w:t xml:space="preserve"> </w:t>
      </w:r>
      <w:r w:rsidRPr="00B66779">
        <w:t>201</w:t>
      </w:r>
      <w:r w:rsidR="00E91655" w:rsidRPr="00B66779">
        <w:t>8</w:t>
      </w:r>
      <w:r w:rsidRPr="00AE1EC1">
        <w:t xml:space="preserve">. </w:t>
      </w:r>
    </w:p>
    <w:p w14:paraId="70F09E03" w14:textId="0B6F9D3F" w:rsidR="0009688F" w:rsidRDefault="0009688F">
      <w:r>
        <w:rPr>
          <w:i/>
        </w:rPr>
        <w:t xml:space="preserve">Stk. 2. </w:t>
      </w:r>
      <w:r w:rsidR="00B549FB">
        <w:t xml:space="preserve">Komiteernes valg af tilhørsforhold pr. 1. januar 2018 videreføres ved bekendtgørelsens ikrafttræden. </w:t>
      </w:r>
      <w:r>
        <w:t>Komiteerne kan første gang foretage omvalg i deres tilhørsforhold</w:t>
      </w:r>
      <w:r w:rsidR="00E569E3">
        <w:t>, jf. § 4, stk. 2,</w:t>
      </w:r>
      <w:r>
        <w:t xml:space="preserve"> med virkning fra 1. januar 2021.</w:t>
      </w:r>
    </w:p>
    <w:p w14:paraId="70F09E04" w14:textId="77777777" w:rsidR="0009688F" w:rsidRDefault="0009688F">
      <w:r>
        <w:rPr>
          <w:i/>
        </w:rPr>
        <w:t>Stk. 3.</w:t>
      </w:r>
      <w:r>
        <w:t xml:space="preserve"> Fordelingsnøglen, jf. § 7, stk. 4, fastsættes på baggrund af gennemsnittet for årene 2014-2016. Fo</w:t>
      </w:r>
      <w:r>
        <w:t>r</w:t>
      </w:r>
      <w:r>
        <w:t>delingsnøglen kan første gang ændres med virkning fra 1. januar 2022.</w:t>
      </w:r>
    </w:p>
    <w:p w14:paraId="70F09E05" w14:textId="77777777" w:rsidR="00CB0178" w:rsidRDefault="00CB0178"/>
    <w:p w14:paraId="70F09E0A" w14:textId="3E399B26" w:rsidR="004E4D52" w:rsidRPr="00AE1EC1" w:rsidRDefault="004E4D52"/>
    <w:sectPr w:rsidR="004E4D52" w:rsidRPr="00AE1E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09E0F" w14:textId="77777777" w:rsidR="00C939D0" w:rsidRDefault="00C939D0" w:rsidP="00500157">
      <w:pPr>
        <w:spacing w:after="0" w:line="240" w:lineRule="auto"/>
      </w:pPr>
      <w:r>
        <w:separator/>
      </w:r>
    </w:p>
  </w:endnote>
  <w:endnote w:type="continuationSeparator" w:id="0">
    <w:p w14:paraId="70F09E10" w14:textId="77777777" w:rsidR="00C939D0" w:rsidRDefault="00C939D0" w:rsidP="0050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9E0D" w14:textId="77777777" w:rsidR="00C939D0" w:rsidRDefault="00C939D0" w:rsidP="00500157">
      <w:pPr>
        <w:spacing w:after="0" w:line="240" w:lineRule="auto"/>
      </w:pPr>
      <w:r>
        <w:separator/>
      </w:r>
    </w:p>
  </w:footnote>
  <w:footnote w:type="continuationSeparator" w:id="0">
    <w:p w14:paraId="70F09E0E" w14:textId="77777777" w:rsidR="00C939D0" w:rsidRDefault="00C939D0" w:rsidP="0050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09"/>
    <w:rsid w:val="000038FB"/>
    <w:rsid w:val="00004F42"/>
    <w:rsid w:val="000216A5"/>
    <w:rsid w:val="00024282"/>
    <w:rsid w:val="000335B1"/>
    <w:rsid w:val="00035547"/>
    <w:rsid w:val="00035FEE"/>
    <w:rsid w:val="000540DC"/>
    <w:rsid w:val="00061E64"/>
    <w:rsid w:val="000643CC"/>
    <w:rsid w:val="000741D1"/>
    <w:rsid w:val="0009688F"/>
    <w:rsid w:val="000A7572"/>
    <w:rsid w:val="000B497E"/>
    <w:rsid w:val="000C0979"/>
    <w:rsid w:val="000D12BA"/>
    <w:rsid w:val="000E2A74"/>
    <w:rsid w:val="00103079"/>
    <w:rsid w:val="001115F7"/>
    <w:rsid w:val="00114B5C"/>
    <w:rsid w:val="00121A9D"/>
    <w:rsid w:val="001433CD"/>
    <w:rsid w:val="00150B6C"/>
    <w:rsid w:val="0016414D"/>
    <w:rsid w:val="00164DC8"/>
    <w:rsid w:val="00165FE7"/>
    <w:rsid w:val="0017552D"/>
    <w:rsid w:val="0019132D"/>
    <w:rsid w:val="001B63F6"/>
    <w:rsid w:val="001C5542"/>
    <w:rsid w:val="001D078B"/>
    <w:rsid w:val="001D6533"/>
    <w:rsid w:val="001E4F0E"/>
    <w:rsid w:val="001F02D9"/>
    <w:rsid w:val="001F3B63"/>
    <w:rsid w:val="001F4C21"/>
    <w:rsid w:val="0023258C"/>
    <w:rsid w:val="002638A7"/>
    <w:rsid w:val="00286D13"/>
    <w:rsid w:val="00291B99"/>
    <w:rsid w:val="002B6444"/>
    <w:rsid w:val="002C6DE1"/>
    <w:rsid w:val="002E4850"/>
    <w:rsid w:val="002F7968"/>
    <w:rsid w:val="00300704"/>
    <w:rsid w:val="0034624F"/>
    <w:rsid w:val="00354CF0"/>
    <w:rsid w:val="00362CC4"/>
    <w:rsid w:val="0036736A"/>
    <w:rsid w:val="00382103"/>
    <w:rsid w:val="00382A84"/>
    <w:rsid w:val="003B261E"/>
    <w:rsid w:val="003C0BDE"/>
    <w:rsid w:val="003D37FE"/>
    <w:rsid w:val="003D60E7"/>
    <w:rsid w:val="003D71D5"/>
    <w:rsid w:val="003E02B9"/>
    <w:rsid w:val="003F3E46"/>
    <w:rsid w:val="00405365"/>
    <w:rsid w:val="00410C25"/>
    <w:rsid w:val="00411574"/>
    <w:rsid w:val="004218EF"/>
    <w:rsid w:val="00426271"/>
    <w:rsid w:val="004338CC"/>
    <w:rsid w:val="004449F3"/>
    <w:rsid w:val="00452CBF"/>
    <w:rsid w:val="0046627F"/>
    <w:rsid w:val="00466366"/>
    <w:rsid w:val="00474C15"/>
    <w:rsid w:val="004813D7"/>
    <w:rsid w:val="00492D9C"/>
    <w:rsid w:val="00493D21"/>
    <w:rsid w:val="004A7641"/>
    <w:rsid w:val="004B5613"/>
    <w:rsid w:val="004D07D3"/>
    <w:rsid w:val="004E4A57"/>
    <w:rsid w:val="004E4D52"/>
    <w:rsid w:val="004F6DFA"/>
    <w:rsid w:val="00500157"/>
    <w:rsid w:val="00514057"/>
    <w:rsid w:val="00517584"/>
    <w:rsid w:val="0052025E"/>
    <w:rsid w:val="00522B57"/>
    <w:rsid w:val="0053163A"/>
    <w:rsid w:val="00537925"/>
    <w:rsid w:val="00581FD2"/>
    <w:rsid w:val="0058380C"/>
    <w:rsid w:val="005B252A"/>
    <w:rsid w:val="005C49D8"/>
    <w:rsid w:val="005C5144"/>
    <w:rsid w:val="005D1AFA"/>
    <w:rsid w:val="00603FE3"/>
    <w:rsid w:val="006100B2"/>
    <w:rsid w:val="00614C31"/>
    <w:rsid w:val="00633FCC"/>
    <w:rsid w:val="00652807"/>
    <w:rsid w:val="00667BF5"/>
    <w:rsid w:val="00673509"/>
    <w:rsid w:val="00675EA3"/>
    <w:rsid w:val="00693FDD"/>
    <w:rsid w:val="00694054"/>
    <w:rsid w:val="006A29DF"/>
    <w:rsid w:val="006A7259"/>
    <w:rsid w:val="006B0566"/>
    <w:rsid w:val="006D600A"/>
    <w:rsid w:val="006E60DB"/>
    <w:rsid w:val="006F110B"/>
    <w:rsid w:val="00722DEA"/>
    <w:rsid w:val="00725885"/>
    <w:rsid w:val="007264E1"/>
    <w:rsid w:val="00733344"/>
    <w:rsid w:val="00753D74"/>
    <w:rsid w:val="00761211"/>
    <w:rsid w:val="00761C74"/>
    <w:rsid w:val="007622FA"/>
    <w:rsid w:val="00771614"/>
    <w:rsid w:val="00772798"/>
    <w:rsid w:val="007745AE"/>
    <w:rsid w:val="0078169A"/>
    <w:rsid w:val="00785EF9"/>
    <w:rsid w:val="007A5849"/>
    <w:rsid w:val="007B692A"/>
    <w:rsid w:val="007D0B31"/>
    <w:rsid w:val="007D3E24"/>
    <w:rsid w:val="007E1A66"/>
    <w:rsid w:val="007E3264"/>
    <w:rsid w:val="00803C82"/>
    <w:rsid w:val="00806215"/>
    <w:rsid w:val="008136BF"/>
    <w:rsid w:val="0083454E"/>
    <w:rsid w:val="008363D4"/>
    <w:rsid w:val="00855286"/>
    <w:rsid w:val="00860EA6"/>
    <w:rsid w:val="00881963"/>
    <w:rsid w:val="00882A98"/>
    <w:rsid w:val="00883078"/>
    <w:rsid w:val="008B2AE8"/>
    <w:rsid w:val="008B33E9"/>
    <w:rsid w:val="008C024F"/>
    <w:rsid w:val="009107E6"/>
    <w:rsid w:val="00941CCA"/>
    <w:rsid w:val="0094418C"/>
    <w:rsid w:val="00971875"/>
    <w:rsid w:val="009818CF"/>
    <w:rsid w:val="009B123C"/>
    <w:rsid w:val="009C4461"/>
    <w:rsid w:val="009D26BA"/>
    <w:rsid w:val="009D5CDD"/>
    <w:rsid w:val="009D6BB3"/>
    <w:rsid w:val="009E582A"/>
    <w:rsid w:val="009F3E1D"/>
    <w:rsid w:val="00A07AF0"/>
    <w:rsid w:val="00A22966"/>
    <w:rsid w:val="00A365BC"/>
    <w:rsid w:val="00A45C22"/>
    <w:rsid w:val="00A46475"/>
    <w:rsid w:val="00A534A3"/>
    <w:rsid w:val="00A5581F"/>
    <w:rsid w:val="00A74E4D"/>
    <w:rsid w:val="00A80028"/>
    <w:rsid w:val="00A93C39"/>
    <w:rsid w:val="00AA4AF3"/>
    <w:rsid w:val="00AA5D2C"/>
    <w:rsid w:val="00AA7AAD"/>
    <w:rsid w:val="00AC29AB"/>
    <w:rsid w:val="00AC37D5"/>
    <w:rsid w:val="00AC3B4A"/>
    <w:rsid w:val="00AC7AB5"/>
    <w:rsid w:val="00AD2D04"/>
    <w:rsid w:val="00AD351B"/>
    <w:rsid w:val="00AE1EC1"/>
    <w:rsid w:val="00AF1969"/>
    <w:rsid w:val="00B05C25"/>
    <w:rsid w:val="00B17C8C"/>
    <w:rsid w:val="00B27993"/>
    <w:rsid w:val="00B3125C"/>
    <w:rsid w:val="00B33FA8"/>
    <w:rsid w:val="00B40999"/>
    <w:rsid w:val="00B43100"/>
    <w:rsid w:val="00B43A2F"/>
    <w:rsid w:val="00B4688C"/>
    <w:rsid w:val="00B51BE0"/>
    <w:rsid w:val="00B549FB"/>
    <w:rsid w:val="00B61380"/>
    <w:rsid w:val="00B66779"/>
    <w:rsid w:val="00BC28F1"/>
    <w:rsid w:val="00BD70E7"/>
    <w:rsid w:val="00BE06A8"/>
    <w:rsid w:val="00BE4BA7"/>
    <w:rsid w:val="00C2041F"/>
    <w:rsid w:val="00C415CD"/>
    <w:rsid w:val="00C54FAE"/>
    <w:rsid w:val="00C55770"/>
    <w:rsid w:val="00C64F0B"/>
    <w:rsid w:val="00C816D0"/>
    <w:rsid w:val="00C90B32"/>
    <w:rsid w:val="00C939D0"/>
    <w:rsid w:val="00CB0178"/>
    <w:rsid w:val="00CB2FD9"/>
    <w:rsid w:val="00CC4F81"/>
    <w:rsid w:val="00CE315B"/>
    <w:rsid w:val="00CE41B2"/>
    <w:rsid w:val="00D02551"/>
    <w:rsid w:val="00D0300A"/>
    <w:rsid w:val="00D031A8"/>
    <w:rsid w:val="00D12761"/>
    <w:rsid w:val="00D362A4"/>
    <w:rsid w:val="00D431E9"/>
    <w:rsid w:val="00D502CB"/>
    <w:rsid w:val="00D61B07"/>
    <w:rsid w:val="00D74829"/>
    <w:rsid w:val="00DB1169"/>
    <w:rsid w:val="00DD3F2E"/>
    <w:rsid w:val="00E331A5"/>
    <w:rsid w:val="00E34DE6"/>
    <w:rsid w:val="00E45031"/>
    <w:rsid w:val="00E569E3"/>
    <w:rsid w:val="00E70095"/>
    <w:rsid w:val="00E70AFA"/>
    <w:rsid w:val="00E76C44"/>
    <w:rsid w:val="00E861E9"/>
    <w:rsid w:val="00E91655"/>
    <w:rsid w:val="00EB52E7"/>
    <w:rsid w:val="00EB69D0"/>
    <w:rsid w:val="00EC07BD"/>
    <w:rsid w:val="00ED4177"/>
    <w:rsid w:val="00ED4917"/>
    <w:rsid w:val="00EE19C4"/>
    <w:rsid w:val="00EF63A2"/>
    <w:rsid w:val="00F06C34"/>
    <w:rsid w:val="00F40B9D"/>
    <w:rsid w:val="00F552CC"/>
    <w:rsid w:val="00F604A9"/>
    <w:rsid w:val="00F64F13"/>
    <w:rsid w:val="00F83983"/>
    <w:rsid w:val="00F84D3F"/>
    <w:rsid w:val="00F85643"/>
    <w:rsid w:val="00FB4724"/>
    <w:rsid w:val="00FB54AC"/>
    <w:rsid w:val="00FC5148"/>
    <w:rsid w:val="00FC556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735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35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350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509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35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3509"/>
    <w:rPr>
      <w:b/>
      <w:bCs/>
      <w:sz w:val="20"/>
      <w:szCs w:val="20"/>
    </w:rPr>
  </w:style>
  <w:style w:type="character" w:customStyle="1" w:styleId="kortnavn">
    <w:name w:val="kortnavn"/>
    <w:basedOn w:val="Standardskrifttypeiafsnit"/>
    <w:rsid w:val="00B51BE0"/>
  </w:style>
  <w:style w:type="paragraph" w:styleId="Fodnotetekst">
    <w:name w:val="footnote text"/>
    <w:basedOn w:val="Normal"/>
    <w:link w:val="FodnotetekstTegn"/>
    <w:uiPriority w:val="99"/>
    <w:semiHidden/>
    <w:unhideWhenUsed/>
    <w:rsid w:val="0050015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015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01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735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35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350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509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35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3509"/>
    <w:rPr>
      <w:b/>
      <w:bCs/>
      <w:sz w:val="20"/>
      <w:szCs w:val="20"/>
    </w:rPr>
  </w:style>
  <w:style w:type="character" w:customStyle="1" w:styleId="kortnavn">
    <w:name w:val="kortnavn"/>
    <w:basedOn w:val="Standardskrifttypeiafsnit"/>
    <w:rsid w:val="00B51BE0"/>
  </w:style>
  <w:style w:type="paragraph" w:styleId="Fodnotetekst">
    <w:name w:val="footnote text"/>
    <w:basedOn w:val="Normal"/>
    <w:link w:val="FodnotetekstTegn"/>
    <w:uiPriority w:val="99"/>
    <w:semiHidden/>
    <w:unhideWhenUsed/>
    <w:rsid w:val="0050015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015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0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E71E-8B42-45CE-B25E-9DD1C1AAE5D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51</ap:TotalTime>
  <ap:Pages>3</ap:Pages>
  <ap:Words>876</ap:Words>
  <ap:Characters>5350</ap:Characters>
  <ap:Application>Microsoft Office Word</ap:Application>
  <ap:DocSecurity>0</ap:DocSecurity>
  <ap:Lines>44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6214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Bülow</dc:creator>
  <cp:lastModifiedBy>Kum</cp:lastModifiedBy>
  <cp:revision>10</cp:revision>
  <cp:lastPrinted>2017-06-22T13:42:00Z</cp:lastPrinted>
  <dcterms:created xsi:type="dcterms:W3CDTF">2017-06-23T13:06:00Z</dcterms:created>
  <dcterms:modified xsi:type="dcterms:W3CDTF">2017-06-30T12:16:00Z</dcterms:modified>
</cp:coreProperties>
</file>