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AA" w:rsidRDefault="00170BF6" w:rsidP="00C553AA">
      <w:pPr>
        <w:pStyle w:val="TechnicalBlock"/>
        <w:ind w:left="-1134" w:right="-1134"/>
      </w:pPr>
      <w:bookmarkStart w:id="0" w:name="DW_BM_COVERPAGE"/>
      <w:bookmarkStart w:id="1" w:name="_GoBack"/>
      <w:bookmarkEnd w:id="1"/>
      <w:r>
        <w:rPr>
          <w:noProof/>
          <w:lang w:eastAsia="da-DK"/>
        </w:rPr>
        <w:drawing>
          <wp:inline distT="0" distB="0" distL="0" distR="0">
            <wp:extent cx="7219950" cy="5362575"/>
            <wp:effectExtent l="0" t="0" r="0" b="9525"/>
            <wp:docPr id="1" name="Billede 1" descr="Document Cover Page.&#10;Document Number: 11380/19.&#10;Subject Codes: AGRILEG 137 VETER 63 DELACT 147.&#10;Heading: FØLGESKRIVELSE.&#10;Originator: Jordi AYET PUIGARNAU, direktør, på vegne af generalsekretæren for Europa-Kommissionen.&#10;Recipient: Jeppe TRANHOLM-MIKKELSEN, generalsekretær for Rådet for Den Europæiske Union.&#10;Subject: KOMMISSIONENS DELEGEREDE FORORDNING (EU) …/… af 23.4.2019 om supplerende regler til Europa-Parlamentets og Rådets forordning (EU) 2017/625 for så vidt angår det fælles sundhedsimportdokument, der ledsager sendinger af dyr og varer til deres bestemmelsessted.&#10;Commission Document Number: C(2019) 2910 final.&#10;Preceeding Document Number: Not Set.&#10;Location: Bruxelles.&#10;Date: 19. juli 2019.&#10;Interinstitutional Files: Not Set.&#10;Institutional Framework: Rådet for Den Europæiske Union.&#10;Language: DA.&#10;Distribution Code: PUBLIC.&#10;GUID: 57476800906111411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1380/19.&#10;Subject Codes: AGRILEG 137 VETER 63 DELACT 147.&#10;Heading: FØLGESKRIVELSE.&#10;Originator: Jordi AYET PUIGARNAU, direktør, på vegne af generalsekretæren for Europa-Kommissionen.&#10;Recipient: Jeppe TRANHOLM-MIKKELSEN, generalsekretær for Rådet for Den Europæiske Union.&#10;Subject: KOMMISSIONENS DELEGEREDE FORORDNING (EU) …/… af 23.4.2019 om supplerende regler til Europa-Parlamentets og Rådets forordning (EU) 2017/625 for så vidt angår det fælles sundhedsimportdokument, der ledsager sendinger af dyr og varer til deres bestemmelsessted.&#10;Commission Document Number: C(2019) 2910 final.&#10;Preceeding Document Number: Not Set.&#10;Location: Bruxelles.&#10;Date: 19. juli 2019.&#10;Interinstitutional Files: Not Set.&#10;Institutional Framework: Rådet for Den Europæiske Union.&#10;Language: DA.&#10;Distribution Code: PUBLIC.&#10;GUID: 5747680090611141118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362575"/>
                    </a:xfrm>
                    <a:prstGeom prst="rect">
                      <a:avLst/>
                    </a:prstGeom>
                    <a:noFill/>
                    <a:ln>
                      <a:noFill/>
                    </a:ln>
                  </pic:spPr>
                </pic:pic>
              </a:graphicData>
            </a:graphic>
          </wp:inline>
        </w:drawing>
      </w:r>
      <w:bookmarkEnd w:id="0"/>
    </w:p>
    <w:p w:rsidR="00C553AA" w:rsidRDefault="00C553AA" w:rsidP="00C553AA">
      <w:pPr>
        <w:pStyle w:val="EntText"/>
        <w:spacing w:before="480"/>
      </w:pPr>
      <w:r w:rsidRPr="00C553AA">
        <w:t xml:space="preserve">Hermed følger til delegationerne dokument -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C553AA">
        <w:instrText>C(2019) 2910 final</w:instrText>
      </w:r>
      <w:r>
        <w:instrText xml:space="preserve">" </w:instrText>
      </w:r>
      <w:r>
        <w:fldChar w:fldCharType="separate"/>
      </w:r>
      <w:r w:rsidRPr="00C553AA">
        <w:t>C(2019) 2910 final</w:t>
      </w:r>
      <w:r>
        <w:fldChar w:fldCharType="end"/>
      </w:r>
      <w:r w:rsidRPr="00C553AA">
        <w:t>.</w:t>
      </w:r>
    </w:p>
    <w:p w:rsidR="00C553AA" w:rsidRDefault="00C553AA" w:rsidP="00C553AA">
      <w:pPr>
        <w:pStyle w:val="Lignefinal"/>
      </w:pPr>
    </w:p>
    <w:p w:rsidR="00C553AA" w:rsidRDefault="00C553AA" w:rsidP="00C553AA">
      <w:pPr>
        <w:pStyle w:val="pj"/>
        <w:spacing w:before="120"/>
      </w:pPr>
      <w:r w:rsidRPr="00C553AA">
        <w:t xml:space="preserve">Bilag: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C553AA">
        <w:instrText>C(2019) 2910 final</w:instrText>
      </w:r>
      <w:r>
        <w:instrText xml:space="preserve">" </w:instrText>
      </w:r>
      <w:r>
        <w:fldChar w:fldCharType="separate"/>
      </w:r>
      <w:r w:rsidRPr="00C553AA">
        <w:t>C(2019) 2910 final</w:t>
      </w:r>
      <w:r>
        <w:fldChar w:fldCharType="end"/>
      </w:r>
    </w:p>
    <w:p w:rsidR="00C553AA" w:rsidRDefault="00C553AA" w:rsidP="00C553AA">
      <w:pPr>
        <w:rPr>
          <w:noProof/>
        </w:rPr>
        <w:sectPr w:rsidR="00C553AA" w:rsidSect="00E026FF">
          <w:headerReference w:type="default" r:id="rId9"/>
          <w:footerReference w:type="default" r:id="rId10"/>
          <w:headerReference w:type="first" r:id="rId11"/>
          <w:footerReference w:type="first" r:id="rId12"/>
          <w:pgSz w:w="11907" w:h="16839"/>
          <w:pgMar w:top="624" w:right="1134" w:bottom="1134" w:left="1134" w:header="567" w:footer="567" w:gutter="0"/>
          <w:pgNumType w:start="0"/>
          <w:cols w:space="720"/>
          <w:titlePg/>
          <w:docGrid w:linePitch="360"/>
        </w:sectPr>
      </w:pPr>
    </w:p>
    <w:p w:rsidR="00692A01" w:rsidRDefault="00170BF6">
      <w:pPr>
        <w:pStyle w:val="Pagedecouverture"/>
        <w:rPr>
          <w:noProof/>
        </w:rPr>
      </w:pPr>
      <w:r>
        <w:rPr>
          <w:noProof/>
          <w:lang w:eastAsia="da-DK"/>
        </w:rPr>
        <w:lastRenderedPageBreak/>
        <w:drawing>
          <wp:inline distT="0" distB="0" distL="0" distR="0">
            <wp:extent cx="5724525" cy="5019675"/>
            <wp:effectExtent l="0" t="0" r="9525" b="0"/>
            <wp:docPr id="2" name="Billede 2" descr="00CAAFE7-4099-4A3D-B6C0-D8E8367C3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AAFE7-4099-4A3D-B6C0-D8E8367C3E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5019675"/>
                    </a:xfrm>
                    <a:prstGeom prst="rect">
                      <a:avLst/>
                    </a:prstGeom>
                    <a:noFill/>
                    <a:ln>
                      <a:noFill/>
                    </a:ln>
                  </pic:spPr>
                </pic:pic>
              </a:graphicData>
            </a:graphic>
          </wp:inline>
        </w:drawing>
      </w:r>
    </w:p>
    <w:p w:rsidR="00692A01" w:rsidRDefault="00692A01">
      <w:pPr>
        <w:rPr>
          <w:noProof/>
        </w:rPr>
        <w:sectPr w:rsidR="00692A01">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692A01" w:rsidRDefault="00C553AA">
      <w:pPr>
        <w:pStyle w:val="Exposdesmotifstitre"/>
        <w:rPr>
          <w:noProof/>
        </w:rPr>
      </w:pPr>
      <w:r>
        <w:rPr>
          <w:noProof/>
        </w:rPr>
        <w:lastRenderedPageBreak/>
        <w:t>BEGRUNDELSE</w:t>
      </w:r>
    </w:p>
    <w:p w:rsidR="00692A01" w:rsidRDefault="00C553AA">
      <w:pPr>
        <w:pStyle w:val="ManualHeading1"/>
        <w:rPr>
          <w:noProof/>
        </w:rPr>
      </w:pPr>
      <w:r>
        <w:rPr>
          <w:noProof/>
        </w:rPr>
        <w:t>1.</w:t>
      </w:r>
      <w:r>
        <w:rPr>
          <w:noProof/>
        </w:rPr>
        <w:tab/>
        <w:t>BAGGRUND FOR DEN DELEGEREDE RETSAKT</w:t>
      </w:r>
    </w:p>
    <w:p w:rsidR="00692A01" w:rsidRDefault="00C553AA">
      <w:pPr>
        <w:pStyle w:val="Text1"/>
        <w:rPr>
          <w:noProof/>
        </w:rPr>
      </w:pPr>
      <w:r>
        <w:rPr>
          <w:noProof/>
        </w:rPr>
        <w:t>Ved forordning (EU) 2017/625 om offentlig kontrol (forordningen om offentlig kontrol) fastlægges rammen for offentlig kontrol og andre officielle aktiviteter til verifikation af, at EU-lovgivningen om agrofødevarekæden anvendes korrekt. Dette omfatter offentlig kontrol af dyr og varer, der indføres til Unionen fra tredjelande.</w:t>
      </w:r>
    </w:p>
    <w:p w:rsidR="00692A01" w:rsidRDefault="00C553AA">
      <w:pPr>
        <w:pStyle w:val="Text1"/>
        <w:rPr>
          <w:noProof/>
        </w:rPr>
      </w:pPr>
      <w:r>
        <w:rPr>
          <w:noProof/>
        </w:rPr>
        <w:t xml:space="preserve">Det følger af forordningen om offentlig kontrol, at sendinger af dyr og varer, der indføres til Unionen via udpegede grænsekontrolsteder, skal ledsages af et fælles sundhedsimportdokument (i det følgende benævnt "CHED-dokumentet"). </w:t>
      </w:r>
    </w:p>
    <w:p w:rsidR="00692A01" w:rsidRDefault="00C553AA">
      <w:pPr>
        <w:pStyle w:val="Text1"/>
        <w:rPr>
          <w:bCs/>
          <w:noProof/>
          <w:szCs w:val="24"/>
        </w:rPr>
      </w:pPr>
      <w:r>
        <w:rPr>
          <w:noProof/>
        </w:rPr>
        <w:t>Formålet med denne delegerede retsakt er, af hensyn til sporbarheden og med henblik på en hensigtsmæssig kommunikation mellem de kompetente myndigheder, at fastsætte regler om betingelser og praktiske ordninger for, hvornår og hvordan CHED-dokumentet skal ledsage sendinger bestemt til markedsføring til deres bestemmelsessted.</w:t>
      </w:r>
    </w:p>
    <w:p w:rsidR="00692A01" w:rsidRDefault="00C553AA">
      <w:pPr>
        <w:pStyle w:val="Text1"/>
        <w:rPr>
          <w:noProof/>
        </w:rPr>
      </w:pPr>
      <w:r>
        <w:rPr>
          <w:noProof/>
        </w:rPr>
        <w:t>Denne delegerede retsakt finder ikke anvendelse på sendinger i transit, da der vil blive fastsat regler om anvendelsen af CHED-dokumentet i sådanne situationer ved den delegerede retsakt, der skal vedtages i henhold til artikel 51, stk. 1, i forordningen om offentlig kontrol.</w:t>
      </w:r>
    </w:p>
    <w:p w:rsidR="00692A01" w:rsidRDefault="00C553AA">
      <w:pPr>
        <w:pStyle w:val="ManualHeading1"/>
        <w:rPr>
          <w:noProof/>
        </w:rPr>
      </w:pPr>
      <w:r>
        <w:rPr>
          <w:noProof/>
        </w:rPr>
        <w:t>2.</w:t>
      </w:r>
      <w:r>
        <w:rPr>
          <w:noProof/>
        </w:rPr>
        <w:tab/>
        <w:t>HØRINGER FORUD FOR RETSAKTENS VEDTAGELSE</w:t>
      </w:r>
    </w:p>
    <w:p w:rsidR="00692A01" w:rsidRDefault="00C553AA">
      <w:pPr>
        <w:pStyle w:val="Text1"/>
        <w:rPr>
          <w:noProof/>
        </w:rPr>
      </w:pPr>
      <w:r>
        <w:rPr>
          <w:noProof/>
        </w:rPr>
        <w:t>Kommissionens ekspertgruppe for "offentlig kontrol" (E00911) blev hørt ved flere lejligheder, ligesom der blev afholdt en række møder med relevante interessenter.</w:t>
      </w:r>
    </w:p>
    <w:p w:rsidR="00692A01" w:rsidRDefault="00C553AA">
      <w:pPr>
        <w:pStyle w:val="Text1"/>
        <w:rPr>
          <w:noProof/>
        </w:rPr>
      </w:pPr>
      <w:r>
        <w:rPr>
          <w:noProof/>
        </w:rPr>
        <w:t>Offentlighedens mulighed for på Kommissionens websted (https://ec.europa.eu/info/law/better-regulation/have-your-say_da) at give sin mening til kende om udkastet til den delegerede forordning resulterede i en enkelt kommentar, som dog vedrørte et forslag om at udbrede flere oplysninger om den praktiske anvendelse af IMSOC, navnlig vedrørende CHED-dokumentet.</w:t>
      </w:r>
    </w:p>
    <w:p w:rsidR="00692A01" w:rsidRDefault="00C553AA">
      <w:pPr>
        <w:pStyle w:val="ManualHeading1"/>
        <w:rPr>
          <w:noProof/>
        </w:rPr>
      </w:pPr>
      <w:r>
        <w:rPr>
          <w:noProof/>
        </w:rPr>
        <w:t>3.</w:t>
      </w:r>
      <w:r>
        <w:rPr>
          <w:noProof/>
        </w:rPr>
        <w:tab/>
        <w:t>JURIDISKE ASPEKTER AF DEN DELEGEREDE RETSAKT</w:t>
      </w:r>
    </w:p>
    <w:p w:rsidR="00692A01" w:rsidRDefault="00C553AA">
      <w:pPr>
        <w:pStyle w:val="Text1"/>
        <w:rPr>
          <w:noProof/>
        </w:rPr>
      </w:pPr>
      <w:r>
        <w:rPr>
          <w:noProof/>
        </w:rPr>
        <w:t>Retsgrundlaget er artikel 50, stk. 4, i forordning (EU) 2017/625.</w:t>
      </w:r>
    </w:p>
    <w:p w:rsidR="00692A01" w:rsidRDefault="00692A01">
      <w:pPr>
        <w:rPr>
          <w:noProof/>
        </w:rPr>
        <w:sectPr w:rsidR="00692A01">
          <w:footerReference w:type="default" r:id="rId20"/>
          <w:footerReference w:type="first" r:id="rId21"/>
          <w:pgSz w:w="11907" w:h="16839"/>
          <w:pgMar w:top="1134" w:right="1417" w:bottom="1134" w:left="1417" w:header="709" w:footer="709" w:gutter="0"/>
          <w:cols w:space="708"/>
          <w:docGrid w:linePitch="360"/>
        </w:sectPr>
      </w:pPr>
    </w:p>
    <w:p w:rsidR="00692A01" w:rsidRDefault="00C553AA">
      <w:pPr>
        <w:pStyle w:val="Typedudocument"/>
        <w:rPr>
          <w:noProof/>
        </w:rPr>
      </w:pPr>
      <w:r>
        <w:rPr>
          <w:noProof/>
        </w:rPr>
        <w:lastRenderedPageBreak/>
        <w:t>KOMMISSIONENS DELEGEREDE FORORDNING (EU) …/…</w:t>
      </w:r>
    </w:p>
    <w:p w:rsidR="00692A01" w:rsidRDefault="00C553AA">
      <w:pPr>
        <w:pStyle w:val="Datedadoption"/>
        <w:rPr>
          <w:noProof/>
        </w:rPr>
      </w:pPr>
      <w:r>
        <w:t>af 23.4.2019</w:t>
      </w:r>
    </w:p>
    <w:p w:rsidR="00692A01" w:rsidRDefault="00C553AA">
      <w:pPr>
        <w:pStyle w:val="Titreobjet"/>
        <w:rPr>
          <w:noProof/>
        </w:rPr>
      </w:pPr>
      <w:r>
        <w:rPr>
          <w:noProof/>
        </w:rPr>
        <w:t>om supplerende regler til Europa-Parlamentets og Rådets forordning (EU) 2017/625 for så vidt angår det fælles sundhedsimportdokument, der ledsager sendinger af dyr og varer til deres bestemmelsessted</w:t>
      </w:r>
    </w:p>
    <w:p w:rsidR="00692A01" w:rsidRDefault="00C553AA">
      <w:pPr>
        <w:pStyle w:val="IntrtEEE"/>
        <w:rPr>
          <w:noProof/>
        </w:rPr>
      </w:pPr>
      <w:r>
        <w:rPr>
          <w:noProof/>
        </w:rPr>
        <w:t>(EØS-relevant tekst)</w:t>
      </w:r>
    </w:p>
    <w:p w:rsidR="00692A01" w:rsidRDefault="00C553AA">
      <w:pPr>
        <w:pStyle w:val="Institutionquiagit"/>
        <w:rPr>
          <w:noProof/>
        </w:rPr>
      </w:pPr>
      <w:r>
        <w:rPr>
          <w:noProof/>
        </w:rPr>
        <w:t>EUROPA-KOMMISSIONEN HAR —</w:t>
      </w:r>
    </w:p>
    <w:p w:rsidR="00692A01" w:rsidRDefault="00C553AA">
      <w:pPr>
        <w:rPr>
          <w:noProof/>
        </w:rPr>
      </w:pPr>
      <w:r>
        <w:rPr>
          <w:noProof/>
        </w:rPr>
        <w:t>under henvisning til traktaten om Den Europæiske Unions funktionsmåde,</w:t>
      </w:r>
    </w:p>
    <w:p w:rsidR="00692A01" w:rsidRDefault="00C553AA">
      <w:pPr>
        <w:autoSpaceDE w:val="0"/>
        <w:autoSpaceDN w:val="0"/>
        <w:adjustRightInd w:val="0"/>
        <w:rPr>
          <w:noProof/>
          <w:szCs w:val="24"/>
        </w:rPr>
      </w:pPr>
      <w:r>
        <w:rPr>
          <w:noProof/>
        </w:rPr>
        <w:t>under henvisning til Europa-Parlamentets og Rådets forordning (EU) 2017/625 af 15. marts 2017 om offentlig kontrol og andre officielle aktiviteter med henblik på at sikre anvendelsen af fødevare- og foderlovgivningen og reglerne for dyresundhed og dyrevelfærd, plantesundhed og plantebeskyttelsesmidler, om ændring af Europa-Parlamentets og Rådets forordning (EF) nr. 999/2001, (EF) nr. 396/2005, (EF) nr. 1069/2009, (EF) nr. 1107/2009, (EU) nr. 1151/2012, (EU) nr. 652/2014, (EU) 2016/429 og (EU) 2016/2031, Rådets forordning (EF) nr. 1/2005 og (EF) nr. 1099/2009 samt Rådets direktiv 98/58/EF, 1999/74/EF, 2007/43/EF, 2008/119/EF og 2008/120/EF og om ophævelse af Europa-Parlamentets og Rådets forordning (EF) nr. 854/2004 og (EF) nr. 882/2004, Rådets direktiv 89/608/EØF, 89/662/EØF, 90/425/EØF, 91/496/EØF, 96/23/EF, 96/93/EF og 97/78/EF og Rådets afgørelse 92/438/EØF (forordningen om offentlig kontrol)</w:t>
      </w:r>
      <w:r>
        <w:rPr>
          <w:rStyle w:val="Fodnotehenvisning"/>
          <w:noProof/>
        </w:rPr>
        <w:footnoteReference w:id="1"/>
      </w:r>
      <w:r>
        <w:rPr>
          <w:noProof/>
        </w:rPr>
        <w:t xml:space="preserve">, særlig artikel 50, stk. 4, og </w:t>
      </w:r>
    </w:p>
    <w:p w:rsidR="00692A01" w:rsidRDefault="00C553AA">
      <w:pPr>
        <w:autoSpaceDE w:val="0"/>
        <w:autoSpaceDN w:val="0"/>
        <w:adjustRightInd w:val="0"/>
        <w:spacing w:after="0"/>
        <w:rPr>
          <w:noProof/>
          <w:szCs w:val="24"/>
        </w:rPr>
      </w:pPr>
      <w:r>
        <w:rPr>
          <w:noProof/>
        </w:rPr>
        <w:t>ud fra følgende betragtninger:</w:t>
      </w:r>
    </w:p>
    <w:p w:rsidR="00692A01" w:rsidRDefault="00C553AA">
      <w:pPr>
        <w:pStyle w:val="ManualConsidrant"/>
        <w:rPr>
          <w:noProof/>
        </w:rPr>
      </w:pPr>
      <w:r>
        <w:t>(1)</w:t>
      </w:r>
      <w:r>
        <w:tab/>
      </w:r>
      <w:r>
        <w:rPr>
          <w:noProof/>
        </w:rPr>
        <w:t xml:space="preserve">Ved Europa-Parlamentets og Rådets forordning (EU) 2017/625 er der fastsat regler for medlemsstaternes kompetente myndigheders gennemførelse af offentlig kontrol af dyr og varer, der indføres til Unionen, med henblik på at verificere overholdelsen af EU-lovgivningen om agrofødevarekæden. </w:t>
      </w:r>
    </w:p>
    <w:p w:rsidR="00692A01" w:rsidRDefault="00C553AA">
      <w:pPr>
        <w:pStyle w:val="ManualConsidrant"/>
        <w:rPr>
          <w:noProof/>
        </w:rPr>
      </w:pPr>
      <w:r>
        <w:t>(2)</w:t>
      </w:r>
      <w:r>
        <w:tab/>
      </w:r>
      <w:r>
        <w:rPr>
          <w:noProof/>
        </w:rPr>
        <w:t>Eftersom der skal fastsættes regler for, i hvilke tilfælde og på hvilke betingelser CHED-dokumentet skal ledsage sendinger i transit, ved en særskilt delegeret retsakt, som skal vedtages i henhold til artikel 51, stk. 1, i forordning (EU) 2017/625, bør nærværende forordning kun finde anvendelse på sendinger, der er bestemt til markedsføring i Unionen.</w:t>
      </w:r>
    </w:p>
    <w:p w:rsidR="00692A01" w:rsidRDefault="00C553AA">
      <w:pPr>
        <w:pStyle w:val="ManualConsidrant"/>
        <w:rPr>
          <w:noProof/>
          <w:szCs w:val="24"/>
        </w:rPr>
      </w:pPr>
      <w:r>
        <w:t>(3)</w:t>
      </w:r>
      <w:r>
        <w:tab/>
      </w:r>
      <w:r>
        <w:rPr>
          <w:noProof/>
        </w:rPr>
        <w:t>Det følger af forordning (EU) 2017/625, at sendinger af dyr og varer, der indføres til Unionen via udpegede grænsekontrolsteder, skal ledsages af det fælles sundhedsimportdokument (i det følgende benævnt "CHED-dokumentet"). Når den offentlige kontrol er gennemført, og CHED-dokumentet er færdiggjort, kan sendingerne opdeles i flere dele alt efter operatørens kommercielle behov.</w:t>
      </w:r>
    </w:p>
    <w:p w:rsidR="00692A01" w:rsidRDefault="00C553AA">
      <w:pPr>
        <w:pStyle w:val="ManualConsidrant"/>
        <w:rPr>
          <w:noProof/>
          <w:szCs w:val="24"/>
        </w:rPr>
      </w:pPr>
      <w:r>
        <w:t>(4)</w:t>
      </w:r>
      <w:r>
        <w:tab/>
      </w:r>
      <w:r>
        <w:rPr>
          <w:noProof/>
        </w:rPr>
        <w:t xml:space="preserve">Med henblik på at sikre sporbarheden for sendinger og en hensigtsmæssig kommunikation med den kompetente myndighed på bestemmelsesstedet bør der fastsættes regler om betingelserne og de praktiske ordninger for, hvornår og hvordan CHED-dokumentet skal ledsage sendinger bestemt til markedsføring til deres </w:t>
      </w:r>
      <w:r>
        <w:rPr>
          <w:noProof/>
        </w:rPr>
        <w:lastRenderedPageBreak/>
        <w:t>bestemmelsessted. Der bør navnlig fastsættes nærmere regler for CHED-dokumentet i tilfælde, hvor sendinger opdeles.</w:t>
      </w:r>
    </w:p>
    <w:p w:rsidR="00692A01" w:rsidRDefault="00C553AA">
      <w:pPr>
        <w:pStyle w:val="ManualConsidrant"/>
        <w:rPr>
          <w:noProof/>
        </w:rPr>
      </w:pPr>
      <w:r>
        <w:t>(5)</w:t>
      </w:r>
      <w:r>
        <w:tab/>
      </w:r>
      <w:r>
        <w:rPr>
          <w:noProof/>
        </w:rPr>
        <w:t>For at sikre sporbarheden for sendinger, der opdeles på grænsekontrolstedet, efter at der er foretaget offentlig kontrol og det pågældende CHED-dokumentet er færdiggjort af den kompetente myndighed, bør det kræves, at den operatør, der er ansvarlig for sendingen, via det informationssystem for offentlig kontrol (IMSOC), der er omhandlet i artikel 131 i forordning (EU) 2017/625, også indgiver et CHED-dokument for hver del af den opdelte sending, som skal færdiggøres af de kompetente myndigheder på grænsekontrolstedet, og som skal ledsage hver del af den opdelte sending til det bestemmelsessted, der er angivet i det pågældende CHED-dokument.</w:t>
      </w:r>
    </w:p>
    <w:p w:rsidR="00692A01" w:rsidRDefault="00C553AA">
      <w:pPr>
        <w:pStyle w:val="ManualConsidrant"/>
        <w:rPr>
          <w:noProof/>
          <w:szCs w:val="24"/>
        </w:rPr>
      </w:pPr>
      <w:r>
        <w:t>(6)</w:t>
      </w:r>
      <w:r>
        <w:tab/>
      </w:r>
      <w:r>
        <w:rPr>
          <w:noProof/>
        </w:rPr>
        <w:t>Med henblik på at forhindre svigagtig genanvendelse af CHED-dokumentet bør det kræves, at toldmyndighederne til IMSOC oplyser sendingens størrelse som angivet i toldangivelsen, så det sikres, at de mængder, der er angivet i toldangivelsen, trækkes fra den samlede tilladte mængde, der er angivet i CHED-dokumentet. Toldmyndighederne skal udveksle oplysninger ved hjælp af de elektroniske tolddatabehandlingsteknikker, der er omhandlet i artikel 6, stk. 1, i Europa-Parlamentets og Rådets forordning (EU) nr. 952/2013</w:t>
      </w:r>
      <w:r>
        <w:rPr>
          <w:rStyle w:val="Fodnotehenvisning"/>
          <w:noProof/>
        </w:rPr>
        <w:footnoteReference w:id="2"/>
      </w:r>
      <w:r>
        <w:rPr>
          <w:noProof/>
        </w:rPr>
        <w:t>. Disse elektroniske databehandlingsteknikker bør anvendes i forbindelse med anvendelsen af nærværende forordning. For at sikre, at toldmyndighederne har tilstrækkelig tid til at tilvejebringe de relevante teknikker, bør det fastsættes, at forpligtelsen til at meddele oplysningerne om sendingernes størrelse til IMSOC gælder i den enkelte medlemsstat fra den dato, hvor disse teknikker bliver klar til brug i den pågældende medlemsstat, dog senest fra den 1. marts 2023.</w:t>
      </w:r>
    </w:p>
    <w:p w:rsidR="00692A01" w:rsidRDefault="00C553AA">
      <w:pPr>
        <w:pStyle w:val="ManualConsidrant"/>
        <w:rPr>
          <w:noProof/>
          <w:szCs w:val="24"/>
        </w:rPr>
      </w:pPr>
      <w:r>
        <w:t>(7)</w:t>
      </w:r>
      <w:r>
        <w:tab/>
      </w:r>
      <w:r>
        <w:rPr>
          <w:noProof/>
        </w:rPr>
        <w:t>Da forordning (EU) 2017/625 finder anvendelse fra den 14. december 2019, bør nærværende forordning også anvendes fra denne dato —</w:t>
      </w:r>
    </w:p>
    <w:p w:rsidR="00692A01" w:rsidRDefault="00C553AA">
      <w:pPr>
        <w:pStyle w:val="Formuledadoption"/>
        <w:rPr>
          <w:noProof/>
        </w:rPr>
      </w:pPr>
      <w:r>
        <w:rPr>
          <w:noProof/>
        </w:rPr>
        <w:t>VEDTAGET DENNE FORORDNING:</w:t>
      </w:r>
    </w:p>
    <w:p w:rsidR="00692A01" w:rsidRDefault="00C553AA">
      <w:pPr>
        <w:pStyle w:val="Titrearticle"/>
        <w:rPr>
          <w:noProof/>
        </w:rPr>
      </w:pPr>
      <w:r>
        <w:rPr>
          <w:noProof/>
        </w:rPr>
        <w:t>Artikel 1</w:t>
      </w:r>
      <w:r>
        <w:rPr>
          <w:noProof/>
        </w:rPr>
        <w:br/>
      </w:r>
      <w:r>
        <w:rPr>
          <w:b/>
          <w:i w:val="0"/>
          <w:noProof/>
        </w:rPr>
        <w:t xml:space="preserve">Genstand og anvendelsesområde </w:t>
      </w:r>
    </w:p>
    <w:p w:rsidR="00692A01" w:rsidRDefault="00C553AA">
      <w:pPr>
        <w:pStyle w:val="Point0"/>
        <w:rPr>
          <w:noProof/>
        </w:rPr>
      </w:pPr>
      <w:r>
        <w:rPr>
          <w:noProof/>
        </w:rPr>
        <w:t>1.</w:t>
      </w:r>
      <w:r>
        <w:rPr>
          <w:noProof/>
        </w:rPr>
        <w:tab/>
        <w:t>Det fastsættes ved denne forordning, i hvilke tilfælde og på hvilke betingelser det fælles sundhedsimportdokument som omhandlet i artikel 56 i forordning (EU) 2017/625 (i det følgende benævnt "CHED-dokument") skal ledsage hver sending af de i artikel 47, stk. 1, i forordning (EU) 2017/625 omhandlede kategorier af dyr og varer bestemt til markedsføring til bestemmelsesstedet (i det følgende benævnt "sending").</w:t>
      </w:r>
    </w:p>
    <w:p w:rsidR="00692A01" w:rsidRDefault="00C553AA">
      <w:pPr>
        <w:pStyle w:val="Point0"/>
        <w:rPr>
          <w:rFonts w:eastAsia="Times New Roman"/>
          <w:noProof/>
          <w:szCs w:val="24"/>
        </w:rPr>
      </w:pPr>
      <w:r>
        <w:rPr>
          <w:noProof/>
        </w:rPr>
        <w:t>2.</w:t>
      </w:r>
      <w:r>
        <w:rPr>
          <w:noProof/>
        </w:rPr>
        <w:tab/>
        <w:t>Denne forordning finder ikke anvendelse på sendinger i transit.</w:t>
      </w:r>
    </w:p>
    <w:p w:rsidR="00692A01" w:rsidRDefault="00C553AA">
      <w:pPr>
        <w:pStyle w:val="Titrearticle"/>
        <w:rPr>
          <w:rFonts w:eastAsia="Times New Roman"/>
          <w:b/>
          <w:noProof/>
          <w:szCs w:val="24"/>
        </w:rPr>
      </w:pPr>
      <w:r>
        <w:rPr>
          <w:noProof/>
        </w:rPr>
        <w:t>Artikel 2</w:t>
      </w:r>
      <w:r>
        <w:rPr>
          <w:rFonts w:eastAsia="Times New Roman"/>
          <w:i w:val="0"/>
          <w:noProof/>
          <w:szCs w:val="24"/>
        </w:rPr>
        <w:br/>
      </w:r>
      <w:r>
        <w:rPr>
          <w:b/>
          <w:i w:val="0"/>
          <w:noProof/>
        </w:rPr>
        <w:t>Definition</w:t>
      </w:r>
    </w:p>
    <w:p w:rsidR="00692A01" w:rsidRDefault="00C553AA">
      <w:pPr>
        <w:spacing w:after="240"/>
        <w:rPr>
          <w:noProof/>
          <w:szCs w:val="24"/>
        </w:rPr>
      </w:pPr>
      <w:r>
        <w:rPr>
          <w:noProof/>
        </w:rPr>
        <w:t>I denne forordning forstås ved "bestemmelsessted": det sted, hvor sendingen leveres til endelig aflæsning, som angivet i CHED-dokumentet.</w:t>
      </w:r>
    </w:p>
    <w:p w:rsidR="00692A01" w:rsidRDefault="00C553AA">
      <w:pPr>
        <w:pStyle w:val="Titrearticle"/>
        <w:rPr>
          <w:b/>
          <w:noProof/>
        </w:rPr>
      </w:pPr>
      <w:r>
        <w:rPr>
          <w:noProof/>
        </w:rPr>
        <w:t xml:space="preserve">Artikel 3 </w:t>
      </w:r>
      <w:r>
        <w:rPr>
          <w:noProof/>
        </w:rPr>
        <w:br/>
      </w:r>
      <w:r>
        <w:rPr>
          <w:b/>
          <w:i w:val="0"/>
          <w:noProof/>
        </w:rPr>
        <w:t>Tilfælde, hvor CHED-dokumentet skal ledsage sendinger til deres bestemmelsessted</w:t>
      </w:r>
    </w:p>
    <w:p w:rsidR="00692A01" w:rsidRDefault="00C553AA">
      <w:pPr>
        <w:spacing w:after="240"/>
        <w:rPr>
          <w:i/>
          <w:noProof/>
        </w:rPr>
      </w:pPr>
      <w:r>
        <w:rPr>
          <w:noProof/>
        </w:rPr>
        <w:t>Enhver sending skal ledsages af et CHED-dokument, uanset om den opdeles på grænsekontrolstedet eller efter at have forladt grænsekontrolstedet, men inden den overgår til fri omsætning, jf. artikel 57, stk. 2, litra b), i forordning (EU) 2017/625.</w:t>
      </w:r>
    </w:p>
    <w:p w:rsidR="00692A01" w:rsidRDefault="00C553AA">
      <w:pPr>
        <w:pStyle w:val="Titrearticle"/>
        <w:rPr>
          <w:noProof/>
        </w:rPr>
      </w:pPr>
      <w:r>
        <w:rPr>
          <w:noProof/>
        </w:rPr>
        <w:t>Artikel 4</w:t>
      </w:r>
      <w:r>
        <w:rPr>
          <w:noProof/>
        </w:rPr>
        <w:br/>
      </w:r>
      <w:r>
        <w:rPr>
          <w:b/>
          <w:i w:val="0"/>
          <w:noProof/>
        </w:rPr>
        <w:t>Betingelser vedrørende CHED-dokumenter, der skal ledsage ikke-opdelte sendinger</w:t>
      </w:r>
    </w:p>
    <w:p w:rsidR="00692A01" w:rsidRDefault="00C553AA">
      <w:pPr>
        <w:spacing w:after="240"/>
        <w:rPr>
          <w:noProof/>
          <w:szCs w:val="24"/>
        </w:rPr>
      </w:pPr>
      <w:r>
        <w:rPr>
          <w:noProof/>
        </w:rPr>
        <w:t>Hvis en sending ikke opdeles, inden den overgår til fri omsætning, jf. artikel 57, stk. 2, litra b), i forordning (EU) 2017/625, gælder følgende:</w:t>
      </w:r>
    </w:p>
    <w:p w:rsidR="00692A01" w:rsidRDefault="00C553AA">
      <w:pPr>
        <w:pStyle w:val="Point0"/>
        <w:rPr>
          <w:noProof/>
        </w:rPr>
      </w:pPr>
      <w:r>
        <w:rPr>
          <w:noProof/>
        </w:rPr>
        <w:t>a)</w:t>
      </w:r>
      <w:r>
        <w:rPr>
          <w:noProof/>
        </w:rPr>
        <w:tab/>
        <w:t>Den operatør, der er ansvarlig for en sending, skal sikre, at en kopi, enten på papir eller i elektronisk form, af CHED-dokumentet ledsager sendingen til bestemmelsesstedet, og indtil den overgår til fri omsætning, jf. artikel 57, stk. 2, litra b), i forordning (EU) 2017/625.</w:t>
      </w:r>
    </w:p>
    <w:p w:rsidR="00692A01" w:rsidRDefault="00C553AA">
      <w:pPr>
        <w:pStyle w:val="Point0"/>
        <w:rPr>
          <w:noProof/>
          <w:szCs w:val="24"/>
        </w:rPr>
      </w:pPr>
      <w:r>
        <w:rPr>
          <w:noProof/>
        </w:rPr>
        <w:t>b)</w:t>
      </w:r>
      <w:r>
        <w:rPr>
          <w:noProof/>
        </w:rPr>
        <w:tab/>
        <w:t xml:space="preserve">Den operatør, der er ansvarlig for sendingen, skal angive CHED-dokumentets referencenummer i den toldangivelse, der indgives til toldmyndighederne, og skal opbevare en kopi af det pågældende CHED-dokument, så det er til rådighed for toldmyndighederne, jf. artikel 163 i forordning (EU) nr. 952/2013. </w:t>
      </w:r>
    </w:p>
    <w:p w:rsidR="00692A01" w:rsidRDefault="00C553AA">
      <w:pPr>
        <w:pStyle w:val="Point0"/>
        <w:rPr>
          <w:noProof/>
          <w:szCs w:val="24"/>
        </w:rPr>
      </w:pPr>
      <w:r>
        <w:rPr>
          <w:noProof/>
        </w:rPr>
        <w:t>c)</w:t>
      </w:r>
      <w:r>
        <w:rPr>
          <w:noProof/>
        </w:rPr>
        <w:tab/>
        <w:t>Toldmyndighederne skal til IMSOC oplyse sendingens størrelse som angivet i toldangivelsen, og de må kun give tilladelse til, at sendingen henføres under en toldprocedure, hvis den samlede mængde, der er angivet i CHED-dokumentet, ikke er overskredet. Dette krav gælder ikke, hvis sendingen skal henføres under de i artikel 210, litra a) og b), i forordning (EU) nr. 952/2013 omhandlede toldprocedurer.</w:t>
      </w:r>
    </w:p>
    <w:p w:rsidR="00692A01" w:rsidRDefault="00C553AA">
      <w:pPr>
        <w:pStyle w:val="Titrearticle"/>
        <w:rPr>
          <w:noProof/>
        </w:rPr>
      </w:pPr>
      <w:r>
        <w:rPr>
          <w:noProof/>
        </w:rPr>
        <w:t>Artikel 5</w:t>
      </w:r>
      <w:r>
        <w:rPr>
          <w:noProof/>
        </w:rPr>
        <w:br/>
      </w:r>
      <w:r>
        <w:rPr>
          <w:b/>
          <w:i w:val="0"/>
          <w:noProof/>
        </w:rPr>
        <w:t>Betingelser vedrørende CHED-dokumenter, der skal ledsage sendinger, som opdeles på grænsekontrolstedet</w:t>
      </w:r>
      <w:r>
        <w:rPr>
          <w:b/>
          <w:noProof/>
        </w:rPr>
        <w:t xml:space="preserve"> </w:t>
      </w:r>
    </w:p>
    <w:p w:rsidR="00692A01" w:rsidRDefault="00C553AA">
      <w:pPr>
        <w:pStyle w:val="Point0"/>
        <w:rPr>
          <w:noProof/>
        </w:rPr>
      </w:pPr>
      <w:r>
        <w:rPr>
          <w:noProof/>
        </w:rPr>
        <w:t>1.</w:t>
      </w:r>
      <w:r>
        <w:rPr>
          <w:noProof/>
        </w:rPr>
        <w:tab/>
        <w:t>Hvis en sending skal opdeles på grænsekontrolstedet, gælder følgende:</w:t>
      </w:r>
    </w:p>
    <w:p w:rsidR="00692A01" w:rsidRDefault="00C553AA">
      <w:pPr>
        <w:pStyle w:val="Point1"/>
        <w:rPr>
          <w:noProof/>
        </w:rPr>
      </w:pPr>
      <w:r>
        <w:rPr>
          <w:noProof/>
        </w:rPr>
        <w:t>a)</w:t>
      </w:r>
      <w:r>
        <w:rPr>
          <w:noProof/>
        </w:rPr>
        <w:tab/>
        <w:t>Når der gives forhåndsmeddelelse, jf. artikel 56, stk. 3, i forordning (EU) 2017/625, skal den operatør, der er ansvarlig for sendingen, i CHED-dokumentet angive grænsekontrolstedet som bestemmelsessted for hele sendingen.</w:t>
      </w:r>
    </w:p>
    <w:p w:rsidR="00692A01" w:rsidRDefault="00C553AA">
      <w:pPr>
        <w:pStyle w:val="Point1"/>
        <w:rPr>
          <w:noProof/>
          <w:szCs w:val="24"/>
        </w:rPr>
      </w:pPr>
      <w:r>
        <w:rPr>
          <w:noProof/>
        </w:rPr>
        <w:t>b)</w:t>
      </w:r>
      <w:r>
        <w:rPr>
          <w:noProof/>
        </w:rPr>
        <w:tab/>
        <w:t xml:space="preserve">Når den kompetente myndighed på grænsekontrolstedet har færdiggjort CHED-dokumentet for hele sendingen, jf. artikel 56, stk. 5, i forordning (EU) 2017/625, skal den operatør, der er ansvarlig for sendingen, anmode om, at sendingen opdeles, og via IMSOC indgive et CHED-dokument for hver del af den opdelte sending og i dette dokument angive mængden, transportmidlet og bestemmelsesstedet for den pågældende del af den opdelte sending. </w:t>
      </w:r>
    </w:p>
    <w:p w:rsidR="00692A01" w:rsidRDefault="00C553AA">
      <w:pPr>
        <w:pStyle w:val="Point1"/>
        <w:rPr>
          <w:noProof/>
          <w:szCs w:val="24"/>
        </w:rPr>
      </w:pPr>
      <w:r>
        <w:rPr>
          <w:noProof/>
        </w:rPr>
        <w:t>c)</w:t>
      </w:r>
      <w:r>
        <w:rPr>
          <w:noProof/>
        </w:rPr>
        <w:tab/>
        <w:t xml:space="preserve">Den kompetente myndighed på grænsekontrolstedet skal færdiggøre CHED-dokumenterne for de enkelte dele af den opdelte sending, jf. artikel 56, stk. 5, i forordning (EU) 2017/625, forudsat at summen af de mængder, der er angivet i de pågældende CHED-dokumenter, ikke overstiger den samlede mængde, der er angivet i CHED-dokumentet for hele sendingen. </w:t>
      </w:r>
    </w:p>
    <w:p w:rsidR="00692A01" w:rsidRDefault="00C553AA">
      <w:pPr>
        <w:pStyle w:val="Point1"/>
        <w:rPr>
          <w:noProof/>
          <w:szCs w:val="24"/>
        </w:rPr>
      </w:pPr>
      <w:r>
        <w:rPr>
          <w:noProof/>
        </w:rPr>
        <w:t>d)</w:t>
      </w:r>
      <w:r>
        <w:rPr>
          <w:noProof/>
        </w:rPr>
        <w:tab/>
        <w:t xml:space="preserve">Den operatør, der er ansvarlig for sendingen, skal sikre, at en kopi, enten på papir eller i elektronisk form, af CHED-dokumentet for hver del af den opdelte sending ledsager den pågældende del af den opdelte sending til det i dokumentet angivne bestemmelsessted, og indtil den overgår til fri omsætning, jf. artikel 57, stk. 2, litra b), i forordning (EU) 2017/625. </w:t>
      </w:r>
    </w:p>
    <w:p w:rsidR="00692A01" w:rsidRDefault="00C553AA">
      <w:pPr>
        <w:pStyle w:val="Point1"/>
        <w:rPr>
          <w:noProof/>
          <w:szCs w:val="24"/>
        </w:rPr>
      </w:pPr>
      <w:r>
        <w:rPr>
          <w:noProof/>
        </w:rPr>
        <w:t>e)</w:t>
      </w:r>
      <w:r>
        <w:rPr>
          <w:noProof/>
        </w:rPr>
        <w:tab/>
        <w:t>Den operatør, der er ansvarlig for sendingen, skal angive CHED-dokumentets referencenummer for hver del af den opdelte sending i den toldangivelse, der indgives til toldmyndighederne, og skal opbevare en kopi af det pågældende CHED-dokument, så det er til rådighed for toldmyndighederne, jf. artikel 163 i forordning (EU) nr. 952/2013.</w:t>
      </w:r>
    </w:p>
    <w:p w:rsidR="00692A01" w:rsidRDefault="00C553AA">
      <w:pPr>
        <w:pStyle w:val="Point1"/>
        <w:rPr>
          <w:noProof/>
          <w:szCs w:val="24"/>
        </w:rPr>
      </w:pPr>
      <w:r>
        <w:rPr>
          <w:noProof/>
        </w:rPr>
        <w:t>f)</w:t>
      </w:r>
      <w:r>
        <w:rPr>
          <w:noProof/>
        </w:rPr>
        <w:tab/>
        <w:t>Toldmyndighederne skal til IMSOC oplyse størrelsen af den pågældende del af den opdelte sending som angivet i toldangivelsen, og de må kun give tilladelse til, at den pågældende del henføres under en toldprocedure, hvis den samlede mængde, der er angivet i CHED-dokumentet for den pågældende del af den opdelte sending, ikke er overskredet. Dette krav gælder ikke, hvis sendingen skal henføres under de i artikel 210, litra a) og b), i forordning (EU) nr. 952/2013 omhandlede toldprocedurer.</w:t>
      </w:r>
    </w:p>
    <w:p w:rsidR="00692A01" w:rsidRDefault="00C553AA">
      <w:pPr>
        <w:pStyle w:val="Point0"/>
        <w:rPr>
          <w:noProof/>
          <w:szCs w:val="24"/>
        </w:rPr>
      </w:pPr>
      <w:r>
        <w:rPr>
          <w:noProof/>
        </w:rPr>
        <w:t>2.</w:t>
      </w:r>
      <w:r>
        <w:rPr>
          <w:noProof/>
        </w:rPr>
        <w:tab/>
        <w:t xml:space="preserve">Hvis der er tale om en sending, der ikke overholder reglerne og skal opdeles på grænsekontrolstedet, og den kompetente myndighed ved grænsekontrolstedet pålægger operatøren at iværksætte et eller flere af tiltagene omhandlet i artikel 66, stk. 4, i forordning (EU) 2017/625 for kun en del af sendingen, gælder følgende: </w:t>
      </w:r>
    </w:p>
    <w:p w:rsidR="00692A01" w:rsidRDefault="00C553AA">
      <w:pPr>
        <w:pStyle w:val="Point1"/>
        <w:rPr>
          <w:noProof/>
        </w:rPr>
      </w:pPr>
      <w:r>
        <w:rPr>
          <w:noProof/>
        </w:rPr>
        <w:t>a)</w:t>
      </w:r>
      <w:r>
        <w:rPr>
          <w:noProof/>
        </w:rPr>
        <w:tab/>
        <w:t xml:space="preserve">Når CHED-dokumentet for hele sendingen er færdiggjort, skal den operatør, der er ansvarlig for sendingen, forelægge et CHED-dokument for hver del af den opdelte sending og i dette dokument angive mængden, transportmidlet og bestemmelsesstedet for den pågældende del. </w:t>
      </w:r>
    </w:p>
    <w:p w:rsidR="00692A01" w:rsidRDefault="00C553AA">
      <w:pPr>
        <w:pStyle w:val="Point1"/>
        <w:rPr>
          <w:noProof/>
          <w:szCs w:val="24"/>
        </w:rPr>
      </w:pPr>
      <w:r>
        <w:rPr>
          <w:noProof/>
        </w:rPr>
        <w:t>b)</w:t>
      </w:r>
      <w:r>
        <w:rPr>
          <w:noProof/>
        </w:rPr>
        <w:tab/>
        <w:t xml:space="preserve">Den kompetente myndighed på grænsekontrolstedet skal færdiggøre CHED-dokumenterne for de enkelte dele af den opdelte sending, jf. artikel 56, stk. 5, i forordning (EU) 2017/625, under hensyntagen til den beslutning, der er truffet for hver del af den opdelte sending. </w:t>
      </w:r>
    </w:p>
    <w:p w:rsidR="00692A01" w:rsidRDefault="00C553AA">
      <w:pPr>
        <w:pStyle w:val="Point1"/>
        <w:rPr>
          <w:noProof/>
          <w:szCs w:val="24"/>
        </w:rPr>
      </w:pPr>
      <w:r>
        <w:rPr>
          <w:noProof/>
        </w:rPr>
        <w:t>c)</w:t>
      </w:r>
      <w:r>
        <w:rPr>
          <w:noProof/>
        </w:rPr>
        <w:tab/>
        <w:t>Stk. 1, litra d), e) og f), finder anvendelse på hver del af den opdelte sending.</w:t>
      </w:r>
    </w:p>
    <w:p w:rsidR="00692A01" w:rsidRDefault="00C553AA">
      <w:pPr>
        <w:pStyle w:val="Titrearticle"/>
        <w:rPr>
          <w:rFonts w:eastAsia="Times New Roman"/>
          <w:b/>
          <w:noProof/>
          <w:szCs w:val="24"/>
        </w:rPr>
      </w:pPr>
      <w:r>
        <w:rPr>
          <w:noProof/>
        </w:rPr>
        <w:t>Artikel 6</w:t>
      </w:r>
      <w:r>
        <w:rPr>
          <w:noProof/>
        </w:rPr>
        <w:br/>
      </w:r>
      <w:r>
        <w:rPr>
          <w:b/>
          <w:i w:val="0"/>
          <w:noProof/>
        </w:rPr>
        <w:t xml:space="preserve">Betingelser vedrørende CHED-dokumenter, der skal ledsage sendinger under toldtilsyn, som opdeles efter at have forladt grænsekontrolstedet </w:t>
      </w:r>
    </w:p>
    <w:p w:rsidR="00692A01" w:rsidRDefault="00C553AA">
      <w:pPr>
        <w:spacing w:after="240"/>
        <w:rPr>
          <w:rFonts w:eastAsia="Calibri"/>
          <w:noProof/>
          <w:szCs w:val="24"/>
        </w:rPr>
      </w:pPr>
      <w:r>
        <w:rPr>
          <w:noProof/>
        </w:rPr>
        <w:t xml:space="preserve">Hvis en sending skal opdeles efter at have forladt grænsekontrolstedet, og inden den overgår til fri omsætning, jf. artikel 57, stk. 2, litra b), i forordning (EU) 2017/625, gælder følgende: </w:t>
      </w:r>
    </w:p>
    <w:p w:rsidR="00692A01" w:rsidRDefault="00C553AA">
      <w:pPr>
        <w:pStyle w:val="Point0"/>
        <w:rPr>
          <w:rFonts w:eastAsia="Calibri"/>
          <w:noProof/>
          <w:szCs w:val="24"/>
        </w:rPr>
      </w:pPr>
      <w:r>
        <w:rPr>
          <w:noProof/>
        </w:rPr>
        <w:t>a)</w:t>
      </w:r>
      <w:r>
        <w:rPr>
          <w:noProof/>
        </w:rPr>
        <w:tab/>
        <w:t xml:space="preserve">Den operatør, der er ansvarlig for sendingen, skal sikre, at en kopi, enten på papir eller i elektronisk form, af CHED-dokumentet ledsager hver del af den opdelte sending, indtil den overgår til fri omsætning, jf. artikel 57, stk. 2, litra b), i forordning (EU) 2017/625. </w:t>
      </w:r>
    </w:p>
    <w:p w:rsidR="00692A01" w:rsidRDefault="00C553AA">
      <w:pPr>
        <w:pStyle w:val="Point0"/>
        <w:rPr>
          <w:rFonts w:eastAsia="Calibri"/>
          <w:noProof/>
          <w:szCs w:val="24"/>
          <w:highlight w:val="yellow"/>
        </w:rPr>
      </w:pPr>
      <w:r>
        <w:rPr>
          <w:noProof/>
        </w:rPr>
        <w:t>b)</w:t>
      </w:r>
      <w:r>
        <w:rPr>
          <w:noProof/>
        </w:rPr>
        <w:tab/>
        <w:t>Den operatør, der er ansvarlig for sendingen, skal for hver del af den opdelte sending angive CHED-dokumentets referencenummer i den toldangivelse, der indgives til toldmyndighederne, og skal opbevare en kopi af det pågældende CHED-dokument, så det er til rådighed for toldmyndighederne, jf. artikel 163 i forordning (EU) nr. 952/2013.</w:t>
      </w:r>
    </w:p>
    <w:p w:rsidR="00692A01" w:rsidRDefault="00C553AA">
      <w:pPr>
        <w:pStyle w:val="Point0"/>
        <w:rPr>
          <w:noProof/>
        </w:rPr>
      </w:pPr>
      <w:r>
        <w:rPr>
          <w:noProof/>
        </w:rPr>
        <w:t>c)</w:t>
      </w:r>
      <w:r>
        <w:rPr>
          <w:noProof/>
        </w:rPr>
        <w:tab/>
        <w:t>Toldmyndighederne skal for hver del af den opdelte sending til IMSOC oplyse mængden som angivet i toldangivelsen for den pågældende del, og de må kun give tilladelse til, at den pågældende del henføres under en toldprocedure, hvis den samlede mængde, der er angivet i CHED-dokumentet, ikke er overskredet. Dette krav gælder ikke, hvis sendingen skal henføres under de i artikel 210, litra a) og b), i forordning (EU) nr. 952/2013 omhandlede toldprocedurer.</w:t>
      </w:r>
    </w:p>
    <w:p w:rsidR="00692A01" w:rsidRDefault="00C553AA">
      <w:pPr>
        <w:pStyle w:val="Titrearticle"/>
        <w:rPr>
          <w:noProof/>
        </w:rPr>
      </w:pPr>
      <w:r>
        <w:rPr>
          <w:noProof/>
        </w:rPr>
        <w:t>Artikel 7</w:t>
      </w:r>
      <w:r>
        <w:rPr>
          <w:noProof/>
        </w:rPr>
        <w:br/>
      </w:r>
      <w:r>
        <w:rPr>
          <w:b/>
          <w:i w:val="0"/>
          <w:noProof/>
        </w:rPr>
        <w:t>Ikrafttræden og anvendelse</w:t>
      </w:r>
    </w:p>
    <w:p w:rsidR="00692A01" w:rsidRDefault="00C553AA">
      <w:pPr>
        <w:spacing w:after="240"/>
        <w:rPr>
          <w:noProof/>
        </w:rPr>
      </w:pPr>
      <w:r>
        <w:rPr>
          <w:noProof/>
        </w:rPr>
        <w:t xml:space="preserve">Denne forordning træder i kraft på tyvendedagen efter offentliggørelsen i </w:t>
      </w:r>
      <w:r>
        <w:rPr>
          <w:i/>
          <w:noProof/>
        </w:rPr>
        <w:t>Den Europæiske Unions Tidende</w:t>
      </w:r>
      <w:r>
        <w:rPr>
          <w:noProof/>
        </w:rPr>
        <w:t>.</w:t>
      </w:r>
    </w:p>
    <w:p w:rsidR="00692A01" w:rsidRDefault="00C553AA">
      <w:pPr>
        <w:spacing w:after="240"/>
        <w:rPr>
          <w:noProof/>
        </w:rPr>
      </w:pPr>
      <w:r>
        <w:rPr>
          <w:noProof/>
        </w:rPr>
        <w:t>Den anvendes fra den 14. december 2019.</w:t>
      </w:r>
    </w:p>
    <w:p w:rsidR="00692A01" w:rsidRDefault="00C553AA">
      <w:pPr>
        <w:spacing w:after="240"/>
        <w:rPr>
          <w:noProof/>
          <w:szCs w:val="24"/>
        </w:rPr>
      </w:pPr>
      <w:r>
        <w:rPr>
          <w:noProof/>
        </w:rPr>
        <w:t xml:space="preserve">Følgende bestemmelser gælder dog i de enkelte medlemsstater fra den dato, hvor de elektroniske tolddatabehandlingsteknikker, der er omhandlet i artikel 6, stk. 1, i forordning (EU) nr. 952/2013, bliver klar til brug i den pågældende medlemsstat, dog senest fra den 1. marts 2023: </w:t>
      </w:r>
    </w:p>
    <w:p w:rsidR="00692A01" w:rsidRDefault="00C553AA">
      <w:pPr>
        <w:pStyle w:val="Point0"/>
        <w:rPr>
          <w:noProof/>
          <w:szCs w:val="24"/>
        </w:rPr>
      </w:pPr>
      <w:r>
        <w:rPr>
          <w:noProof/>
        </w:rPr>
        <w:t>a)</w:t>
      </w:r>
      <w:r>
        <w:rPr>
          <w:noProof/>
        </w:rPr>
        <w:tab/>
        <w:t xml:space="preserve">Artikel 4, litra c) </w:t>
      </w:r>
    </w:p>
    <w:p w:rsidR="00692A01" w:rsidRDefault="00C553AA">
      <w:pPr>
        <w:pStyle w:val="Point0"/>
        <w:rPr>
          <w:noProof/>
          <w:szCs w:val="24"/>
        </w:rPr>
      </w:pPr>
      <w:r>
        <w:rPr>
          <w:noProof/>
        </w:rPr>
        <w:t>b)</w:t>
      </w:r>
      <w:r>
        <w:rPr>
          <w:noProof/>
        </w:rPr>
        <w:tab/>
        <w:t xml:space="preserve">Artikel 5, stk. 1, litra f) </w:t>
      </w:r>
    </w:p>
    <w:p w:rsidR="00692A01" w:rsidRDefault="00C553AA">
      <w:pPr>
        <w:pStyle w:val="Point0"/>
        <w:rPr>
          <w:noProof/>
          <w:szCs w:val="24"/>
        </w:rPr>
      </w:pPr>
      <w:r>
        <w:rPr>
          <w:noProof/>
        </w:rPr>
        <w:t>c)</w:t>
      </w:r>
      <w:r>
        <w:rPr>
          <w:noProof/>
        </w:rPr>
        <w:tab/>
        <w:t xml:space="preserve">Artikel 6, litra c). </w:t>
      </w:r>
    </w:p>
    <w:p w:rsidR="00692A01" w:rsidRDefault="00C553AA">
      <w:pPr>
        <w:spacing w:after="240"/>
        <w:rPr>
          <w:noProof/>
          <w:szCs w:val="24"/>
        </w:rPr>
      </w:pPr>
      <w:r>
        <w:rPr>
          <w:noProof/>
        </w:rPr>
        <w:t>Medlemsstaterne meddeler Kommissionen og de øvrige medlemsstater datoen for, hvornår nævnte elektroniske databehandlingsteknikker bliver klar til brug.</w:t>
      </w:r>
    </w:p>
    <w:p w:rsidR="00692A01" w:rsidRDefault="00C553AA">
      <w:pPr>
        <w:pStyle w:val="Applicationdirecte"/>
        <w:rPr>
          <w:noProof/>
        </w:rPr>
      </w:pPr>
      <w:r>
        <w:rPr>
          <w:noProof/>
        </w:rPr>
        <w:t>Denne forordning er bindende i alle enkeltheder og gælder umiddelbart i hver medlemsstat.</w:t>
      </w:r>
    </w:p>
    <w:p w:rsidR="00692A01" w:rsidRDefault="00C553AA">
      <w:pPr>
        <w:pStyle w:val="Fait"/>
        <w:rPr>
          <w:noProof/>
        </w:rPr>
      </w:pPr>
      <w:r>
        <w:t>Udfærdiget i Bruxelles, den 23.4.2019.</w:t>
      </w:r>
    </w:p>
    <w:p w:rsidR="00692A01" w:rsidRDefault="00C553AA">
      <w:pPr>
        <w:pStyle w:val="Institutionquisigne"/>
        <w:rPr>
          <w:noProof/>
        </w:rPr>
      </w:pPr>
      <w:r>
        <w:rPr>
          <w:noProof/>
        </w:rPr>
        <w:tab/>
        <w:t>På Kommissionens vegne</w:t>
      </w:r>
    </w:p>
    <w:p w:rsidR="00692A01" w:rsidRDefault="00C553AA">
      <w:pPr>
        <w:pStyle w:val="Personnequisigne"/>
        <w:keepNext/>
        <w:rPr>
          <w:noProof/>
        </w:rPr>
      </w:pPr>
      <w:r>
        <w:tab/>
        <w:t>Formand</w:t>
      </w:r>
      <w:r>
        <w:br/>
      </w:r>
      <w:r>
        <w:tab/>
        <w:t>Jean-Claude JUNCKER</w:t>
      </w:r>
    </w:p>
    <w:p w:rsidR="00692A01" w:rsidRDefault="00692A01">
      <w:pPr>
        <w:pStyle w:val="Personnequisigne"/>
        <w:rPr>
          <w:noProof/>
        </w:rPr>
      </w:pPr>
    </w:p>
    <w:sectPr w:rsidR="00692A0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01" w:rsidRDefault="00C553AA">
      <w:pPr>
        <w:spacing w:before="0" w:after="0"/>
      </w:pPr>
      <w:r>
        <w:separator/>
      </w:r>
    </w:p>
  </w:endnote>
  <w:endnote w:type="continuationSeparator" w:id="0">
    <w:p w:rsidR="00692A01" w:rsidRDefault="00C553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026FF" w:rsidRPr="00D94637" w:rsidTr="00E026FF">
      <w:trPr>
        <w:jc w:val="center"/>
      </w:trPr>
      <w:tc>
        <w:tcPr>
          <w:tcW w:w="5000" w:type="pct"/>
          <w:gridSpan w:val="7"/>
          <w:shd w:val="clear" w:color="auto" w:fill="auto"/>
          <w:tcMar>
            <w:top w:w="57" w:type="dxa"/>
          </w:tcMar>
        </w:tcPr>
        <w:p w:rsidR="00E026FF" w:rsidRPr="00D94637" w:rsidRDefault="00E026FF" w:rsidP="00D94637">
          <w:pPr>
            <w:pStyle w:val="FooterText"/>
            <w:pBdr>
              <w:top w:val="single" w:sz="4" w:space="1" w:color="auto"/>
            </w:pBdr>
            <w:spacing w:before="200"/>
            <w:rPr>
              <w:sz w:val="2"/>
              <w:szCs w:val="2"/>
            </w:rPr>
          </w:pPr>
          <w:bookmarkStart w:id="2" w:name="FOOTER_STANDARD"/>
        </w:p>
      </w:tc>
    </w:tr>
    <w:tr w:rsidR="00E026FF" w:rsidRPr="00B310DC" w:rsidTr="00E026FF">
      <w:trPr>
        <w:jc w:val="center"/>
      </w:trPr>
      <w:tc>
        <w:tcPr>
          <w:tcW w:w="2500" w:type="pct"/>
          <w:gridSpan w:val="2"/>
          <w:shd w:val="clear" w:color="auto" w:fill="auto"/>
          <w:tcMar>
            <w:top w:w="0" w:type="dxa"/>
          </w:tcMar>
        </w:tcPr>
        <w:p w:rsidR="00E026FF" w:rsidRPr="00AD7BF2" w:rsidRDefault="00E026FF" w:rsidP="004F54B2">
          <w:pPr>
            <w:pStyle w:val="FooterText"/>
          </w:pPr>
          <w:r>
            <w:t>11380/19</w:t>
          </w:r>
          <w:r w:rsidRPr="002511D8">
            <w:t xml:space="preserve"> </w:t>
          </w:r>
        </w:p>
      </w:tc>
      <w:tc>
        <w:tcPr>
          <w:tcW w:w="625" w:type="pct"/>
          <w:shd w:val="clear" w:color="auto" w:fill="auto"/>
          <w:tcMar>
            <w:top w:w="0" w:type="dxa"/>
          </w:tcMar>
        </w:tcPr>
        <w:p w:rsidR="00E026FF" w:rsidRPr="00AD7BF2" w:rsidRDefault="00E026FF" w:rsidP="00D94637">
          <w:pPr>
            <w:pStyle w:val="FooterText"/>
            <w:jc w:val="center"/>
          </w:pPr>
        </w:p>
      </w:tc>
      <w:tc>
        <w:tcPr>
          <w:tcW w:w="1286" w:type="pct"/>
          <w:gridSpan w:val="3"/>
          <w:shd w:val="clear" w:color="auto" w:fill="auto"/>
          <w:tcMar>
            <w:top w:w="0" w:type="dxa"/>
          </w:tcMar>
        </w:tcPr>
        <w:p w:rsidR="00E026FF" w:rsidRPr="002511D8" w:rsidRDefault="00E026FF" w:rsidP="00D94637">
          <w:pPr>
            <w:pStyle w:val="FooterText"/>
            <w:jc w:val="center"/>
          </w:pPr>
          <w:r>
            <w:t>mta</w:t>
          </w:r>
        </w:p>
      </w:tc>
      <w:tc>
        <w:tcPr>
          <w:tcW w:w="589" w:type="pct"/>
          <w:shd w:val="clear" w:color="auto" w:fill="auto"/>
          <w:tcMar>
            <w:top w:w="0" w:type="dxa"/>
          </w:tcMar>
        </w:tcPr>
        <w:p w:rsidR="00E026FF" w:rsidRPr="00B310DC" w:rsidRDefault="00E026FF" w:rsidP="00E026FF">
          <w:pPr>
            <w:pStyle w:val="FooterText"/>
            <w:jc w:val="right"/>
          </w:pPr>
          <w:r>
            <w:fldChar w:fldCharType="begin"/>
          </w:r>
          <w:r>
            <w:instrText xml:space="preserve"> PAGE  \* MERGEFORMAT </w:instrText>
          </w:r>
          <w:r>
            <w:fldChar w:fldCharType="separate"/>
          </w:r>
          <w:r>
            <w:rPr>
              <w:noProof/>
            </w:rPr>
            <w:t>0</w:t>
          </w:r>
          <w:r>
            <w:fldChar w:fldCharType="end"/>
          </w:r>
        </w:p>
      </w:tc>
    </w:tr>
    <w:tr w:rsidR="00E026FF" w:rsidRPr="00D94637" w:rsidTr="00E026FF">
      <w:trPr>
        <w:jc w:val="center"/>
      </w:trPr>
      <w:tc>
        <w:tcPr>
          <w:tcW w:w="1774" w:type="pct"/>
          <w:shd w:val="clear" w:color="auto" w:fill="auto"/>
        </w:tcPr>
        <w:p w:rsidR="00E026FF" w:rsidRPr="00AD7BF2" w:rsidRDefault="00E026FF" w:rsidP="00D94637">
          <w:pPr>
            <w:pStyle w:val="FooterText"/>
            <w:spacing w:before="40"/>
          </w:pPr>
        </w:p>
      </w:tc>
      <w:tc>
        <w:tcPr>
          <w:tcW w:w="1455" w:type="pct"/>
          <w:gridSpan w:val="3"/>
          <w:shd w:val="clear" w:color="auto" w:fill="auto"/>
        </w:tcPr>
        <w:p w:rsidR="00E026FF" w:rsidRPr="00AD7BF2" w:rsidRDefault="00E026FF" w:rsidP="00D204D6">
          <w:pPr>
            <w:pStyle w:val="FooterText"/>
            <w:spacing w:before="40"/>
            <w:jc w:val="center"/>
          </w:pPr>
          <w:r>
            <w:t>LIFE.2.B</w:t>
          </w:r>
        </w:p>
      </w:tc>
      <w:tc>
        <w:tcPr>
          <w:tcW w:w="742" w:type="pct"/>
          <w:shd w:val="clear" w:color="auto" w:fill="auto"/>
        </w:tcPr>
        <w:p w:rsidR="00E026FF" w:rsidRPr="00D94637" w:rsidRDefault="00E026FF" w:rsidP="002F0099">
          <w:pPr>
            <w:pStyle w:val="FooterText"/>
            <w:jc w:val="center"/>
            <w:rPr>
              <w:b/>
              <w:position w:val="-4"/>
              <w:sz w:val="36"/>
            </w:rPr>
          </w:pPr>
        </w:p>
      </w:tc>
      <w:tc>
        <w:tcPr>
          <w:tcW w:w="1029" w:type="pct"/>
          <w:gridSpan w:val="2"/>
          <w:shd w:val="clear" w:color="auto" w:fill="auto"/>
        </w:tcPr>
        <w:p w:rsidR="00E026FF" w:rsidRPr="000310C2" w:rsidRDefault="00E026FF" w:rsidP="00D94637">
          <w:pPr>
            <w:pStyle w:val="FooterText"/>
            <w:jc w:val="right"/>
            <w:rPr>
              <w:spacing w:val="-20"/>
              <w:sz w:val="16"/>
            </w:rPr>
          </w:pPr>
          <w:r>
            <w:rPr>
              <w:b/>
              <w:spacing w:val="-20"/>
              <w:position w:val="-4"/>
              <w:sz w:val="36"/>
            </w:rPr>
            <w:t>DA</w:t>
          </w:r>
        </w:p>
      </w:tc>
    </w:tr>
    <w:bookmarkEnd w:id="2"/>
  </w:tbl>
  <w:p w:rsidR="00692A01" w:rsidRPr="00E026FF" w:rsidRDefault="00692A01" w:rsidP="00E026FF">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026FF" w:rsidRPr="00D94637" w:rsidTr="00E026FF">
      <w:trPr>
        <w:jc w:val="center"/>
      </w:trPr>
      <w:tc>
        <w:tcPr>
          <w:tcW w:w="5000" w:type="pct"/>
          <w:gridSpan w:val="7"/>
          <w:shd w:val="clear" w:color="auto" w:fill="auto"/>
          <w:tcMar>
            <w:top w:w="57" w:type="dxa"/>
          </w:tcMar>
        </w:tcPr>
        <w:p w:rsidR="00E026FF" w:rsidRPr="00D94637" w:rsidRDefault="00E026FF" w:rsidP="00D94637">
          <w:pPr>
            <w:pStyle w:val="FooterText"/>
            <w:pBdr>
              <w:top w:val="single" w:sz="4" w:space="1" w:color="auto"/>
            </w:pBdr>
            <w:spacing w:before="200"/>
            <w:rPr>
              <w:sz w:val="2"/>
              <w:szCs w:val="2"/>
            </w:rPr>
          </w:pPr>
        </w:p>
      </w:tc>
    </w:tr>
    <w:tr w:rsidR="00E026FF" w:rsidRPr="00B310DC" w:rsidTr="00E026FF">
      <w:trPr>
        <w:jc w:val="center"/>
      </w:trPr>
      <w:tc>
        <w:tcPr>
          <w:tcW w:w="2500" w:type="pct"/>
          <w:gridSpan w:val="2"/>
          <w:shd w:val="clear" w:color="auto" w:fill="auto"/>
          <w:tcMar>
            <w:top w:w="0" w:type="dxa"/>
          </w:tcMar>
        </w:tcPr>
        <w:p w:rsidR="00E026FF" w:rsidRPr="00AD7BF2" w:rsidRDefault="00E026FF" w:rsidP="004F54B2">
          <w:pPr>
            <w:pStyle w:val="FooterText"/>
          </w:pPr>
          <w:r>
            <w:t>11380/19</w:t>
          </w:r>
          <w:r w:rsidRPr="002511D8">
            <w:t xml:space="preserve"> </w:t>
          </w:r>
        </w:p>
      </w:tc>
      <w:tc>
        <w:tcPr>
          <w:tcW w:w="625" w:type="pct"/>
          <w:shd w:val="clear" w:color="auto" w:fill="auto"/>
          <w:tcMar>
            <w:top w:w="0" w:type="dxa"/>
          </w:tcMar>
        </w:tcPr>
        <w:p w:rsidR="00E026FF" w:rsidRPr="00AD7BF2" w:rsidRDefault="00E026FF" w:rsidP="00D94637">
          <w:pPr>
            <w:pStyle w:val="FooterText"/>
            <w:jc w:val="center"/>
          </w:pPr>
        </w:p>
      </w:tc>
      <w:tc>
        <w:tcPr>
          <w:tcW w:w="1286" w:type="pct"/>
          <w:gridSpan w:val="3"/>
          <w:shd w:val="clear" w:color="auto" w:fill="auto"/>
          <w:tcMar>
            <w:top w:w="0" w:type="dxa"/>
          </w:tcMar>
        </w:tcPr>
        <w:p w:rsidR="00E026FF" w:rsidRPr="002511D8" w:rsidRDefault="00E026FF" w:rsidP="00D94637">
          <w:pPr>
            <w:pStyle w:val="FooterText"/>
            <w:jc w:val="center"/>
          </w:pPr>
          <w:r>
            <w:t>mta</w:t>
          </w:r>
        </w:p>
      </w:tc>
      <w:tc>
        <w:tcPr>
          <w:tcW w:w="589" w:type="pct"/>
          <w:shd w:val="clear" w:color="auto" w:fill="auto"/>
          <w:tcMar>
            <w:top w:w="0" w:type="dxa"/>
          </w:tcMar>
        </w:tcPr>
        <w:p w:rsidR="00E026FF" w:rsidRPr="00B310DC" w:rsidRDefault="00E026FF" w:rsidP="00D94637">
          <w:pPr>
            <w:pStyle w:val="FooterText"/>
            <w:jc w:val="right"/>
          </w:pPr>
        </w:p>
      </w:tc>
    </w:tr>
    <w:tr w:rsidR="00E026FF" w:rsidRPr="00D94637" w:rsidTr="00E026FF">
      <w:trPr>
        <w:jc w:val="center"/>
      </w:trPr>
      <w:tc>
        <w:tcPr>
          <w:tcW w:w="1774" w:type="pct"/>
          <w:shd w:val="clear" w:color="auto" w:fill="auto"/>
        </w:tcPr>
        <w:p w:rsidR="00E026FF" w:rsidRPr="00AD7BF2" w:rsidRDefault="00E026FF" w:rsidP="00D94637">
          <w:pPr>
            <w:pStyle w:val="FooterText"/>
            <w:spacing w:before="40"/>
          </w:pPr>
        </w:p>
      </w:tc>
      <w:tc>
        <w:tcPr>
          <w:tcW w:w="1455" w:type="pct"/>
          <w:gridSpan w:val="3"/>
          <w:shd w:val="clear" w:color="auto" w:fill="auto"/>
        </w:tcPr>
        <w:p w:rsidR="00E026FF" w:rsidRPr="00AD7BF2" w:rsidRDefault="00E026FF" w:rsidP="00D204D6">
          <w:pPr>
            <w:pStyle w:val="FooterText"/>
            <w:spacing w:before="40"/>
            <w:jc w:val="center"/>
          </w:pPr>
          <w:r>
            <w:t>LIFE.2.B</w:t>
          </w:r>
        </w:p>
      </w:tc>
      <w:tc>
        <w:tcPr>
          <w:tcW w:w="742" w:type="pct"/>
          <w:shd w:val="clear" w:color="auto" w:fill="auto"/>
        </w:tcPr>
        <w:p w:rsidR="00E026FF" w:rsidRPr="00D94637" w:rsidRDefault="00E026FF" w:rsidP="002F0099">
          <w:pPr>
            <w:pStyle w:val="FooterText"/>
            <w:jc w:val="center"/>
            <w:rPr>
              <w:b/>
              <w:position w:val="-4"/>
              <w:sz w:val="36"/>
            </w:rPr>
          </w:pPr>
        </w:p>
      </w:tc>
      <w:tc>
        <w:tcPr>
          <w:tcW w:w="1029" w:type="pct"/>
          <w:gridSpan w:val="2"/>
          <w:shd w:val="clear" w:color="auto" w:fill="auto"/>
        </w:tcPr>
        <w:p w:rsidR="00E026FF" w:rsidRPr="000310C2" w:rsidRDefault="00E026FF" w:rsidP="00D94637">
          <w:pPr>
            <w:pStyle w:val="FooterText"/>
            <w:jc w:val="right"/>
            <w:rPr>
              <w:spacing w:val="-20"/>
              <w:sz w:val="16"/>
            </w:rPr>
          </w:pPr>
          <w:r>
            <w:rPr>
              <w:b/>
              <w:spacing w:val="-20"/>
              <w:position w:val="-4"/>
              <w:sz w:val="36"/>
            </w:rPr>
            <w:t>DA</w:t>
          </w:r>
        </w:p>
      </w:tc>
    </w:tr>
  </w:tbl>
  <w:p w:rsidR="00692A01" w:rsidRPr="00E026FF" w:rsidRDefault="00692A01" w:rsidP="00E026FF">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AA" w:rsidRDefault="00C553A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AA" w:rsidRDefault="00C553AA">
    <w:pPr>
      <w:pStyle w:val="Sidefod"/>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AA" w:rsidRDefault="00C553AA">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01" w:rsidRDefault="00C553AA">
    <w:pPr>
      <w:pStyle w:val="Sidefod"/>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sidR="002407FE">
      <w:rPr>
        <w:noProof/>
      </w:rPr>
      <w:t>2</w:t>
    </w:r>
    <w:r>
      <w:fldChar w:fldCharType="end"/>
    </w:r>
    <w:r>
      <w:tab/>
    </w:r>
    <w:r>
      <w:tab/>
    </w:r>
    <w:r>
      <w:rPr>
        <w:rFonts w:ascii="Arial" w:hAnsi="Arial" w:cs="Arial"/>
        <w:b/>
        <w:sz w:val="48"/>
      </w:rPr>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01" w:rsidRDefault="00692A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01" w:rsidRDefault="00C553AA">
      <w:pPr>
        <w:spacing w:before="0" w:after="0"/>
      </w:pPr>
      <w:r>
        <w:separator/>
      </w:r>
    </w:p>
  </w:footnote>
  <w:footnote w:type="continuationSeparator" w:id="0">
    <w:p w:rsidR="00692A01" w:rsidRDefault="00C553AA">
      <w:pPr>
        <w:spacing w:before="0" w:after="0"/>
      </w:pPr>
      <w:r>
        <w:continuationSeparator/>
      </w:r>
    </w:p>
  </w:footnote>
  <w:footnote w:id="1">
    <w:p w:rsidR="00692A01" w:rsidRDefault="00C553AA">
      <w:pPr>
        <w:pStyle w:val="Fodnotetekst"/>
      </w:pPr>
      <w:r>
        <w:rPr>
          <w:rStyle w:val="Fodnotehenvisning"/>
        </w:rPr>
        <w:footnoteRef/>
      </w:r>
      <w:r>
        <w:tab/>
        <w:t>EUT L 95 af 7.4.2017, s. 1.</w:t>
      </w:r>
    </w:p>
  </w:footnote>
  <w:footnote w:id="2">
    <w:p w:rsidR="00692A01" w:rsidRDefault="00C553AA">
      <w:pPr>
        <w:pStyle w:val="Fodnotetekst"/>
      </w:pPr>
      <w:r>
        <w:rPr>
          <w:rStyle w:val="Fodnotehenvisning"/>
        </w:rPr>
        <w:footnoteRef/>
      </w:r>
      <w:r>
        <w:tab/>
        <w:t>Europa-Parlamentets og Rådets forordning (EU) nr. 952/2013 af 9. oktober 2013 om EU-toldkodeksen (EUT L 269 af 10.10.2013,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01" w:rsidRPr="00E026FF" w:rsidRDefault="00E026FF" w:rsidP="00E026FF">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01" w:rsidRPr="00E026FF" w:rsidRDefault="00E026FF" w:rsidP="00E026FF">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AA" w:rsidRDefault="00C553AA">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AA" w:rsidRDefault="00C553AA">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AA" w:rsidRDefault="00C553A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512893C"/>
    <w:lvl w:ilvl="0">
      <w:start w:val="1"/>
      <w:numFmt w:val="decimal"/>
      <w:pStyle w:val="Opstilling-talellerbogst4"/>
      <w:lvlText w:val="%1."/>
      <w:lvlJc w:val="left"/>
      <w:pPr>
        <w:tabs>
          <w:tab w:val="num" w:pos="1209"/>
        </w:tabs>
        <w:ind w:left="1209" w:hanging="360"/>
      </w:pPr>
    </w:lvl>
  </w:abstractNum>
  <w:abstractNum w:abstractNumId="1" w15:restartNumberingAfterBreak="0">
    <w:nsid w:val="FFFFFF7E"/>
    <w:multiLevelType w:val="singleLevel"/>
    <w:tmpl w:val="BA16967E"/>
    <w:lvl w:ilvl="0">
      <w:start w:val="1"/>
      <w:numFmt w:val="decimal"/>
      <w:pStyle w:val="Opstilling-talellerbogst3"/>
      <w:lvlText w:val="%1."/>
      <w:lvlJc w:val="left"/>
      <w:pPr>
        <w:tabs>
          <w:tab w:val="num" w:pos="926"/>
        </w:tabs>
        <w:ind w:left="926" w:hanging="360"/>
      </w:pPr>
    </w:lvl>
  </w:abstractNum>
  <w:abstractNum w:abstractNumId="2" w15:restartNumberingAfterBreak="0">
    <w:nsid w:val="FFFFFF7F"/>
    <w:multiLevelType w:val="singleLevel"/>
    <w:tmpl w:val="667CF872"/>
    <w:lvl w:ilvl="0">
      <w:start w:val="1"/>
      <w:numFmt w:val="decimal"/>
      <w:pStyle w:val="Opstilling-talellerbogst2"/>
      <w:lvlText w:val="%1."/>
      <w:lvlJc w:val="left"/>
      <w:pPr>
        <w:tabs>
          <w:tab w:val="num" w:pos="643"/>
        </w:tabs>
        <w:ind w:left="643" w:hanging="360"/>
      </w:pPr>
    </w:lvl>
  </w:abstractNum>
  <w:abstractNum w:abstractNumId="3" w15:restartNumberingAfterBreak="0">
    <w:nsid w:val="FFFFFF81"/>
    <w:multiLevelType w:val="singleLevel"/>
    <w:tmpl w:val="7A102F3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9AF1A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402E7C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450C6F8"/>
    <w:lvl w:ilvl="0">
      <w:start w:val="1"/>
      <w:numFmt w:val="decimal"/>
      <w:pStyle w:val="Opstilling-talellerbogst"/>
      <w:lvlText w:val="%1."/>
      <w:lvlJc w:val="left"/>
      <w:pPr>
        <w:tabs>
          <w:tab w:val="num" w:pos="360"/>
        </w:tabs>
        <w:ind w:left="360" w:hanging="360"/>
      </w:pPr>
    </w:lvl>
  </w:abstractNum>
  <w:abstractNum w:abstractNumId="7" w15:restartNumberingAfterBreak="0">
    <w:nsid w:val="FFFFFF89"/>
    <w:multiLevelType w:val="singleLevel"/>
    <w:tmpl w:val="E2B60C3A"/>
    <w:lvl w:ilvl="0">
      <w:start w:val="1"/>
      <w:numFmt w:val="bullet"/>
      <w:pStyle w:val="Opstilling-punktteg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false"/>
    <w:docVar w:name="DocuWriteMetaData" w:val="&lt;metadataset docuwriteversion=&quot;4.2.11&quot; technicalblockguid=&quot;5747680090611141118&quot;&gt;_x000d__x000a_  &lt;metadata key=&quot;md_DocumentLanguages&quot;&gt;_x000d__x000a_    &lt;basicdatatypelist&gt;_x000d__x000a_      &lt;language key=&quot;DA&quot; text=&quot;DA&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FØLGESKRIVELSE&quot; /&gt;_x000d__x000a_    &lt;/basicdatatype&gt;_x000d__x000a_  &lt;/metadata&gt;_x000d__x000a_  &lt;metadata key=&quot;md_HeadingText&quot;&gt;_x000d__x000a_    &lt;headingtext text=&quot;FØLGESKRIVELSE&quot;&gt;_x000d__x000a_      &lt;formattedtext&gt;_x000d__x000a_        &lt;xaml text=&quot;FØLGESKRIVELSE&quot;&gt;&amp;lt;FlowDocument xmlns=&quot;http://schemas.microsoft.com/winfx/2006/xaml/presentation&quot;&amp;gt;&amp;lt;Paragraph&amp;gt;FØLGESKRIVELS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ådet for Den Europæiske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7-19&lt;/text&gt;_x000d__x000a_  &lt;/metadata&gt;_x000d__x000a_  &lt;metadata key=&quot;md_Prefix&quot;&gt;_x000d__x000a_    &lt;text&gt;&lt;/text&gt;_x000d__x000a_  &lt;/metadata&gt;_x000d__x000a_  &lt;metadata key=&quot;md_DocumentNumber&quot;&gt;_x000d__x000a_    &lt;text&gt;11380&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LEG 137&lt;/text&gt;_x000d__x000a_      &lt;text&gt;VETER 63&lt;/text&gt;_x000d__x000a_      &lt;text&gt;DELACT 14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direktør, på vegne af generalsekretæren for Europa-Kommissionen&quot; /&gt;_x000d__x000a_    &lt;/basicdatatype&gt;_x000d__x000a_  &lt;/metadata&gt;_x000d__x000a_  &lt;metadata key=&quot;md_Recipient&quot;&gt;_x000d__x000a_    &lt;basicdatatype&gt;_x000d__x000a_      &lt;recipient key=&quot;re_02&quot; text=&quot;Jeppe TRANHOLM-MIKKELSEN, generalsekretær for Rådet for Den Europæiske Union&quot; /&gt;_x000d__x000a_    &lt;/basicdatatype&gt;_x000d__x000a_  &lt;/metadata&gt;_x000d__x000a_  &lt;metadata key=&quot;md_DateOfReceipt&quot;&gt;_x000d__x000a_    &lt;text&gt;2019-07-1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2019) 2910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KOMMISSIONENS DELEGEREDE FORORDNING (EU) &amp;#8230;/&amp;#8230; af 23.4.2019 om supplerende regler til Europa-Parlamentets og Rådets forordning (EU) 2017/625 for så vidt angår det fælles sundhedsimportdokument, der ledsager sendinger af dyr og varer til deres bestemmelsessted&quot;&gt;&amp;lt;FlowDocument FontFamily=&quot;Arial Unicode MS&quot; FontSize=&quot;12&quot; PagePadding=&quot;5,0,5,0&quot; AllowDrop=&quot;False&quot; xmlns=&quot;http://schemas.microsoft.com/winfx/2006/xaml/presentation&quot;&amp;gt;&amp;lt;Paragraph&amp;gt;KOMMISSIONENS DELEGEREDE FORORDNING (EU) &amp;#8230;/&amp;#8230; af 23.4.2019 om supplerende regler til Europa-Parlamentets og Rådets forordning (EU) 2017/625 for så vidt angår det fælles sundhedsimportdokument, der ledsager sendinger af dyr og varer til deres bestemmelsessted&amp;lt;/Paragraph&amp;gt;&amp;lt;/FlowDocument&amp;gt;&lt;/xaml&gt;_x000d__x000a_  &lt;/metadata&gt;_x000d__x000a_  &lt;metadata key=&quot;md_SubjectFootnote&quot; /&gt;_x000d__x000a_  &lt;metadata key=&quot;md_DG&quot;&gt;_x000d__x000a_    &lt;text&gt;LIFE.2.B&lt;/text&gt;_x000d__x000a_  &lt;/metadata&gt;_x000d__x000a_  &lt;metadata key=&quot;md_Initials&quot;&gt;_x000d__x000a_    &lt;text&gt;mta&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DA&lt;/text&gt;_x000d__x000a_  &lt;/metadata&gt;_x000d__x000a_  &lt;metadata key=&quot;md_SourceDocType&quot;&gt;_x000d__x000a_    &lt;text&gt;KOMMISSIONENS DELEGEREDE FORORDNING (EU) &amp;#8230;/&amp;#8230; _x000d__x000a_af 23.4.2019&lt;/text&gt;_x000d__x000a_  &lt;/metadata&gt;_x000d__x000a_  &lt;metadata key=&quot;md_SourceDocTitle&quot;&gt;_x000d__x000a_    &lt;text&gt;om supplerende regler til Europa-Parlamentets og Rådets forordning (EU) 2017/625 for så vidt angår det fælles sundhedsimportdokument, der ledsager sendinger af dyr og varer til deres bestemmelsessted&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QCDateTime" w:val="2019-03-15 15:34: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VERPAGE_EXISTS" w:val="True"/>
    <w:docVar w:name="LW_COVERPAGE_GUID" w:val="00CAAFE7-4099-4A3D-B6C0-D8E8367C3EDA"/>
    <w:docVar w:name="LW_COVERPAGE_TYPE" w:val="1"/>
    <w:docVar w:name="LW_CROSSREFERENCE" w:val="&lt;UNUSED&gt;"/>
    <w:docVar w:name="LW_DATE.ADOPT.CP" w:val="af 23.4.2019"/>
    <w:docVar w:name="LW_DATE.ADOPT.CP_DATEFORMAT" w:val="af %DATE%"/>
    <w:docVar w:name="LW_DATE.ADOPT.CP_ISODATE" w:val="2019-04-23"/>
    <w:docVar w:name="LW_DocType" w:val="COM"/>
    <w:docVar w:name="LW_EMISSION" w:val="23.4.2019"/>
    <w:docVar w:name="LW_EMISSION_ISODATE" w:val="2019-04-23"/>
    <w:docVar w:name="LW_EMISSION_LOCATION" w:val="BRX"/>
    <w:docVar w:name="LW_EMISSION_PREFIX" w:val="Bruxelles, den "/>
    <w:docVar w:name="LW_EMISSION_SUFFIX" w:val=" "/>
    <w:docVar w:name="LW_ID_DOCMODEL" w:val="SJ-003"/>
    <w:docVar w:name="LW_ID_DOCSIGNATURE" w:val="SJ-003"/>
    <w:docVar w:name="LW_ID_DOCSTRUCTURE" w:val="COM/AA"/>
    <w:docVar w:name="LW_ID_DOCTYPE" w:val="SJ-003"/>
    <w:docVar w:name="LW_ID_EXP.MOTIFS.NEW" w:val="EM_AA_"/>
    <w:docVar w:name="LW_INTERETEEE.CP" w:val="(EØS-relevant tekst)"/>
    <w:docVar w:name="LW_LANGUE" w:val="DA"/>
    <w:docVar w:name="LW_LANGUESFAISANTFOI.CP" w:val="&lt;UNUSED&gt;"/>
    <w:docVar w:name="LW_LEVEL_OF_SENSITIVITY" w:val="Standard treatment"/>
    <w:docVar w:name="LW_NOM.INST" w:val="EUROPA-KOMMISSIONEN"/>
    <w:docVar w:name="LW_NOM.INST_JOINTDOC" w:val="&lt;EMPTY&gt;"/>
    <w:docVar w:name="LW_PART_NBR" w:val="1"/>
    <w:docVar w:name="LW_PART_NBR_TOTAL" w:val="1"/>
    <w:docVar w:name="LW_REF.INST.NEW" w:val="C"/>
    <w:docVar w:name="LW_REF.INST.NEW_ADOPTED" w:val="final"/>
    <w:docVar w:name="LW_REF.INST.NEW_TEXT" w:val="(2019) 29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supplerende regler til Europa-Parlamentets og Rådets forordning (EU) 2017/625 for så vidt angår det fælles sundhedsimportdokument, der ledsager sendinger af dyr og varer til deres bestemmelsessted"/>
    <w:docVar w:name="LW_TYPE.DOC.CP" w:val="KOMMISSIONENS DELEGEREDE FORORDNING (EU) \u8230?/\u8230?"/>
  </w:docVars>
  <w:rsids>
    <w:rsidRoot w:val="00692A01"/>
    <w:rsid w:val="00170BF6"/>
    <w:rsid w:val="001B3556"/>
    <w:rsid w:val="002407FE"/>
    <w:rsid w:val="00692A01"/>
    <w:rsid w:val="00C553AA"/>
    <w:rsid w:val="00E026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BDAB0C61-0498-4A6B-B0A2-A51F20FB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Overskrift1">
    <w:name w:val="heading 1"/>
    <w:basedOn w:val="Normal"/>
    <w:next w:val="Text1"/>
    <w:link w:val="Overskrift1Tegn"/>
    <w:uiPriority w:val="9"/>
    <w:qFormat/>
    <w:pPr>
      <w:keepNext/>
      <w:numPr>
        <w:numId w:val="30"/>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pPr>
      <w:keepNext/>
      <w:numPr>
        <w:ilvl w:val="1"/>
        <w:numId w:val="30"/>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pPr>
      <w:keepNext/>
      <w:numPr>
        <w:ilvl w:val="2"/>
        <w:numId w:val="30"/>
      </w:numPr>
      <w:outlineLvl w:val="2"/>
    </w:pPr>
    <w:rPr>
      <w:rFonts w:eastAsiaTheme="majorEastAsia"/>
      <w:bCs/>
      <w:i/>
    </w:rPr>
  </w:style>
  <w:style w:type="paragraph" w:styleId="Overskrift4">
    <w:name w:val="heading 4"/>
    <w:basedOn w:val="Normal"/>
    <w:next w:val="Text1"/>
    <w:link w:val="Overskrift4Tegn"/>
    <w:uiPriority w:val="9"/>
    <w:semiHidden/>
    <w:unhideWhenUsed/>
    <w:qFormat/>
    <w:pPr>
      <w:keepNext/>
      <w:numPr>
        <w:ilvl w:val="3"/>
        <w:numId w:val="30"/>
      </w:numPr>
      <w:outlineLvl w:val="3"/>
    </w:pPr>
    <w:rPr>
      <w:rFonts w:eastAsiaTheme="majorEastAsia"/>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Billedtekst">
    <w:name w:val="caption"/>
    <w:basedOn w:val="Normal"/>
    <w:next w:val="Normal"/>
    <w:uiPriority w:val="35"/>
    <w:semiHidden/>
    <w:unhideWhenUsed/>
    <w:qFormat/>
    <w:pPr>
      <w:spacing w:before="0" w:after="200"/>
    </w:pPr>
    <w:rPr>
      <w:b/>
      <w:bCs/>
      <w:color w:val="4F81BD" w:themeColor="accent1"/>
      <w:sz w:val="18"/>
      <w:szCs w:val="18"/>
    </w:rPr>
  </w:style>
  <w:style w:type="paragraph" w:styleId="Listeoverfigurer">
    <w:name w:val="table of figures"/>
    <w:basedOn w:val="Normal"/>
    <w:next w:val="Normal"/>
    <w:uiPriority w:val="99"/>
    <w:semiHidden/>
    <w:unhideWhenUsed/>
    <w:pPr>
      <w:spacing w:after="0"/>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unhideWhenUsed/>
    <w:rPr>
      <w:sz w:val="20"/>
      <w:szCs w:val="20"/>
    </w:rPr>
  </w:style>
  <w:style w:type="character" w:customStyle="1" w:styleId="KommentartekstTegn">
    <w:name w:val="Kommentartekst Tegn"/>
    <w:basedOn w:val="Standardskrifttypeiafsnit"/>
    <w:link w:val="Kommentartekst"/>
    <w:uiPriority w:val="99"/>
    <w:rPr>
      <w:rFonts w:ascii="Times New Roman" w:hAnsi="Times New Roman" w:cs="Times New Roman"/>
      <w:sz w:val="20"/>
      <w:szCs w:val="20"/>
      <w:lang w:val="da-DK"/>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rFonts w:ascii="Times New Roman" w:hAnsi="Times New Roman" w:cs="Times New Roman"/>
      <w:b/>
      <w:bCs/>
      <w:sz w:val="20"/>
      <w:szCs w:val="20"/>
      <w:lang w:val="da-DK"/>
    </w:rPr>
  </w:style>
  <w:style w:type="character" w:styleId="Hyperlink">
    <w:name w:val="Hyperlink"/>
    <w:basedOn w:val="Standardskrifttypeiafsnit"/>
    <w:uiPriority w:val="99"/>
    <w:unhideWhenUsed/>
    <w:rPr>
      <w:color w:val="0000FF" w:themeColor="hyperlink"/>
      <w:u w:val="single"/>
    </w:rPr>
  </w:style>
  <w:style w:type="paragraph" w:styleId="Markeringsbobletekst">
    <w:name w:val="Balloon Text"/>
    <w:basedOn w:val="Normal"/>
    <w:link w:val="MarkeringsbobletekstTegn"/>
    <w:uiPriority w:val="99"/>
    <w:semiHidden/>
    <w:unhideWhenUsed/>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lang w:val="da-DK"/>
    </w:rPr>
  </w:style>
  <w:style w:type="paragraph" w:styleId="Korrektur">
    <w:name w:val="Revision"/>
    <w:hidden/>
    <w:uiPriority w:val="99"/>
    <w:semiHidden/>
    <w:pPr>
      <w:spacing w:after="0" w:line="240" w:lineRule="auto"/>
    </w:pPr>
    <w:rPr>
      <w:rFonts w:ascii="Times New Roman" w:hAnsi="Times New Roman" w:cs="Times New Roman"/>
      <w:sz w:val="24"/>
    </w:rPr>
  </w:style>
  <w:style w:type="paragraph" w:styleId="Sidehoved">
    <w:name w:val="header"/>
    <w:basedOn w:val="Normal"/>
    <w:link w:val="SidehovedTegn"/>
    <w:uiPriority w:val="99"/>
    <w:unhideWhenUsed/>
    <w:pPr>
      <w:tabs>
        <w:tab w:val="center" w:pos="4535"/>
        <w:tab w:val="right" w:pos="9071"/>
      </w:tabs>
      <w:spacing w:before="0"/>
    </w:pPr>
  </w:style>
  <w:style w:type="character" w:customStyle="1" w:styleId="SidehovedTegn">
    <w:name w:val="Sidehoved Tegn"/>
    <w:basedOn w:val="Standardskrifttypeiafsnit"/>
    <w:link w:val="Sidehoved"/>
    <w:uiPriority w:val="99"/>
    <w:rPr>
      <w:rFonts w:ascii="Times New Roman" w:hAnsi="Times New Roman" w:cs="Times New Roman"/>
      <w:sz w:val="24"/>
      <w:lang w:val="da-DK"/>
    </w:rPr>
  </w:style>
  <w:style w:type="paragraph" w:styleId="Sidefod">
    <w:name w:val="footer"/>
    <w:basedOn w:val="Normal"/>
    <w:link w:val="SidefodTegn"/>
    <w:uiPriority w:val="99"/>
    <w:unhideWhenUsed/>
    <w:pPr>
      <w:tabs>
        <w:tab w:val="center" w:pos="4535"/>
        <w:tab w:val="right" w:pos="9071"/>
        <w:tab w:val="right" w:pos="9921"/>
      </w:tabs>
      <w:spacing w:before="360" w:after="0"/>
      <w:ind w:left="-850" w:right="-850"/>
      <w:jc w:val="left"/>
    </w:pPr>
  </w:style>
  <w:style w:type="character" w:customStyle="1" w:styleId="SidefodTegn">
    <w:name w:val="Sidefod Tegn"/>
    <w:basedOn w:val="Standardskrifttypeiafsnit"/>
    <w:link w:val="Sidefod"/>
    <w:uiPriority w:val="99"/>
    <w:rPr>
      <w:rFonts w:ascii="Times New Roman" w:hAnsi="Times New Roman" w:cs="Times New Roman"/>
      <w:sz w:val="24"/>
      <w:lang w:val="da-DK"/>
    </w:rPr>
  </w:style>
  <w:style w:type="paragraph" w:styleId="Fodnotetekst">
    <w:name w:val="footnote text"/>
    <w:basedOn w:val="Normal"/>
    <w:link w:val="FodnotetekstTegn"/>
    <w:uiPriority w:val="99"/>
    <w:semiHidden/>
    <w:unhideWhenUsed/>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Pr>
      <w:rFonts w:ascii="Times New Roman" w:eastAsiaTheme="majorEastAsia" w:hAnsi="Times New Roman" w:cs="Times New Roman"/>
      <w:b/>
      <w:bCs/>
      <w:smallCaps/>
      <w:sz w:val="24"/>
      <w:szCs w:val="28"/>
      <w:shd w:val="clear" w:color="auto" w:fill="auto"/>
      <w:lang w:val="en-GB"/>
    </w:rPr>
  </w:style>
  <w:style w:type="character" w:customStyle="1" w:styleId="Overskrift2Tegn">
    <w:name w:val="Overskrift 2 Tegn"/>
    <w:basedOn w:val="Standardskrifttypeiafsnit"/>
    <w:link w:val="Overskrift2"/>
    <w:uiPriority w:val="9"/>
    <w:semiHidden/>
    <w:rPr>
      <w:rFonts w:ascii="Times New Roman" w:eastAsiaTheme="majorEastAsia" w:hAnsi="Times New Roman" w:cs="Times New Roman"/>
      <w:b/>
      <w:bCs/>
      <w:sz w:val="24"/>
      <w:szCs w:val="26"/>
      <w:shd w:val="clear" w:color="auto" w:fill="auto"/>
      <w:lang w:val="en-GB"/>
    </w:rPr>
  </w:style>
  <w:style w:type="character" w:customStyle="1" w:styleId="Overskrift3Tegn">
    <w:name w:val="Overskrift 3 Tegn"/>
    <w:basedOn w:val="Standardskrifttypeiafsnit"/>
    <w:link w:val="Overskrift3"/>
    <w:uiPriority w:val="9"/>
    <w:semiHidden/>
    <w:rPr>
      <w:rFonts w:ascii="Times New Roman" w:eastAsiaTheme="majorEastAsia" w:hAnsi="Times New Roman" w:cs="Times New Roman"/>
      <w:bCs/>
      <w:i/>
      <w:sz w:val="24"/>
      <w:shd w:val="clear" w:color="auto" w:fill="auto"/>
      <w:lang w:val="en-GB"/>
    </w:rPr>
  </w:style>
  <w:style w:type="character" w:customStyle="1" w:styleId="Overskrift4Tegn">
    <w:name w:val="Overskrift 4 Tegn"/>
    <w:basedOn w:val="Standardskrifttypeiafsnit"/>
    <w:link w:val="Overskrift4"/>
    <w:uiPriority w:val="9"/>
    <w:semiHidden/>
    <w:rPr>
      <w:rFonts w:ascii="Times New Roman" w:eastAsiaTheme="majorEastAsia" w:hAnsi="Times New Roman" w:cs="Times New Roman"/>
      <w:bCs/>
      <w:iCs/>
      <w:sz w:val="24"/>
      <w:shd w:val="clear" w:color="auto" w:fill="auto"/>
      <w:lang w:val="en-GB"/>
    </w:rPr>
  </w:style>
  <w:style w:type="paragraph" w:styleId="Overskrift">
    <w:name w:val="TOC Heading"/>
    <w:basedOn w:val="Normal"/>
    <w:next w:val="Normal"/>
    <w:uiPriority w:val="39"/>
    <w:semiHidden/>
    <w:unhideWhenUsed/>
    <w:qFormat/>
    <w:pPr>
      <w:spacing w:after="240"/>
      <w:jc w:val="center"/>
    </w:pPr>
    <w:rPr>
      <w:b/>
      <w:sz w:val="28"/>
    </w:rPr>
  </w:style>
  <w:style w:type="paragraph" w:styleId="Indholdsfortegnelse1">
    <w:name w:val="toc 1"/>
    <w:basedOn w:val="Normal"/>
    <w:next w:val="Normal"/>
    <w:uiPriority w:val="39"/>
    <w:semiHidden/>
    <w:unhideWhenUsed/>
    <w:pPr>
      <w:tabs>
        <w:tab w:val="right" w:leader="dot" w:pos="9071"/>
      </w:tabs>
      <w:spacing w:before="60"/>
      <w:ind w:left="850" w:hanging="850"/>
      <w:jc w:val="left"/>
    </w:pPr>
  </w:style>
  <w:style w:type="paragraph" w:styleId="Indholdsfortegnelse2">
    <w:name w:val="toc 2"/>
    <w:basedOn w:val="Normal"/>
    <w:next w:val="Normal"/>
    <w:uiPriority w:val="39"/>
    <w:semiHidden/>
    <w:unhideWhenUsed/>
    <w:pPr>
      <w:tabs>
        <w:tab w:val="right" w:leader="dot" w:pos="9071"/>
      </w:tabs>
      <w:spacing w:before="60"/>
      <w:ind w:left="850" w:hanging="850"/>
      <w:jc w:val="left"/>
    </w:pPr>
  </w:style>
  <w:style w:type="paragraph" w:styleId="Indholdsfortegnelse3">
    <w:name w:val="toc 3"/>
    <w:basedOn w:val="Normal"/>
    <w:next w:val="Normal"/>
    <w:uiPriority w:val="39"/>
    <w:semiHidden/>
    <w:unhideWhenUsed/>
    <w:pPr>
      <w:tabs>
        <w:tab w:val="right" w:leader="dot" w:pos="9071"/>
      </w:tabs>
      <w:spacing w:before="60"/>
      <w:ind w:left="850" w:hanging="850"/>
      <w:jc w:val="left"/>
    </w:pPr>
  </w:style>
  <w:style w:type="paragraph" w:styleId="Indholdsfortegnelse4">
    <w:name w:val="toc 4"/>
    <w:basedOn w:val="Normal"/>
    <w:next w:val="Normal"/>
    <w:uiPriority w:val="39"/>
    <w:semiHidden/>
    <w:unhideWhenUsed/>
    <w:pPr>
      <w:tabs>
        <w:tab w:val="right" w:leader="dot" w:pos="9071"/>
      </w:tabs>
      <w:spacing w:before="60"/>
      <w:ind w:left="850" w:hanging="850"/>
      <w:jc w:val="left"/>
    </w:pPr>
  </w:style>
  <w:style w:type="paragraph" w:styleId="Indholdsfortegnelse5">
    <w:name w:val="toc 5"/>
    <w:basedOn w:val="Normal"/>
    <w:next w:val="Normal"/>
    <w:uiPriority w:val="39"/>
    <w:semiHidden/>
    <w:unhideWhenUsed/>
    <w:pPr>
      <w:tabs>
        <w:tab w:val="right" w:leader="dot" w:pos="9071"/>
      </w:tabs>
      <w:spacing w:before="300"/>
      <w:jc w:val="left"/>
    </w:pPr>
  </w:style>
  <w:style w:type="paragraph" w:styleId="Indholdsfortegnelse6">
    <w:name w:val="toc 6"/>
    <w:basedOn w:val="Normal"/>
    <w:next w:val="Normal"/>
    <w:uiPriority w:val="39"/>
    <w:semiHidden/>
    <w:unhideWhenUsed/>
    <w:pPr>
      <w:tabs>
        <w:tab w:val="right" w:leader="dot" w:pos="9071"/>
      </w:tabs>
      <w:spacing w:before="240"/>
      <w:jc w:val="left"/>
    </w:pPr>
  </w:style>
  <w:style w:type="paragraph" w:styleId="Indholdsfortegnelse7">
    <w:name w:val="toc 7"/>
    <w:basedOn w:val="Normal"/>
    <w:next w:val="Normal"/>
    <w:uiPriority w:val="39"/>
    <w:semiHidden/>
    <w:unhideWhenUsed/>
    <w:pPr>
      <w:tabs>
        <w:tab w:val="right" w:leader="dot" w:pos="9071"/>
      </w:tabs>
      <w:spacing w:before="180"/>
      <w:jc w:val="left"/>
    </w:pPr>
  </w:style>
  <w:style w:type="paragraph" w:styleId="Indholdsfortegnelse8">
    <w:name w:val="toc 8"/>
    <w:basedOn w:val="Normal"/>
    <w:next w:val="Normal"/>
    <w:uiPriority w:val="39"/>
    <w:semiHidden/>
    <w:unhideWhenUsed/>
    <w:pPr>
      <w:tabs>
        <w:tab w:val="right" w:leader="dot" w:pos="9071"/>
      </w:tabs>
      <w:jc w:val="left"/>
    </w:pPr>
  </w:style>
  <w:style w:type="paragraph" w:styleId="Indholdsfortegnelse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dnotehenvisning">
    <w:name w:val="footnote reference"/>
    <w:basedOn w:val="Standardskrifttypeiafsni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Overskrift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Standardskrifttypeiafsnit"/>
    <w:rsid w:val="00C553AA"/>
    <w:rPr>
      <w:color w:val="0000FF"/>
      <w:bdr w:val="none" w:sz="0" w:space="0" w:color="auto"/>
      <w:shd w:val="clear" w:color="auto" w:fill="auto"/>
    </w:rPr>
  </w:style>
  <w:style w:type="character" w:customStyle="1" w:styleId="Marker1">
    <w:name w:val="Marker1"/>
    <w:basedOn w:val="Standardskrifttypeiafsnit"/>
    <w:rPr>
      <w:color w:val="008000"/>
      <w:shd w:val="clear" w:color="auto" w:fill="auto"/>
    </w:rPr>
  </w:style>
  <w:style w:type="character" w:customStyle="1" w:styleId="Marker2">
    <w:name w:val="Marker2"/>
    <w:basedOn w:val="Standardskrifttypeiafsni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Standardskrifttypeiafsnit"/>
    <w:rPr>
      <w:b/>
      <w:u w:val="single"/>
      <w:shd w:val="clear" w:color="auto" w:fill="auto"/>
    </w:rPr>
  </w:style>
  <w:style w:type="character" w:customStyle="1" w:styleId="Deleted">
    <w:name w:val="Deleted"/>
    <w:basedOn w:val="Standardskrifttypeiafsni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C553AA"/>
    <w:pPr>
      <w:spacing w:before="0" w:after="240"/>
      <w:jc w:val="center"/>
    </w:pPr>
  </w:style>
  <w:style w:type="character" w:customStyle="1" w:styleId="TechnicalBlockChar">
    <w:name w:val="Technical Block Char"/>
    <w:basedOn w:val="Standardskrifttypeiafsnit"/>
    <w:link w:val="TechnicalBlock"/>
    <w:rsid w:val="00C553AA"/>
    <w:rPr>
      <w:rFonts w:ascii="Times New Roman" w:hAnsi="Times New Roman" w:cs="Times New Roman"/>
      <w:sz w:val="24"/>
      <w:lang w:val="da-DK"/>
    </w:rPr>
  </w:style>
  <w:style w:type="paragraph" w:customStyle="1" w:styleId="EntText">
    <w:name w:val="EntText"/>
    <w:basedOn w:val="Normal"/>
    <w:rsid w:val="00C553AA"/>
    <w:pPr>
      <w:spacing w:line="360" w:lineRule="auto"/>
      <w:jc w:val="left"/>
    </w:pPr>
  </w:style>
  <w:style w:type="paragraph" w:customStyle="1" w:styleId="Lignefinal">
    <w:name w:val="Ligne final"/>
    <w:basedOn w:val="Normal"/>
    <w:next w:val="Normal"/>
    <w:rsid w:val="00C553AA"/>
    <w:pPr>
      <w:pBdr>
        <w:bottom w:val="single" w:sz="4" w:space="0" w:color="000000"/>
      </w:pBdr>
      <w:spacing w:before="360" w:line="360" w:lineRule="auto"/>
      <w:ind w:left="3400" w:right="3400"/>
      <w:jc w:val="center"/>
    </w:pPr>
    <w:rPr>
      <w:b/>
    </w:rPr>
  </w:style>
  <w:style w:type="paragraph" w:customStyle="1" w:styleId="pj">
    <w:name w:val="p.j."/>
    <w:basedOn w:val="TechnicalBlock"/>
    <w:link w:val="pjChar"/>
    <w:rsid w:val="00C553AA"/>
    <w:pPr>
      <w:spacing w:before="1200" w:after="120"/>
      <w:ind w:left="1440" w:hanging="1440"/>
      <w:jc w:val="left"/>
    </w:pPr>
  </w:style>
  <w:style w:type="character" w:customStyle="1" w:styleId="pjChar">
    <w:name w:val="p.j. Char"/>
    <w:basedOn w:val="TechnicalBlockChar"/>
    <w:link w:val="pj"/>
    <w:rsid w:val="00C553AA"/>
    <w:rPr>
      <w:rFonts w:ascii="Times New Roman" w:hAnsi="Times New Roman" w:cs="Times New Roman"/>
      <w:sz w:val="24"/>
      <w:lang w:val="da-DK"/>
    </w:rPr>
  </w:style>
  <w:style w:type="paragraph" w:customStyle="1" w:styleId="nbbordered">
    <w:name w:val="nb bordered"/>
    <w:basedOn w:val="TechnicalBlock"/>
    <w:link w:val="nbborderedChar"/>
    <w:rsid w:val="00C553AA"/>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C553AA"/>
    <w:rPr>
      <w:rFonts w:ascii="Times New Roman" w:hAnsi="Times New Roman" w:cs="Times New Roman"/>
      <w:b/>
      <w:sz w:val="24"/>
      <w:lang w:val="da-DK"/>
    </w:rPr>
  </w:style>
  <w:style w:type="paragraph" w:customStyle="1" w:styleId="HeaderCouncil">
    <w:name w:val="Header Council"/>
    <w:basedOn w:val="Normal"/>
    <w:link w:val="HeaderCouncilChar"/>
    <w:rsid w:val="00C553AA"/>
    <w:pPr>
      <w:spacing w:before="0" w:after="0"/>
    </w:pPr>
    <w:rPr>
      <w:noProof/>
      <w:sz w:val="2"/>
    </w:rPr>
  </w:style>
  <w:style w:type="character" w:customStyle="1" w:styleId="HeaderCouncilChar">
    <w:name w:val="Header Council Char"/>
    <w:basedOn w:val="Standardskrifttypeiafsnit"/>
    <w:link w:val="HeaderCouncil"/>
    <w:rsid w:val="00C553AA"/>
    <w:rPr>
      <w:rFonts w:ascii="Times New Roman" w:hAnsi="Times New Roman" w:cs="Times New Roman"/>
      <w:noProof/>
      <w:sz w:val="2"/>
      <w:lang w:val="da-DK"/>
    </w:rPr>
  </w:style>
  <w:style w:type="paragraph" w:customStyle="1" w:styleId="HeaderCouncilLarge">
    <w:name w:val="Header Council Large"/>
    <w:basedOn w:val="Normal"/>
    <w:link w:val="HeaderCouncilLargeChar"/>
    <w:rsid w:val="00C553AA"/>
    <w:pPr>
      <w:spacing w:before="0" w:after="440"/>
    </w:pPr>
    <w:rPr>
      <w:noProof/>
      <w:sz w:val="2"/>
    </w:rPr>
  </w:style>
  <w:style w:type="character" w:customStyle="1" w:styleId="HeaderCouncilLargeChar">
    <w:name w:val="Header Council Large Char"/>
    <w:basedOn w:val="Standardskrifttypeiafsnit"/>
    <w:link w:val="HeaderCouncilLarge"/>
    <w:rsid w:val="00C553AA"/>
    <w:rPr>
      <w:rFonts w:ascii="Times New Roman" w:hAnsi="Times New Roman" w:cs="Times New Roman"/>
      <w:noProof/>
      <w:sz w:val="2"/>
      <w:lang w:val="da-DK"/>
    </w:rPr>
  </w:style>
  <w:style w:type="paragraph" w:customStyle="1" w:styleId="FooterCouncil">
    <w:name w:val="Footer Council"/>
    <w:basedOn w:val="Normal"/>
    <w:link w:val="FooterCouncilChar"/>
    <w:rsid w:val="00C553AA"/>
    <w:pPr>
      <w:spacing w:before="0" w:after="0"/>
    </w:pPr>
    <w:rPr>
      <w:noProof/>
      <w:sz w:val="2"/>
    </w:rPr>
  </w:style>
  <w:style w:type="character" w:customStyle="1" w:styleId="FooterCouncilChar">
    <w:name w:val="Footer Council Char"/>
    <w:basedOn w:val="Standardskrifttypeiafsnit"/>
    <w:link w:val="FooterCouncil"/>
    <w:rsid w:val="00C553AA"/>
    <w:rPr>
      <w:rFonts w:ascii="Times New Roman" w:hAnsi="Times New Roman" w:cs="Times New Roman"/>
      <w:noProof/>
      <w:sz w:val="2"/>
      <w:lang w:val="da-DK"/>
    </w:rPr>
  </w:style>
  <w:style w:type="paragraph" w:customStyle="1" w:styleId="FooterText">
    <w:name w:val="Footer Text"/>
    <w:basedOn w:val="Normal"/>
    <w:rsid w:val="00C553AA"/>
    <w:pPr>
      <w:spacing w:before="0" w:after="0"/>
      <w:jc w:val="left"/>
    </w:pPr>
    <w:rPr>
      <w:rFonts w:eastAsia="Times New Roman"/>
      <w:szCs w:val="24"/>
      <w:lang w:val="en-GB"/>
    </w:rPr>
  </w:style>
  <w:style w:type="character" w:styleId="Pladsholdertekst">
    <w:name w:val="Placeholder Text"/>
    <w:basedOn w:val="Standardskrifttypeiafsnit"/>
    <w:uiPriority w:val="99"/>
    <w:semiHidden/>
    <w:rsid w:val="00C553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05220">
      <w:bodyDiv w:val="1"/>
      <w:marLeft w:val="0"/>
      <w:marRight w:val="0"/>
      <w:marTop w:val="0"/>
      <w:marBottom w:val="0"/>
      <w:divBdr>
        <w:top w:val="none" w:sz="0" w:space="0" w:color="auto"/>
        <w:left w:val="none" w:sz="0" w:space="0" w:color="auto"/>
        <w:bottom w:val="none" w:sz="0" w:space="0" w:color="auto"/>
        <w:right w:val="none" w:sz="0" w:space="0" w:color="auto"/>
      </w:divBdr>
    </w:div>
    <w:div w:id="1695420602">
      <w:bodyDiv w:val="1"/>
      <w:marLeft w:val="0"/>
      <w:marRight w:val="0"/>
      <w:marTop w:val="0"/>
      <w:marBottom w:val="0"/>
      <w:divBdr>
        <w:top w:val="none" w:sz="0" w:space="0" w:color="auto"/>
        <w:left w:val="none" w:sz="0" w:space="0" w:color="auto"/>
        <w:bottom w:val="none" w:sz="0" w:space="0" w:color="auto"/>
        <w:right w:val="none" w:sz="0" w:space="0" w:color="auto"/>
      </w:divBdr>
    </w:div>
    <w:div w:id="16983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71E1-09F9-4CE1-8CE2-EAA057E7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2063</Words>
  <Characters>12590</Characters>
  <Application>Microsoft Office Word</Application>
  <DocSecurity>4</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SANTE/7140/2018-EN Rev, 2</vt:lpstr>
      <vt:lpstr>SANTE/7140/2018-EN Rev, 1</vt:lpstr>
    </vt:vector>
  </TitlesOfParts>
  <Manager/>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SANTE/7140/2018-EN Rev, 2</dc:title>
  <dc:subject>commission delegated regulation</dc:subject>
  <dc:creator>ANGIOI Marie-Thérèse</dc:creator>
  <cp:keywords>7140</cp:keywords>
  <dc:description>Outlook 14.3.2019</dc:description>
  <cp:lastModifiedBy>Helle Schønfeldt (FVST)</cp:lastModifiedBy>
  <cp:revision>2</cp:revision>
  <cp:lastPrinted>2019-08-05T07:21:00Z</cp:lastPrinted>
  <dcterms:created xsi:type="dcterms:W3CDTF">2019-08-14T09:36:00Z</dcterms:created>
  <dcterms:modified xsi:type="dcterms:W3CDTF">2019-08-14T09:36:00Z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6.0.100.0</vt:lpwstr>
  </property>
  <property fmtid="{D5CDD505-2E9C-101B-9397-08002B2CF9AE}" pid="4" name="Last edited using">
    <vt:lpwstr>DocuWrite 4.2.11, Build 20190404</vt:lpwstr>
  </property>
  <property fmtid="{D5CDD505-2E9C-101B-9397-08002B2CF9AE}" pid="5" name="Created using">
    <vt:lpwstr>DocuWrite 4.2.11, Build 20190404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Yellow (DQC version 03)</vt:lpwstr>
  </property>
</Properties>
</file>