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F5" w:rsidRDefault="00631FF5" w:rsidP="00AB7299">
      <w:bookmarkStart w:id="0" w:name="_GoBack"/>
      <w:bookmarkEnd w:id="0"/>
      <w:r>
        <w:t>Skatteministeriet</w:t>
      </w:r>
      <w:r w:rsidR="00E9447F">
        <w:t xml:space="preserve"> </w:t>
      </w:r>
      <w:r w:rsidR="001A51BE">
        <w:fldChar w:fldCharType="begin"/>
      </w:r>
      <w:r>
        <w:instrText>ADVANCE \r255</w:instrText>
      </w:r>
      <w:r w:rsidR="001A51BE">
        <w:fldChar w:fldCharType="end"/>
      </w:r>
      <w:r>
        <w:t xml:space="preserve">J. nr. </w:t>
      </w:r>
      <w:bookmarkStart w:id="1" w:name="sagsnr"/>
      <w:bookmarkEnd w:id="1"/>
      <w:r w:rsidR="00146DA1">
        <w:t>13-</w:t>
      </w:r>
      <w:proofErr w:type="gramStart"/>
      <w:r w:rsidR="00146DA1">
        <w:t>5144854</w:t>
      </w:r>
      <w:proofErr w:type="gramEnd"/>
    </w:p>
    <w:p w:rsidR="00631FF5" w:rsidRPr="00FC2AAC" w:rsidRDefault="0070414B">
      <w:pPr>
        <w:widowControl/>
        <w:spacing w:line="288" w:lineRule="auto"/>
        <w:jc w:val="both"/>
      </w:pPr>
      <w:bookmarkStart w:id="2" w:name="dagsdato_dk"/>
      <w:bookmarkEnd w:id="2"/>
      <w:r>
        <w:t>U</w:t>
      </w:r>
      <w:r w:rsidR="00664696" w:rsidRPr="00FC2AAC">
        <w:t>dkast</w:t>
      </w:r>
      <w:r w:rsidR="00F5272A">
        <w:t xml:space="preserve"> af </w:t>
      </w:r>
      <w:r w:rsidR="00241EB7">
        <w:t>4</w:t>
      </w:r>
      <w:r w:rsidR="00736F45">
        <w:t>. november</w:t>
      </w:r>
      <w:r>
        <w:t xml:space="preserve"> 2013</w:t>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r>
        <w:rPr>
          <w:sz w:val="24"/>
        </w:rPr>
        <w:t xml:space="preserve">Bekendtgørelse nr. </w:t>
      </w:r>
      <w:r w:rsidR="001A51BE">
        <w:rPr>
          <w:sz w:val="24"/>
        </w:rPr>
        <w:fldChar w:fldCharType="begin"/>
      </w:r>
      <w:r>
        <w:rPr>
          <w:sz w:val="24"/>
        </w:rPr>
        <w:instrText xml:space="preserve"> macrobutton nomacro  [Klik og indtast nummer] </w:instrText>
      </w:r>
      <w:r w:rsidR="001A51BE">
        <w:rPr>
          <w:sz w:val="24"/>
        </w:rPr>
        <w:fldChar w:fldCharType="end"/>
      </w:r>
      <w:r>
        <w:rPr>
          <w:sz w:val="24"/>
        </w:rPr>
        <w:t xml:space="preserve"> af </w:t>
      </w:r>
      <w:r w:rsidR="001A51BE">
        <w:rPr>
          <w:sz w:val="24"/>
        </w:rPr>
        <w:fldChar w:fldCharType="begin"/>
      </w:r>
      <w:r>
        <w:rPr>
          <w:sz w:val="24"/>
        </w:rPr>
        <w:instrText xml:space="preserve"> macrobutton nomacro  [Klik og indtast dato] </w:instrText>
      </w:r>
      <w:r w:rsidR="001A51BE">
        <w:rPr>
          <w:sz w:val="24"/>
        </w:rPr>
        <w:fldChar w:fldCharType="end"/>
      </w:r>
      <w:r>
        <w:rPr>
          <w:sz w:val="24"/>
        </w:rPr>
        <w:t xml:space="preserve"> </w:t>
      </w:r>
      <w:r w:rsidR="001A51BE">
        <w:rPr>
          <w:sz w:val="24"/>
        </w:rPr>
        <w:fldChar w:fldCharType="begin"/>
      </w:r>
      <w:r>
        <w:rPr>
          <w:sz w:val="24"/>
        </w:rPr>
        <w:instrText>DATE  \@ "yyyy"</w:instrText>
      </w:r>
      <w:r w:rsidR="001A51BE">
        <w:rPr>
          <w:sz w:val="24"/>
        </w:rPr>
        <w:fldChar w:fldCharType="separate"/>
      </w:r>
      <w:r w:rsidR="00DF4741">
        <w:rPr>
          <w:noProof/>
          <w:sz w:val="24"/>
        </w:rPr>
        <w:t>2013</w:t>
      </w:r>
      <w:r w:rsidR="001A51BE">
        <w:rPr>
          <w:sz w:val="24"/>
        </w:rPr>
        <w:fldChar w:fldCharType="end"/>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center"/>
        <w:rPr>
          <w:sz w:val="24"/>
        </w:rPr>
      </w:pPr>
      <w:r>
        <w:rPr>
          <w:b/>
          <w:bCs/>
          <w:sz w:val="24"/>
        </w:rPr>
        <w:t xml:space="preserve">Bekendtgørelse om </w:t>
      </w:r>
      <w:r w:rsidR="00146DA1">
        <w:rPr>
          <w:b/>
          <w:bCs/>
          <w:sz w:val="24"/>
        </w:rPr>
        <w:t>forretningsorden for skatteankenævn, vurderingsankenævn, sk</w:t>
      </w:r>
      <w:r w:rsidR="00DD00E8">
        <w:rPr>
          <w:b/>
          <w:bCs/>
          <w:sz w:val="24"/>
        </w:rPr>
        <w:t>atte- og vurderingsankenævn samt</w:t>
      </w:r>
      <w:r w:rsidR="00146DA1">
        <w:rPr>
          <w:b/>
          <w:bCs/>
          <w:sz w:val="24"/>
        </w:rPr>
        <w:t xml:space="preserve"> motorankenævn</w:t>
      </w:r>
    </w:p>
    <w:p w:rsidR="00631FF5" w:rsidRDefault="00631FF5">
      <w:pPr>
        <w:widowControl/>
        <w:spacing w:line="288" w:lineRule="auto"/>
        <w:jc w:val="both"/>
        <w:rPr>
          <w:sz w:val="24"/>
        </w:rPr>
      </w:pPr>
    </w:p>
    <w:p w:rsidR="00146DA1" w:rsidRDefault="00146DA1" w:rsidP="00146DA1">
      <w:pPr>
        <w:widowControl/>
        <w:jc w:val="both"/>
        <w:rPr>
          <w:sz w:val="24"/>
        </w:rPr>
      </w:pPr>
      <w:r>
        <w:rPr>
          <w:sz w:val="24"/>
        </w:rPr>
        <w:t xml:space="preserve">I medfør af § 10, stk. 5 og 6, i skatteforvaltningsloven, jf. </w:t>
      </w:r>
      <w:r w:rsidRPr="003C4134">
        <w:rPr>
          <w:sz w:val="25"/>
          <w:szCs w:val="25"/>
        </w:rPr>
        <w:t xml:space="preserve">lovbekendtgørelse </w:t>
      </w:r>
      <w:r>
        <w:rPr>
          <w:sz w:val="25"/>
          <w:szCs w:val="25"/>
        </w:rPr>
        <w:t>nr. 175 af 23. februar 2011</w:t>
      </w:r>
      <w:r>
        <w:rPr>
          <w:sz w:val="24"/>
        </w:rPr>
        <w:t>, fastsættes:</w:t>
      </w:r>
    </w:p>
    <w:p w:rsidR="00146DA1" w:rsidRDefault="00146DA1" w:rsidP="00146DA1">
      <w:pPr>
        <w:widowControl/>
        <w:jc w:val="both"/>
        <w:rPr>
          <w:sz w:val="24"/>
        </w:rPr>
      </w:pPr>
    </w:p>
    <w:p w:rsidR="00146DA1" w:rsidRPr="00F93D64" w:rsidRDefault="00146DA1" w:rsidP="00146DA1">
      <w:pPr>
        <w:widowControl/>
        <w:jc w:val="center"/>
        <w:rPr>
          <w:sz w:val="24"/>
        </w:rPr>
      </w:pPr>
      <w:r w:rsidRPr="00F93D64">
        <w:rPr>
          <w:sz w:val="24"/>
        </w:rPr>
        <w:t>Kapitel 1</w:t>
      </w:r>
    </w:p>
    <w:p w:rsidR="00146DA1" w:rsidRPr="00513D62" w:rsidRDefault="00146DA1" w:rsidP="00146DA1">
      <w:pPr>
        <w:widowControl/>
        <w:jc w:val="center"/>
        <w:rPr>
          <w:i/>
          <w:sz w:val="24"/>
        </w:rPr>
      </w:pPr>
      <w:r>
        <w:rPr>
          <w:i/>
          <w:sz w:val="24"/>
        </w:rPr>
        <w:t>Ankenævnenes funktion og kompetence</w:t>
      </w:r>
    </w:p>
    <w:p w:rsidR="00146DA1" w:rsidRDefault="00146DA1" w:rsidP="00146DA1">
      <w:pPr>
        <w:widowControl/>
        <w:jc w:val="both"/>
        <w:rPr>
          <w:sz w:val="24"/>
        </w:rPr>
      </w:pPr>
    </w:p>
    <w:p w:rsidR="00146DA1" w:rsidRPr="00513D62" w:rsidRDefault="00146DA1" w:rsidP="00146DA1">
      <w:pPr>
        <w:widowControl/>
        <w:jc w:val="both"/>
        <w:rPr>
          <w:sz w:val="24"/>
        </w:rPr>
      </w:pPr>
      <w:r>
        <w:rPr>
          <w:b/>
          <w:bCs/>
          <w:sz w:val="24"/>
        </w:rPr>
        <w:t>§ 1.</w:t>
      </w:r>
      <w:r>
        <w:rPr>
          <w:sz w:val="24"/>
        </w:rPr>
        <w:t xml:space="preserve"> Skatteankenævn, vurderingsankenævn og motorankenævn</w:t>
      </w:r>
      <w:r w:rsidRPr="00513D62">
        <w:rPr>
          <w:sz w:val="24"/>
        </w:rPr>
        <w:t xml:space="preserve"> </w:t>
      </w:r>
      <w:r>
        <w:rPr>
          <w:sz w:val="24"/>
        </w:rPr>
        <w:t>afgør</w:t>
      </w:r>
      <w:r w:rsidRPr="00513D62">
        <w:rPr>
          <w:sz w:val="24"/>
        </w:rPr>
        <w:t xml:space="preserve"> klager over </w:t>
      </w:r>
      <w:r>
        <w:rPr>
          <w:sz w:val="24"/>
        </w:rPr>
        <w:t>SKATs</w:t>
      </w:r>
      <w:r w:rsidRPr="00513D62">
        <w:rPr>
          <w:sz w:val="24"/>
        </w:rPr>
        <w:t xml:space="preserve"> afgørelser</w:t>
      </w:r>
      <w:r>
        <w:rPr>
          <w:sz w:val="24"/>
        </w:rPr>
        <w:t>, jf. skatteforvaltningslovens § 5, stk. 1, § 6, stk. 1, og § 7, stk. 1, jf. dog § 35 b, stk. 1, 2. og 3. pkt., og stk. 5</w:t>
      </w:r>
      <w:r w:rsidRPr="00513D62">
        <w:rPr>
          <w:sz w:val="24"/>
        </w:rPr>
        <w:t xml:space="preserve">. </w:t>
      </w:r>
    </w:p>
    <w:p w:rsidR="00146DA1" w:rsidRDefault="00146DA1" w:rsidP="00146DA1">
      <w:pPr>
        <w:widowControl/>
        <w:jc w:val="both"/>
        <w:rPr>
          <w:sz w:val="24"/>
        </w:rPr>
      </w:pPr>
    </w:p>
    <w:p w:rsidR="00146DA1" w:rsidRPr="00F93D64" w:rsidRDefault="00146DA1" w:rsidP="00146DA1">
      <w:pPr>
        <w:widowControl/>
        <w:jc w:val="center"/>
        <w:rPr>
          <w:sz w:val="24"/>
        </w:rPr>
      </w:pPr>
      <w:r w:rsidRPr="00F93D64">
        <w:rPr>
          <w:sz w:val="24"/>
        </w:rPr>
        <w:t>Kapitel 2</w:t>
      </w:r>
    </w:p>
    <w:p w:rsidR="00146DA1" w:rsidRPr="00224773" w:rsidRDefault="00146DA1" w:rsidP="00146DA1">
      <w:pPr>
        <w:widowControl/>
        <w:jc w:val="center"/>
        <w:rPr>
          <w:i/>
          <w:sz w:val="24"/>
        </w:rPr>
      </w:pPr>
      <w:r>
        <w:rPr>
          <w:i/>
          <w:sz w:val="24"/>
        </w:rPr>
        <w:t>Ankenævnenes organisering</w:t>
      </w:r>
    </w:p>
    <w:p w:rsidR="00146DA1" w:rsidRDefault="00146DA1" w:rsidP="00146DA1">
      <w:pPr>
        <w:widowControl/>
        <w:jc w:val="both"/>
        <w:rPr>
          <w:sz w:val="24"/>
        </w:rPr>
      </w:pPr>
    </w:p>
    <w:p w:rsidR="00146DA1" w:rsidRPr="00E12FEB" w:rsidRDefault="00146DA1" w:rsidP="00146DA1">
      <w:pPr>
        <w:widowControl/>
        <w:jc w:val="both"/>
        <w:rPr>
          <w:sz w:val="24"/>
        </w:rPr>
      </w:pPr>
      <w:r w:rsidRPr="00E12FEB">
        <w:rPr>
          <w:b/>
          <w:sz w:val="24"/>
        </w:rPr>
        <w:t xml:space="preserve">§ </w:t>
      </w:r>
      <w:r>
        <w:rPr>
          <w:b/>
          <w:sz w:val="24"/>
        </w:rPr>
        <w:t>2</w:t>
      </w:r>
      <w:r w:rsidRPr="00E12FEB">
        <w:rPr>
          <w:b/>
          <w:sz w:val="24"/>
        </w:rPr>
        <w:t>.</w:t>
      </w:r>
      <w:r>
        <w:rPr>
          <w:b/>
          <w:sz w:val="24"/>
        </w:rPr>
        <w:t xml:space="preserve"> </w:t>
      </w:r>
      <w:r w:rsidRPr="00E12FEB">
        <w:rPr>
          <w:sz w:val="24"/>
        </w:rPr>
        <w:t xml:space="preserve">Klage over en skatteansættelse behandles af det skatteankenævn, i hvis kreds klageren havde bopæl ved udløbet af det behandlede indkomstår, henholdsvis på dødstidspunktet eller fraflytningstidspunktet. I øvrigt gælder følgende: </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Pr="00E12FEB">
        <w:rPr>
          <w:sz w:val="24"/>
        </w:rPr>
        <w:t>Klage over en forskudsregistrering behandles af det ankenævn, i hvis kreds klageren havde bopæl på det tidspunkt, hvor den påklagede forskudsregistrering blev foretaget.</w:t>
      </w:r>
    </w:p>
    <w:p w:rsidR="00146DA1" w:rsidRPr="00E12FEB" w:rsidRDefault="00146DA1" w:rsidP="00146DA1">
      <w:pPr>
        <w:widowControl/>
        <w:jc w:val="both"/>
        <w:rPr>
          <w:sz w:val="24"/>
        </w:rPr>
      </w:pPr>
      <w:r w:rsidRPr="00E12FEB">
        <w:rPr>
          <w:sz w:val="24"/>
        </w:rPr>
        <w:t>2)</w:t>
      </w:r>
      <w:r w:rsidRPr="00E12FEB">
        <w:rPr>
          <w:sz w:val="24"/>
        </w:rPr>
        <w:tab/>
      </w:r>
      <w:r>
        <w:rPr>
          <w:sz w:val="24"/>
        </w:rPr>
        <w:t xml:space="preserve"> </w:t>
      </w:r>
      <w:r w:rsidRPr="00E12FEB">
        <w:rPr>
          <w:sz w:val="24"/>
        </w:rPr>
        <w:t>Klage over en ansættelse om begrænset skattepligt behandles af det ankenævn, i hvis kreds indkomstkilden var beliggende ved udløbet af det behandlede indkomstår, henholdsvis ved skattepligtens ophør.</w:t>
      </w:r>
    </w:p>
    <w:p w:rsidR="00146DA1" w:rsidRPr="00E12FEB" w:rsidRDefault="00146DA1" w:rsidP="00146DA1">
      <w:pPr>
        <w:widowControl/>
        <w:jc w:val="both"/>
        <w:rPr>
          <w:sz w:val="24"/>
        </w:rPr>
      </w:pPr>
      <w:r w:rsidRPr="00E12FEB">
        <w:rPr>
          <w:sz w:val="24"/>
        </w:rPr>
        <w:t>3)</w:t>
      </w:r>
      <w:r w:rsidRPr="00E12FEB">
        <w:rPr>
          <w:sz w:val="24"/>
        </w:rPr>
        <w:tab/>
      </w:r>
      <w:r>
        <w:rPr>
          <w:sz w:val="24"/>
        </w:rPr>
        <w:t xml:space="preserve"> </w:t>
      </w:r>
      <w:r w:rsidRPr="00E12FEB">
        <w:rPr>
          <w:sz w:val="24"/>
        </w:rPr>
        <w:t>Klage over et bindende svar behandles af det ankenævn, i hvis kreds klageren havde bopæl på tidspunktet for indgivelse af anmodning om bindende svar.</w:t>
      </w:r>
    </w:p>
    <w:p w:rsidR="00146DA1" w:rsidRPr="00E12FEB" w:rsidRDefault="00146DA1" w:rsidP="00146DA1">
      <w:pPr>
        <w:widowControl/>
        <w:jc w:val="both"/>
        <w:rPr>
          <w:sz w:val="24"/>
        </w:rPr>
      </w:pPr>
      <w:r w:rsidRPr="00E12FEB">
        <w:rPr>
          <w:sz w:val="24"/>
        </w:rPr>
        <w:t>4)</w:t>
      </w:r>
      <w:r>
        <w:rPr>
          <w:sz w:val="24"/>
        </w:rPr>
        <w:t xml:space="preserve"> </w:t>
      </w:r>
      <w:r w:rsidRPr="00E12FEB">
        <w:rPr>
          <w:sz w:val="24"/>
        </w:rPr>
        <w:tab/>
        <w:t>Klage over en ansættelse, der udspringer af overdragelse af et aktiv, og hvor aftalen er bindende for både køber og sælger, behandles af det ankenævn, i hvis kreds sælger havde bopæl på tidspunktet for overdragelsen. Hvis</w:t>
      </w:r>
      <w:r>
        <w:rPr>
          <w:sz w:val="24"/>
        </w:rPr>
        <w:t xml:space="preserve"> sælger ikke er klageberettiget</w:t>
      </w:r>
      <w:r w:rsidR="008677FB">
        <w:rPr>
          <w:sz w:val="24"/>
        </w:rPr>
        <w:t xml:space="preserve"> til ankenævnet</w:t>
      </w:r>
      <w:r w:rsidRPr="00E12FEB">
        <w:rPr>
          <w:sz w:val="24"/>
        </w:rPr>
        <w:t>, eller hvis der er flere sælgere, behandles klagen af det ankenævn, i hvis kreds køber havde</w:t>
      </w:r>
      <w:r w:rsidR="007B4515">
        <w:rPr>
          <w:sz w:val="24"/>
        </w:rPr>
        <w:t xml:space="preserve"> </w:t>
      </w:r>
      <w:r w:rsidRPr="00E12FEB">
        <w:rPr>
          <w:sz w:val="24"/>
        </w:rPr>
        <w:t>bopæl på tidspunktet for overdragelsen.</w:t>
      </w:r>
    </w:p>
    <w:p w:rsidR="00146DA1" w:rsidRPr="00E12FEB" w:rsidRDefault="00146DA1" w:rsidP="00146DA1">
      <w:pPr>
        <w:widowControl/>
        <w:jc w:val="both"/>
        <w:rPr>
          <w:sz w:val="24"/>
        </w:rPr>
      </w:pPr>
      <w:r w:rsidRPr="00E12FEB">
        <w:rPr>
          <w:sz w:val="24"/>
        </w:rPr>
        <w:t>5)</w:t>
      </w:r>
      <w:r>
        <w:rPr>
          <w:sz w:val="24"/>
        </w:rPr>
        <w:t xml:space="preserve"> </w:t>
      </w:r>
      <w:r w:rsidRPr="00E12FEB">
        <w:rPr>
          <w:sz w:val="24"/>
        </w:rPr>
        <w:tab/>
        <w:t>Klage over et bindende svar, der udspringer af overdragelse af et aktiv, og hvor aftalen er bindende for både køber og sælger, behandles af det ankenævn, i hvis kreds sælger havde bopæl på tidspunktet for indgivelse af anmodningen om bindende svar. Hvis sælger ikke er klageberettiget til ankenævnet, eller hvis der er flere sælgere, behandles klagen af det ankenævn, i hvis kreds køber havde bopæl på tidspunktet for indgivelse af anmodningen om bindende svar.</w:t>
      </w:r>
    </w:p>
    <w:p w:rsidR="00146DA1" w:rsidRPr="00E12FEB" w:rsidRDefault="00146DA1" w:rsidP="00146DA1">
      <w:pPr>
        <w:widowControl/>
        <w:jc w:val="both"/>
        <w:rPr>
          <w:sz w:val="24"/>
        </w:rPr>
      </w:pPr>
      <w:r w:rsidRPr="00E12FEB">
        <w:rPr>
          <w:sz w:val="24"/>
        </w:rPr>
        <w:t>6)</w:t>
      </w:r>
      <w:r>
        <w:rPr>
          <w:sz w:val="24"/>
        </w:rPr>
        <w:t xml:space="preserve"> </w:t>
      </w:r>
      <w:r w:rsidRPr="00E12FEB">
        <w:rPr>
          <w:sz w:val="24"/>
        </w:rPr>
        <w:tab/>
        <w:t>Klage over en ansættelse vedrørende gaveafgift behandles af det ankenævn, i hvis kreds gavegiver havde bopæl på tidspunktet for gaveoverdragelsen. Hvis gavegiver ikke er bosiddende her i landet, eller hvis der er flere gavegivere, behandles klagen af det ankenævn, i hvis kreds gavemodtager havde bopæl på tidspunktet for gaveoverdragelsen.</w:t>
      </w:r>
    </w:p>
    <w:p w:rsidR="00146DA1" w:rsidRPr="00E12FEB" w:rsidRDefault="00146DA1" w:rsidP="00146DA1">
      <w:pPr>
        <w:widowControl/>
        <w:jc w:val="both"/>
        <w:rPr>
          <w:sz w:val="24"/>
        </w:rPr>
      </w:pPr>
      <w:r w:rsidRPr="00E12FEB">
        <w:rPr>
          <w:sz w:val="24"/>
        </w:rPr>
        <w:lastRenderedPageBreak/>
        <w:t>7)</w:t>
      </w:r>
      <w:r w:rsidRPr="00E12FEB">
        <w:rPr>
          <w:sz w:val="24"/>
        </w:rPr>
        <w:tab/>
      </w:r>
      <w:r>
        <w:rPr>
          <w:sz w:val="24"/>
        </w:rPr>
        <w:t xml:space="preserve"> </w:t>
      </w:r>
      <w:r w:rsidRPr="00E12FEB">
        <w:rPr>
          <w:sz w:val="24"/>
        </w:rPr>
        <w:t>Klage over et bindende svar vedrørende gaveafgift behandles af det ankenævn, i hvis kreds gavegiver havde bopæl på tidspunktet for indgivelse af anmodningen om bindende svar. Hvis gavegiver ikke er bosiddende her i landet, eller hvis der er flere gavegivere, behandles klagen af det ankenævn, i hvis kreds gavemodtager havde bopæl på tidspunktet for indgivelse af anmodningen om bindende svar.</w:t>
      </w:r>
    </w:p>
    <w:p w:rsidR="00146DA1" w:rsidRPr="00E12FEB" w:rsidRDefault="00146DA1" w:rsidP="00146DA1">
      <w:pPr>
        <w:widowControl/>
        <w:jc w:val="both"/>
        <w:rPr>
          <w:sz w:val="24"/>
        </w:rPr>
      </w:pPr>
      <w:r w:rsidRPr="00E12FEB">
        <w:rPr>
          <w:i/>
          <w:sz w:val="24"/>
        </w:rPr>
        <w:t>Stk</w:t>
      </w:r>
      <w:r w:rsidR="007B4515">
        <w:rPr>
          <w:i/>
          <w:sz w:val="24"/>
        </w:rPr>
        <w:t xml:space="preserve">. </w:t>
      </w:r>
      <w:r w:rsidRPr="00E12FEB">
        <w:rPr>
          <w:i/>
          <w:sz w:val="24"/>
        </w:rPr>
        <w:t>2.</w:t>
      </w:r>
      <w:r w:rsidRPr="00E12FEB">
        <w:rPr>
          <w:sz w:val="24"/>
        </w:rPr>
        <w:t xml:space="preserve"> Klage over en ejendomsvurdering m</w:t>
      </w:r>
      <w:r>
        <w:rPr>
          <w:sz w:val="24"/>
        </w:rPr>
        <w:t>.</w:t>
      </w:r>
      <w:r w:rsidRPr="00E12FEB">
        <w:rPr>
          <w:sz w:val="24"/>
        </w:rPr>
        <w:t>v. behandles af det vurderingsankenævn, i hvis kreds ejendommen er beliggende.</w:t>
      </w:r>
    </w:p>
    <w:p w:rsidR="00146DA1" w:rsidRDefault="00146DA1" w:rsidP="00146DA1">
      <w:pPr>
        <w:widowControl/>
        <w:jc w:val="both"/>
        <w:rPr>
          <w:sz w:val="24"/>
        </w:rPr>
      </w:pPr>
      <w:r w:rsidRPr="00E12FEB">
        <w:rPr>
          <w:i/>
          <w:sz w:val="24"/>
        </w:rPr>
        <w:t>Stk</w:t>
      </w:r>
      <w:r w:rsidR="007B4515">
        <w:rPr>
          <w:i/>
          <w:sz w:val="24"/>
        </w:rPr>
        <w:t xml:space="preserve">. </w:t>
      </w:r>
      <w:r w:rsidRPr="00E12FEB">
        <w:rPr>
          <w:i/>
          <w:sz w:val="24"/>
        </w:rPr>
        <w:t>3.</w:t>
      </w:r>
      <w:r w:rsidR="007B4515">
        <w:rPr>
          <w:i/>
          <w:sz w:val="24"/>
        </w:rPr>
        <w:t xml:space="preserve"> </w:t>
      </w:r>
      <w:r w:rsidRPr="00E12FEB">
        <w:rPr>
          <w:sz w:val="24"/>
        </w:rPr>
        <w:t xml:space="preserve">Klage over en afgiftspligtig værdi mv. af motorkøretøjer behandles af det motorankenævn, i hvis kreds klageren havde bopæl eller hjemsted på det tidspunkt, hvor den påklagede afgørelse blev truffet. Har klager ikke bopæl eller hjemsted i Danmark behandles klagen af Motorankenævn Sydjylland-Fyn. </w:t>
      </w:r>
    </w:p>
    <w:p w:rsidR="0055667D" w:rsidRPr="00E12FEB" w:rsidRDefault="007B4515" w:rsidP="00146DA1">
      <w:pPr>
        <w:widowControl/>
        <w:jc w:val="both"/>
        <w:rPr>
          <w:sz w:val="24"/>
        </w:rPr>
      </w:pPr>
      <w:r>
        <w:rPr>
          <w:i/>
          <w:sz w:val="24"/>
        </w:rPr>
        <w:t xml:space="preserve">Stk. </w:t>
      </w:r>
      <w:r w:rsidR="0055667D" w:rsidRPr="00E12FEB">
        <w:rPr>
          <w:i/>
          <w:sz w:val="24"/>
        </w:rPr>
        <w:t>4.</w:t>
      </w:r>
      <w:r w:rsidR="0055667D">
        <w:rPr>
          <w:i/>
          <w:sz w:val="24"/>
        </w:rPr>
        <w:t xml:space="preserve"> </w:t>
      </w:r>
      <w:r w:rsidR="0055667D" w:rsidRPr="00E12FEB">
        <w:rPr>
          <w:sz w:val="24"/>
        </w:rPr>
        <w:t xml:space="preserve">Direktøren for </w:t>
      </w:r>
      <w:r w:rsidR="0055667D">
        <w:rPr>
          <w:sz w:val="24"/>
        </w:rPr>
        <w:t>Skatteankestyrelsen</w:t>
      </w:r>
      <w:r w:rsidR="0055667D" w:rsidRPr="00E12FEB">
        <w:rPr>
          <w:sz w:val="24"/>
        </w:rPr>
        <w:t xml:space="preserve"> er, hvis der er store forskelle i mængden af sager i </w:t>
      </w:r>
      <w:r w:rsidR="001A1CEF">
        <w:rPr>
          <w:sz w:val="24"/>
        </w:rPr>
        <w:t>motoranke</w:t>
      </w:r>
      <w:r w:rsidR="0055667D" w:rsidRPr="00E12FEB">
        <w:rPr>
          <w:sz w:val="24"/>
        </w:rPr>
        <w:t xml:space="preserve">nævnene, bemyndiget til at flytte sager til behandling i et andet </w:t>
      </w:r>
      <w:r w:rsidR="00951374">
        <w:rPr>
          <w:sz w:val="24"/>
        </w:rPr>
        <w:t>motoranke</w:t>
      </w:r>
      <w:r w:rsidR="0055667D" w:rsidRPr="00E12FEB">
        <w:rPr>
          <w:sz w:val="24"/>
        </w:rPr>
        <w:t>nævn.</w:t>
      </w:r>
    </w:p>
    <w:p w:rsidR="00146DA1" w:rsidRPr="00E12FEB" w:rsidRDefault="00146DA1" w:rsidP="00146DA1">
      <w:pPr>
        <w:widowControl/>
        <w:jc w:val="both"/>
        <w:rPr>
          <w:sz w:val="24"/>
        </w:rPr>
      </w:pPr>
      <w:r w:rsidRPr="00E12FEB">
        <w:rPr>
          <w:i/>
          <w:sz w:val="24"/>
        </w:rPr>
        <w:t>Stk</w:t>
      </w:r>
      <w:r w:rsidR="007B4515">
        <w:rPr>
          <w:i/>
          <w:sz w:val="24"/>
        </w:rPr>
        <w:t xml:space="preserve">. </w:t>
      </w:r>
      <w:r w:rsidR="00951374">
        <w:rPr>
          <w:i/>
          <w:sz w:val="24"/>
        </w:rPr>
        <w:t>5</w:t>
      </w:r>
      <w:r w:rsidRPr="00E12FEB">
        <w:rPr>
          <w:i/>
          <w:sz w:val="24"/>
        </w:rPr>
        <w:t xml:space="preserve">. </w:t>
      </w:r>
      <w:r w:rsidRPr="00E12FEB">
        <w:rPr>
          <w:sz w:val="24"/>
        </w:rPr>
        <w:t xml:space="preserve">Direktøren for </w:t>
      </w:r>
      <w:r>
        <w:rPr>
          <w:sz w:val="24"/>
        </w:rPr>
        <w:t>Skatteankestyrelsen</w:t>
      </w:r>
      <w:r w:rsidRPr="00E12FEB">
        <w:rPr>
          <w:sz w:val="24"/>
        </w:rPr>
        <w:t xml:space="preserve"> er bemyndiget til at flytte en klage til behandling i et andet ankenævn i følgende situationer: </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Pr="00E12FEB">
        <w:rPr>
          <w:sz w:val="24"/>
        </w:rPr>
        <w:t>Et andet ankenævn behandler klagerens sager i andre indkomstår om samme spørgsmål.</w:t>
      </w:r>
    </w:p>
    <w:p w:rsidR="00146DA1" w:rsidRPr="00E12FEB" w:rsidRDefault="00146DA1" w:rsidP="00146DA1">
      <w:pPr>
        <w:widowControl/>
        <w:jc w:val="both"/>
        <w:rPr>
          <w:sz w:val="24"/>
        </w:rPr>
      </w:pPr>
      <w:r w:rsidRPr="00E12FEB">
        <w:rPr>
          <w:sz w:val="24"/>
        </w:rPr>
        <w:t>2)</w:t>
      </w:r>
      <w:r w:rsidRPr="00E12FEB">
        <w:rPr>
          <w:sz w:val="24"/>
        </w:rPr>
        <w:tab/>
      </w:r>
      <w:r>
        <w:rPr>
          <w:sz w:val="24"/>
        </w:rPr>
        <w:t xml:space="preserve"> </w:t>
      </w:r>
      <w:r w:rsidRPr="00E12FEB">
        <w:rPr>
          <w:sz w:val="24"/>
        </w:rPr>
        <w:t>Det på grund af særlige omstændigheder anses for hensigtsmæssigt at flytte en sag til et andet ankenævn.</w:t>
      </w:r>
    </w:p>
    <w:p w:rsidR="00146DA1" w:rsidRPr="00E12FEB" w:rsidRDefault="00146DA1" w:rsidP="00146DA1">
      <w:pPr>
        <w:widowControl/>
        <w:jc w:val="both"/>
        <w:rPr>
          <w:sz w:val="24"/>
        </w:rPr>
      </w:pPr>
      <w:r w:rsidRPr="00E12FEB">
        <w:rPr>
          <w:sz w:val="24"/>
        </w:rPr>
        <w:t>3)</w:t>
      </w:r>
      <w:r w:rsidRPr="00E12FEB">
        <w:rPr>
          <w:sz w:val="24"/>
        </w:rPr>
        <w:tab/>
      </w:r>
      <w:r>
        <w:rPr>
          <w:sz w:val="24"/>
        </w:rPr>
        <w:t xml:space="preserve"> </w:t>
      </w:r>
      <w:r w:rsidRPr="00E12FEB">
        <w:rPr>
          <w:sz w:val="24"/>
        </w:rPr>
        <w:t>Der i øvrigt er tvivl om, hvilket ankenævn der skal behandle sagen.</w:t>
      </w:r>
    </w:p>
    <w:p w:rsidR="00146DA1" w:rsidRPr="00E12FEB" w:rsidRDefault="00146DA1" w:rsidP="00146DA1">
      <w:pPr>
        <w:widowControl/>
        <w:jc w:val="both"/>
        <w:rPr>
          <w:sz w:val="24"/>
        </w:rPr>
      </w:pPr>
      <w:r w:rsidRPr="00E12FEB">
        <w:rPr>
          <w:i/>
          <w:sz w:val="24"/>
        </w:rPr>
        <w:t>Stk</w:t>
      </w:r>
      <w:r w:rsidR="007B4515">
        <w:rPr>
          <w:i/>
          <w:sz w:val="24"/>
        </w:rPr>
        <w:t xml:space="preserve">. </w:t>
      </w:r>
      <w:r w:rsidR="00951374">
        <w:rPr>
          <w:i/>
          <w:sz w:val="24"/>
        </w:rPr>
        <w:t>6</w:t>
      </w:r>
      <w:r w:rsidRPr="00E12FEB">
        <w:rPr>
          <w:i/>
          <w:sz w:val="24"/>
        </w:rPr>
        <w:t>.</w:t>
      </w:r>
      <w:r w:rsidRPr="00E12FEB">
        <w:rPr>
          <w:sz w:val="24"/>
        </w:rPr>
        <w:t xml:space="preserve"> Hvis en afgørelse fra domstolene betyder, at et klagepunkt skal behandles på ny, skal det behandles af et andet ankenævn end det ankenævn, der tidligere har behandlet klagepunktet. Direktøren for </w:t>
      </w:r>
      <w:r>
        <w:rPr>
          <w:sz w:val="24"/>
        </w:rPr>
        <w:t>Skatteankestyrelsen</w:t>
      </w:r>
      <w:r w:rsidRPr="00E12FEB">
        <w:rPr>
          <w:sz w:val="24"/>
        </w:rPr>
        <w:t xml:space="preserve"> er bemyndiget til at beslutte, hvilket andet ankenævn der skal behandle sagen.</w:t>
      </w:r>
    </w:p>
    <w:p w:rsidR="00146DA1" w:rsidRDefault="00146DA1" w:rsidP="00146DA1">
      <w:pPr>
        <w:widowControl/>
        <w:jc w:val="both"/>
        <w:rPr>
          <w:sz w:val="24"/>
        </w:rPr>
      </w:pPr>
    </w:p>
    <w:p w:rsidR="00146DA1" w:rsidRPr="002541FB" w:rsidRDefault="00146DA1" w:rsidP="00146DA1">
      <w:pPr>
        <w:widowControl/>
        <w:jc w:val="center"/>
        <w:rPr>
          <w:i/>
          <w:sz w:val="24"/>
        </w:rPr>
      </w:pPr>
      <w:r w:rsidRPr="002541FB">
        <w:rPr>
          <w:i/>
          <w:sz w:val="24"/>
        </w:rPr>
        <w:t>Klager ved et fælles skatte- og vurderingsankenævn</w:t>
      </w:r>
      <w:r w:rsidRPr="002541FB">
        <w:rPr>
          <w:i/>
          <w:sz w:val="24"/>
        </w:rPr>
        <w:cr/>
      </w:r>
    </w:p>
    <w:p w:rsidR="00146DA1" w:rsidRPr="002541FB" w:rsidRDefault="00146DA1" w:rsidP="00146DA1">
      <w:pPr>
        <w:widowControl/>
        <w:jc w:val="both"/>
        <w:rPr>
          <w:b/>
          <w:sz w:val="24"/>
        </w:rPr>
      </w:pPr>
      <w:r>
        <w:rPr>
          <w:b/>
          <w:sz w:val="24"/>
        </w:rPr>
        <w:t xml:space="preserve">§ 3. </w:t>
      </w:r>
      <w:r w:rsidRPr="00E12FEB">
        <w:rPr>
          <w:sz w:val="24"/>
        </w:rPr>
        <w:t>For klager</w:t>
      </w:r>
      <w:r>
        <w:rPr>
          <w:sz w:val="24"/>
        </w:rPr>
        <w:t>,</w:t>
      </w:r>
      <w:r w:rsidRPr="00E12FEB">
        <w:rPr>
          <w:sz w:val="24"/>
        </w:rPr>
        <w:t xml:space="preserve"> der behandles af et fælles </w:t>
      </w:r>
      <w:r w:rsidR="008F44FF">
        <w:rPr>
          <w:sz w:val="24"/>
        </w:rPr>
        <w:t>skatte- og vurderings</w:t>
      </w:r>
      <w:r w:rsidRPr="00E12FEB">
        <w:rPr>
          <w:sz w:val="24"/>
        </w:rPr>
        <w:t>ankenævn</w:t>
      </w:r>
      <w:r>
        <w:rPr>
          <w:sz w:val="24"/>
        </w:rPr>
        <w:t>,</w:t>
      </w:r>
      <w:r w:rsidRPr="00E12FEB">
        <w:rPr>
          <w:sz w:val="24"/>
        </w:rPr>
        <w:t xml:space="preserve"> gælder, at klager omfattet af skatteforvaltningslovens § 5 behandles efter reglerne for skatteankenævn, mens klager omfattet af skatteforvaltningslovens § 6 behandles efter reglerne for vurderingsankenævn.</w:t>
      </w:r>
    </w:p>
    <w:p w:rsidR="00146DA1" w:rsidRDefault="00146DA1" w:rsidP="00146DA1">
      <w:pPr>
        <w:widowControl/>
        <w:jc w:val="both"/>
        <w:rPr>
          <w:sz w:val="24"/>
        </w:rPr>
      </w:pPr>
    </w:p>
    <w:p w:rsidR="00146DA1" w:rsidRPr="00F93D64" w:rsidRDefault="00146DA1" w:rsidP="00146DA1">
      <w:pPr>
        <w:widowControl/>
        <w:jc w:val="center"/>
        <w:rPr>
          <w:sz w:val="24"/>
        </w:rPr>
      </w:pPr>
      <w:r w:rsidRPr="00F93D64">
        <w:rPr>
          <w:sz w:val="24"/>
        </w:rPr>
        <w:t xml:space="preserve">Kapitel </w:t>
      </w:r>
      <w:r>
        <w:rPr>
          <w:sz w:val="24"/>
        </w:rPr>
        <w:t>3</w:t>
      </w:r>
    </w:p>
    <w:p w:rsidR="00146DA1" w:rsidRPr="002541FB" w:rsidRDefault="00146DA1" w:rsidP="00146DA1">
      <w:pPr>
        <w:widowControl/>
        <w:jc w:val="center"/>
        <w:rPr>
          <w:i/>
          <w:sz w:val="24"/>
        </w:rPr>
      </w:pPr>
      <w:r>
        <w:rPr>
          <w:i/>
          <w:sz w:val="24"/>
        </w:rPr>
        <w:t>Ankenævnenes sammensætning</w:t>
      </w:r>
    </w:p>
    <w:p w:rsidR="00146DA1" w:rsidRPr="00E12FEB" w:rsidRDefault="00146DA1" w:rsidP="00146DA1">
      <w:pPr>
        <w:widowControl/>
        <w:jc w:val="both"/>
        <w:rPr>
          <w:sz w:val="24"/>
        </w:rPr>
      </w:pPr>
    </w:p>
    <w:p w:rsidR="00146DA1" w:rsidRPr="002541FB" w:rsidRDefault="00146DA1" w:rsidP="00146DA1">
      <w:pPr>
        <w:widowControl/>
        <w:jc w:val="center"/>
        <w:rPr>
          <w:i/>
          <w:sz w:val="24"/>
        </w:rPr>
      </w:pPr>
      <w:r w:rsidRPr="002541FB">
        <w:rPr>
          <w:i/>
          <w:sz w:val="24"/>
        </w:rPr>
        <w:t>Valg af formand og næstformand</w:t>
      </w:r>
      <w:r w:rsidRPr="002541FB">
        <w:rPr>
          <w:i/>
          <w:sz w:val="24"/>
        </w:rPr>
        <w:cr/>
      </w:r>
    </w:p>
    <w:p w:rsidR="00146DA1" w:rsidRPr="00E12FEB" w:rsidRDefault="00146DA1" w:rsidP="007907BA">
      <w:pPr>
        <w:widowControl/>
        <w:jc w:val="both"/>
        <w:rPr>
          <w:sz w:val="24"/>
        </w:rPr>
      </w:pPr>
      <w:r>
        <w:rPr>
          <w:b/>
          <w:sz w:val="24"/>
        </w:rPr>
        <w:t>§ 4</w:t>
      </w:r>
      <w:r w:rsidRPr="002541FB">
        <w:rPr>
          <w:b/>
          <w:sz w:val="24"/>
        </w:rPr>
        <w:t>.</w:t>
      </w:r>
      <w:r>
        <w:rPr>
          <w:b/>
          <w:sz w:val="24"/>
        </w:rPr>
        <w:t xml:space="preserve"> </w:t>
      </w:r>
      <w:r w:rsidRPr="00E12FEB">
        <w:rPr>
          <w:sz w:val="24"/>
        </w:rPr>
        <w:t xml:space="preserve">Det enkelte ankenævn afholder snarest muligt efter udnævnelsen det konstituerende møde. Mødet kan afholdes før funktionsperiodens start. </w:t>
      </w:r>
      <w:r w:rsidR="0059547C" w:rsidRPr="0059547C">
        <w:rPr>
          <w:sz w:val="24"/>
        </w:rPr>
        <w:t>Det medlem, der længst har været medlem af ankenævnet, indkalder til mødet. Hvis flere har været medlem lige længe, indkalder det ældste</w:t>
      </w:r>
      <w:r w:rsidR="0059547C">
        <w:rPr>
          <w:sz w:val="24"/>
        </w:rPr>
        <w:t xml:space="preserve"> af disse</w:t>
      </w:r>
      <w:r w:rsidR="0059547C" w:rsidRPr="0059547C">
        <w:rPr>
          <w:sz w:val="24"/>
        </w:rPr>
        <w:t xml:space="preserve"> medlem</w:t>
      </w:r>
      <w:r w:rsidR="0059547C">
        <w:rPr>
          <w:sz w:val="24"/>
        </w:rPr>
        <w:t>mer</w:t>
      </w:r>
      <w:r w:rsidR="0059547C" w:rsidRPr="0059547C">
        <w:rPr>
          <w:sz w:val="24"/>
        </w:rPr>
        <w:t>.</w:t>
      </w:r>
      <w:r w:rsidR="0059547C">
        <w:rPr>
          <w:sz w:val="24"/>
        </w:rPr>
        <w:t xml:space="preserve"> </w:t>
      </w:r>
      <w:r w:rsidRPr="00E12FEB">
        <w:rPr>
          <w:sz w:val="24"/>
        </w:rPr>
        <w:t xml:space="preserve"> </w:t>
      </w:r>
    </w:p>
    <w:p w:rsidR="00146DA1" w:rsidRPr="00E12FEB" w:rsidRDefault="00146DA1" w:rsidP="00146DA1">
      <w:pPr>
        <w:widowControl/>
        <w:jc w:val="both"/>
        <w:rPr>
          <w:sz w:val="24"/>
        </w:rPr>
      </w:pPr>
      <w:r w:rsidRPr="002541FB">
        <w:rPr>
          <w:i/>
          <w:sz w:val="24"/>
        </w:rPr>
        <w:t>Stk. 2.</w:t>
      </w:r>
      <w:r w:rsidRPr="00E12FEB">
        <w:rPr>
          <w:sz w:val="24"/>
        </w:rPr>
        <w:t xml:space="preserve"> På det første møde vælger ankenævnet blandt sine medlemmer en formand. Valget sker ved et flertalsvalg og ledes af det medlem, der har indkaldt til mødet. Valget har gyldighed for hele funktionsperioden, jf. dog § </w:t>
      </w:r>
      <w:r>
        <w:rPr>
          <w:sz w:val="24"/>
        </w:rPr>
        <w:t>6</w:t>
      </w:r>
      <w:r w:rsidRPr="00E12FEB">
        <w:rPr>
          <w:sz w:val="24"/>
        </w:rPr>
        <w:t>.</w:t>
      </w:r>
    </w:p>
    <w:p w:rsidR="00146DA1" w:rsidRPr="00E12FEB" w:rsidRDefault="00146DA1" w:rsidP="00146DA1">
      <w:pPr>
        <w:widowControl/>
        <w:jc w:val="both"/>
        <w:rPr>
          <w:sz w:val="24"/>
        </w:rPr>
      </w:pPr>
      <w:r w:rsidRPr="002541FB">
        <w:rPr>
          <w:i/>
          <w:sz w:val="24"/>
        </w:rPr>
        <w:t>Stk. 3.</w:t>
      </w:r>
      <w:r w:rsidRPr="00E12FEB">
        <w:rPr>
          <w:sz w:val="24"/>
        </w:rPr>
        <w:t xml:space="preserve"> Ved valg af formand er den kandidat valgt, som opnår stemmer fra et flertal af ankenævnets tilstedeværende medlemmer. Opnås et sådant flertal ikke ved 1. afstemning, foretages en ny afstemning. Ved 2. afstemning er en kandidat valgt, hvis den pågældende opnår stemmer fra et flertal af de tilstedeværende medlemmer, eller hvis der kun afgives stemmer på den pågældende kandidat. Bringer 2. afstemning heller ikke nogen afgørelse, </w:t>
      </w:r>
      <w:r w:rsidRPr="00E12FEB">
        <w:rPr>
          <w:sz w:val="24"/>
        </w:rPr>
        <w:lastRenderedPageBreak/>
        <w:t>foretages bundet valg mellem de to, der ved 2. afstemning har fået flest stemmer, således at det ved stemmelighed afgøres ved lodtrækning, på hvilke to der ved det bundne valg (3. afstemning) skal stemmes. Står stemmerne lige ved 3. afstemning, træffes afgørelsen ved lodtrækning.</w:t>
      </w:r>
    </w:p>
    <w:p w:rsidR="00146DA1" w:rsidRPr="00E12FEB" w:rsidRDefault="00146DA1" w:rsidP="00146DA1">
      <w:pPr>
        <w:widowControl/>
        <w:jc w:val="both"/>
        <w:rPr>
          <w:sz w:val="24"/>
        </w:rPr>
      </w:pPr>
      <w:r w:rsidRPr="002541FB">
        <w:rPr>
          <w:i/>
          <w:sz w:val="24"/>
        </w:rPr>
        <w:t>Stk. 4.</w:t>
      </w:r>
      <w:r w:rsidRPr="00E12FEB">
        <w:rPr>
          <w:sz w:val="24"/>
        </w:rPr>
        <w:t xml:space="preserve"> Så snart valget af formand har fundet sted, vælger skatte- og vurderingsankenævn samt fælles ankenævn blandt sine medlemmer en eller to næstformænd. Den først </w:t>
      </w:r>
      <w:proofErr w:type="gramStart"/>
      <w:r w:rsidRPr="00E12FEB">
        <w:rPr>
          <w:sz w:val="24"/>
        </w:rPr>
        <w:t>valgte bliver</w:t>
      </w:r>
      <w:proofErr w:type="gramEnd"/>
      <w:r w:rsidRPr="00E12FEB">
        <w:rPr>
          <w:sz w:val="24"/>
        </w:rPr>
        <w:t xml:space="preserve"> 1. næstformand, mens den sidst valgte bliver 2. næstformand.</w:t>
      </w:r>
    </w:p>
    <w:p w:rsidR="00146DA1" w:rsidRPr="00E12FEB" w:rsidRDefault="00146DA1" w:rsidP="00146DA1">
      <w:pPr>
        <w:widowControl/>
        <w:jc w:val="both"/>
        <w:rPr>
          <w:sz w:val="24"/>
        </w:rPr>
      </w:pPr>
      <w:r w:rsidRPr="002541FB">
        <w:rPr>
          <w:i/>
          <w:sz w:val="24"/>
        </w:rPr>
        <w:t>Stk.</w:t>
      </w:r>
      <w:r>
        <w:rPr>
          <w:i/>
          <w:sz w:val="24"/>
        </w:rPr>
        <w:t xml:space="preserve"> </w:t>
      </w:r>
      <w:r w:rsidRPr="002541FB">
        <w:rPr>
          <w:i/>
          <w:sz w:val="24"/>
        </w:rPr>
        <w:t>5.</w:t>
      </w:r>
      <w:r w:rsidRPr="00E12FEB">
        <w:rPr>
          <w:sz w:val="24"/>
        </w:rPr>
        <w:t xml:space="preserve"> Motorankenævnet vælger en næstformand.</w:t>
      </w:r>
    </w:p>
    <w:p w:rsidR="00146DA1" w:rsidRDefault="00146DA1" w:rsidP="00146DA1">
      <w:pPr>
        <w:widowControl/>
        <w:jc w:val="both"/>
        <w:rPr>
          <w:sz w:val="24"/>
        </w:rPr>
      </w:pPr>
      <w:r w:rsidRPr="002541FB">
        <w:rPr>
          <w:i/>
          <w:sz w:val="24"/>
        </w:rPr>
        <w:t>Stk. 6.</w:t>
      </w:r>
      <w:r w:rsidRPr="00E12FEB">
        <w:rPr>
          <w:sz w:val="24"/>
        </w:rPr>
        <w:t xml:space="preserve"> Valg efter stk. 4 og stk. 5 ledes af den nyvalgte formand eller i dennes fravær af det medlem, der har ledet formandsvalget. Valget foregår i øvrigt efter samme regler som formandsvalget.</w:t>
      </w:r>
    </w:p>
    <w:p w:rsidR="00146DA1" w:rsidRPr="00E12FEB" w:rsidRDefault="00146DA1" w:rsidP="00146DA1">
      <w:pPr>
        <w:widowControl/>
        <w:jc w:val="both"/>
        <w:rPr>
          <w:sz w:val="24"/>
        </w:rPr>
      </w:pPr>
    </w:p>
    <w:p w:rsidR="00146DA1" w:rsidRPr="002541FB" w:rsidRDefault="00146DA1" w:rsidP="00146DA1">
      <w:pPr>
        <w:widowControl/>
        <w:jc w:val="center"/>
        <w:rPr>
          <w:i/>
          <w:sz w:val="24"/>
        </w:rPr>
      </w:pPr>
      <w:r w:rsidRPr="002541FB">
        <w:rPr>
          <w:i/>
          <w:sz w:val="24"/>
        </w:rPr>
        <w:t>Indkaldelse af suppleant</w:t>
      </w:r>
      <w:r w:rsidRPr="002541FB">
        <w:rPr>
          <w:i/>
          <w:sz w:val="24"/>
        </w:rPr>
        <w:cr/>
      </w:r>
    </w:p>
    <w:p w:rsidR="00146DA1" w:rsidRPr="002541FB" w:rsidRDefault="00146DA1" w:rsidP="00146DA1">
      <w:pPr>
        <w:widowControl/>
        <w:jc w:val="both"/>
        <w:rPr>
          <w:b/>
          <w:sz w:val="24"/>
        </w:rPr>
      </w:pPr>
      <w:r>
        <w:rPr>
          <w:b/>
          <w:sz w:val="24"/>
        </w:rPr>
        <w:t>§ 5</w:t>
      </w:r>
      <w:r w:rsidRPr="002541FB">
        <w:rPr>
          <w:b/>
          <w:sz w:val="24"/>
        </w:rPr>
        <w:t>.</w:t>
      </w:r>
      <w:r>
        <w:rPr>
          <w:b/>
          <w:sz w:val="24"/>
        </w:rPr>
        <w:t xml:space="preserve"> </w:t>
      </w:r>
      <w:r w:rsidRPr="00E12FEB">
        <w:rPr>
          <w:sz w:val="24"/>
        </w:rPr>
        <w:t xml:space="preserve">Afbud </w:t>
      </w:r>
      <w:r>
        <w:rPr>
          <w:sz w:val="24"/>
        </w:rPr>
        <w:t xml:space="preserve">til møder </w:t>
      </w:r>
      <w:r w:rsidRPr="00E12FEB">
        <w:rPr>
          <w:sz w:val="24"/>
        </w:rPr>
        <w:t xml:space="preserve">meddeles til </w:t>
      </w:r>
      <w:r>
        <w:rPr>
          <w:sz w:val="24"/>
        </w:rPr>
        <w:t>Skatteankestyrelsen</w:t>
      </w:r>
      <w:r w:rsidRPr="00E12FEB">
        <w:rPr>
          <w:sz w:val="24"/>
        </w:rPr>
        <w:t>, der orientere</w:t>
      </w:r>
      <w:r w:rsidR="00683A60">
        <w:rPr>
          <w:sz w:val="24"/>
        </w:rPr>
        <w:t>r</w:t>
      </w:r>
      <w:r w:rsidRPr="00E12FEB">
        <w:rPr>
          <w:sz w:val="24"/>
        </w:rPr>
        <w:t xml:space="preserve"> formanden. Suppleanten skal indkaldes i følgende situationer: </w:t>
      </w:r>
    </w:p>
    <w:p w:rsidR="00146DA1" w:rsidRPr="00E12FEB" w:rsidRDefault="00146DA1" w:rsidP="00146DA1">
      <w:pPr>
        <w:widowControl/>
        <w:jc w:val="both"/>
        <w:rPr>
          <w:sz w:val="24"/>
        </w:rPr>
      </w:pPr>
      <w:r w:rsidRPr="00E12FEB">
        <w:rPr>
          <w:sz w:val="24"/>
        </w:rPr>
        <w:t>1)</w:t>
      </w:r>
      <w:r>
        <w:rPr>
          <w:sz w:val="24"/>
        </w:rPr>
        <w:t xml:space="preserve"> </w:t>
      </w:r>
      <w:r w:rsidRPr="00E12FEB">
        <w:rPr>
          <w:sz w:val="24"/>
        </w:rPr>
        <w:tab/>
        <w:t>Der er tale om det konstituerende møde.</w:t>
      </w:r>
    </w:p>
    <w:p w:rsidR="00146DA1" w:rsidRPr="00E12FEB" w:rsidRDefault="00146DA1" w:rsidP="00146DA1">
      <w:pPr>
        <w:widowControl/>
        <w:jc w:val="both"/>
        <w:rPr>
          <w:sz w:val="24"/>
        </w:rPr>
      </w:pPr>
      <w:r w:rsidRPr="00E12FEB">
        <w:rPr>
          <w:sz w:val="24"/>
        </w:rPr>
        <w:t>2)</w:t>
      </w:r>
      <w:r>
        <w:rPr>
          <w:sz w:val="24"/>
        </w:rPr>
        <w:t xml:space="preserve"> </w:t>
      </w:r>
      <w:r w:rsidRPr="00E12FEB">
        <w:rPr>
          <w:sz w:val="24"/>
        </w:rPr>
        <w:tab/>
        <w:t>Det medlem, der ikke kan deltage, forlanger det.</w:t>
      </w:r>
    </w:p>
    <w:p w:rsidR="00146DA1" w:rsidRPr="00E12FEB" w:rsidRDefault="00146DA1" w:rsidP="00146DA1">
      <w:pPr>
        <w:widowControl/>
        <w:jc w:val="both"/>
        <w:rPr>
          <w:sz w:val="24"/>
        </w:rPr>
      </w:pPr>
      <w:r w:rsidRPr="00E12FEB">
        <w:rPr>
          <w:sz w:val="24"/>
        </w:rPr>
        <w:t>3)</w:t>
      </w:r>
      <w:r>
        <w:rPr>
          <w:sz w:val="24"/>
        </w:rPr>
        <w:t xml:space="preserve"> </w:t>
      </w:r>
      <w:r w:rsidRPr="00E12FEB">
        <w:rPr>
          <w:sz w:val="24"/>
        </w:rPr>
        <w:tab/>
        <w:t>Det på forhånd er kendt, at medlemmet vil være fraværende i mindst 2 måneder.</w:t>
      </w:r>
    </w:p>
    <w:p w:rsidR="00146DA1" w:rsidRPr="00E12FEB" w:rsidRDefault="00146DA1" w:rsidP="00146DA1">
      <w:pPr>
        <w:widowControl/>
        <w:jc w:val="both"/>
        <w:rPr>
          <w:sz w:val="24"/>
        </w:rPr>
      </w:pPr>
      <w:r w:rsidRPr="00E12FEB">
        <w:rPr>
          <w:sz w:val="24"/>
        </w:rPr>
        <w:t>4)</w:t>
      </w:r>
      <w:r w:rsidRPr="00E12FEB">
        <w:rPr>
          <w:sz w:val="24"/>
        </w:rPr>
        <w:tab/>
      </w:r>
      <w:r>
        <w:rPr>
          <w:sz w:val="24"/>
        </w:rPr>
        <w:t xml:space="preserve"> </w:t>
      </w:r>
      <w:r w:rsidRPr="00E12FEB">
        <w:rPr>
          <w:sz w:val="24"/>
        </w:rPr>
        <w:t>Når formanden i øvrigt træffer beslutning herom.</w:t>
      </w:r>
    </w:p>
    <w:p w:rsidR="00146DA1" w:rsidRDefault="00146DA1" w:rsidP="00146DA1">
      <w:pPr>
        <w:widowControl/>
        <w:jc w:val="both"/>
        <w:rPr>
          <w:sz w:val="24"/>
        </w:rPr>
      </w:pPr>
      <w:r w:rsidRPr="002541FB">
        <w:rPr>
          <w:i/>
          <w:sz w:val="24"/>
        </w:rPr>
        <w:t>Stk.</w:t>
      </w:r>
      <w:r>
        <w:rPr>
          <w:i/>
          <w:sz w:val="24"/>
        </w:rPr>
        <w:t xml:space="preserve"> </w:t>
      </w:r>
      <w:r w:rsidRPr="002541FB">
        <w:rPr>
          <w:i/>
          <w:sz w:val="24"/>
        </w:rPr>
        <w:t>2.</w:t>
      </w:r>
      <w:r w:rsidRPr="00E12FEB">
        <w:rPr>
          <w:sz w:val="24"/>
        </w:rPr>
        <w:t xml:space="preserve"> En suppleant, der deltager i stedet for formanden eller en næstformand, deltager som almindeligt medlem af ankenævnet.</w:t>
      </w:r>
    </w:p>
    <w:p w:rsidR="00146DA1" w:rsidRDefault="00146DA1" w:rsidP="00146DA1">
      <w:pPr>
        <w:widowControl/>
        <w:jc w:val="both"/>
        <w:rPr>
          <w:sz w:val="24"/>
        </w:rPr>
      </w:pPr>
    </w:p>
    <w:p w:rsidR="00E40AAC" w:rsidRDefault="00146DA1" w:rsidP="00146DA1">
      <w:pPr>
        <w:widowControl/>
        <w:jc w:val="center"/>
        <w:rPr>
          <w:i/>
          <w:sz w:val="24"/>
        </w:rPr>
      </w:pPr>
      <w:r w:rsidRPr="002541FB">
        <w:rPr>
          <w:i/>
          <w:sz w:val="24"/>
        </w:rPr>
        <w:t xml:space="preserve">Fritagelse </w:t>
      </w:r>
      <w:r>
        <w:rPr>
          <w:i/>
          <w:sz w:val="24"/>
        </w:rPr>
        <w:t>for hvervet som</w:t>
      </w:r>
      <w:r w:rsidRPr="002541FB">
        <w:rPr>
          <w:i/>
          <w:sz w:val="24"/>
        </w:rPr>
        <w:t xml:space="preserve"> formand eller næstformand</w:t>
      </w:r>
    </w:p>
    <w:p w:rsidR="00146DA1" w:rsidRPr="002541FB" w:rsidRDefault="00146DA1" w:rsidP="00146DA1">
      <w:pPr>
        <w:widowControl/>
        <w:jc w:val="center"/>
        <w:rPr>
          <w:i/>
          <w:sz w:val="24"/>
        </w:rPr>
      </w:pPr>
      <w:r w:rsidRPr="002541FB">
        <w:rPr>
          <w:i/>
          <w:sz w:val="24"/>
        </w:rPr>
        <w:t xml:space="preserve"> </w:t>
      </w:r>
    </w:p>
    <w:p w:rsidR="00146DA1" w:rsidRPr="00E12FEB" w:rsidRDefault="00146DA1" w:rsidP="00146DA1">
      <w:pPr>
        <w:widowControl/>
        <w:jc w:val="both"/>
        <w:rPr>
          <w:sz w:val="24"/>
        </w:rPr>
      </w:pPr>
      <w:r w:rsidRPr="002541FB">
        <w:rPr>
          <w:b/>
          <w:sz w:val="24"/>
        </w:rPr>
        <w:t xml:space="preserve">§ </w:t>
      </w:r>
      <w:r>
        <w:rPr>
          <w:b/>
          <w:sz w:val="24"/>
        </w:rPr>
        <w:t>6</w:t>
      </w:r>
      <w:r w:rsidRPr="002541FB">
        <w:rPr>
          <w:b/>
          <w:sz w:val="24"/>
        </w:rPr>
        <w:t>.</w:t>
      </w:r>
      <w:r>
        <w:rPr>
          <w:b/>
          <w:sz w:val="24"/>
        </w:rPr>
        <w:t xml:space="preserve"> </w:t>
      </w:r>
      <w:r w:rsidRPr="00E12FEB">
        <w:rPr>
          <w:sz w:val="24"/>
        </w:rPr>
        <w:t xml:space="preserve">Ankenævnet kan fritage formanden eller en næstformand for hvervet som </w:t>
      </w:r>
      <w:r>
        <w:rPr>
          <w:sz w:val="24"/>
        </w:rPr>
        <w:t>formand eller næstformand</w:t>
      </w:r>
      <w:r w:rsidRPr="00E12FEB">
        <w:rPr>
          <w:sz w:val="24"/>
        </w:rPr>
        <w:t xml:space="preserve"> for resten af funktionsperioden, hvis den pågældende anmoder om det. Når en formand eller en næstformand fritages for sit hverv, udtræder af ankenævnet eller har fået bevilget orlov i funktionsperioden, vælges der ny formand,</w:t>
      </w:r>
      <w:r>
        <w:rPr>
          <w:sz w:val="24"/>
        </w:rPr>
        <w:t xml:space="preserve"> respektive næstformand, jf. § 4</w:t>
      </w:r>
      <w:r w:rsidRPr="00E12FEB">
        <w:rPr>
          <w:sz w:val="24"/>
        </w:rPr>
        <w:t>, stk. 2-6. Valget har gyldighed for resten af funktionsperioden. Ved orlov har valget alene gyldighed i orlovsperioden</w:t>
      </w:r>
    </w:p>
    <w:p w:rsidR="00146DA1" w:rsidRDefault="00146DA1" w:rsidP="00146DA1">
      <w:pPr>
        <w:widowControl/>
        <w:jc w:val="both"/>
        <w:rPr>
          <w:sz w:val="24"/>
        </w:rPr>
      </w:pPr>
    </w:p>
    <w:p w:rsidR="00146DA1" w:rsidRPr="002541FB" w:rsidRDefault="00146DA1" w:rsidP="00146DA1">
      <w:pPr>
        <w:widowControl/>
        <w:jc w:val="center"/>
        <w:rPr>
          <w:i/>
          <w:sz w:val="24"/>
        </w:rPr>
      </w:pPr>
      <w:r w:rsidRPr="002541FB">
        <w:rPr>
          <w:i/>
          <w:sz w:val="24"/>
        </w:rPr>
        <w:t>Besluttende led</w:t>
      </w:r>
      <w:r w:rsidRPr="002541FB">
        <w:rPr>
          <w:i/>
          <w:sz w:val="24"/>
        </w:rPr>
        <w:cr/>
      </w:r>
    </w:p>
    <w:p w:rsidR="00146DA1" w:rsidRPr="00E12FEB" w:rsidRDefault="00146DA1" w:rsidP="00146DA1">
      <w:pPr>
        <w:widowControl/>
        <w:jc w:val="both"/>
        <w:rPr>
          <w:sz w:val="24"/>
        </w:rPr>
      </w:pPr>
      <w:r w:rsidRPr="002541FB">
        <w:rPr>
          <w:b/>
          <w:sz w:val="24"/>
        </w:rPr>
        <w:t xml:space="preserve">§ </w:t>
      </w:r>
      <w:r>
        <w:rPr>
          <w:b/>
          <w:sz w:val="24"/>
        </w:rPr>
        <w:t>7</w:t>
      </w:r>
      <w:r w:rsidRPr="002541FB">
        <w:rPr>
          <w:b/>
          <w:sz w:val="24"/>
        </w:rPr>
        <w:t>.</w:t>
      </w:r>
      <w:r>
        <w:rPr>
          <w:b/>
          <w:sz w:val="24"/>
        </w:rPr>
        <w:t xml:space="preserve"> </w:t>
      </w:r>
      <w:r>
        <w:rPr>
          <w:sz w:val="24"/>
        </w:rPr>
        <w:t>Hvis et a</w:t>
      </w:r>
      <w:r w:rsidRPr="00E12FEB">
        <w:rPr>
          <w:sz w:val="24"/>
        </w:rPr>
        <w:t>nkenævn</w:t>
      </w:r>
      <w:r>
        <w:rPr>
          <w:sz w:val="24"/>
        </w:rPr>
        <w:t xml:space="preserve"> har</w:t>
      </w:r>
      <w:r w:rsidRPr="00E12FEB">
        <w:rPr>
          <w:sz w:val="24"/>
        </w:rPr>
        <w:t xml:space="preserve"> opdel</w:t>
      </w:r>
      <w:r>
        <w:rPr>
          <w:sz w:val="24"/>
        </w:rPr>
        <w:t>t</w:t>
      </w:r>
      <w:r w:rsidRPr="00E12FEB">
        <w:rPr>
          <w:sz w:val="24"/>
        </w:rPr>
        <w:t xml:space="preserve"> sig i besluttende led</w:t>
      </w:r>
      <w:r>
        <w:rPr>
          <w:sz w:val="24"/>
        </w:rPr>
        <w:t>, jf. skatteforvaltningslovens § 10, stk. 3, skal</w:t>
      </w:r>
      <w:r w:rsidRPr="00E12FEB">
        <w:rPr>
          <w:sz w:val="24"/>
        </w:rPr>
        <w:t xml:space="preserve"> </w:t>
      </w:r>
      <w:r>
        <w:rPr>
          <w:sz w:val="24"/>
        </w:rPr>
        <w:t>e</w:t>
      </w:r>
      <w:r w:rsidRPr="00E12FEB">
        <w:rPr>
          <w:sz w:val="24"/>
        </w:rPr>
        <w:t>thvert medlem have plads i mindst et led.</w:t>
      </w:r>
    </w:p>
    <w:p w:rsidR="00146DA1" w:rsidRPr="00E12FEB" w:rsidRDefault="00146DA1" w:rsidP="00146DA1">
      <w:pPr>
        <w:widowControl/>
        <w:jc w:val="both"/>
        <w:rPr>
          <w:sz w:val="24"/>
        </w:rPr>
      </w:pPr>
      <w:r w:rsidRPr="002541FB">
        <w:rPr>
          <w:i/>
          <w:sz w:val="24"/>
        </w:rPr>
        <w:t>Stk. 2.</w:t>
      </w:r>
      <w:r w:rsidRPr="00E12FEB">
        <w:rPr>
          <w:sz w:val="24"/>
        </w:rPr>
        <w:t xml:space="preserve"> Er et andet medlem af et besluttende</w:t>
      </w:r>
      <w:r>
        <w:rPr>
          <w:sz w:val="24"/>
        </w:rPr>
        <w:t xml:space="preserve"> </w:t>
      </w:r>
      <w:r w:rsidRPr="00E12FEB">
        <w:rPr>
          <w:sz w:val="24"/>
        </w:rPr>
        <w:t>led end formanden</w:t>
      </w:r>
      <w:r w:rsidR="00D24C8C">
        <w:rPr>
          <w:sz w:val="24"/>
        </w:rPr>
        <w:t xml:space="preserve"> eller </w:t>
      </w:r>
      <w:r w:rsidRPr="00E12FEB">
        <w:rPr>
          <w:sz w:val="24"/>
        </w:rPr>
        <w:t>næstformanden forhindret i at deltage i et møde, kan formanden beslutte, at leddet skal suppleres med et medlem fra et andet besluttende led.</w:t>
      </w:r>
    </w:p>
    <w:p w:rsidR="00146DA1" w:rsidRPr="00E12FEB" w:rsidRDefault="00146DA1" w:rsidP="00146DA1">
      <w:pPr>
        <w:widowControl/>
        <w:jc w:val="both"/>
        <w:rPr>
          <w:sz w:val="24"/>
        </w:rPr>
      </w:pPr>
      <w:r w:rsidRPr="00E57EDA">
        <w:rPr>
          <w:i/>
          <w:sz w:val="24"/>
        </w:rPr>
        <w:t>Stk.</w:t>
      </w:r>
      <w:r>
        <w:rPr>
          <w:i/>
          <w:sz w:val="24"/>
        </w:rPr>
        <w:t xml:space="preserve"> </w:t>
      </w:r>
      <w:r w:rsidRPr="00E57EDA">
        <w:rPr>
          <w:i/>
          <w:sz w:val="24"/>
        </w:rPr>
        <w:t>3.</w:t>
      </w:r>
      <w:r w:rsidRPr="00E12FEB">
        <w:rPr>
          <w:sz w:val="24"/>
        </w:rPr>
        <w:t xml:space="preserve"> Et medlem af et besluttende led kan forlange en sag forelagt for det samlede ankenævn.</w:t>
      </w:r>
    </w:p>
    <w:p w:rsidR="00146DA1" w:rsidRPr="00E12FEB" w:rsidRDefault="00146DA1" w:rsidP="00146DA1">
      <w:pPr>
        <w:widowControl/>
        <w:jc w:val="both"/>
        <w:rPr>
          <w:sz w:val="24"/>
        </w:rPr>
      </w:pPr>
      <w:r w:rsidRPr="00E57EDA">
        <w:rPr>
          <w:i/>
          <w:sz w:val="24"/>
        </w:rPr>
        <w:t>Stk.</w:t>
      </w:r>
      <w:r>
        <w:rPr>
          <w:i/>
          <w:sz w:val="24"/>
        </w:rPr>
        <w:t xml:space="preserve"> </w:t>
      </w:r>
      <w:r w:rsidRPr="00E57EDA">
        <w:rPr>
          <w:i/>
          <w:sz w:val="24"/>
        </w:rPr>
        <w:t>4.</w:t>
      </w:r>
      <w:r w:rsidRPr="00E12FEB">
        <w:rPr>
          <w:sz w:val="24"/>
        </w:rPr>
        <w:t xml:space="preserve"> Ved et møde i et besluttende led har et ankenævnsmedlem, som ikke er medlem af det besluttende led, ret til følgende: </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Pr="00E12FEB">
        <w:rPr>
          <w:sz w:val="24"/>
        </w:rPr>
        <w:t>Få en kopi af dagsordenen.</w:t>
      </w:r>
    </w:p>
    <w:p w:rsidR="00146DA1" w:rsidRPr="00E12FEB" w:rsidRDefault="00146DA1" w:rsidP="00146DA1">
      <w:pPr>
        <w:widowControl/>
        <w:jc w:val="both"/>
        <w:rPr>
          <w:sz w:val="24"/>
        </w:rPr>
      </w:pPr>
      <w:r w:rsidRPr="00E12FEB">
        <w:rPr>
          <w:sz w:val="24"/>
        </w:rPr>
        <w:t>2)</w:t>
      </w:r>
      <w:r w:rsidRPr="00E12FEB">
        <w:rPr>
          <w:sz w:val="24"/>
        </w:rPr>
        <w:tab/>
      </w:r>
      <w:r>
        <w:rPr>
          <w:sz w:val="24"/>
        </w:rPr>
        <w:t xml:space="preserve"> </w:t>
      </w:r>
      <w:r w:rsidRPr="00E12FEB">
        <w:rPr>
          <w:sz w:val="24"/>
        </w:rPr>
        <w:t>Deltage i mødet, herunder have mulighed for at udtale sig i konkrete sager</w:t>
      </w:r>
      <w:r>
        <w:rPr>
          <w:sz w:val="24"/>
        </w:rPr>
        <w:t>,</w:t>
      </w:r>
      <w:r w:rsidRPr="00E12FEB">
        <w:rPr>
          <w:sz w:val="24"/>
        </w:rPr>
        <w:t xml:space="preserve"> dog uden stemmeret.</w:t>
      </w:r>
    </w:p>
    <w:p w:rsidR="00146DA1" w:rsidRPr="00E12FEB" w:rsidRDefault="00146DA1" w:rsidP="00146DA1">
      <w:pPr>
        <w:widowControl/>
        <w:jc w:val="both"/>
        <w:rPr>
          <w:sz w:val="24"/>
        </w:rPr>
      </w:pPr>
      <w:r w:rsidRPr="00E12FEB">
        <w:rPr>
          <w:sz w:val="24"/>
        </w:rPr>
        <w:t>3)</w:t>
      </w:r>
      <w:r w:rsidRPr="00E12FEB">
        <w:rPr>
          <w:sz w:val="24"/>
        </w:rPr>
        <w:tab/>
      </w:r>
      <w:r>
        <w:rPr>
          <w:sz w:val="24"/>
        </w:rPr>
        <w:t xml:space="preserve"> </w:t>
      </w:r>
      <w:r w:rsidRPr="00E12FEB">
        <w:rPr>
          <w:sz w:val="24"/>
        </w:rPr>
        <w:t>Forlange sagen forelagt for det samlede ankenævn.</w:t>
      </w:r>
    </w:p>
    <w:p w:rsidR="00146DA1" w:rsidRPr="00E12FEB" w:rsidRDefault="00146DA1" w:rsidP="00146DA1">
      <w:pPr>
        <w:widowControl/>
        <w:jc w:val="both"/>
        <w:rPr>
          <w:sz w:val="24"/>
        </w:rPr>
      </w:pPr>
    </w:p>
    <w:p w:rsidR="00146DA1" w:rsidRPr="00F93D64" w:rsidRDefault="00146DA1" w:rsidP="00146DA1">
      <w:pPr>
        <w:widowControl/>
        <w:jc w:val="center"/>
        <w:rPr>
          <w:sz w:val="24"/>
        </w:rPr>
      </w:pPr>
      <w:r w:rsidRPr="00F93D64">
        <w:rPr>
          <w:sz w:val="24"/>
        </w:rPr>
        <w:t xml:space="preserve">Kapitel </w:t>
      </w:r>
      <w:r>
        <w:rPr>
          <w:sz w:val="24"/>
        </w:rPr>
        <w:t>4</w:t>
      </w:r>
    </w:p>
    <w:p w:rsidR="00146DA1" w:rsidRDefault="00146DA1" w:rsidP="00146DA1">
      <w:pPr>
        <w:widowControl/>
        <w:jc w:val="center"/>
        <w:rPr>
          <w:i/>
          <w:sz w:val="24"/>
        </w:rPr>
      </w:pPr>
      <w:r>
        <w:rPr>
          <w:i/>
          <w:sz w:val="24"/>
        </w:rPr>
        <w:lastRenderedPageBreak/>
        <w:t>Møder i ankenævnene</w:t>
      </w:r>
    </w:p>
    <w:p w:rsidR="00146DA1" w:rsidRDefault="00146DA1" w:rsidP="00146DA1">
      <w:pPr>
        <w:widowControl/>
        <w:jc w:val="center"/>
        <w:rPr>
          <w:i/>
          <w:sz w:val="24"/>
        </w:rPr>
      </w:pPr>
    </w:p>
    <w:p w:rsidR="00146DA1" w:rsidRPr="00E57EDA" w:rsidRDefault="00146DA1" w:rsidP="00146DA1">
      <w:pPr>
        <w:widowControl/>
        <w:jc w:val="center"/>
        <w:rPr>
          <w:i/>
          <w:sz w:val="24"/>
        </w:rPr>
      </w:pPr>
      <w:r>
        <w:rPr>
          <w:i/>
          <w:sz w:val="24"/>
        </w:rPr>
        <w:t>Afholdelse af møder</w:t>
      </w:r>
    </w:p>
    <w:p w:rsidR="00146DA1" w:rsidRPr="00E12FEB" w:rsidRDefault="00146DA1" w:rsidP="00146DA1">
      <w:pPr>
        <w:widowControl/>
        <w:jc w:val="both"/>
        <w:rPr>
          <w:sz w:val="24"/>
        </w:rPr>
      </w:pPr>
    </w:p>
    <w:p w:rsidR="00146DA1" w:rsidRPr="00E12FEB" w:rsidRDefault="00146DA1" w:rsidP="00146DA1">
      <w:pPr>
        <w:widowControl/>
        <w:jc w:val="both"/>
        <w:rPr>
          <w:sz w:val="24"/>
        </w:rPr>
      </w:pPr>
      <w:r w:rsidRPr="00E57EDA">
        <w:rPr>
          <w:b/>
          <w:sz w:val="24"/>
        </w:rPr>
        <w:t xml:space="preserve">§ </w:t>
      </w:r>
      <w:r>
        <w:rPr>
          <w:b/>
          <w:sz w:val="24"/>
        </w:rPr>
        <w:t>8</w:t>
      </w:r>
      <w:r w:rsidRPr="00E57EDA">
        <w:rPr>
          <w:b/>
          <w:sz w:val="24"/>
        </w:rPr>
        <w:t>.</w:t>
      </w:r>
      <w:r>
        <w:rPr>
          <w:b/>
          <w:sz w:val="24"/>
        </w:rPr>
        <w:t xml:space="preserve"> </w:t>
      </w:r>
      <w:r w:rsidRPr="00E12FEB">
        <w:rPr>
          <w:sz w:val="24"/>
        </w:rPr>
        <w:t>Ankenævnet udøver sin virksomhed i møder, herunder eventuelt i møder i besluttende led.</w:t>
      </w:r>
      <w:r>
        <w:rPr>
          <w:sz w:val="24"/>
        </w:rPr>
        <w:t xml:space="preserve"> </w:t>
      </w:r>
      <w:r w:rsidRPr="00E12FEB">
        <w:rPr>
          <w:sz w:val="24"/>
        </w:rPr>
        <w:t xml:space="preserve">Formanden fastsætter efter aftale med </w:t>
      </w:r>
      <w:r>
        <w:rPr>
          <w:sz w:val="24"/>
        </w:rPr>
        <w:t>Skatteankestyrelsen</w:t>
      </w:r>
      <w:r w:rsidRPr="00E12FEB">
        <w:rPr>
          <w:sz w:val="24"/>
        </w:rPr>
        <w:t xml:space="preserve"> tid og sted for møderne i det samlede ankenævn og i besluttende led. Møderne er ikke offentlige. Lyd- og billedoptagelse af møderne </w:t>
      </w:r>
      <w:r>
        <w:rPr>
          <w:sz w:val="24"/>
        </w:rPr>
        <w:t>må ikke finde sted</w:t>
      </w:r>
      <w:r w:rsidRPr="00E12FEB">
        <w:rPr>
          <w:sz w:val="24"/>
        </w:rPr>
        <w:t>.</w:t>
      </w:r>
    </w:p>
    <w:p w:rsidR="00146DA1" w:rsidRPr="00E12FEB" w:rsidRDefault="00146DA1" w:rsidP="00146DA1">
      <w:pPr>
        <w:widowControl/>
        <w:jc w:val="both"/>
        <w:rPr>
          <w:sz w:val="24"/>
        </w:rPr>
      </w:pPr>
      <w:r w:rsidRPr="00E57EDA">
        <w:rPr>
          <w:i/>
          <w:sz w:val="24"/>
        </w:rPr>
        <w:t>Stk. 2.</w:t>
      </w:r>
      <w:r w:rsidRPr="00E12FEB">
        <w:rPr>
          <w:sz w:val="24"/>
        </w:rPr>
        <w:t xml:space="preserve"> Hvis ankenævnet er opdelt i besluttende led, bestemmer formanden efter aftale med </w:t>
      </w:r>
      <w:r>
        <w:rPr>
          <w:sz w:val="24"/>
        </w:rPr>
        <w:t>Skatteankestyrelsen</w:t>
      </w:r>
      <w:r w:rsidRPr="00E12FEB">
        <w:rPr>
          <w:sz w:val="24"/>
        </w:rPr>
        <w:t xml:space="preserve"> sagernes fordeling på de enkelte </w:t>
      </w:r>
      <w:r>
        <w:rPr>
          <w:sz w:val="24"/>
        </w:rPr>
        <w:t>led efter generelle retningslinj</w:t>
      </w:r>
      <w:r w:rsidRPr="00E12FEB">
        <w:rPr>
          <w:sz w:val="24"/>
        </w:rPr>
        <w:t xml:space="preserve">er, </w:t>
      </w:r>
      <w:r>
        <w:rPr>
          <w:sz w:val="24"/>
        </w:rPr>
        <w:t xml:space="preserve">der er </w:t>
      </w:r>
      <w:r w:rsidRPr="00E12FEB">
        <w:rPr>
          <w:sz w:val="24"/>
        </w:rPr>
        <w:t>fastsat af ankenævnet.</w:t>
      </w:r>
    </w:p>
    <w:p w:rsidR="00146DA1" w:rsidRPr="00E12FEB" w:rsidRDefault="00146DA1" w:rsidP="00146DA1">
      <w:pPr>
        <w:widowControl/>
        <w:jc w:val="both"/>
        <w:rPr>
          <w:sz w:val="24"/>
        </w:rPr>
      </w:pPr>
      <w:r w:rsidRPr="00E57EDA">
        <w:rPr>
          <w:i/>
          <w:sz w:val="24"/>
        </w:rPr>
        <w:t>Stk. 3.</w:t>
      </w:r>
      <w:r w:rsidRPr="00E12FEB">
        <w:rPr>
          <w:sz w:val="24"/>
        </w:rPr>
        <w:t xml:space="preserve"> </w:t>
      </w:r>
      <w:r>
        <w:rPr>
          <w:sz w:val="24"/>
        </w:rPr>
        <w:t>Medlemmerne skal indkaldes til møde med mindst en uges varsel, medmindre særlige forhold gør en kortere frist påkrævet.</w:t>
      </w:r>
      <w:r w:rsidRPr="00E12FEB" w:rsidDel="00636709">
        <w:rPr>
          <w:sz w:val="24"/>
        </w:rPr>
        <w:t xml:space="preserve"> </w:t>
      </w:r>
      <w:r w:rsidRPr="00E12FEB">
        <w:rPr>
          <w:sz w:val="24"/>
        </w:rPr>
        <w:cr/>
      </w:r>
      <w:r w:rsidRPr="00E57EDA">
        <w:rPr>
          <w:i/>
          <w:sz w:val="24"/>
        </w:rPr>
        <w:t>Stk. 4.</w:t>
      </w:r>
      <w:r w:rsidRPr="00E12FEB">
        <w:rPr>
          <w:sz w:val="24"/>
        </w:rPr>
        <w:t xml:space="preserve"> Når mindst 1/3 af medlemmerne forlanger det, skal formanden inden 14 dage indkalde til et møde.</w:t>
      </w:r>
    </w:p>
    <w:p w:rsidR="00146DA1" w:rsidRPr="00E12FEB" w:rsidRDefault="00146DA1" w:rsidP="00146DA1">
      <w:pPr>
        <w:widowControl/>
        <w:jc w:val="both"/>
        <w:rPr>
          <w:sz w:val="24"/>
        </w:rPr>
      </w:pPr>
      <w:r w:rsidRPr="00E57EDA">
        <w:rPr>
          <w:i/>
          <w:sz w:val="24"/>
        </w:rPr>
        <w:t>Stk. 5.</w:t>
      </w:r>
      <w:r w:rsidRPr="00E12FEB">
        <w:rPr>
          <w:sz w:val="24"/>
        </w:rPr>
        <w:t xml:space="preserve"> Formanden fastsætter </w:t>
      </w:r>
      <w:r w:rsidR="008E7B75">
        <w:rPr>
          <w:sz w:val="24"/>
        </w:rPr>
        <w:t xml:space="preserve">efter aftale med Skatteankestyrelsen </w:t>
      </w:r>
      <w:r w:rsidRPr="00E12FEB">
        <w:rPr>
          <w:sz w:val="24"/>
        </w:rPr>
        <w:t>dagsordenen til de enkelte møder.</w:t>
      </w:r>
    </w:p>
    <w:p w:rsidR="00146DA1" w:rsidRPr="00E12FEB" w:rsidRDefault="00146DA1" w:rsidP="00146DA1">
      <w:pPr>
        <w:widowControl/>
        <w:jc w:val="both"/>
        <w:rPr>
          <w:sz w:val="24"/>
        </w:rPr>
      </w:pPr>
      <w:r w:rsidRPr="00E57EDA">
        <w:rPr>
          <w:i/>
          <w:sz w:val="24"/>
        </w:rPr>
        <w:t>Stk. 6.</w:t>
      </w:r>
      <w:r w:rsidRPr="00E12FEB">
        <w:rPr>
          <w:sz w:val="24"/>
        </w:rPr>
        <w:t xml:space="preserve"> </w:t>
      </w:r>
      <w:r w:rsidR="008E7B75">
        <w:rPr>
          <w:sz w:val="24"/>
        </w:rPr>
        <w:t>Skatteankestyrelsen udsender</w:t>
      </w:r>
      <w:r w:rsidRPr="00E12FEB">
        <w:rPr>
          <w:sz w:val="24"/>
        </w:rPr>
        <w:t xml:space="preserve"> dagsordenen </w:t>
      </w:r>
      <w:r w:rsidR="008E7B75">
        <w:rPr>
          <w:sz w:val="24"/>
        </w:rPr>
        <w:t>og</w:t>
      </w:r>
      <w:r w:rsidRPr="00E12FEB">
        <w:rPr>
          <w:sz w:val="24"/>
        </w:rPr>
        <w:t xml:space="preserve"> for hver sag følgende materiale til medlemmerne: </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00B648E6">
        <w:rPr>
          <w:sz w:val="24"/>
        </w:rPr>
        <w:t>Skatteankestyrelsens s</w:t>
      </w:r>
      <w:r w:rsidRPr="00E12FEB">
        <w:rPr>
          <w:sz w:val="24"/>
        </w:rPr>
        <w:t>agsfremstilling med forslag til afgørelse</w:t>
      </w:r>
      <w:r w:rsidR="00B648E6">
        <w:rPr>
          <w:sz w:val="24"/>
        </w:rPr>
        <w:t xml:space="preserve"> samt klagerens eventuelle bemærkninger hertil</w:t>
      </w:r>
      <w:r w:rsidRPr="00E12FEB">
        <w:rPr>
          <w:sz w:val="24"/>
        </w:rPr>
        <w:t>.</w:t>
      </w:r>
    </w:p>
    <w:p w:rsidR="00B648E6" w:rsidRDefault="00146DA1" w:rsidP="00146DA1">
      <w:pPr>
        <w:widowControl/>
        <w:jc w:val="both"/>
        <w:rPr>
          <w:sz w:val="24"/>
        </w:rPr>
      </w:pPr>
      <w:r w:rsidRPr="00E12FEB">
        <w:rPr>
          <w:sz w:val="24"/>
        </w:rPr>
        <w:t>2)</w:t>
      </w:r>
      <w:r w:rsidRPr="00E12FEB">
        <w:rPr>
          <w:sz w:val="24"/>
        </w:rPr>
        <w:tab/>
      </w:r>
      <w:r>
        <w:rPr>
          <w:sz w:val="24"/>
        </w:rPr>
        <w:t xml:space="preserve"> </w:t>
      </w:r>
      <w:r w:rsidR="00B648E6">
        <w:rPr>
          <w:sz w:val="24"/>
        </w:rPr>
        <w:t>Skatteankestyrelsens indstilling til sagens afgørelse.</w:t>
      </w:r>
    </w:p>
    <w:p w:rsidR="00146DA1" w:rsidRPr="00E12FEB" w:rsidRDefault="0012557C" w:rsidP="00146DA1">
      <w:pPr>
        <w:widowControl/>
        <w:jc w:val="both"/>
        <w:rPr>
          <w:sz w:val="24"/>
        </w:rPr>
      </w:pPr>
      <w:r>
        <w:rPr>
          <w:sz w:val="24"/>
        </w:rPr>
        <w:t>3</w:t>
      </w:r>
      <w:r w:rsidR="00B648E6" w:rsidRPr="00B648E6">
        <w:rPr>
          <w:sz w:val="24"/>
        </w:rPr>
        <w:t>)</w:t>
      </w:r>
      <w:r w:rsidR="00B648E6">
        <w:rPr>
          <w:sz w:val="24"/>
        </w:rPr>
        <w:t xml:space="preserve"> </w:t>
      </w:r>
      <w:r w:rsidR="00146DA1" w:rsidRPr="00E12FEB">
        <w:rPr>
          <w:sz w:val="24"/>
        </w:rPr>
        <w:t>Oplysninger om, hvorvidt klager ønsker at udtale sig mundtligt over for ankenævnet.</w:t>
      </w:r>
    </w:p>
    <w:p w:rsidR="00146DA1" w:rsidRPr="00E12FEB" w:rsidRDefault="006F6678" w:rsidP="00146DA1">
      <w:pPr>
        <w:widowControl/>
        <w:jc w:val="both"/>
        <w:rPr>
          <w:sz w:val="24"/>
        </w:rPr>
      </w:pPr>
      <w:r w:rsidRPr="00E57EDA">
        <w:rPr>
          <w:i/>
          <w:sz w:val="24"/>
        </w:rPr>
        <w:t>Stk.</w:t>
      </w:r>
      <w:r>
        <w:rPr>
          <w:i/>
          <w:sz w:val="24"/>
        </w:rPr>
        <w:t xml:space="preserve"> 7</w:t>
      </w:r>
      <w:r w:rsidRPr="00E57EDA">
        <w:rPr>
          <w:i/>
          <w:sz w:val="24"/>
        </w:rPr>
        <w:t>.</w:t>
      </w:r>
      <w:r w:rsidRPr="00E12FEB">
        <w:rPr>
          <w:sz w:val="24"/>
        </w:rPr>
        <w:t xml:space="preserve"> </w:t>
      </w:r>
      <w:r w:rsidR="00146DA1" w:rsidRPr="00E12FEB">
        <w:rPr>
          <w:sz w:val="24"/>
        </w:rPr>
        <w:t xml:space="preserve">Hvis medlemmerne tidligere har modtaget materialet, sendes det ikke igen. Hvis der er tale om et antal enslydende sager, kan </w:t>
      </w:r>
      <w:r w:rsidR="00146DA1">
        <w:rPr>
          <w:sz w:val="24"/>
        </w:rPr>
        <w:t>Skatteankestyrelsen</w:t>
      </w:r>
      <w:r w:rsidR="00146DA1" w:rsidRPr="00E12FEB">
        <w:rPr>
          <w:sz w:val="24"/>
        </w:rPr>
        <w:t xml:space="preserve"> beslutte, at der kun sendes</w:t>
      </w:r>
      <w:r w:rsidR="00146DA1">
        <w:rPr>
          <w:sz w:val="24"/>
        </w:rPr>
        <w:t xml:space="preserve"> materiale vedrørende én sag, som angives som eksempel for alle sagerne</w:t>
      </w:r>
      <w:r w:rsidR="00146DA1" w:rsidRPr="00E12FEB">
        <w:rPr>
          <w:sz w:val="24"/>
        </w:rPr>
        <w:t>.</w:t>
      </w:r>
    </w:p>
    <w:p w:rsidR="00146DA1" w:rsidRPr="00E12FEB" w:rsidRDefault="00146DA1" w:rsidP="00146DA1">
      <w:pPr>
        <w:widowControl/>
        <w:jc w:val="both"/>
        <w:rPr>
          <w:sz w:val="24"/>
        </w:rPr>
      </w:pPr>
      <w:r w:rsidRPr="00E57EDA">
        <w:rPr>
          <w:i/>
          <w:sz w:val="24"/>
        </w:rPr>
        <w:t>Stk.</w:t>
      </w:r>
      <w:r>
        <w:rPr>
          <w:i/>
          <w:sz w:val="24"/>
        </w:rPr>
        <w:t xml:space="preserve"> </w:t>
      </w:r>
      <w:r w:rsidR="006F6678">
        <w:rPr>
          <w:i/>
          <w:sz w:val="24"/>
        </w:rPr>
        <w:t>8</w:t>
      </w:r>
      <w:r w:rsidRPr="00E57EDA">
        <w:rPr>
          <w:i/>
          <w:sz w:val="24"/>
        </w:rPr>
        <w:t>.</w:t>
      </w:r>
      <w:r w:rsidRPr="00E12FEB">
        <w:rPr>
          <w:sz w:val="24"/>
        </w:rPr>
        <w:t xml:space="preserve"> </w:t>
      </w:r>
      <w:r>
        <w:rPr>
          <w:sz w:val="24"/>
        </w:rPr>
        <w:t>Ansatte i Skatteankestyrelsen</w:t>
      </w:r>
      <w:r w:rsidRPr="00E12FEB">
        <w:rPr>
          <w:sz w:val="24"/>
        </w:rPr>
        <w:t xml:space="preserve"> er til stede ved ankenævnets møder</w:t>
      </w:r>
      <w:r>
        <w:rPr>
          <w:sz w:val="24"/>
        </w:rPr>
        <w:t>, men</w:t>
      </w:r>
      <w:r w:rsidRPr="00E12FEB">
        <w:rPr>
          <w:sz w:val="24"/>
        </w:rPr>
        <w:t xml:space="preserve"> uden stemmeret.</w:t>
      </w:r>
    </w:p>
    <w:p w:rsidR="00146DA1" w:rsidRDefault="00146DA1" w:rsidP="00146DA1">
      <w:pPr>
        <w:widowControl/>
        <w:jc w:val="both"/>
        <w:rPr>
          <w:sz w:val="24"/>
        </w:rPr>
      </w:pPr>
    </w:p>
    <w:p w:rsidR="00146DA1" w:rsidRPr="00E57EDA" w:rsidRDefault="00146DA1" w:rsidP="00146DA1">
      <w:pPr>
        <w:widowControl/>
        <w:jc w:val="center"/>
        <w:rPr>
          <w:i/>
          <w:sz w:val="24"/>
        </w:rPr>
      </w:pPr>
      <w:r>
        <w:rPr>
          <w:i/>
          <w:sz w:val="24"/>
        </w:rPr>
        <w:t>Mødeledelse og afstemning</w:t>
      </w:r>
    </w:p>
    <w:p w:rsidR="00146DA1" w:rsidRPr="00E12FEB" w:rsidRDefault="00146DA1" w:rsidP="00146DA1">
      <w:pPr>
        <w:widowControl/>
        <w:jc w:val="both"/>
        <w:rPr>
          <w:sz w:val="24"/>
        </w:rPr>
      </w:pPr>
    </w:p>
    <w:p w:rsidR="00146DA1" w:rsidRPr="00E12FEB" w:rsidRDefault="00146DA1" w:rsidP="00146DA1">
      <w:pPr>
        <w:widowControl/>
        <w:jc w:val="both"/>
        <w:rPr>
          <w:sz w:val="24"/>
        </w:rPr>
      </w:pPr>
      <w:r>
        <w:rPr>
          <w:b/>
          <w:sz w:val="24"/>
        </w:rPr>
        <w:t>§ 9</w:t>
      </w:r>
      <w:r w:rsidRPr="00E57EDA">
        <w:rPr>
          <w:b/>
          <w:sz w:val="24"/>
        </w:rPr>
        <w:t>.</w:t>
      </w:r>
      <w:r>
        <w:rPr>
          <w:b/>
          <w:sz w:val="24"/>
        </w:rPr>
        <w:t xml:space="preserve"> </w:t>
      </w:r>
      <w:r w:rsidRPr="00E12FEB">
        <w:rPr>
          <w:sz w:val="24"/>
        </w:rPr>
        <w:t>Formanden for ankenævnet leder møderne i det samlede ankenævn. 1. næstformand, eller</w:t>
      </w:r>
      <w:r w:rsidR="0077578A">
        <w:rPr>
          <w:sz w:val="24"/>
        </w:rPr>
        <w:t xml:space="preserve"> </w:t>
      </w:r>
      <w:r w:rsidRPr="00E12FEB">
        <w:rPr>
          <w:sz w:val="24"/>
        </w:rPr>
        <w:t>ved dennes fravær 2. næstformand, indtræder i formandens stilling, når formanden er forhindret i at udøve sin virksomhed som formand.</w:t>
      </w:r>
    </w:p>
    <w:p w:rsidR="00146DA1" w:rsidRPr="00E12FEB" w:rsidRDefault="00146DA1" w:rsidP="00146DA1">
      <w:pPr>
        <w:widowControl/>
        <w:jc w:val="both"/>
        <w:rPr>
          <w:sz w:val="24"/>
        </w:rPr>
      </w:pPr>
      <w:r w:rsidRPr="00E57EDA">
        <w:rPr>
          <w:i/>
          <w:sz w:val="24"/>
        </w:rPr>
        <w:t>Stk. 2.</w:t>
      </w:r>
      <w:r w:rsidRPr="00E12FEB">
        <w:rPr>
          <w:sz w:val="24"/>
        </w:rPr>
        <w:t xml:space="preserve"> Møder i besluttende led ledes af formanden eller af den næstformand, der er medlem af leddet. Hvis mødeleder er en næstformand</w:t>
      </w:r>
      <w:r>
        <w:rPr>
          <w:sz w:val="24"/>
        </w:rPr>
        <w:t>,</w:t>
      </w:r>
      <w:r w:rsidRPr="00E12FEB">
        <w:rPr>
          <w:sz w:val="24"/>
        </w:rPr>
        <w:t xml:space="preserve"> og denne bliver forhindret, indtræder formanden som mødeleder. Er formanden også forhindret, indtræder den anden næstformand som mødeleder.</w:t>
      </w:r>
    </w:p>
    <w:p w:rsidR="00146DA1" w:rsidRPr="00E12FEB" w:rsidRDefault="00146DA1" w:rsidP="00146DA1">
      <w:pPr>
        <w:widowControl/>
        <w:jc w:val="both"/>
        <w:rPr>
          <w:sz w:val="24"/>
        </w:rPr>
      </w:pPr>
      <w:r w:rsidRPr="00E57EDA">
        <w:rPr>
          <w:i/>
          <w:sz w:val="24"/>
        </w:rPr>
        <w:t>Stk. 3.</w:t>
      </w:r>
      <w:r w:rsidRPr="00E12FEB">
        <w:rPr>
          <w:sz w:val="24"/>
        </w:rPr>
        <w:t xml:space="preserve"> Ankenævnet træffer afgørelse ved afstemning. Afstemningen foregår ved håndsoprækning og afgøres ved stemmeflerhed. Undlader et medlem at stemme, anses medlemmet for at have stemt for det forslag, der er til afstemning. I tilfælde af stemmelighed er mødelederens stemme afgørende.</w:t>
      </w:r>
    </w:p>
    <w:p w:rsidR="007907BA" w:rsidRDefault="00146DA1" w:rsidP="00146DA1">
      <w:pPr>
        <w:widowControl/>
        <w:jc w:val="both"/>
        <w:rPr>
          <w:sz w:val="24"/>
        </w:rPr>
      </w:pPr>
      <w:r w:rsidRPr="00E57EDA">
        <w:rPr>
          <w:i/>
          <w:sz w:val="24"/>
        </w:rPr>
        <w:t>Stk. 4.</w:t>
      </w:r>
      <w:r w:rsidRPr="00E12FEB">
        <w:rPr>
          <w:sz w:val="24"/>
        </w:rPr>
        <w:t xml:space="preserve"> </w:t>
      </w:r>
      <w:r w:rsidR="007907BA" w:rsidRPr="007907BA">
        <w:rPr>
          <w:sz w:val="24"/>
        </w:rPr>
        <w:t>Afstemning kan undlades, hvis mødeleder</w:t>
      </w:r>
      <w:r w:rsidR="007907BA">
        <w:rPr>
          <w:sz w:val="24"/>
        </w:rPr>
        <w:t>en</w:t>
      </w:r>
      <w:r w:rsidR="007907BA" w:rsidRPr="007907BA">
        <w:rPr>
          <w:sz w:val="24"/>
        </w:rPr>
        <w:t xml:space="preserve"> uden videre kan konstatere, at der er flertal for en bestemt afgørelse. Er mødeleder</w:t>
      </w:r>
      <w:r w:rsidR="007907BA">
        <w:rPr>
          <w:sz w:val="24"/>
        </w:rPr>
        <w:t>en</w:t>
      </w:r>
      <w:r w:rsidR="007907BA" w:rsidRPr="007907BA">
        <w:rPr>
          <w:sz w:val="24"/>
        </w:rPr>
        <w:t xml:space="preserve"> i tvivl om, hvorvidt der er flertal for</w:t>
      </w:r>
      <w:r w:rsidR="007907BA">
        <w:rPr>
          <w:sz w:val="24"/>
        </w:rPr>
        <w:t xml:space="preserve"> en</w:t>
      </w:r>
      <w:r w:rsidR="007907BA" w:rsidRPr="007907BA">
        <w:rPr>
          <w:sz w:val="24"/>
        </w:rPr>
        <w:t xml:space="preserve"> afgørelse, eller et medlem ønsker afstemning, skal mødeleder</w:t>
      </w:r>
      <w:r w:rsidR="007907BA">
        <w:rPr>
          <w:sz w:val="24"/>
        </w:rPr>
        <w:t>en</w:t>
      </w:r>
      <w:r w:rsidR="007907BA" w:rsidRPr="007907BA">
        <w:rPr>
          <w:sz w:val="24"/>
        </w:rPr>
        <w:t xml:space="preserve"> iværksætte denne.</w:t>
      </w:r>
    </w:p>
    <w:p w:rsidR="00146DA1" w:rsidRPr="00E12FEB" w:rsidRDefault="00146DA1" w:rsidP="00146DA1">
      <w:pPr>
        <w:widowControl/>
        <w:jc w:val="both"/>
        <w:rPr>
          <w:sz w:val="24"/>
        </w:rPr>
      </w:pPr>
    </w:p>
    <w:p w:rsidR="00146DA1" w:rsidRPr="00E57EDA" w:rsidRDefault="00146DA1" w:rsidP="00146DA1">
      <w:pPr>
        <w:widowControl/>
        <w:jc w:val="center"/>
        <w:rPr>
          <w:i/>
          <w:sz w:val="24"/>
        </w:rPr>
      </w:pPr>
      <w:r>
        <w:rPr>
          <w:i/>
          <w:sz w:val="24"/>
        </w:rPr>
        <w:t>Mødeprotokol</w:t>
      </w:r>
    </w:p>
    <w:p w:rsidR="00146DA1" w:rsidRDefault="00146DA1" w:rsidP="00146DA1">
      <w:pPr>
        <w:widowControl/>
        <w:jc w:val="both"/>
        <w:rPr>
          <w:sz w:val="24"/>
        </w:rPr>
      </w:pPr>
    </w:p>
    <w:p w:rsidR="00146DA1" w:rsidRPr="00E12FEB" w:rsidRDefault="00146DA1" w:rsidP="00146DA1">
      <w:pPr>
        <w:widowControl/>
        <w:jc w:val="both"/>
        <w:rPr>
          <w:sz w:val="24"/>
        </w:rPr>
      </w:pPr>
      <w:r w:rsidRPr="008C02E6">
        <w:rPr>
          <w:b/>
          <w:sz w:val="24"/>
        </w:rPr>
        <w:lastRenderedPageBreak/>
        <w:t>§ 1</w:t>
      </w:r>
      <w:r>
        <w:rPr>
          <w:b/>
          <w:sz w:val="24"/>
        </w:rPr>
        <w:t>0</w:t>
      </w:r>
      <w:r w:rsidRPr="008C02E6">
        <w:rPr>
          <w:b/>
          <w:sz w:val="24"/>
        </w:rPr>
        <w:t>.</w:t>
      </w:r>
      <w:r>
        <w:rPr>
          <w:b/>
          <w:sz w:val="24"/>
        </w:rPr>
        <w:t xml:space="preserve"> </w:t>
      </w:r>
      <w:r>
        <w:rPr>
          <w:sz w:val="24"/>
        </w:rPr>
        <w:t>Skatteankestyrelsen</w:t>
      </w:r>
      <w:r w:rsidRPr="00E12FEB">
        <w:rPr>
          <w:sz w:val="24"/>
        </w:rPr>
        <w:t xml:space="preserve"> fører protokol over mødet. Protokollen skal som minimum indeholde følgende: </w:t>
      </w:r>
    </w:p>
    <w:p w:rsidR="00146DA1" w:rsidRPr="00E12FEB" w:rsidRDefault="00146DA1" w:rsidP="00146DA1">
      <w:pPr>
        <w:widowControl/>
        <w:jc w:val="both"/>
        <w:rPr>
          <w:sz w:val="24"/>
        </w:rPr>
      </w:pPr>
      <w:r w:rsidRPr="00E12FEB">
        <w:rPr>
          <w:sz w:val="24"/>
        </w:rPr>
        <w:t>1)</w:t>
      </w:r>
      <w:r>
        <w:rPr>
          <w:sz w:val="24"/>
        </w:rPr>
        <w:t xml:space="preserve"> </w:t>
      </w:r>
      <w:r w:rsidRPr="00E12FEB">
        <w:rPr>
          <w:sz w:val="24"/>
        </w:rPr>
        <w:tab/>
        <w:t>Dato og tidspunkt for mødets begyndelse og afslutning.</w:t>
      </w:r>
    </w:p>
    <w:p w:rsidR="00146DA1" w:rsidRPr="00E12FEB" w:rsidRDefault="00146DA1" w:rsidP="00146DA1">
      <w:pPr>
        <w:widowControl/>
        <w:jc w:val="both"/>
        <w:rPr>
          <w:sz w:val="24"/>
        </w:rPr>
      </w:pPr>
      <w:r w:rsidRPr="00E12FEB">
        <w:rPr>
          <w:sz w:val="24"/>
        </w:rPr>
        <w:t>2)</w:t>
      </w:r>
      <w:r>
        <w:rPr>
          <w:sz w:val="24"/>
        </w:rPr>
        <w:t xml:space="preserve"> </w:t>
      </w:r>
      <w:r w:rsidRPr="00E12FEB">
        <w:rPr>
          <w:sz w:val="24"/>
        </w:rPr>
        <w:tab/>
        <w:t>Oplysning om mødedeltagere.</w:t>
      </w:r>
    </w:p>
    <w:p w:rsidR="00146DA1" w:rsidRPr="00E12FEB" w:rsidRDefault="007A4FB1" w:rsidP="00146DA1">
      <w:pPr>
        <w:widowControl/>
        <w:jc w:val="both"/>
        <w:rPr>
          <w:sz w:val="24"/>
        </w:rPr>
      </w:pPr>
      <w:r w:rsidRPr="008C02E6">
        <w:rPr>
          <w:i/>
          <w:sz w:val="24"/>
        </w:rPr>
        <w:t>Stk. 2.</w:t>
      </w:r>
      <w:r w:rsidRPr="00E12FEB">
        <w:rPr>
          <w:sz w:val="24"/>
        </w:rPr>
        <w:t xml:space="preserve"> </w:t>
      </w:r>
      <w:r w:rsidR="00146DA1" w:rsidRPr="00E12FEB">
        <w:rPr>
          <w:sz w:val="24"/>
        </w:rPr>
        <w:t>For hver enkelt sag skal følgende</w:t>
      </w:r>
      <w:r w:rsidR="006B3863">
        <w:rPr>
          <w:sz w:val="24"/>
        </w:rPr>
        <w:t xml:space="preserve"> fremgå af protokollen</w:t>
      </w:r>
      <w:r w:rsidR="00146DA1" w:rsidRPr="00E12FEB">
        <w:rPr>
          <w:sz w:val="24"/>
        </w:rPr>
        <w:t xml:space="preserve">: </w:t>
      </w:r>
    </w:p>
    <w:p w:rsidR="00146DA1" w:rsidRPr="00E12FEB" w:rsidRDefault="006B3863" w:rsidP="00146DA1">
      <w:pPr>
        <w:widowControl/>
        <w:jc w:val="both"/>
        <w:rPr>
          <w:sz w:val="24"/>
        </w:rPr>
      </w:pPr>
      <w:r>
        <w:rPr>
          <w:sz w:val="24"/>
        </w:rPr>
        <w:t>1</w:t>
      </w:r>
      <w:r w:rsidR="00146DA1" w:rsidRPr="00E12FEB">
        <w:rPr>
          <w:sz w:val="24"/>
        </w:rPr>
        <w:t>)</w:t>
      </w:r>
      <w:r w:rsidR="00146DA1">
        <w:rPr>
          <w:sz w:val="24"/>
        </w:rPr>
        <w:t xml:space="preserve"> </w:t>
      </w:r>
      <w:r w:rsidR="00146DA1" w:rsidRPr="00E12FEB">
        <w:rPr>
          <w:sz w:val="24"/>
        </w:rPr>
        <w:tab/>
      </w:r>
      <w:r w:rsidR="005F1C30">
        <w:rPr>
          <w:sz w:val="24"/>
        </w:rPr>
        <w:t>I</w:t>
      </w:r>
      <w:r w:rsidR="00146DA1" w:rsidRPr="00E12FEB">
        <w:rPr>
          <w:sz w:val="24"/>
        </w:rPr>
        <w:t>dentifikation af sagen</w:t>
      </w:r>
      <w:r w:rsidR="00146DA1">
        <w:rPr>
          <w:sz w:val="24"/>
        </w:rPr>
        <w:t>.</w:t>
      </w:r>
    </w:p>
    <w:p w:rsidR="00146DA1" w:rsidRPr="00E12FEB" w:rsidRDefault="006B3863" w:rsidP="00146DA1">
      <w:pPr>
        <w:widowControl/>
        <w:jc w:val="both"/>
        <w:rPr>
          <w:sz w:val="24"/>
        </w:rPr>
      </w:pPr>
      <w:r>
        <w:rPr>
          <w:sz w:val="24"/>
        </w:rPr>
        <w:t>2</w:t>
      </w:r>
      <w:r w:rsidR="00146DA1" w:rsidRPr="00E12FEB">
        <w:rPr>
          <w:sz w:val="24"/>
        </w:rPr>
        <w:t>)</w:t>
      </w:r>
      <w:r w:rsidR="00146DA1" w:rsidRPr="00E12FEB">
        <w:rPr>
          <w:sz w:val="24"/>
        </w:rPr>
        <w:tab/>
      </w:r>
      <w:r w:rsidR="00146DA1">
        <w:rPr>
          <w:sz w:val="24"/>
        </w:rPr>
        <w:t xml:space="preserve"> </w:t>
      </w:r>
      <w:r w:rsidR="00146DA1" w:rsidRPr="00E12FEB">
        <w:rPr>
          <w:sz w:val="24"/>
        </w:rPr>
        <w:t>Kort begrundelse for afgørelsen.</w:t>
      </w:r>
    </w:p>
    <w:p w:rsidR="00146DA1" w:rsidRPr="00E12FEB" w:rsidRDefault="006B3863" w:rsidP="00146DA1">
      <w:pPr>
        <w:widowControl/>
        <w:jc w:val="both"/>
        <w:rPr>
          <w:sz w:val="24"/>
        </w:rPr>
      </w:pPr>
      <w:r>
        <w:rPr>
          <w:sz w:val="24"/>
        </w:rPr>
        <w:t>3</w:t>
      </w:r>
      <w:r w:rsidR="00146DA1" w:rsidRPr="00E12FEB">
        <w:rPr>
          <w:sz w:val="24"/>
        </w:rPr>
        <w:t>)</w:t>
      </w:r>
      <w:r w:rsidR="00146DA1" w:rsidRPr="00E12FEB">
        <w:rPr>
          <w:sz w:val="24"/>
        </w:rPr>
        <w:tab/>
      </w:r>
      <w:r w:rsidR="00146DA1">
        <w:rPr>
          <w:sz w:val="24"/>
        </w:rPr>
        <w:t xml:space="preserve"> </w:t>
      </w:r>
      <w:r w:rsidR="00146DA1" w:rsidRPr="00E12FEB">
        <w:rPr>
          <w:sz w:val="24"/>
        </w:rPr>
        <w:t>Oplysninger om forskellige opfattelser under afstemningen både vedrørende resultatet og vedrørende begrundelsen samt stemmetallet for hver opfattelse</w:t>
      </w:r>
      <w:r w:rsidR="00146DA1">
        <w:rPr>
          <w:sz w:val="24"/>
        </w:rPr>
        <w:t>.</w:t>
      </w:r>
    </w:p>
    <w:p w:rsidR="00146DA1" w:rsidRPr="00E12FEB" w:rsidRDefault="007A4FB1" w:rsidP="00146DA1">
      <w:pPr>
        <w:widowControl/>
        <w:jc w:val="both"/>
        <w:rPr>
          <w:sz w:val="24"/>
        </w:rPr>
      </w:pPr>
      <w:r>
        <w:rPr>
          <w:i/>
          <w:sz w:val="24"/>
        </w:rPr>
        <w:t>Stk. 3</w:t>
      </w:r>
      <w:r w:rsidR="00E14B8B" w:rsidRPr="008C02E6">
        <w:rPr>
          <w:i/>
          <w:sz w:val="24"/>
        </w:rPr>
        <w:t>.</w:t>
      </w:r>
      <w:r w:rsidR="00E14B8B">
        <w:rPr>
          <w:sz w:val="24"/>
        </w:rPr>
        <w:t xml:space="preserve"> </w:t>
      </w:r>
      <w:r w:rsidR="00146DA1" w:rsidRPr="00E12FEB">
        <w:rPr>
          <w:sz w:val="24"/>
        </w:rPr>
        <w:t xml:space="preserve">Protokollen skal tillige påføres bemærkninger i hver sag, hvis en af følgende situationer opstår: </w:t>
      </w:r>
    </w:p>
    <w:p w:rsidR="00146DA1" w:rsidRPr="00E12FEB" w:rsidRDefault="007A4FB1" w:rsidP="00146DA1">
      <w:pPr>
        <w:widowControl/>
        <w:jc w:val="both"/>
        <w:rPr>
          <w:sz w:val="24"/>
        </w:rPr>
      </w:pPr>
      <w:r>
        <w:rPr>
          <w:sz w:val="24"/>
        </w:rPr>
        <w:t>1</w:t>
      </w:r>
      <w:r w:rsidR="00146DA1" w:rsidRPr="00E12FEB">
        <w:rPr>
          <w:sz w:val="24"/>
        </w:rPr>
        <w:t>)</w:t>
      </w:r>
      <w:r w:rsidR="00146DA1" w:rsidRPr="00E12FEB">
        <w:rPr>
          <w:sz w:val="24"/>
        </w:rPr>
        <w:tab/>
      </w:r>
      <w:r w:rsidR="00146DA1">
        <w:rPr>
          <w:sz w:val="24"/>
        </w:rPr>
        <w:t xml:space="preserve"> </w:t>
      </w:r>
      <w:r w:rsidR="00146DA1" w:rsidRPr="00E12FEB">
        <w:rPr>
          <w:sz w:val="24"/>
        </w:rPr>
        <w:t>Hvis en klage tilbagekaldes mundtligt i forbindelse med nævnsmødet</w:t>
      </w:r>
      <w:r w:rsidR="00146DA1">
        <w:rPr>
          <w:sz w:val="24"/>
        </w:rPr>
        <w:t>.</w:t>
      </w:r>
    </w:p>
    <w:p w:rsidR="00146DA1" w:rsidRPr="00E12FEB" w:rsidRDefault="007A4FB1" w:rsidP="00146DA1">
      <w:pPr>
        <w:widowControl/>
        <w:jc w:val="both"/>
        <w:rPr>
          <w:sz w:val="24"/>
        </w:rPr>
      </w:pPr>
      <w:r>
        <w:rPr>
          <w:sz w:val="24"/>
        </w:rPr>
        <w:t>2</w:t>
      </w:r>
      <w:r w:rsidR="00146DA1">
        <w:rPr>
          <w:sz w:val="24"/>
        </w:rPr>
        <w:t>)</w:t>
      </w:r>
      <w:r w:rsidR="00146DA1">
        <w:rPr>
          <w:sz w:val="24"/>
        </w:rPr>
        <w:tab/>
        <w:t xml:space="preserve"> </w:t>
      </w:r>
      <w:r w:rsidR="00FC4548">
        <w:rPr>
          <w:sz w:val="24"/>
        </w:rPr>
        <w:t>Hvis der træffes afgørelse vedrørende</w:t>
      </w:r>
      <w:r w:rsidR="00BF32FE">
        <w:rPr>
          <w:sz w:val="24"/>
        </w:rPr>
        <w:t xml:space="preserve"> e</w:t>
      </w:r>
      <w:r w:rsidR="00146DA1">
        <w:rPr>
          <w:sz w:val="24"/>
        </w:rPr>
        <w:t>t medlem</w:t>
      </w:r>
      <w:r w:rsidR="00BF32FE">
        <w:rPr>
          <w:sz w:val="24"/>
        </w:rPr>
        <w:t>s</w:t>
      </w:r>
      <w:r w:rsidR="00146DA1" w:rsidRPr="00E12FEB">
        <w:rPr>
          <w:sz w:val="24"/>
        </w:rPr>
        <w:t xml:space="preserve"> habil</w:t>
      </w:r>
      <w:r w:rsidR="00BF32FE">
        <w:rPr>
          <w:sz w:val="24"/>
        </w:rPr>
        <w:t>i</w:t>
      </w:r>
      <w:r w:rsidR="00146DA1" w:rsidRPr="00E12FEB">
        <w:rPr>
          <w:sz w:val="24"/>
        </w:rPr>
        <w:t>t</w:t>
      </w:r>
      <w:r w:rsidR="00BF32FE">
        <w:rPr>
          <w:sz w:val="24"/>
        </w:rPr>
        <w:t>et i en sag</w:t>
      </w:r>
      <w:r w:rsidR="00146DA1" w:rsidRPr="00E12FEB">
        <w:rPr>
          <w:sz w:val="24"/>
        </w:rPr>
        <w:t>.</w:t>
      </w:r>
    </w:p>
    <w:p w:rsidR="00146DA1" w:rsidRPr="00E12FEB" w:rsidRDefault="007A4FB1" w:rsidP="00146DA1">
      <w:pPr>
        <w:widowControl/>
        <w:jc w:val="both"/>
        <w:rPr>
          <w:sz w:val="24"/>
        </w:rPr>
      </w:pPr>
      <w:r>
        <w:rPr>
          <w:sz w:val="24"/>
        </w:rPr>
        <w:t>3</w:t>
      </w:r>
      <w:r w:rsidR="00146DA1" w:rsidRPr="00E12FEB">
        <w:rPr>
          <w:sz w:val="24"/>
        </w:rPr>
        <w:t>)</w:t>
      </w:r>
      <w:r w:rsidR="00146DA1" w:rsidRPr="00E12FEB">
        <w:rPr>
          <w:sz w:val="24"/>
        </w:rPr>
        <w:tab/>
      </w:r>
      <w:r w:rsidR="00146DA1">
        <w:rPr>
          <w:sz w:val="24"/>
        </w:rPr>
        <w:t xml:space="preserve"> </w:t>
      </w:r>
      <w:r w:rsidR="00146DA1" w:rsidRPr="00E12FEB">
        <w:rPr>
          <w:sz w:val="24"/>
        </w:rPr>
        <w:t>Et eller flere medlemmer ønsker deres</w:t>
      </w:r>
      <w:r w:rsidR="00146DA1">
        <w:rPr>
          <w:sz w:val="24"/>
        </w:rPr>
        <w:t xml:space="preserve"> mindretalsudtalelse efter </w:t>
      </w:r>
      <w:r w:rsidR="00545990">
        <w:rPr>
          <w:sz w:val="24"/>
        </w:rPr>
        <w:t xml:space="preserve">stk. 2, </w:t>
      </w:r>
      <w:r w:rsidR="00146DA1">
        <w:rPr>
          <w:sz w:val="24"/>
        </w:rPr>
        <w:t xml:space="preserve">nr. </w:t>
      </w:r>
      <w:r w:rsidR="00545990">
        <w:rPr>
          <w:sz w:val="24"/>
        </w:rPr>
        <w:t>3,</w:t>
      </w:r>
      <w:r w:rsidR="00146DA1" w:rsidRPr="00E12FEB">
        <w:rPr>
          <w:sz w:val="24"/>
        </w:rPr>
        <w:t xml:space="preserve"> forelagt for Skatterådet.</w:t>
      </w:r>
    </w:p>
    <w:p w:rsidR="00146DA1" w:rsidRPr="00E12FEB" w:rsidRDefault="00146DA1" w:rsidP="00146DA1">
      <w:pPr>
        <w:widowControl/>
        <w:jc w:val="both"/>
        <w:rPr>
          <w:sz w:val="24"/>
        </w:rPr>
      </w:pPr>
      <w:r w:rsidRPr="008C02E6">
        <w:rPr>
          <w:i/>
          <w:sz w:val="24"/>
        </w:rPr>
        <w:t xml:space="preserve">Stk. </w:t>
      </w:r>
      <w:r w:rsidR="007A4FB1">
        <w:rPr>
          <w:i/>
          <w:sz w:val="24"/>
        </w:rPr>
        <w:t>4</w:t>
      </w:r>
      <w:r w:rsidRPr="008C02E6">
        <w:rPr>
          <w:i/>
          <w:sz w:val="24"/>
        </w:rPr>
        <w:t>.</w:t>
      </w:r>
      <w:r w:rsidRPr="00E12FEB">
        <w:rPr>
          <w:sz w:val="24"/>
        </w:rPr>
        <w:t xml:space="preserve"> Ved klage til skatteankenævnet skal protokollen tillige indeholde oplysninger om: </w:t>
      </w:r>
    </w:p>
    <w:p w:rsidR="00146DA1" w:rsidRPr="00E12FEB" w:rsidRDefault="00146DA1" w:rsidP="00146DA1">
      <w:pPr>
        <w:widowControl/>
        <w:jc w:val="both"/>
        <w:rPr>
          <w:sz w:val="24"/>
        </w:rPr>
      </w:pPr>
      <w:r w:rsidRPr="00E12FEB">
        <w:rPr>
          <w:sz w:val="24"/>
        </w:rPr>
        <w:t>1)</w:t>
      </w:r>
      <w:r>
        <w:rPr>
          <w:sz w:val="24"/>
        </w:rPr>
        <w:t xml:space="preserve"> </w:t>
      </w:r>
      <w:r w:rsidRPr="00E12FEB">
        <w:rPr>
          <w:sz w:val="24"/>
        </w:rPr>
        <w:tab/>
      </w:r>
      <w:r>
        <w:rPr>
          <w:sz w:val="24"/>
        </w:rPr>
        <w:t>N</w:t>
      </w:r>
      <w:r w:rsidRPr="00E12FEB">
        <w:rPr>
          <w:sz w:val="24"/>
        </w:rPr>
        <w:t xml:space="preserve">avn, adresse og </w:t>
      </w:r>
      <w:r>
        <w:rPr>
          <w:sz w:val="24"/>
        </w:rPr>
        <w:t>cpr</w:t>
      </w:r>
      <w:r w:rsidRPr="00E12FEB">
        <w:rPr>
          <w:sz w:val="24"/>
        </w:rPr>
        <w:t>-nummer</w:t>
      </w:r>
      <w:r>
        <w:rPr>
          <w:sz w:val="24"/>
        </w:rPr>
        <w:t xml:space="preserve"> på klager</w:t>
      </w:r>
      <w:r w:rsidRPr="00E12FEB">
        <w:rPr>
          <w:sz w:val="24"/>
        </w:rPr>
        <w:t>.</w:t>
      </w:r>
    </w:p>
    <w:p w:rsidR="00146DA1" w:rsidRPr="00E12FEB" w:rsidRDefault="00146DA1" w:rsidP="00146DA1">
      <w:pPr>
        <w:widowControl/>
        <w:jc w:val="both"/>
        <w:rPr>
          <w:sz w:val="24"/>
        </w:rPr>
      </w:pPr>
      <w:r w:rsidRPr="00E12FEB">
        <w:rPr>
          <w:sz w:val="24"/>
        </w:rPr>
        <w:t>2)</w:t>
      </w:r>
      <w:r w:rsidRPr="00E12FEB">
        <w:rPr>
          <w:sz w:val="24"/>
        </w:rPr>
        <w:tab/>
      </w:r>
      <w:r>
        <w:rPr>
          <w:sz w:val="24"/>
        </w:rPr>
        <w:t xml:space="preserve"> </w:t>
      </w:r>
      <w:r w:rsidRPr="00E12FEB">
        <w:rPr>
          <w:sz w:val="24"/>
        </w:rPr>
        <w:t xml:space="preserve">Hvilket </w:t>
      </w:r>
      <w:r>
        <w:rPr>
          <w:sz w:val="24"/>
        </w:rPr>
        <w:t>indkomst</w:t>
      </w:r>
      <w:r w:rsidRPr="00E12FEB">
        <w:rPr>
          <w:sz w:val="24"/>
        </w:rPr>
        <w:t>år, der er klaget over.</w:t>
      </w:r>
    </w:p>
    <w:p w:rsidR="00146DA1" w:rsidRPr="00E12FEB" w:rsidRDefault="00146DA1" w:rsidP="00146DA1">
      <w:pPr>
        <w:widowControl/>
        <w:jc w:val="both"/>
        <w:rPr>
          <w:sz w:val="24"/>
        </w:rPr>
      </w:pPr>
      <w:r w:rsidRPr="008C02E6">
        <w:rPr>
          <w:i/>
          <w:sz w:val="24"/>
        </w:rPr>
        <w:t xml:space="preserve">Stk. </w:t>
      </w:r>
      <w:r w:rsidR="007A4FB1">
        <w:rPr>
          <w:i/>
          <w:sz w:val="24"/>
        </w:rPr>
        <w:t>5</w:t>
      </w:r>
      <w:r w:rsidRPr="008C02E6">
        <w:rPr>
          <w:i/>
          <w:sz w:val="24"/>
        </w:rPr>
        <w:t>.</w:t>
      </w:r>
      <w:r w:rsidRPr="00E12FEB">
        <w:rPr>
          <w:sz w:val="24"/>
        </w:rPr>
        <w:t xml:space="preserve"> Ved klage til vurderingsankenævnet skal protokollen tillige indeholde oplysninger om: </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Pr="00E12FEB">
        <w:rPr>
          <w:sz w:val="24"/>
        </w:rPr>
        <w:t>Navn og adresse på klager.</w:t>
      </w:r>
    </w:p>
    <w:p w:rsidR="00146DA1" w:rsidRPr="00E12FEB" w:rsidRDefault="00146DA1" w:rsidP="00146DA1">
      <w:pPr>
        <w:widowControl/>
        <w:jc w:val="both"/>
        <w:rPr>
          <w:sz w:val="24"/>
        </w:rPr>
      </w:pPr>
      <w:r w:rsidRPr="00E12FEB">
        <w:rPr>
          <w:sz w:val="24"/>
        </w:rPr>
        <w:t>2)</w:t>
      </w:r>
      <w:r w:rsidRPr="00E12FEB">
        <w:rPr>
          <w:sz w:val="24"/>
        </w:rPr>
        <w:tab/>
      </w:r>
      <w:r>
        <w:rPr>
          <w:sz w:val="24"/>
        </w:rPr>
        <w:t xml:space="preserve"> </w:t>
      </w:r>
      <w:r w:rsidRPr="00E12FEB">
        <w:rPr>
          <w:sz w:val="24"/>
        </w:rPr>
        <w:t>Ejers navn og adresse, hvis ejer og klager ikke er den samme.</w:t>
      </w:r>
    </w:p>
    <w:p w:rsidR="00146DA1" w:rsidRPr="00E12FEB" w:rsidRDefault="00146DA1" w:rsidP="00146DA1">
      <w:pPr>
        <w:widowControl/>
        <w:jc w:val="both"/>
        <w:rPr>
          <w:sz w:val="24"/>
        </w:rPr>
      </w:pPr>
      <w:r w:rsidRPr="00E12FEB">
        <w:rPr>
          <w:sz w:val="24"/>
        </w:rPr>
        <w:t>3)</w:t>
      </w:r>
      <w:r>
        <w:rPr>
          <w:sz w:val="24"/>
        </w:rPr>
        <w:t xml:space="preserve"> </w:t>
      </w:r>
      <w:r w:rsidRPr="00E12FEB">
        <w:rPr>
          <w:sz w:val="24"/>
        </w:rPr>
        <w:tab/>
        <w:t>Ejendomsnummer og adresse på den påklagede ejendom.</w:t>
      </w:r>
    </w:p>
    <w:p w:rsidR="00146DA1" w:rsidRPr="00E12FEB" w:rsidRDefault="00146DA1" w:rsidP="00146DA1">
      <w:pPr>
        <w:widowControl/>
        <w:jc w:val="both"/>
        <w:rPr>
          <w:sz w:val="24"/>
        </w:rPr>
      </w:pPr>
      <w:r w:rsidRPr="00E12FEB">
        <w:rPr>
          <w:sz w:val="24"/>
        </w:rPr>
        <w:t>4)</w:t>
      </w:r>
      <w:r w:rsidRPr="00E12FEB">
        <w:rPr>
          <w:sz w:val="24"/>
        </w:rPr>
        <w:tab/>
      </w:r>
      <w:r>
        <w:rPr>
          <w:sz w:val="24"/>
        </w:rPr>
        <w:t xml:space="preserve"> </w:t>
      </w:r>
      <w:r w:rsidRPr="00E12FEB">
        <w:rPr>
          <w:sz w:val="24"/>
        </w:rPr>
        <w:t xml:space="preserve">Eventuel besigtigelse </w:t>
      </w:r>
      <w:r>
        <w:rPr>
          <w:sz w:val="24"/>
        </w:rPr>
        <w:t xml:space="preserve">foretaget </w:t>
      </w:r>
      <w:r w:rsidRPr="00E12FEB">
        <w:rPr>
          <w:sz w:val="24"/>
        </w:rPr>
        <w:t xml:space="preserve">af nævnet eller </w:t>
      </w:r>
      <w:r>
        <w:rPr>
          <w:sz w:val="24"/>
        </w:rPr>
        <w:t>Skatteankestyrelsen</w:t>
      </w:r>
      <w:r w:rsidRPr="00E12FEB">
        <w:rPr>
          <w:sz w:val="24"/>
        </w:rPr>
        <w:t>.</w:t>
      </w:r>
    </w:p>
    <w:p w:rsidR="00146DA1" w:rsidRPr="00E12FEB" w:rsidRDefault="00146DA1" w:rsidP="00146DA1">
      <w:pPr>
        <w:widowControl/>
        <w:jc w:val="both"/>
        <w:rPr>
          <w:sz w:val="24"/>
        </w:rPr>
      </w:pPr>
      <w:r w:rsidRPr="00E12FEB">
        <w:rPr>
          <w:sz w:val="24"/>
        </w:rPr>
        <w:t>5)</w:t>
      </w:r>
      <w:r w:rsidRPr="00E12FEB">
        <w:rPr>
          <w:sz w:val="24"/>
        </w:rPr>
        <w:tab/>
      </w:r>
      <w:r>
        <w:rPr>
          <w:sz w:val="24"/>
        </w:rPr>
        <w:t xml:space="preserve"> </w:t>
      </w:r>
      <w:r w:rsidRPr="00E12FEB">
        <w:rPr>
          <w:sz w:val="24"/>
        </w:rPr>
        <w:t>Hvilken vurdering, der er klaget over.</w:t>
      </w:r>
    </w:p>
    <w:p w:rsidR="00146DA1" w:rsidRPr="00E12FEB" w:rsidRDefault="00146DA1" w:rsidP="00146DA1">
      <w:pPr>
        <w:widowControl/>
        <w:jc w:val="both"/>
        <w:rPr>
          <w:sz w:val="24"/>
        </w:rPr>
      </w:pPr>
      <w:r w:rsidRPr="008C02E6">
        <w:rPr>
          <w:i/>
          <w:sz w:val="24"/>
        </w:rPr>
        <w:t xml:space="preserve">Stk. </w:t>
      </w:r>
      <w:r w:rsidR="007A4FB1">
        <w:rPr>
          <w:i/>
          <w:sz w:val="24"/>
        </w:rPr>
        <w:t>6</w:t>
      </w:r>
      <w:r w:rsidRPr="008C02E6">
        <w:rPr>
          <w:i/>
          <w:sz w:val="24"/>
        </w:rPr>
        <w:t>.</w:t>
      </w:r>
      <w:r w:rsidRPr="00E12FEB">
        <w:rPr>
          <w:sz w:val="24"/>
        </w:rPr>
        <w:t xml:space="preserve"> Ved klage til motorankenævnet skal protokollen tillige indeholde oplysninger om: </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Pr="00E12FEB">
        <w:rPr>
          <w:sz w:val="24"/>
        </w:rPr>
        <w:t>Navn og adresse på klager.</w:t>
      </w:r>
    </w:p>
    <w:p w:rsidR="00146DA1" w:rsidRPr="00E12FEB" w:rsidRDefault="00146DA1" w:rsidP="00146DA1">
      <w:pPr>
        <w:widowControl/>
        <w:jc w:val="both"/>
        <w:rPr>
          <w:sz w:val="24"/>
        </w:rPr>
      </w:pPr>
      <w:r w:rsidRPr="00E12FEB">
        <w:rPr>
          <w:sz w:val="24"/>
        </w:rPr>
        <w:t>2)</w:t>
      </w:r>
      <w:r w:rsidRPr="00E12FEB">
        <w:rPr>
          <w:sz w:val="24"/>
        </w:rPr>
        <w:tab/>
      </w:r>
      <w:r>
        <w:rPr>
          <w:sz w:val="24"/>
        </w:rPr>
        <w:t xml:space="preserve"> </w:t>
      </w:r>
      <w:r w:rsidRPr="00E12FEB">
        <w:rPr>
          <w:sz w:val="24"/>
        </w:rPr>
        <w:t>Stelnummer eller anden identifikation af køretøjet, hvis stelnummer ikke forefindes.</w:t>
      </w:r>
    </w:p>
    <w:p w:rsidR="00146DA1" w:rsidRPr="00E12FEB" w:rsidRDefault="00146DA1" w:rsidP="00146DA1">
      <w:pPr>
        <w:widowControl/>
        <w:jc w:val="both"/>
        <w:rPr>
          <w:sz w:val="24"/>
        </w:rPr>
      </w:pPr>
      <w:r w:rsidRPr="00E12FEB">
        <w:rPr>
          <w:sz w:val="24"/>
        </w:rPr>
        <w:t>3)</w:t>
      </w:r>
      <w:r w:rsidRPr="00E12FEB">
        <w:rPr>
          <w:sz w:val="24"/>
        </w:rPr>
        <w:tab/>
      </w:r>
      <w:r>
        <w:rPr>
          <w:sz w:val="24"/>
        </w:rPr>
        <w:t xml:space="preserve"> </w:t>
      </w:r>
      <w:r w:rsidRPr="00E12FEB">
        <w:rPr>
          <w:sz w:val="24"/>
        </w:rPr>
        <w:t xml:space="preserve">Eventuel besigtigelse </w:t>
      </w:r>
      <w:r>
        <w:rPr>
          <w:sz w:val="24"/>
        </w:rPr>
        <w:t xml:space="preserve">foretaget </w:t>
      </w:r>
      <w:r w:rsidRPr="00E12FEB">
        <w:rPr>
          <w:sz w:val="24"/>
        </w:rPr>
        <w:t xml:space="preserve">af nævnet eller </w:t>
      </w:r>
      <w:r>
        <w:rPr>
          <w:sz w:val="24"/>
        </w:rPr>
        <w:t>Skatteankestyrelsen</w:t>
      </w:r>
      <w:r w:rsidRPr="00E12FEB">
        <w:rPr>
          <w:sz w:val="24"/>
        </w:rPr>
        <w:t>.</w:t>
      </w:r>
    </w:p>
    <w:p w:rsidR="00146DA1" w:rsidRPr="00E12FEB" w:rsidRDefault="00146DA1" w:rsidP="00146DA1">
      <w:pPr>
        <w:widowControl/>
        <w:jc w:val="both"/>
        <w:rPr>
          <w:sz w:val="24"/>
        </w:rPr>
      </w:pPr>
      <w:r w:rsidRPr="008C02E6">
        <w:rPr>
          <w:i/>
          <w:sz w:val="24"/>
        </w:rPr>
        <w:t xml:space="preserve">Stk. </w:t>
      </w:r>
      <w:r w:rsidR="007A4FB1">
        <w:rPr>
          <w:i/>
          <w:sz w:val="24"/>
        </w:rPr>
        <w:t>7</w:t>
      </w:r>
      <w:r w:rsidRPr="008C02E6">
        <w:rPr>
          <w:i/>
          <w:sz w:val="24"/>
        </w:rPr>
        <w:t>.</w:t>
      </w:r>
      <w:r>
        <w:rPr>
          <w:sz w:val="24"/>
        </w:rPr>
        <w:t xml:space="preserve"> Nævnet </w:t>
      </w:r>
      <w:r w:rsidRPr="00E12FEB">
        <w:rPr>
          <w:sz w:val="24"/>
        </w:rPr>
        <w:t>godkende</w:t>
      </w:r>
      <w:r>
        <w:rPr>
          <w:sz w:val="24"/>
        </w:rPr>
        <w:t>r</w:t>
      </w:r>
      <w:r w:rsidRPr="00E12FEB">
        <w:rPr>
          <w:sz w:val="24"/>
        </w:rPr>
        <w:t xml:space="preserve"> protokollen.</w:t>
      </w:r>
    </w:p>
    <w:p w:rsidR="00146DA1" w:rsidRDefault="00146DA1" w:rsidP="00146DA1">
      <w:pPr>
        <w:widowControl/>
        <w:jc w:val="both"/>
        <w:rPr>
          <w:sz w:val="24"/>
        </w:rPr>
      </w:pPr>
    </w:p>
    <w:p w:rsidR="00146DA1" w:rsidRPr="00F07D25" w:rsidRDefault="00146DA1" w:rsidP="00146DA1">
      <w:pPr>
        <w:widowControl/>
        <w:jc w:val="center"/>
        <w:rPr>
          <w:i/>
          <w:sz w:val="24"/>
        </w:rPr>
      </w:pPr>
      <w:r w:rsidRPr="00F07D25">
        <w:rPr>
          <w:i/>
          <w:sz w:val="24"/>
        </w:rPr>
        <w:t>Klagerens møde med ankenævnene</w:t>
      </w:r>
    </w:p>
    <w:p w:rsidR="00146DA1" w:rsidRDefault="00146DA1" w:rsidP="00146DA1">
      <w:pPr>
        <w:widowControl/>
        <w:jc w:val="both"/>
        <w:rPr>
          <w:sz w:val="24"/>
        </w:rPr>
      </w:pPr>
    </w:p>
    <w:p w:rsidR="0076088D" w:rsidRPr="00E12FEB" w:rsidRDefault="00146DA1" w:rsidP="00146DA1">
      <w:pPr>
        <w:widowControl/>
        <w:jc w:val="both"/>
        <w:rPr>
          <w:sz w:val="24"/>
        </w:rPr>
      </w:pPr>
      <w:r>
        <w:rPr>
          <w:b/>
          <w:sz w:val="24"/>
        </w:rPr>
        <w:t xml:space="preserve">§ 11. </w:t>
      </w:r>
      <w:r w:rsidRPr="00E12FEB">
        <w:rPr>
          <w:sz w:val="24"/>
        </w:rPr>
        <w:t>Hvis klageren har anmodet om at udtale sig mundtligt over for ankenævnet, eller hvis ankenævnet anser det for hensigtsmæssigt at indhente en mundtlig udtalelse fra klageren, indkaldes klageren skriftligt til et møde med mindst 1</w:t>
      </w:r>
      <w:r w:rsidR="00C11359">
        <w:rPr>
          <w:sz w:val="24"/>
        </w:rPr>
        <w:t>4</w:t>
      </w:r>
      <w:r w:rsidRPr="00E12FEB">
        <w:rPr>
          <w:sz w:val="24"/>
        </w:rPr>
        <w:t xml:space="preserve"> dages varsel</w:t>
      </w:r>
      <w:r>
        <w:rPr>
          <w:sz w:val="24"/>
        </w:rPr>
        <w:t>.</w:t>
      </w:r>
    </w:p>
    <w:p w:rsidR="00146DA1" w:rsidRPr="00E12FEB" w:rsidRDefault="00146DA1" w:rsidP="00146DA1">
      <w:pPr>
        <w:widowControl/>
        <w:jc w:val="both"/>
        <w:rPr>
          <w:sz w:val="24"/>
        </w:rPr>
      </w:pPr>
      <w:r w:rsidRPr="008B3C44">
        <w:rPr>
          <w:i/>
          <w:sz w:val="24"/>
        </w:rPr>
        <w:t>Stk. 2.</w:t>
      </w:r>
      <w:r w:rsidRPr="00E12FEB">
        <w:rPr>
          <w:sz w:val="24"/>
        </w:rPr>
        <w:t xml:space="preserve"> Klageren må ikke være til stede under ankenævnets drøftelser og afstemning.</w:t>
      </w:r>
    </w:p>
    <w:p w:rsidR="00146DA1" w:rsidRDefault="00146DA1" w:rsidP="00146DA1">
      <w:pPr>
        <w:widowControl/>
        <w:jc w:val="both"/>
        <w:rPr>
          <w:sz w:val="24"/>
        </w:rPr>
      </w:pPr>
    </w:p>
    <w:p w:rsidR="00146DA1" w:rsidRPr="00E12FEB" w:rsidRDefault="00146DA1" w:rsidP="00361302">
      <w:pPr>
        <w:widowControl/>
        <w:jc w:val="center"/>
        <w:rPr>
          <w:sz w:val="24"/>
        </w:rPr>
      </w:pPr>
      <w:r w:rsidRPr="00F93D64">
        <w:rPr>
          <w:sz w:val="24"/>
        </w:rPr>
        <w:t xml:space="preserve">Kapitel </w:t>
      </w:r>
      <w:r>
        <w:rPr>
          <w:sz w:val="24"/>
        </w:rPr>
        <w:t>5</w:t>
      </w:r>
    </w:p>
    <w:p w:rsidR="00146DA1" w:rsidRPr="008B3C44" w:rsidRDefault="00146DA1" w:rsidP="00146DA1">
      <w:pPr>
        <w:widowControl/>
        <w:jc w:val="center"/>
        <w:rPr>
          <w:i/>
          <w:sz w:val="24"/>
        </w:rPr>
      </w:pPr>
      <w:r w:rsidRPr="008B3C44">
        <w:rPr>
          <w:i/>
          <w:sz w:val="24"/>
        </w:rPr>
        <w:t xml:space="preserve">Vurderingsankenævnenes besigtigelse af en ejendom </w:t>
      </w:r>
    </w:p>
    <w:p w:rsidR="00146DA1" w:rsidRDefault="00146DA1" w:rsidP="00146DA1">
      <w:pPr>
        <w:widowControl/>
        <w:jc w:val="both"/>
        <w:rPr>
          <w:sz w:val="24"/>
        </w:rPr>
      </w:pPr>
    </w:p>
    <w:p w:rsidR="00146DA1" w:rsidRPr="00287E2C" w:rsidRDefault="00146DA1" w:rsidP="00146DA1">
      <w:pPr>
        <w:widowControl/>
        <w:jc w:val="both"/>
        <w:rPr>
          <w:sz w:val="24"/>
        </w:rPr>
      </w:pPr>
      <w:r>
        <w:rPr>
          <w:b/>
          <w:sz w:val="24"/>
        </w:rPr>
        <w:t>§ 1</w:t>
      </w:r>
      <w:r w:rsidR="008068AF">
        <w:rPr>
          <w:b/>
          <w:sz w:val="24"/>
        </w:rPr>
        <w:t>2</w:t>
      </w:r>
      <w:r w:rsidRPr="008B3C44">
        <w:rPr>
          <w:b/>
          <w:sz w:val="24"/>
        </w:rPr>
        <w:t>.</w:t>
      </w:r>
      <w:r w:rsidR="00EA666B">
        <w:rPr>
          <w:sz w:val="24"/>
        </w:rPr>
        <w:t xml:space="preserve"> I</w:t>
      </w:r>
      <w:r w:rsidRPr="00287E2C">
        <w:rPr>
          <w:sz w:val="24"/>
        </w:rPr>
        <w:t xml:space="preserve">nden </w:t>
      </w:r>
      <w:r>
        <w:rPr>
          <w:sz w:val="24"/>
        </w:rPr>
        <w:t xml:space="preserve">vurderingsankenævnet </w:t>
      </w:r>
      <w:r w:rsidRPr="00287E2C">
        <w:rPr>
          <w:sz w:val="24"/>
        </w:rPr>
        <w:t>besigtige</w:t>
      </w:r>
      <w:r w:rsidR="00F33ED1">
        <w:rPr>
          <w:sz w:val="24"/>
        </w:rPr>
        <w:t>r</w:t>
      </w:r>
      <w:r w:rsidRPr="00287E2C">
        <w:rPr>
          <w:sz w:val="24"/>
        </w:rPr>
        <w:t xml:space="preserve"> en </w:t>
      </w:r>
      <w:r>
        <w:rPr>
          <w:sz w:val="24"/>
        </w:rPr>
        <w:t xml:space="preserve">fast </w:t>
      </w:r>
      <w:r w:rsidRPr="00287E2C">
        <w:rPr>
          <w:sz w:val="24"/>
        </w:rPr>
        <w:t>ejendom</w:t>
      </w:r>
      <w:r w:rsidR="00A732ED">
        <w:rPr>
          <w:sz w:val="24"/>
        </w:rPr>
        <w:t>, jf. skatteforvaltningslovens § 38, stk. 4,</w:t>
      </w:r>
      <w:r w:rsidRPr="00287E2C">
        <w:rPr>
          <w:sz w:val="24"/>
        </w:rPr>
        <w:t xml:space="preserve"> skal ejeren </w:t>
      </w:r>
      <w:r w:rsidR="00A732ED">
        <w:rPr>
          <w:sz w:val="24"/>
        </w:rPr>
        <w:t>have besked</w:t>
      </w:r>
      <w:r w:rsidRPr="00287E2C">
        <w:rPr>
          <w:sz w:val="24"/>
        </w:rPr>
        <w:t xml:space="preserve"> herom. Besigtigelse på grunden må kun finde sted efter ejerens tilladelse. Besigtigelse i bygninger på ejendommen må </w:t>
      </w:r>
      <w:r w:rsidR="00F33ED1">
        <w:rPr>
          <w:sz w:val="24"/>
        </w:rPr>
        <w:t>kun</w:t>
      </w:r>
      <w:r w:rsidRPr="00287E2C">
        <w:rPr>
          <w:sz w:val="24"/>
        </w:rPr>
        <w:t xml:space="preserve"> finde sted med ejerens eller dennes repræsentants medvirken.</w:t>
      </w:r>
    </w:p>
    <w:p w:rsidR="00146DA1" w:rsidRDefault="00146DA1" w:rsidP="00146DA1">
      <w:pPr>
        <w:widowControl/>
        <w:jc w:val="both"/>
        <w:rPr>
          <w:sz w:val="24"/>
        </w:rPr>
      </w:pPr>
      <w:r w:rsidRPr="003A3C54">
        <w:rPr>
          <w:i/>
          <w:sz w:val="24"/>
        </w:rPr>
        <w:t xml:space="preserve">Stk. </w:t>
      </w:r>
      <w:r>
        <w:rPr>
          <w:i/>
          <w:sz w:val="24"/>
        </w:rPr>
        <w:t>2</w:t>
      </w:r>
      <w:r w:rsidRPr="003A3C54">
        <w:rPr>
          <w:i/>
          <w:sz w:val="24"/>
        </w:rPr>
        <w:t>.</w:t>
      </w:r>
      <w:r w:rsidRPr="00287E2C">
        <w:rPr>
          <w:sz w:val="24"/>
        </w:rPr>
        <w:t xml:space="preserve"> Billedoptagelse af ejendommen må kun finde sted efter ejerens tilladelse.</w:t>
      </w:r>
    </w:p>
    <w:p w:rsidR="00146DA1" w:rsidRPr="00287E2C" w:rsidRDefault="00146DA1" w:rsidP="00146DA1">
      <w:pPr>
        <w:widowControl/>
        <w:jc w:val="both"/>
        <w:rPr>
          <w:sz w:val="24"/>
        </w:rPr>
      </w:pPr>
      <w:r w:rsidRPr="003A3C54">
        <w:rPr>
          <w:i/>
          <w:sz w:val="24"/>
        </w:rPr>
        <w:t xml:space="preserve">Stk. </w:t>
      </w:r>
      <w:r>
        <w:rPr>
          <w:i/>
          <w:sz w:val="24"/>
        </w:rPr>
        <w:t>3</w:t>
      </w:r>
      <w:r w:rsidRPr="003A3C54">
        <w:rPr>
          <w:i/>
          <w:sz w:val="24"/>
        </w:rPr>
        <w:t>.</w:t>
      </w:r>
      <w:r w:rsidRPr="003A3C54">
        <w:rPr>
          <w:sz w:val="24"/>
        </w:rPr>
        <w:t xml:space="preserve"> I</w:t>
      </w:r>
      <w:r w:rsidR="001709D5">
        <w:rPr>
          <w:sz w:val="24"/>
        </w:rPr>
        <w:t xml:space="preserve"> de</w:t>
      </w:r>
      <w:r w:rsidRPr="003A3C54">
        <w:rPr>
          <w:sz w:val="24"/>
        </w:rPr>
        <w:t xml:space="preserve"> sager</w:t>
      </w:r>
      <w:r>
        <w:rPr>
          <w:sz w:val="24"/>
        </w:rPr>
        <w:t>, hvor vurderingsankenævnet</w:t>
      </w:r>
      <w:r w:rsidRPr="003A3C54">
        <w:rPr>
          <w:sz w:val="24"/>
        </w:rPr>
        <w:t xml:space="preserve"> efter skatteforvaltningslovens § </w:t>
      </w:r>
      <w:r>
        <w:rPr>
          <w:sz w:val="24"/>
        </w:rPr>
        <w:t>38</w:t>
      </w:r>
      <w:r w:rsidRPr="003A3C54">
        <w:rPr>
          <w:sz w:val="24"/>
        </w:rPr>
        <w:t xml:space="preserve">, stk. 4, </w:t>
      </w:r>
      <w:r>
        <w:rPr>
          <w:sz w:val="24"/>
        </w:rPr>
        <w:t>2</w:t>
      </w:r>
      <w:r w:rsidRPr="003A3C54">
        <w:rPr>
          <w:sz w:val="24"/>
        </w:rPr>
        <w:t xml:space="preserve">. pkt., </w:t>
      </w:r>
      <w:r>
        <w:rPr>
          <w:sz w:val="24"/>
        </w:rPr>
        <w:t xml:space="preserve">har </w:t>
      </w:r>
      <w:r w:rsidRPr="003A3C54">
        <w:rPr>
          <w:sz w:val="24"/>
        </w:rPr>
        <w:t>bemyndige</w:t>
      </w:r>
      <w:r>
        <w:rPr>
          <w:sz w:val="24"/>
        </w:rPr>
        <w:t>t</w:t>
      </w:r>
      <w:r w:rsidRPr="003A3C54">
        <w:rPr>
          <w:sz w:val="24"/>
        </w:rPr>
        <w:t xml:space="preserve"> Skatteankestyrelsen til på vegne af </w:t>
      </w:r>
      <w:r>
        <w:rPr>
          <w:sz w:val="24"/>
        </w:rPr>
        <w:t>vurderingsankenævnet</w:t>
      </w:r>
      <w:r w:rsidRPr="003A3C54">
        <w:rPr>
          <w:sz w:val="24"/>
        </w:rPr>
        <w:t xml:space="preserve"> at foretage besigtigelse af den pågældende ejendom</w:t>
      </w:r>
      <w:r>
        <w:rPr>
          <w:sz w:val="24"/>
        </w:rPr>
        <w:t>, finder stk. 1 og 2 tilsvarende anvendelse.</w:t>
      </w:r>
    </w:p>
    <w:p w:rsidR="00146DA1" w:rsidRPr="00E12FEB" w:rsidRDefault="00146DA1" w:rsidP="00146DA1">
      <w:pPr>
        <w:widowControl/>
        <w:jc w:val="both"/>
        <w:rPr>
          <w:sz w:val="24"/>
        </w:rPr>
      </w:pPr>
    </w:p>
    <w:p w:rsidR="00146DA1" w:rsidRPr="00F93D64" w:rsidRDefault="00146DA1" w:rsidP="00146DA1">
      <w:pPr>
        <w:widowControl/>
        <w:jc w:val="center"/>
        <w:rPr>
          <w:sz w:val="24"/>
        </w:rPr>
      </w:pPr>
      <w:r w:rsidRPr="00F93D64">
        <w:rPr>
          <w:sz w:val="24"/>
        </w:rPr>
        <w:t xml:space="preserve">Kapitel </w:t>
      </w:r>
      <w:r>
        <w:rPr>
          <w:sz w:val="24"/>
        </w:rPr>
        <w:t>6</w:t>
      </w:r>
    </w:p>
    <w:p w:rsidR="00146DA1" w:rsidRPr="008B3C44" w:rsidRDefault="00146DA1" w:rsidP="00146DA1">
      <w:pPr>
        <w:widowControl/>
        <w:jc w:val="center"/>
        <w:rPr>
          <w:i/>
          <w:sz w:val="24"/>
        </w:rPr>
      </w:pPr>
      <w:r w:rsidRPr="008B3C44">
        <w:rPr>
          <w:i/>
          <w:sz w:val="24"/>
        </w:rPr>
        <w:t>Afgørelse</w:t>
      </w:r>
      <w:r w:rsidR="009056D9">
        <w:rPr>
          <w:i/>
          <w:sz w:val="24"/>
        </w:rPr>
        <w:t>ns indhold m.v.</w:t>
      </w:r>
      <w:r w:rsidRPr="008B3C44">
        <w:rPr>
          <w:i/>
          <w:sz w:val="24"/>
        </w:rPr>
        <w:cr/>
      </w:r>
    </w:p>
    <w:p w:rsidR="009056D9" w:rsidRDefault="00146DA1" w:rsidP="009056D9">
      <w:pPr>
        <w:widowControl/>
        <w:jc w:val="both"/>
        <w:rPr>
          <w:sz w:val="24"/>
        </w:rPr>
      </w:pPr>
      <w:r>
        <w:rPr>
          <w:b/>
          <w:sz w:val="24"/>
        </w:rPr>
        <w:t>§ 1</w:t>
      </w:r>
      <w:r w:rsidR="008068AF">
        <w:rPr>
          <w:b/>
          <w:sz w:val="24"/>
        </w:rPr>
        <w:t>3</w:t>
      </w:r>
      <w:r w:rsidRPr="008B3C44">
        <w:rPr>
          <w:b/>
          <w:sz w:val="24"/>
        </w:rPr>
        <w:t>.</w:t>
      </w:r>
      <w:r>
        <w:rPr>
          <w:b/>
          <w:sz w:val="24"/>
        </w:rPr>
        <w:t xml:space="preserve"> </w:t>
      </w:r>
      <w:r w:rsidR="009056D9" w:rsidRPr="00E12FEB">
        <w:rPr>
          <w:sz w:val="24"/>
        </w:rPr>
        <w:t>Afgørelsen skal være dateret</w:t>
      </w:r>
      <w:r w:rsidR="009056D9">
        <w:rPr>
          <w:sz w:val="24"/>
        </w:rPr>
        <w:t>.</w:t>
      </w:r>
      <w:r w:rsidR="009056D9" w:rsidRPr="00E12FEB">
        <w:rPr>
          <w:sz w:val="24"/>
        </w:rPr>
        <w:t xml:space="preserve"> </w:t>
      </w:r>
      <w:r w:rsidR="009056D9">
        <w:rPr>
          <w:sz w:val="24"/>
        </w:rPr>
        <w:t xml:space="preserve">Afgørelsen formuleres af formanden </w:t>
      </w:r>
      <w:r w:rsidR="009056D9" w:rsidRPr="00E12FEB">
        <w:rPr>
          <w:sz w:val="24"/>
        </w:rPr>
        <w:t xml:space="preserve">eller efter formandens bestemmelse </w:t>
      </w:r>
      <w:r w:rsidR="009056D9">
        <w:rPr>
          <w:sz w:val="24"/>
        </w:rPr>
        <w:t xml:space="preserve">af </w:t>
      </w:r>
      <w:r w:rsidR="009056D9" w:rsidRPr="00E12FEB">
        <w:rPr>
          <w:sz w:val="24"/>
        </w:rPr>
        <w:t>den næstformand, der har deltaget i afgørelsen</w:t>
      </w:r>
      <w:r w:rsidR="009056D9">
        <w:rPr>
          <w:sz w:val="24"/>
        </w:rPr>
        <w:t>, med bistand fra Skatteankestyrelsen. I sager med mindretalsopfattelser formuleres afgørelsen i fornødent omfang efter samråd med de øvrige medlemmer, der har deltaget i afgørelsen.</w:t>
      </w:r>
      <w:r w:rsidR="009056D9" w:rsidRPr="00E12FEB">
        <w:rPr>
          <w:sz w:val="24"/>
        </w:rPr>
        <w:t xml:space="preserve"> </w:t>
      </w:r>
    </w:p>
    <w:p w:rsidR="009056D9" w:rsidRDefault="009056D9" w:rsidP="009056D9">
      <w:pPr>
        <w:widowControl/>
        <w:jc w:val="both"/>
        <w:rPr>
          <w:sz w:val="24"/>
        </w:rPr>
      </w:pPr>
      <w:r>
        <w:rPr>
          <w:i/>
          <w:sz w:val="24"/>
        </w:rPr>
        <w:t xml:space="preserve">Stk. 2. </w:t>
      </w:r>
      <w:r w:rsidR="00D367F6" w:rsidRPr="00D61F10">
        <w:rPr>
          <w:sz w:val="24"/>
        </w:rPr>
        <w:t>Afgørelsen skal være begrundet</w:t>
      </w:r>
      <w:r w:rsidR="00D367F6">
        <w:rPr>
          <w:sz w:val="24"/>
        </w:rPr>
        <w:t xml:space="preserve"> med henvisning til relevante retsregler og indeholde en redegørelse for sagens faktiske forhold.</w:t>
      </w:r>
      <w:r w:rsidR="00D367F6" w:rsidRPr="00CF45FA">
        <w:rPr>
          <w:sz w:val="24"/>
        </w:rPr>
        <w:t xml:space="preserve"> </w:t>
      </w:r>
      <w:r w:rsidR="00D367F6">
        <w:rPr>
          <w:sz w:val="24"/>
        </w:rPr>
        <w:t>Begrundelsen skal</w:t>
      </w:r>
      <w:r w:rsidR="00D367F6" w:rsidRPr="00D61F10">
        <w:rPr>
          <w:sz w:val="24"/>
        </w:rPr>
        <w:t xml:space="preserve"> angive ankenævnets stillingtagen til de af klageren </w:t>
      </w:r>
      <w:r w:rsidR="00D367F6">
        <w:rPr>
          <w:sz w:val="24"/>
        </w:rPr>
        <w:t>anførte forhold</w:t>
      </w:r>
      <w:r w:rsidR="00D367F6" w:rsidRPr="00D61F10">
        <w:rPr>
          <w:sz w:val="24"/>
        </w:rPr>
        <w:t xml:space="preserve"> og </w:t>
      </w:r>
      <w:r w:rsidR="00D367F6">
        <w:rPr>
          <w:sz w:val="24"/>
        </w:rPr>
        <w:t>synspunkter, i det omfang disse forhold og synspunkter må anses for relevante i forhold til sagens afgørelse.</w:t>
      </w:r>
    </w:p>
    <w:p w:rsidR="009056D9" w:rsidRDefault="009056D9" w:rsidP="009056D9">
      <w:pPr>
        <w:widowControl/>
        <w:jc w:val="both"/>
        <w:rPr>
          <w:sz w:val="24"/>
        </w:rPr>
      </w:pPr>
      <w:r>
        <w:rPr>
          <w:i/>
          <w:sz w:val="24"/>
        </w:rPr>
        <w:t>Stk. 3.</w:t>
      </w:r>
      <w:r>
        <w:rPr>
          <w:sz w:val="24"/>
        </w:rPr>
        <w:t xml:space="preserve"> Skatteankenævnets og motorankenævnets afgørelse skal angå de punkter i den påklagede afgørelse, der er klaget over</w:t>
      </w:r>
      <w:r w:rsidR="005720AC">
        <w:rPr>
          <w:sz w:val="24"/>
        </w:rPr>
        <w:t>,</w:t>
      </w:r>
      <w:r>
        <w:rPr>
          <w:sz w:val="24"/>
        </w:rPr>
        <w:t xml:space="preserve"> og eventuelle afledte ændringer, jf. skatteforvaltningslovens § 36, stk. 7, og § 39 a, stk. 6. Vurderingsankenævnets afgørelse skal angå de punkter i den påklagede afgørelse, der er klaget over</w:t>
      </w:r>
      <w:r w:rsidR="00FA6F25">
        <w:rPr>
          <w:sz w:val="24"/>
        </w:rPr>
        <w:t>,</w:t>
      </w:r>
      <w:r>
        <w:rPr>
          <w:sz w:val="24"/>
        </w:rPr>
        <w:t xml:space="preserve"> og eventuel genoptagelse af den påklagede vurdering i sin helhed, jf. skatteforvaltningslovens § 38, stk. 6.</w:t>
      </w:r>
    </w:p>
    <w:p w:rsidR="009056D9" w:rsidRPr="009D2136" w:rsidRDefault="009056D9" w:rsidP="009056D9">
      <w:pPr>
        <w:widowControl/>
        <w:jc w:val="both"/>
        <w:rPr>
          <w:sz w:val="24"/>
        </w:rPr>
      </w:pPr>
      <w:r>
        <w:rPr>
          <w:i/>
          <w:sz w:val="24"/>
        </w:rPr>
        <w:t>Stk. 4.</w:t>
      </w:r>
      <w:r>
        <w:rPr>
          <w:sz w:val="24"/>
        </w:rPr>
        <w:t xml:space="preserve"> Hvis klagen vedrører et afslag på en anmodning om genoptagelse af en afgørelse, og ankenævnet finder, at genoptagelse burde have fundet sted, skal ankenævnet i afgørelsen pålægge SKAT at genoptage afgørelsen.</w:t>
      </w:r>
      <w:r w:rsidRPr="00F93D64">
        <w:rPr>
          <w:b/>
          <w:sz w:val="24"/>
        </w:rPr>
        <w:t xml:space="preserve"> </w:t>
      </w:r>
    </w:p>
    <w:p w:rsidR="009056D9" w:rsidRPr="00E12FEB" w:rsidRDefault="009056D9" w:rsidP="009056D9">
      <w:pPr>
        <w:widowControl/>
        <w:jc w:val="both"/>
        <w:rPr>
          <w:sz w:val="24"/>
        </w:rPr>
      </w:pPr>
      <w:r w:rsidRPr="008B3C44">
        <w:rPr>
          <w:i/>
          <w:sz w:val="24"/>
        </w:rPr>
        <w:t xml:space="preserve">Stk. </w:t>
      </w:r>
      <w:r>
        <w:rPr>
          <w:i/>
          <w:sz w:val="24"/>
        </w:rPr>
        <w:t>5</w:t>
      </w:r>
      <w:r w:rsidRPr="008B3C44">
        <w:rPr>
          <w:i/>
          <w:sz w:val="24"/>
        </w:rPr>
        <w:t>.</w:t>
      </w:r>
      <w:r w:rsidRPr="00E12FEB">
        <w:rPr>
          <w:sz w:val="24"/>
        </w:rPr>
        <w:t xml:space="preserve"> </w:t>
      </w:r>
      <w:r>
        <w:rPr>
          <w:sz w:val="24"/>
        </w:rPr>
        <w:t>A</w:t>
      </w:r>
      <w:r w:rsidRPr="00E12FEB">
        <w:rPr>
          <w:sz w:val="24"/>
        </w:rPr>
        <w:t xml:space="preserve">fgørelsen sendes til klageren og </w:t>
      </w:r>
      <w:r>
        <w:rPr>
          <w:sz w:val="24"/>
        </w:rPr>
        <w:t>alle øvrige vedkommende</w:t>
      </w:r>
      <w:r w:rsidRPr="00E12FEB">
        <w:rPr>
          <w:sz w:val="24"/>
        </w:rPr>
        <w:t xml:space="preserve">. </w:t>
      </w:r>
      <w:r w:rsidR="00C44ED8" w:rsidRPr="00C44ED8">
        <w:rPr>
          <w:sz w:val="24"/>
        </w:rPr>
        <w:t>I den forbindelse vejledes klageren og eventuelle andre søgsmålsberettigede om fristen for at indbringe afgørelsen for domstolene.</w:t>
      </w:r>
    </w:p>
    <w:p w:rsidR="00FC2AAC" w:rsidRDefault="009056D9" w:rsidP="00146DA1">
      <w:pPr>
        <w:widowControl/>
        <w:jc w:val="both"/>
        <w:rPr>
          <w:sz w:val="24"/>
        </w:rPr>
      </w:pPr>
      <w:r w:rsidRPr="00FC2AAC" w:rsidDel="009056D9">
        <w:rPr>
          <w:sz w:val="24"/>
        </w:rPr>
        <w:t xml:space="preserve"> </w:t>
      </w:r>
    </w:p>
    <w:p w:rsidR="00146DA1" w:rsidRPr="00AF6A5A" w:rsidRDefault="00146DA1" w:rsidP="00146DA1">
      <w:pPr>
        <w:widowControl/>
        <w:jc w:val="center"/>
        <w:rPr>
          <w:sz w:val="24"/>
        </w:rPr>
      </w:pPr>
      <w:r w:rsidRPr="00AF6A5A">
        <w:rPr>
          <w:sz w:val="24"/>
        </w:rPr>
        <w:t xml:space="preserve">Kapitel </w:t>
      </w:r>
      <w:r>
        <w:rPr>
          <w:sz w:val="24"/>
        </w:rPr>
        <w:t>7</w:t>
      </w:r>
    </w:p>
    <w:p w:rsidR="00146DA1" w:rsidRDefault="00146DA1" w:rsidP="00146DA1">
      <w:pPr>
        <w:widowControl/>
        <w:jc w:val="center"/>
        <w:rPr>
          <w:sz w:val="24"/>
        </w:rPr>
      </w:pPr>
      <w:r w:rsidRPr="008B3C44">
        <w:rPr>
          <w:i/>
          <w:sz w:val="24"/>
        </w:rPr>
        <w:t>Øvrige bestemmelser</w:t>
      </w:r>
      <w:r w:rsidRPr="008B3C44">
        <w:rPr>
          <w:i/>
          <w:sz w:val="24"/>
        </w:rPr>
        <w:cr/>
      </w:r>
    </w:p>
    <w:p w:rsidR="00146DA1" w:rsidRPr="008B3C44" w:rsidRDefault="00146DA1" w:rsidP="00146DA1">
      <w:pPr>
        <w:widowControl/>
        <w:jc w:val="center"/>
        <w:rPr>
          <w:i/>
          <w:sz w:val="24"/>
        </w:rPr>
      </w:pPr>
      <w:r w:rsidRPr="008B3C44">
        <w:rPr>
          <w:i/>
          <w:sz w:val="24"/>
        </w:rPr>
        <w:t>Tilbagekaldelse</w:t>
      </w:r>
      <w:r w:rsidRPr="008B3C44">
        <w:rPr>
          <w:i/>
          <w:sz w:val="24"/>
        </w:rPr>
        <w:cr/>
      </w:r>
    </w:p>
    <w:p w:rsidR="00146DA1" w:rsidRPr="000027DB" w:rsidRDefault="00146DA1" w:rsidP="00146DA1">
      <w:pPr>
        <w:widowControl/>
        <w:jc w:val="both"/>
        <w:rPr>
          <w:sz w:val="24"/>
        </w:rPr>
      </w:pPr>
      <w:r w:rsidRPr="000027DB">
        <w:rPr>
          <w:b/>
          <w:sz w:val="24"/>
        </w:rPr>
        <w:t xml:space="preserve">§ </w:t>
      </w:r>
      <w:r>
        <w:rPr>
          <w:b/>
          <w:sz w:val="24"/>
        </w:rPr>
        <w:t>1</w:t>
      </w:r>
      <w:r w:rsidR="00FE7B9D">
        <w:rPr>
          <w:b/>
          <w:sz w:val="24"/>
        </w:rPr>
        <w:t>4</w:t>
      </w:r>
      <w:r w:rsidRPr="000027DB">
        <w:rPr>
          <w:b/>
          <w:sz w:val="24"/>
        </w:rPr>
        <w:t>.</w:t>
      </w:r>
      <w:r w:rsidRPr="000027DB">
        <w:rPr>
          <w:sz w:val="24"/>
        </w:rPr>
        <w:t xml:space="preserve"> En klager </w:t>
      </w:r>
      <w:r w:rsidR="00654B50">
        <w:rPr>
          <w:sz w:val="24"/>
        </w:rPr>
        <w:t>kan på ethvert tidspunkt af sagens behandling</w:t>
      </w:r>
      <w:r w:rsidRPr="000027DB">
        <w:rPr>
          <w:sz w:val="24"/>
        </w:rPr>
        <w:t xml:space="preserve"> tilbagekalde klagen. Tilbagekaldelsen kan ske skriftligt eller mundtligt. Ved enhver tilbagekaldelse skal</w:t>
      </w:r>
      <w:r w:rsidR="00534BAB">
        <w:rPr>
          <w:sz w:val="24"/>
        </w:rPr>
        <w:t xml:space="preserve"> Skatteankestyrelsen skriftligt meddele</w:t>
      </w:r>
      <w:r w:rsidRPr="000027DB">
        <w:rPr>
          <w:sz w:val="24"/>
        </w:rPr>
        <w:t xml:space="preserve"> klageren, at </w:t>
      </w:r>
      <w:r w:rsidR="00654B50">
        <w:rPr>
          <w:sz w:val="24"/>
        </w:rPr>
        <w:t>sagen</w:t>
      </w:r>
      <w:r w:rsidRPr="000027DB">
        <w:rPr>
          <w:sz w:val="24"/>
        </w:rPr>
        <w:t xml:space="preserve"> er henlagt som følge af tilbagekaldelsen af klagen.</w:t>
      </w:r>
    </w:p>
    <w:p w:rsidR="00146DA1" w:rsidRPr="000027DB" w:rsidRDefault="00146DA1" w:rsidP="00146DA1">
      <w:pPr>
        <w:widowControl/>
        <w:jc w:val="both"/>
        <w:rPr>
          <w:sz w:val="24"/>
        </w:rPr>
      </w:pPr>
      <w:r w:rsidRPr="000027DB">
        <w:rPr>
          <w:i/>
          <w:sz w:val="24"/>
        </w:rPr>
        <w:t>Stk. 2.</w:t>
      </w:r>
      <w:r w:rsidRPr="000027DB">
        <w:rPr>
          <w:sz w:val="24"/>
        </w:rPr>
        <w:t xml:space="preserve"> Hvis klageren efter skatteforvaltningslovens § 48, stk. 2, indbringer sagen for domstolene uden at afvente </w:t>
      </w:r>
      <w:r>
        <w:rPr>
          <w:sz w:val="24"/>
        </w:rPr>
        <w:t>ankenævnets</w:t>
      </w:r>
      <w:r w:rsidRPr="000027DB">
        <w:rPr>
          <w:sz w:val="24"/>
        </w:rPr>
        <w:t xml:space="preserve"> afgørelse, anses klagen til </w:t>
      </w:r>
      <w:r>
        <w:rPr>
          <w:sz w:val="24"/>
        </w:rPr>
        <w:t>ankenævnet</w:t>
      </w:r>
      <w:r w:rsidRPr="000027DB">
        <w:rPr>
          <w:sz w:val="24"/>
        </w:rPr>
        <w:t xml:space="preserve"> for bortfaldet. Klageren meddeles skriftligt, at </w:t>
      </w:r>
      <w:r w:rsidR="00067FAC">
        <w:rPr>
          <w:sz w:val="24"/>
        </w:rPr>
        <w:t>sagen</w:t>
      </w:r>
      <w:r w:rsidRPr="000027DB">
        <w:rPr>
          <w:sz w:val="24"/>
        </w:rPr>
        <w:t xml:space="preserve"> herefter er henlagt. </w:t>
      </w:r>
    </w:p>
    <w:p w:rsidR="00146DA1" w:rsidRDefault="00146DA1" w:rsidP="00146DA1">
      <w:pPr>
        <w:widowControl/>
        <w:jc w:val="both"/>
        <w:rPr>
          <w:sz w:val="24"/>
        </w:rPr>
      </w:pPr>
      <w:r w:rsidRPr="000027DB">
        <w:rPr>
          <w:i/>
          <w:sz w:val="24"/>
        </w:rPr>
        <w:t>Stk. 3.</w:t>
      </w:r>
      <w:r w:rsidRPr="000027DB">
        <w:rPr>
          <w:sz w:val="24"/>
        </w:rPr>
        <w:t xml:space="preserve"> Klageren kan til enhver tid mundtligt eller skriftligt frafalde en anmodning om et møde.</w:t>
      </w:r>
    </w:p>
    <w:p w:rsidR="00146DA1" w:rsidRPr="00E12FEB" w:rsidRDefault="00146DA1" w:rsidP="00146DA1">
      <w:pPr>
        <w:widowControl/>
        <w:jc w:val="both"/>
        <w:rPr>
          <w:sz w:val="24"/>
        </w:rPr>
      </w:pPr>
    </w:p>
    <w:p w:rsidR="00146DA1" w:rsidRPr="00E12FEB" w:rsidRDefault="00146DA1" w:rsidP="00146DA1">
      <w:pPr>
        <w:widowControl/>
        <w:jc w:val="center"/>
        <w:rPr>
          <w:sz w:val="24"/>
        </w:rPr>
      </w:pPr>
      <w:r w:rsidRPr="008B3C44">
        <w:rPr>
          <w:i/>
          <w:sz w:val="24"/>
        </w:rPr>
        <w:t>Repræsentation</w:t>
      </w:r>
      <w:r w:rsidRPr="008B3C44">
        <w:rPr>
          <w:i/>
          <w:sz w:val="24"/>
        </w:rPr>
        <w:cr/>
      </w:r>
    </w:p>
    <w:p w:rsidR="00146DA1" w:rsidRPr="00E12FEB" w:rsidRDefault="00146DA1" w:rsidP="00146DA1">
      <w:pPr>
        <w:widowControl/>
        <w:jc w:val="both"/>
        <w:rPr>
          <w:sz w:val="24"/>
        </w:rPr>
      </w:pPr>
      <w:r w:rsidRPr="008B3C44">
        <w:rPr>
          <w:b/>
          <w:sz w:val="24"/>
        </w:rPr>
        <w:t xml:space="preserve">§ </w:t>
      </w:r>
      <w:r>
        <w:rPr>
          <w:b/>
          <w:sz w:val="24"/>
        </w:rPr>
        <w:t>1</w:t>
      </w:r>
      <w:r w:rsidR="00FE7B9D">
        <w:rPr>
          <w:b/>
          <w:sz w:val="24"/>
        </w:rPr>
        <w:t>5</w:t>
      </w:r>
      <w:r>
        <w:rPr>
          <w:b/>
          <w:sz w:val="24"/>
        </w:rPr>
        <w:t xml:space="preserve">. </w:t>
      </w:r>
      <w:r w:rsidRPr="00E12FEB">
        <w:rPr>
          <w:sz w:val="24"/>
        </w:rPr>
        <w:t xml:space="preserve">En klager </w:t>
      </w:r>
      <w:r w:rsidR="00654B50">
        <w:rPr>
          <w:sz w:val="24"/>
        </w:rPr>
        <w:t>kan på ethvert tidspunkt af sagens behandling</w:t>
      </w:r>
      <w:r w:rsidRPr="00E12FEB">
        <w:rPr>
          <w:sz w:val="24"/>
        </w:rPr>
        <w:t xml:space="preserve"> bemyndige </w:t>
      </w:r>
      <w:r w:rsidR="00067FAC">
        <w:rPr>
          <w:sz w:val="24"/>
        </w:rPr>
        <w:t>andre</w:t>
      </w:r>
      <w:r w:rsidRPr="00E12FEB">
        <w:rPr>
          <w:sz w:val="24"/>
        </w:rPr>
        <w:t xml:space="preserve"> til at varetage sine interesser under sagen. </w:t>
      </w:r>
      <w:r w:rsidR="0012557C">
        <w:rPr>
          <w:sz w:val="24"/>
        </w:rPr>
        <w:t>Herefter</w:t>
      </w:r>
      <w:r w:rsidRPr="00E12FEB">
        <w:rPr>
          <w:sz w:val="24"/>
        </w:rPr>
        <w:t xml:space="preserve"> betragte</w:t>
      </w:r>
      <w:r w:rsidR="0012557C">
        <w:rPr>
          <w:sz w:val="24"/>
        </w:rPr>
        <w:t>s</w:t>
      </w:r>
      <w:r>
        <w:rPr>
          <w:sz w:val="24"/>
        </w:rPr>
        <w:t>,</w:t>
      </w:r>
      <w:r w:rsidRPr="00E12FEB">
        <w:rPr>
          <w:sz w:val="24"/>
        </w:rPr>
        <w:t xml:space="preserve"> indtil klageren meddeler, at bemyndigelsen er tilbagekaldt</w:t>
      </w:r>
      <w:r>
        <w:rPr>
          <w:sz w:val="24"/>
        </w:rPr>
        <w:t>,</w:t>
      </w:r>
      <w:r w:rsidRPr="00E12FEB">
        <w:rPr>
          <w:sz w:val="24"/>
        </w:rPr>
        <w:t xml:space="preserve"> den bemyndigede som legitimeret til at optræde på klagerens vegne.</w:t>
      </w:r>
    </w:p>
    <w:p w:rsidR="00146DA1" w:rsidRPr="00E12FEB" w:rsidRDefault="00146DA1" w:rsidP="00146DA1">
      <w:pPr>
        <w:widowControl/>
        <w:jc w:val="both"/>
        <w:rPr>
          <w:sz w:val="24"/>
        </w:rPr>
      </w:pPr>
      <w:r w:rsidRPr="008B3C44">
        <w:rPr>
          <w:i/>
          <w:sz w:val="24"/>
        </w:rPr>
        <w:t>Stk. 2.</w:t>
      </w:r>
      <w:r w:rsidRPr="00E12FEB">
        <w:rPr>
          <w:sz w:val="24"/>
        </w:rPr>
        <w:t xml:space="preserve"> Uanset stk. 1 underretter </w:t>
      </w:r>
      <w:r w:rsidR="0012557C">
        <w:rPr>
          <w:sz w:val="24"/>
        </w:rPr>
        <w:t>Skatteankestyrelsen</w:t>
      </w:r>
      <w:r w:rsidRPr="00E12FEB">
        <w:rPr>
          <w:sz w:val="24"/>
        </w:rPr>
        <w:t xml:space="preserve"> såvel klager som klagers repræsentant skriftligt om:</w:t>
      </w:r>
    </w:p>
    <w:p w:rsidR="00146DA1" w:rsidRPr="00E12FEB" w:rsidRDefault="00146DA1" w:rsidP="00146DA1">
      <w:pPr>
        <w:widowControl/>
        <w:jc w:val="both"/>
        <w:rPr>
          <w:sz w:val="24"/>
        </w:rPr>
      </w:pPr>
      <w:r w:rsidRPr="00E12FEB">
        <w:rPr>
          <w:sz w:val="24"/>
        </w:rPr>
        <w:t>1)</w:t>
      </w:r>
      <w:r w:rsidRPr="00E12FEB">
        <w:rPr>
          <w:sz w:val="24"/>
        </w:rPr>
        <w:tab/>
      </w:r>
      <w:r>
        <w:rPr>
          <w:sz w:val="24"/>
        </w:rPr>
        <w:t xml:space="preserve"> </w:t>
      </w:r>
      <w:r w:rsidRPr="00E12FEB">
        <w:rPr>
          <w:sz w:val="24"/>
        </w:rPr>
        <w:t>Ankenævnets afgørelse af klagen</w:t>
      </w:r>
      <w:r w:rsidR="0044648A">
        <w:rPr>
          <w:sz w:val="24"/>
        </w:rPr>
        <w:t>.</w:t>
      </w:r>
    </w:p>
    <w:p w:rsidR="00146DA1" w:rsidRPr="00E12FEB" w:rsidRDefault="00146DA1" w:rsidP="00146DA1">
      <w:pPr>
        <w:widowControl/>
        <w:jc w:val="both"/>
        <w:rPr>
          <w:sz w:val="24"/>
        </w:rPr>
      </w:pPr>
      <w:r w:rsidRPr="00E12FEB">
        <w:rPr>
          <w:sz w:val="24"/>
        </w:rPr>
        <w:lastRenderedPageBreak/>
        <w:t>2)</w:t>
      </w:r>
      <w:r w:rsidRPr="00E12FEB">
        <w:rPr>
          <w:sz w:val="24"/>
        </w:rPr>
        <w:tab/>
      </w:r>
      <w:r>
        <w:rPr>
          <w:sz w:val="24"/>
        </w:rPr>
        <w:t xml:space="preserve"> </w:t>
      </w:r>
      <w:r w:rsidRPr="00E12FEB">
        <w:rPr>
          <w:sz w:val="24"/>
        </w:rPr>
        <w:t>Ankenævnets henlæggelse af sagen, hvis klagen tilbagekaldes</w:t>
      </w:r>
      <w:r w:rsidR="002D6334">
        <w:rPr>
          <w:sz w:val="24"/>
        </w:rPr>
        <w:t xml:space="preserve"> eller borfalder,</w:t>
      </w:r>
      <w:r w:rsidRPr="00E12FEB">
        <w:rPr>
          <w:sz w:val="24"/>
        </w:rPr>
        <w:t xml:space="preserve"> jf. § </w:t>
      </w:r>
      <w:r>
        <w:rPr>
          <w:sz w:val="24"/>
        </w:rPr>
        <w:t>1</w:t>
      </w:r>
      <w:r w:rsidR="00FE7B9D">
        <w:rPr>
          <w:sz w:val="24"/>
        </w:rPr>
        <w:t>4</w:t>
      </w:r>
      <w:r>
        <w:rPr>
          <w:sz w:val="24"/>
        </w:rPr>
        <w:t>, stk. 1 og 2.</w:t>
      </w:r>
    </w:p>
    <w:p w:rsidR="00146DA1" w:rsidRDefault="00146DA1" w:rsidP="00146DA1">
      <w:pPr>
        <w:widowControl/>
        <w:jc w:val="both"/>
        <w:rPr>
          <w:sz w:val="24"/>
        </w:rPr>
      </w:pPr>
    </w:p>
    <w:p w:rsidR="00146DA1" w:rsidRPr="008B3C44" w:rsidRDefault="00146DA1" w:rsidP="00146DA1">
      <w:pPr>
        <w:widowControl/>
        <w:jc w:val="center"/>
        <w:rPr>
          <w:i/>
          <w:sz w:val="24"/>
        </w:rPr>
      </w:pPr>
      <w:r w:rsidRPr="008B3C44">
        <w:rPr>
          <w:i/>
          <w:sz w:val="24"/>
        </w:rPr>
        <w:t>Aktindsigt i ankenævnsmedlemmers forhold</w:t>
      </w:r>
      <w:r w:rsidRPr="008B3C44">
        <w:rPr>
          <w:i/>
          <w:sz w:val="24"/>
        </w:rPr>
        <w:cr/>
      </w:r>
    </w:p>
    <w:p w:rsidR="00146DA1" w:rsidRPr="00E12FEB" w:rsidRDefault="00146DA1" w:rsidP="00146DA1">
      <w:pPr>
        <w:widowControl/>
        <w:jc w:val="both"/>
        <w:rPr>
          <w:sz w:val="24"/>
        </w:rPr>
      </w:pPr>
      <w:r>
        <w:rPr>
          <w:b/>
          <w:sz w:val="24"/>
        </w:rPr>
        <w:t>§ 1</w:t>
      </w:r>
      <w:r w:rsidR="00FE7B9D">
        <w:rPr>
          <w:b/>
          <w:sz w:val="24"/>
        </w:rPr>
        <w:t>6</w:t>
      </w:r>
      <w:r w:rsidRPr="008B3C44">
        <w:rPr>
          <w:b/>
          <w:sz w:val="24"/>
        </w:rPr>
        <w:t>.</w:t>
      </w:r>
      <w:r>
        <w:rPr>
          <w:b/>
          <w:sz w:val="24"/>
        </w:rPr>
        <w:t xml:space="preserve"> </w:t>
      </w:r>
      <w:r w:rsidRPr="00E12FEB">
        <w:rPr>
          <w:sz w:val="24"/>
        </w:rPr>
        <w:t xml:space="preserve">Direktøren for </w:t>
      </w:r>
      <w:r>
        <w:rPr>
          <w:sz w:val="24"/>
        </w:rPr>
        <w:t>Skatteankestyrelsen</w:t>
      </w:r>
      <w:r w:rsidRPr="00E12FEB">
        <w:rPr>
          <w:sz w:val="24"/>
        </w:rPr>
        <w:t xml:space="preserve"> er bemyndiget til at give aktindsigt i ankenævnsmedlemmers forhold efter offentlighedsloven for så vidt angår: </w:t>
      </w:r>
    </w:p>
    <w:p w:rsidR="00146DA1" w:rsidRPr="00E12FEB" w:rsidRDefault="00146DA1" w:rsidP="00146DA1">
      <w:pPr>
        <w:widowControl/>
        <w:jc w:val="both"/>
        <w:rPr>
          <w:sz w:val="24"/>
        </w:rPr>
      </w:pPr>
      <w:r>
        <w:rPr>
          <w:sz w:val="24"/>
        </w:rPr>
        <w:t xml:space="preserve">1) </w:t>
      </w:r>
      <w:r w:rsidRPr="00E12FEB">
        <w:rPr>
          <w:sz w:val="24"/>
        </w:rPr>
        <w:t>Hvilken kommune/organisation, der har indstillet det pågældende medlem.</w:t>
      </w:r>
    </w:p>
    <w:p w:rsidR="00146DA1" w:rsidRPr="00E12FEB" w:rsidRDefault="00146DA1" w:rsidP="00146DA1">
      <w:pPr>
        <w:widowControl/>
        <w:jc w:val="both"/>
        <w:rPr>
          <w:sz w:val="24"/>
        </w:rPr>
      </w:pPr>
      <w:r>
        <w:rPr>
          <w:sz w:val="24"/>
        </w:rPr>
        <w:t xml:space="preserve">2) </w:t>
      </w:r>
      <w:r w:rsidRPr="00E12FEB">
        <w:rPr>
          <w:sz w:val="24"/>
        </w:rPr>
        <w:t>Hvilket parti/liste, der har indstillet det pågældende medlem.</w:t>
      </w:r>
    </w:p>
    <w:p w:rsidR="00146DA1" w:rsidRPr="00E12FEB" w:rsidRDefault="00146DA1" w:rsidP="00146DA1">
      <w:pPr>
        <w:widowControl/>
        <w:jc w:val="both"/>
        <w:rPr>
          <w:sz w:val="24"/>
        </w:rPr>
      </w:pPr>
      <w:r>
        <w:rPr>
          <w:sz w:val="24"/>
        </w:rPr>
        <w:t>3)</w:t>
      </w:r>
      <w:r w:rsidRPr="00E12FEB">
        <w:rPr>
          <w:sz w:val="24"/>
        </w:rPr>
        <w:t xml:space="preserve"> Det pågældende medlems funktion som henholdsvis formand, næstformand eller menigt medlem af ankenævnet.</w:t>
      </w:r>
    </w:p>
    <w:p w:rsidR="00146DA1" w:rsidRDefault="00146DA1" w:rsidP="00146DA1">
      <w:pPr>
        <w:widowControl/>
        <w:jc w:val="both"/>
        <w:rPr>
          <w:sz w:val="24"/>
        </w:rPr>
      </w:pPr>
    </w:p>
    <w:p w:rsidR="00146DA1" w:rsidRDefault="00146DA1" w:rsidP="00146DA1">
      <w:pPr>
        <w:widowControl/>
        <w:jc w:val="center"/>
        <w:rPr>
          <w:i/>
          <w:sz w:val="24"/>
        </w:rPr>
      </w:pPr>
      <w:r>
        <w:rPr>
          <w:i/>
          <w:sz w:val="24"/>
        </w:rPr>
        <w:t>Vederlag og godtgørelser til ankenævnsmedlemmer og suppleanter</w:t>
      </w:r>
    </w:p>
    <w:p w:rsidR="00146DA1" w:rsidRPr="002D0E47" w:rsidRDefault="00146DA1" w:rsidP="00146DA1">
      <w:pPr>
        <w:widowControl/>
        <w:jc w:val="center"/>
        <w:rPr>
          <w:sz w:val="24"/>
        </w:rPr>
      </w:pPr>
    </w:p>
    <w:p w:rsidR="00146DA1" w:rsidRPr="00E12FEB" w:rsidRDefault="00146DA1" w:rsidP="00146DA1">
      <w:pPr>
        <w:widowControl/>
        <w:jc w:val="both"/>
        <w:rPr>
          <w:sz w:val="24"/>
        </w:rPr>
      </w:pPr>
      <w:r>
        <w:rPr>
          <w:b/>
          <w:sz w:val="24"/>
        </w:rPr>
        <w:t xml:space="preserve">§ </w:t>
      </w:r>
      <w:r w:rsidR="008068AF">
        <w:rPr>
          <w:b/>
          <w:sz w:val="24"/>
        </w:rPr>
        <w:t>1</w:t>
      </w:r>
      <w:r w:rsidR="00FE7B9D">
        <w:rPr>
          <w:b/>
          <w:sz w:val="24"/>
        </w:rPr>
        <w:t>7</w:t>
      </w:r>
      <w:r>
        <w:rPr>
          <w:b/>
          <w:sz w:val="24"/>
        </w:rPr>
        <w:t xml:space="preserve">. </w:t>
      </w:r>
      <w:r w:rsidRPr="00E12FEB">
        <w:rPr>
          <w:sz w:val="24"/>
        </w:rPr>
        <w:t xml:space="preserve">Medlemmer af ankenævn ydes et fast vederlag. </w:t>
      </w:r>
      <w:r w:rsidRPr="008C26AC">
        <w:rPr>
          <w:sz w:val="24"/>
        </w:rPr>
        <w:t xml:space="preserve">Vederlaget er et årligt vederlag, som beregnes månedsvis. </w:t>
      </w:r>
      <w:r w:rsidRPr="00E12FEB">
        <w:rPr>
          <w:sz w:val="24"/>
        </w:rPr>
        <w:t xml:space="preserve">Suppleanter modtager vederlag for de møder, som de deltager i. Vederlagets størrelse fremgår af bilag 1 til denne bekendtgørelse. </w:t>
      </w:r>
    </w:p>
    <w:p w:rsidR="00146DA1" w:rsidRPr="00E12FEB" w:rsidRDefault="00146DA1" w:rsidP="00146DA1">
      <w:pPr>
        <w:widowControl/>
        <w:jc w:val="both"/>
        <w:rPr>
          <w:sz w:val="24"/>
        </w:rPr>
      </w:pPr>
      <w:r w:rsidRPr="008B3C44">
        <w:rPr>
          <w:i/>
          <w:sz w:val="24"/>
        </w:rPr>
        <w:t>Stk. 2.</w:t>
      </w:r>
      <w:r w:rsidRPr="00E12FEB">
        <w:rPr>
          <w:sz w:val="24"/>
        </w:rPr>
        <w:t xml:space="preserve"> De i stk. 1 nævnte beløb er grundbeløb </w:t>
      </w:r>
      <w:r>
        <w:rPr>
          <w:sz w:val="24"/>
        </w:rPr>
        <w:t xml:space="preserve">pr. 31. marts 2012. </w:t>
      </w:r>
      <w:r w:rsidRPr="00E12FEB">
        <w:rPr>
          <w:sz w:val="24"/>
        </w:rPr>
        <w:t>Beløbene reguleres efter reglerne for generelle reguleringer af tjenestemandslønninger.</w:t>
      </w:r>
      <w:r>
        <w:rPr>
          <w:sz w:val="24"/>
        </w:rPr>
        <w:t xml:space="preserve"> </w:t>
      </w:r>
    </w:p>
    <w:p w:rsidR="00146DA1" w:rsidRPr="00E12FEB" w:rsidRDefault="00146DA1" w:rsidP="00146DA1">
      <w:pPr>
        <w:widowControl/>
        <w:jc w:val="both"/>
        <w:rPr>
          <w:sz w:val="24"/>
        </w:rPr>
      </w:pPr>
      <w:r w:rsidRPr="008B3C44">
        <w:rPr>
          <w:i/>
          <w:sz w:val="24"/>
        </w:rPr>
        <w:t>Stk. 3.</w:t>
      </w:r>
      <w:r w:rsidRPr="00E12FEB">
        <w:rPr>
          <w:sz w:val="24"/>
        </w:rPr>
        <w:t xml:space="preserve"> Medlemmer af ankenævn og suppleanter ydes befordringsgodtgørelse, time- og dagpenge samt overnatningsgodtgørelser efter de regler, der er fastsat af Skatterådet.</w:t>
      </w:r>
    </w:p>
    <w:p w:rsidR="00146DA1" w:rsidRPr="00E12FEB" w:rsidRDefault="00146DA1" w:rsidP="00146DA1">
      <w:pPr>
        <w:widowControl/>
        <w:jc w:val="both"/>
        <w:rPr>
          <w:sz w:val="24"/>
        </w:rPr>
      </w:pPr>
      <w:r w:rsidRPr="008B3C44">
        <w:rPr>
          <w:i/>
          <w:sz w:val="24"/>
        </w:rPr>
        <w:t xml:space="preserve">Stk. </w:t>
      </w:r>
      <w:r>
        <w:rPr>
          <w:i/>
          <w:sz w:val="24"/>
        </w:rPr>
        <w:t>4</w:t>
      </w:r>
      <w:r w:rsidRPr="008B3C44">
        <w:rPr>
          <w:i/>
          <w:sz w:val="24"/>
        </w:rPr>
        <w:t xml:space="preserve">. </w:t>
      </w:r>
      <w:r w:rsidRPr="00E12FEB">
        <w:rPr>
          <w:sz w:val="24"/>
        </w:rPr>
        <w:t>Medlemmer af ankenævn kan under uddannelse få udbetalt godtgørelse for tabt arbejdsfortjeneste efter de regler, der gælder for arbejdsmarkedsuddannelserne.</w:t>
      </w:r>
    </w:p>
    <w:p w:rsidR="00146DA1" w:rsidRDefault="00146DA1" w:rsidP="00146DA1">
      <w:pPr>
        <w:widowControl/>
        <w:jc w:val="both"/>
        <w:rPr>
          <w:sz w:val="24"/>
        </w:rPr>
      </w:pPr>
    </w:p>
    <w:p w:rsidR="00146DA1" w:rsidRPr="00F93D64" w:rsidRDefault="00146DA1" w:rsidP="00146DA1">
      <w:pPr>
        <w:widowControl/>
        <w:jc w:val="center"/>
        <w:rPr>
          <w:sz w:val="24"/>
        </w:rPr>
      </w:pPr>
      <w:r w:rsidRPr="00F93D64">
        <w:rPr>
          <w:sz w:val="24"/>
        </w:rPr>
        <w:t xml:space="preserve">Kapitel </w:t>
      </w:r>
      <w:r>
        <w:rPr>
          <w:sz w:val="24"/>
        </w:rPr>
        <w:t>8</w:t>
      </w:r>
    </w:p>
    <w:p w:rsidR="00146DA1" w:rsidRPr="008B3C44" w:rsidRDefault="00146DA1" w:rsidP="00146DA1">
      <w:pPr>
        <w:widowControl/>
        <w:jc w:val="center"/>
        <w:rPr>
          <w:i/>
          <w:sz w:val="24"/>
        </w:rPr>
      </w:pPr>
      <w:r w:rsidRPr="008B3C44">
        <w:rPr>
          <w:i/>
          <w:sz w:val="24"/>
        </w:rPr>
        <w:t>Ikrafttræden</w:t>
      </w:r>
      <w:r>
        <w:rPr>
          <w:i/>
          <w:sz w:val="24"/>
        </w:rPr>
        <w:t xml:space="preserve"> m.v.</w:t>
      </w:r>
      <w:r w:rsidRPr="008B3C44">
        <w:rPr>
          <w:i/>
          <w:sz w:val="24"/>
        </w:rPr>
        <w:cr/>
      </w:r>
    </w:p>
    <w:p w:rsidR="00146DA1" w:rsidRPr="00E12FEB" w:rsidRDefault="00146DA1" w:rsidP="00146DA1">
      <w:pPr>
        <w:widowControl/>
        <w:jc w:val="both"/>
        <w:rPr>
          <w:sz w:val="24"/>
        </w:rPr>
      </w:pPr>
      <w:r>
        <w:rPr>
          <w:b/>
          <w:sz w:val="24"/>
        </w:rPr>
        <w:t xml:space="preserve">§ </w:t>
      </w:r>
      <w:r w:rsidR="008068AF">
        <w:rPr>
          <w:b/>
          <w:sz w:val="24"/>
        </w:rPr>
        <w:t>1</w:t>
      </w:r>
      <w:r w:rsidR="00FE7B9D">
        <w:rPr>
          <w:b/>
          <w:sz w:val="24"/>
        </w:rPr>
        <w:t>8</w:t>
      </w:r>
      <w:r>
        <w:rPr>
          <w:b/>
          <w:sz w:val="24"/>
        </w:rPr>
        <w:t xml:space="preserve">. </w:t>
      </w:r>
      <w:r w:rsidRPr="00E12FEB">
        <w:rPr>
          <w:sz w:val="24"/>
        </w:rPr>
        <w:t>Bekendtgørelsen træder i kraft den 1. januar 2014.</w:t>
      </w:r>
    </w:p>
    <w:p w:rsidR="00146DA1" w:rsidRDefault="00146DA1" w:rsidP="00146DA1">
      <w:pPr>
        <w:rPr>
          <w:sz w:val="24"/>
        </w:rPr>
      </w:pPr>
      <w:r w:rsidRPr="00970D7F">
        <w:rPr>
          <w:i/>
          <w:sz w:val="24"/>
        </w:rPr>
        <w:t>Stk. 2.</w:t>
      </w:r>
      <w:r w:rsidRPr="00E12FEB">
        <w:rPr>
          <w:sz w:val="24"/>
        </w:rPr>
        <w:t xml:space="preserve"> </w:t>
      </w:r>
      <w:r>
        <w:rPr>
          <w:sz w:val="24"/>
        </w:rPr>
        <w:t>Samtidig ophæves b</w:t>
      </w:r>
      <w:r w:rsidRPr="00E12FEB">
        <w:rPr>
          <w:sz w:val="24"/>
        </w:rPr>
        <w:t xml:space="preserve">ekendtgørelse nr. 1058 af 10. november 2009 </w:t>
      </w:r>
      <w:r w:rsidRPr="00900BAD">
        <w:rPr>
          <w:sz w:val="24"/>
        </w:rPr>
        <w:t>af forretningsorden for skatteankenævn, vurderingsankenævn, fælles skatte- og vurderingsankenævn samt motorankenævn</w:t>
      </w:r>
      <w:r>
        <w:rPr>
          <w:sz w:val="24"/>
        </w:rPr>
        <w:t>.</w:t>
      </w:r>
    </w:p>
    <w:p w:rsidR="00146DA1" w:rsidRPr="00970D7F" w:rsidRDefault="00146DA1" w:rsidP="00146DA1">
      <w:pPr>
        <w:widowControl/>
        <w:jc w:val="both"/>
        <w:rPr>
          <w:sz w:val="24"/>
        </w:rPr>
      </w:pPr>
      <w:r w:rsidRPr="00970D7F">
        <w:rPr>
          <w:i/>
          <w:sz w:val="24"/>
        </w:rPr>
        <w:t xml:space="preserve">Stk. </w:t>
      </w:r>
      <w:r w:rsidR="0074271D">
        <w:rPr>
          <w:i/>
          <w:sz w:val="24"/>
        </w:rPr>
        <w:t>3</w:t>
      </w:r>
      <w:r w:rsidRPr="00970D7F">
        <w:rPr>
          <w:i/>
          <w:sz w:val="24"/>
        </w:rPr>
        <w:t>.</w:t>
      </w:r>
      <w:r w:rsidRPr="00970D7F">
        <w:rPr>
          <w:sz w:val="24"/>
        </w:rPr>
        <w:t xml:space="preserve"> For de klager over afgørelser fra skatteankenævnene, vurderingsankenævnene og motorankenævnene, som er påklaget til Landsskatteretten inden 1. januar 2014, og hvor der ikke er truffet afgørelse inden 1. januar 2014, finder § 2, stk. 5</w:t>
      </w:r>
      <w:r>
        <w:rPr>
          <w:sz w:val="24"/>
        </w:rPr>
        <w:t>,</w:t>
      </w:r>
      <w:r w:rsidR="00CE6076">
        <w:rPr>
          <w:sz w:val="24"/>
        </w:rPr>
        <w:t xml:space="preserve"> § 31 og § 32</w:t>
      </w:r>
      <w:r w:rsidRPr="00970D7F">
        <w:rPr>
          <w:sz w:val="24"/>
        </w:rPr>
        <w:t xml:space="preserve"> i bekendtgørelse nr. 1058 af 10. november 2009</w:t>
      </w:r>
      <w:r>
        <w:rPr>
          <w:sz w:val="24"/>
        </w:rPr>
        <w:t xml:space="preserve"> </w:t>
      </w:r>
      <w:r w:rsidRPr="00024566">
        <w:rPr>
          <w:sz w:val="24"/>
        </w:rPr>
        <w:t>af forretningsorden for skatteankenævn, vurderingsankenævn, fælles skatte- og vurderingsankenævn samt motorankenævn</w:t>
      </w:r>
      <w:r w:rsidRPr="00970D7F">
        <w:rPr>
          <w:sz w:val="24"/>
        </w:rPr>
        <w:t xml:space="preserve"> fortsat anvendelse.</w:t>
      </w:r>
    </w:p>
    <w:p w:rsidR="00146DA1" w:rsidRDefault="00146DA1" w:rsidP="00146DA1">
      <w:pPr>
        <w:widowControl/>
        <w:jc w:val="both"/>
        <w:rPr>
          <w:sz w:val="24"/>
        </w:rPr>
      </w:pPr>
      <w:r w:rsidRPr="00970D7F">
        <w:rPr>
          <w:i/>
          <w:sz w:val="24"/>
        </w:rPr>
        <w:t xml:space="preserve">Stk. </w:t>
      </w:r>
      <w:r w:rsidR="0074271D">
        <w:rPr>
          <w:i/>
          <w:sz w:val="24"/>
        </w:rPr>
        <w:t>4</w:t>
      </w:r>
      <w:r w:rsidRPr="00970D7F">
        <w:rPr>
          <w:i/>
          <w:sz w:val="24"/>
        </w:rPr>
        <w:t>.</w:t>
      </w:r>
      <w:r w:rsidRPr="00970D7F">
        <w:rPr>
          <w:sz w:val="24"/>
        </w:rPr>
        <w:t xml:space="preserve"> For </w:t>
      </w:r>
      <w:r>
        <w:rPr>
          <w:sz w:val="24"/>
        </w:rPr>
        <w:t xml:space="preserve">medlemmer af </w:t>
      </w:r>
      <w:r w:rsidRPr="00970D7F">
        <w:rPr>
          <w:sz w:val="24"/>
        </w:rPr>
        <w:t>de ankenævn, hvis funktionsperiode løber fra 1.</w:t>
      </w:r>
      <w:r>
        <w:rPr>
          <w:sz w:val="24"/>
        </w:rPr>
        <w:t xml:space="preserve"> </w:t>
      </w:r>
      <w:r w:rsidRPr="00970D7F">
        <w:rPr>
          <w:sz w:val="24"/>
        </w:rPr>
        <w:t>juli 2010 til den 30. juni 2014, finder §</w:t>
      </w:r>
      <w:r>
        <w:rPr>
          <w:sz w:val="24"/>
        </w:rPr>
        <w:t xml:space="preserve"> </w:t>
      </w:r>
      <w:r w:rsidRPr="00970D7F">
        <w:rPr>
          <w:sz w:val="24"/>
        </w:rPr>
        <w:t>33 i bekendtgørelse nr. 1058 af 10. november 2009</w:t>
      </w:r>
      <w:r>
        <w:rPr>
          <w:sz w:val="24"/>
        </w:rPr>
        <w:t xml:space="preserve"> </w:t>
      </w:r>
      <w:r w:rsidRPr="00024566">
        <w:rPr>
          <w:sz w:val="24"/>
        </w:rPr>
        <w:t>af forretningsorden for skatteankenævn, vurderingsankenævn, fælles skatte- og vurderingsankenævn samt motorankenævn</w:t>
      </w:r>
      <w:r w:rsidRPr="00970D7F">
        <w:rPr>
          <w:sz w:val="24"/>
        </w:rPr>
        <w:t xml:space="preserve"> fortsat anvendelse</w:t>
      </w:r>
      <w:r>
        <w:rPr>
          <w:sz w:val="24"/>
        </w:rPr>
        <w:t xml:space="preserve"> til og med den 30. juni 2014</w:t>
      </w:r>
      <w:r w:rsidRPr="00970D7F">
        <w:rPr>
          <w:sz w:val="24"/>
        </w:rPr>
        <w:t>.</w:t>
      </w:r>
    </w:p>
    <w:p w:rsidR="00146DA1" w:rsidRDefault="00146DA1">
      <w:pPr>
        <w:widowControl/>
        <w:spacing w:line="288" w:lineRule="auto"/>
        <w:jc w:val="both"/>
        <w:rPr>
          <w:sz w:val="24"/>
        </w:rPr>
      </w:pPr>
    </w:p>
    <w:p w:rsidR="00631FF5" w:rsidRDefault="00631FF5">
      <w:pPr>
        <w:widowControl/>
        <w:spacing w:line="288" w:lineRule="auto"/>
        <w:jc w:val="both"/>
        <w:rPr>
          <w:sz w:val="24"/>
        </w:rPr>
      </w:pPr>
      <w:bookmarkStart w:id="3" w:name="QuickMark"/>
      <w:bookmarkEnd w:id="3"/>
    </w:p>
    <w:p w:rsidR="00631FF5" w:rsidRDefault="00631FF5">
      <w:pPr>
        <w:widowControl/>
        <w:spacing w:line="288" w:lineRule="auto"/>
        <w:jc w:val="both"/>
        <w:rPr>
          <w:sz w:val="24"/>
        </w:rPr>
      </w:pPr>
    </w:p>
    <w:p w:rsidR="00631FF5" w:rsidRDefault="00631FF5">
      <w:pPr>
        <w:widowControl/>
        <w:spacing w:line="288" w:lineRule="auto"/>
        <w:ind w:firstLine="850"/>
        <w:jc w:val="both"/>
        <w:rPr>
          <w:sz w:val="24"/>
        </w:rPr>
      </w:pPr>
      <w:r>
        <w:rPr>
          <w:sz w:val="24"/>
        </w:rPr>
        <w:t>Skatteministeriet den</w:t>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D555CC">
      <w:pPr>
        <w:widowControl/>
        <w:spacing w:line="288" w:lineRule="auto"/>
        <w:ind w:firstLine="1701"/>
        <w:jc w:val="both"/>
        <w:rPr>
          <w:sz w:val="24"/>
        </w:rPr>
      </w:pPr>
      <w:r>
        <w:rPr>
          <w:sz w:val="24"/>
        </w:rPr>
        <w:t>Holger K. Nielsen</w:t>
      </w:r>
      <w:r w:rsidR="00631FF5">
        <w:rPr>
          <w:sz w:val="24"/>
        </w:rPr>
        <w:tab/>
        <w:t xml:space="preserve">  /</w:t>
      </w:r>
      <w:bookmarkStart w:id="4" w:name="a4"/>
      <w:r w:rsidR="00631FF5">
        <w:rPr>
          <w:sz w:val="24"/>
        </w:rPr>
        <w:t xml:space="preserve"> </w:t>
      </w:r>
      <w:bookmarkEnd w:id="4"/>
      <w:r w:rsidR="00146DA1">
        <w:rPr>
          <w:sz w:val="24"/>
        </w:rPr>
        <w:t>Per Hvas</w:t>
      </w:r>
    </w:p>
    <w:p w:rsidR="00B2232C" w:rsidRDefault="00B2232C">
      <w:pPr>
        <w:widowControl/>
        <w:spacing w:line="288" w:lineRule="auto"/>
        <w:ind w:firstLine="1701"/>
        <w:jc w:val="both"/>
        <w:rPr>
          <w:sz w:val="24"/>
        </w:rPr>
      </w:pPr>
    </w:p>
    <w:p w:rsidR="00B2232C" w:rsidRDefault="00B2232C">
      <w:pPr>
        <w:widowControl/>
        <w:spacing w:line="288" w:lineRule="auto"/>
        <w:ind w:firstLine="1701"/>
        <w:jc w:val="both"/>
        <w:rPr>
          <w:sz w:val="24"/>
        </w:rPr>
      </w:pPr>
    </w:p>
    <w:p w:rsidR="00B2232C" w:rsidRDefault="00B2232C">
      <w:pPr>
        <w:widowControl/>
        <w:spacing w:line="288" w:lineRule="auto"/>
        <w:ind w:firstLine="1701"/>
        <w:jc w:val="both"/>
        <w:rPr>
          <w:sz w:val="24"/>
        </w:rPr>
      </w:pPr>
    </w:p>
    <w:p w:rsidR="00B2232C" w:rsidRDefault="00B2232C">
      <w:pPr>
        <w:widowControl/>
        <w:spacing w:line="288" w:lineRule="auto"/>
        <w:ind w:firstLine="1701"/>
        <w:jc w:val="both"/>
        <w:rPr>
          <w:sz w:val="24"/>
        </w:rPr>
      </w:pPr>
    </w:p>
    <w:p w:rsidR="00B2232C" w:rsidRDefault="00B2232C">
      <w:pPr>
        <w:widowControl/>
        <w:spacing w:line="288" w:lineRule="auto"/>
        <w:ind w:firstLine="1701"/>
        <w:jc w:val="both"/>
        <w:rPr>
          <w:sz w:val="24"/>
        </w:rPr>
      </w:pPr>
    </w:p>
    <w:p w:rsidR="00B2232C" w:rsidRDefault="00B2232C">
      <w:pPr>
        <w:widowControl/>
        <w:spacing w:line="288" w:lineRule="auto"/>
        <w:ind w:firstLine="1701"/>
        <w:jc w:val="both"/>
        <w:rPr>
          <w:sz w:val="24"/>
        </w:rPr>
      </w:pPr>
    </w:p>
    <w:p w:rsidR="00B2232C" w:rsidRDefault="00B2232C">
      <w:pPr>
        <w:widowControl/>
        <w:spacing w:line="288" w:lineRule="auto"/>
        <w:ind w:firstLine="1701"/>
        <w:jc w:val="both"/>
        <w:rPr>
          <w:sz w:val="24"/>
        </w:rPr>
      </w:pPr>
    </w:p>
    <w:p w:rsidR="00180069" w:rsidRDefault="00180069">
      <w:pPr>
        <w:widowControl/>
        <w:spacing w:line="288" w:lineRule="auto"/>
        <w:ind w:firstLine="1701"/>
        <w:jc w:val="both"/>
        <w:rPr>
          <w:sz w:val="24"/>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896F7A" w:rsidRDefault="00896F7A" w:rsidP="00B2232C">
      <w:pPr>
        <w:widowControl/>
        <w:autoSpaceDE/>
        <w:autoSpaceDN/>
        <w:adjustRightInd/>
        <w:spacing w:after="200" w:line="276" w:lineRule="auto"/>
        <w:rPr>
          <w:rFonts w:ascii="Calibri" w:eastAsia="Calibri" w:hAnsi="Calibri"/>
          <w:b/>
          <w:sz w:val="22"/>
          <w:szCs w:val="22"/>
          <w:lang w:eastAsia="en-US"/>
        </w:rPr>
      </w:pPr>
    </w:p>
    <w:p w:rsidR="00703092" w:rsidRPr="00B2232C" w:rsidRDefault="00896F7A" w:rsidP="00B2232C">
      <w:pPr>
        <w:widowControl/>
        <w:autoSpaceDE/>
        <w:autoSpaceDN/>
        <w:adjustRightInd/>
        <w:spacing w:after="200" w:line="276" w:lineRule="auto"/>
        <w:rPr>
          <w:rFonts w:ascii="Calibri" w:eastAsia="Calibri" w:hAnsi="Calibri"/>
          <w:b/>
          <w:sz w:val="22"/>
          <w:szCs w:val="22"/>
          <w:lang w:eastAsia="en-US"/>
        </w:rPr>
      </w:pPr>
      <w:r>
        <w:rPr>
          <w:rFonts w:ascii="Calibri" w:eastAsia="Calibri" w:hAnsi="Calibri"/>
          <w:b/>
          <w:sz w:val="22"/>
          <w:szCs w:val="22"/>
          <w:lang w:eastAsia="en-US"/>
        </w:rPr>
        <w:br w:type="page"/>
      </w:r>
      <w:r w:rsidR="00B2232C" w:rsidRPr="00B2232C">
        <w:rPr>
          <w:rFonts w:ascii="Calibri" w:eastAsia="Calibri" w:hAnsi="Calibri"/>
          <w:b/>
          <w:sz w:val="22"/>
          <w:szCs w:val="22"/>
          <w:lang w:eastAsia="en-US"/>
        </w:rPr>
        <w:lastRenderedPageBreak/>
        <w:t>Bilag 1</w:t>
      </w:r>
    </w:p>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r w:rsidRPr="00B2232C">
        <w:rPr>
          <w:rFonts w:ascii="Calibri" w:eastAsia="Calibri" w:hAnsi="Calibri"/>
          <w:b/>
          <w:sz w:val="22"/>
          <w:szCs w:val="22"/>
          <w:lang w:eastAsia="en-US"/>
        </w:rPr>
        <w:t>Vederlag gældende fra 1. juli 2014</w:t>
      </w:r>
    </w:p>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r w:rsidRPr="00B2232C">
        <w:rPr>
          <w:rFonts w:ascii="Calibri" w:eastAsia="Calibri" w:hAnsi="Calibri"/>
          <w:b/>
          <w:sz w:val="22"/>
          <w:szCs w:val="22"/>
          <w:lang w:eastAsia="en-US"/>
        </w:rPr>
        <w:t>Vederlag til medlemmer af skatteankenævn: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02"/>
        <w:gridCol w:w="2355"/>
        <w:gridCol w:w="2296"/>
      </w:tblGrid>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Antal medlemmer</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Formand</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Næstformænd</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Menigt medlem</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5</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83.000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53.900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39.900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103.700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67.400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39.900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10</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114.100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74.700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39.900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15</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124.500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83.000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39.900</w:t>
            </w:r>
          </w:p>
        </w:tc>
      </w:tr>
    </w:tbl>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Vederlag til suppleanter, der deltager i enkeltmøder:</w:t>
      </w: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Hver suppleant modtager 550 kr. for hvert møde, de deltager i.</w:t>
      </w: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p>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r w:rsidRPr="00B2232C">
        <w:rPr>
          <w:rFonts w:ascii="Calibri" w:eastAsia="Calibri" w:hAnsi="Calibri"/>
          <w:b/>
          <w:sz w:val="22"/>
          <w:szCs w:val="22"/>
          <w:lang w:eastAsia="en-US"/>
        </w:rPr>
        <w:t>Vederlag til medlemmer af vurderingsankenævn: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316"/>
        <w:gridCol w:w="2122"/>
        <w:gridCol w:w="2405"/>
      </w:tblGrid>
      <w:tr w:rsidR="00B2232C" w:rsidRPr="00523055" w:rsidTr="00523055">
        <w:tc>
          <w:tcPr>
            <w:tcW w:w="2586"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Antal medlemmer</w:t>
            </w:r>
          </w:p>
        </w:tc>
        <w:tc>
          <w:tcPr>
            <w:tcW w:w="2481"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Formand</w:t>
            </w:r>
          </w:p>
        </w:tc>
        <w:tc>
          <w:tcPr>
            <w:tcW w:w="2196"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Næstformænd</w:t>
            </w:r>
          </w:p>
        </w:tc>
        <w:tc>
          <w:tcPr>
            <w:tcW w:w="2591"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Menigt medlem</w:t>
            </w:r>
          </w:p>
        </w:tc>
      </w:tr>
      <w:tr w:rsidR="00B2232C" w:rsidRPr="00523055" w:rsidTr="00523055">
        <w:tc>
          <w:tcPr>
            <w:tcW w:w="2586"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5</w:t>
            </w:r>
          </w:p>
        </w:tc>
        <w:tc>
          <w:tcPr>
            <w:tcW w:w="2481"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87.800</w:t>
            </w:r>
          </w:p>
        </w:tc>
        <w:tc>
          <w:tcPr>
            <w:tcW w:w="2196"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55.900</w:t>
            </w:r>
          </w:p>
        </w:tc>
        <w:tc>
          <w:tcPr>
            <w:tcW w:w="2591"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54.900</w:t>
            </w:r>
          </w:p>
        </w:tc>
      </w:tr>
      <w:tr w:rsidR="00B2232C" w:rsidRPr="00523055" w:rsidTr="00523055">
        <w:tc>
          <w:tcPr>
            <w:tcW w:w="2586"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w:t>
            </w:r>
          </w:p>
        </w:tc>
        <w:tc>
          <w:tcPr>
            <w:tcW w:w="2481"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109.800</w:t>
            </w:r>
          </w:p>
        </w:tc>
        <w:tc>
          <w:tcPr>
            <w:tcW w:w="2196"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69.400</w:t>
            </w:r>
          </w:p>
        </w:tc>
        <w:tc>
          <w:tcPr>
            <w:tcW w:w="2591"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54.900</w:t>
            </w:r>
          </w:p>
        </w:tc>
      </w:tr>
      <w:tr w:rsidR="00B2232C" w:rsidRPr="00523055" w:rsidTr="00523055">
        <w:tc>
          <w:tcPr>
            <w:tcW w:w="2586"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10</w:t>
            </w:r>
          </w:p>
        </w:tc>
        <w:tc>
          <w:tcPr>
            <w:tcW w:w="2481"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131.700</w:t>
            </w:r>
          </w:p>
        </w:tc>
        <w:tc>
          <w:tcPr>
            <w:tcW w:w="2196"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76.700</w:t>
            </w:r>
          </w:p>
        </w:tc>
        <w:tc>
          <w:tcPr>
            <w:tcW w:w="2591"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54.900</w:t>
            </w:r>
          </w:p>
        </w:tc>
      </w:tr>
    </w:tbl>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Vederlag til suppleanter, der deltager i enkeltmøder:</w:t>
      </w: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Hver suppleant modtager 550 kr. for hvert møde, de deltager i.</w:t>
      </w: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b/>
          <w:sz w:val="22"/>
          <w:szCs w:val="22"/>
          <w:lang w:eastAsia="en-US"/>
        </w:rPr>
        <w:t>Vederlag til medlemmer af fælles skatte- og vurderingsankenævn: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02"/>
        <w:gridCol w:w="2355"/>
        <w:gridCol w:w="2296"/>
      </w:tblGrid>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Antal medlemmer</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Formand</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Næstformænd</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Menigt medlem</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5</w:t>
            </w:r>
          </w:p>
        </w:tc>
        <w:tc>
          <w:tcPr>
            <w:tcW w:w="2444"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85.400</w:t>
            </w:r>
          </w:p>
        </w:tc>
        <w:tc>
          <w:tcPr>
            <w:tcW w:w="2445"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53.900</w:t>
            </w:r>
          </w:p>
        </w:tc>
        <w:tc>
          <w:tcPr>
            <w:tcW w:w="2445"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47.400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w:t>
            </w:r>
          </w:p>
        </w:tc>
        <w:tc>
          <w:tcPr>
            <w:tcW w:w="2444"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106.700</w:t>
            </w:r>
          </w:p>
        </w:tc>
        <w:tc>
          <w:tcPr>
            <w:tcW w:w="2445"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67.400</w:t>
            </w:r>
          </w:p>
        </w:tc>
        <w:tc>
          <w:tcPr>
            <w:tcW w:w="2445"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47.400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10</w:t>
            </w:r>
          </w:p>
        </w:tc>
        <w:tc>
          <w:tcPr>
            <w:tcW w:w="2444"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122.900</w:t>
            </w:r>
          </w:p>
        </w:tc>
        <w:tc>
          <w:tcPr>
            <w:tcW w:w="2445"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74.700</w:t>
            </w:r>
          </w:p>
        </w:tc>
        <w:tc>
          <w:tcPr>
            <w:tcW w:w="2445" w:type="dxa"/>
            <w:shd w:val="clear" w:color="auto" w:fill="auto"/>
            <w:vAlign w:val="bottom"/>
          </w:tcPr>
          <w:p w:rsidR="00B2232C" w:rsidRPr="00523055" w:rsidRDefault="00B2232C" w:rsidP="00523055">
            <w:pPr>
              <w:widowControl/>
              <w:autoSpaceDE/>
              <w:autoSpaceDN/>
              <w:adjustRightInd/>
              <w:jc w:val="center"/>
              <w:rPr>
                <w:rFonts w:ascii="Calibri" w:eastAsia="Calibri" w:hAnsi="Calibri" w:cs="Calibri"/>
                <w:color w:val="000000"/>
                <w:sz w:val="22"/>
                <w:szCs w:val="22"/>
                <w:lang w:eastAsia="en-US"/>
              </w:rPr>
            </w:pPr>
            <w:r w:rsidRPr="00523055">
              <w:rPr>
                <w:rFonts w:ascii="Calibri" w:eastAsia="Calibri" w:hAnsi="Calibri" w:cs="Calibri"/>
                <w:color w:val="000000"/>
                <w:sz w:val="22"/>
                <w:szCs w:val="22"/>
                <w:lang w:eastAsia="en-US"/>
              </w:rPr>
              <w:t>47.400</w:t>
            </w:r>
          </w:p>
        </w:tc>
      </w:tr>
    </w:tbl>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Vederlag til suppleanter, der deltager i enkeltmøder:</w:t>
      </w: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Hver suppleant modtager 550 kr. for hvert møde, de deltager i.</w:t>
      </w:r>
    </w:p>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r w:rsidRPr="00B2232C">
        <w:rPr>
          <w:rFonts w:ascii="Calibri" w:eastAsia="Calibri" w:hAnsi="Calibri"/>
          <w:b/>
          <w:sz w:val="22"/>
          <w:szCs w:val="22"/>
          <w:lang w:eastAsia="en-US"/>
        </w:rPr>
        <w:t>Vederlag til medlemmer af motorankenævn: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06"/>
        <w:gridCol w:w="2351"/>
        <w:gridCol w:w="2300"/>
      </w:tblGrid>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Nævn</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Formand</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Næstformand</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b/>
                <w:sz w:val="22"/>
                <w:szCs w:val="22"/>
                <w:lang w:eastAsia="en-US"/>
              </w:rPr>
            </w:pPr>
            <w:r w:rsidRPr="00523055">
              <w:rPr>
                <w:rFonts w:ascii="Calibri" w:eastAsia="Calibri" w:hAnsi="Calibri"/>
                <w:b/>
                <w:sz w:val="22"/>
                <w:szCs w:val="22"/>
                <w:lang w:eastAsia="en-US"/>
              </w:rPr>
              <w:t>Menigt medlem</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Sjælland-København</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175.600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153.700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142.700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Sydjylland-Fyn</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98.800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76.800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65.900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Midtjylland</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98.800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76.800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65.900</w:t>
            </w:r>
          </w:p>
        </w:tc>
      </w:tr>
      <w:tr w:rsidR="00B2232C" w:rsidRPr="00523055" w:rsidTr="00523055">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lastRenderedPageBreak/>
              <w:t>Nordjylland</w:t>
            </w:r>
          </w:p>
        </w:tc>
        <w:tc>
          <w:tcPr>
            <w:tcW w:w="2444"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98.800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76.800</w:t>
            </w:r>
          </w:p>
        </w:tc>
        <w:tc>
          <w:tcPr>
            <w:tcW w:w="2445" w:type="dxa"/>
            <w:shd w:val="clear" w:color="auto" w:fill="auto"/>
          </w:tcPr>
          <w:p w:rsidR="00B2232C" w:rsidRPr="00523055" w:rsidRDefault="00B2232C" w:rsidP="00523055">
            <w:pPr>
              <w:widowControl/>
              <w:autoSpaceDE/>
              <w:autoSpaceDN/>
              <w:adjustRightInd/>
              <w:jc w:val="center"/>
              <w:rPr>
                <w:rFonts w:ascii="Calibri" w:eastAsia="Calibri" w:hAnsi="Calibri"/>
                <w:sz w:val="22"/>
                <w:szCs w:val="22"/>
                <w:lang w:eastAsia="en-US"/>
              </w:rPr>
            </w:pPr>
            <w:r w:rsidRPr="00523055">
              <w:rPr>
                <w:rFonts w:ascii="Calibri" w:eastAsia="Calibri" w:hAnsi="Calibri"/>
                <w:sz w:val="22"/>
                <w:szCs w:val="22"/>
                <w:lang w:eastAsia="en-US"/>
              </w:rPr>
              <w:t>65.900</w:t>
            </w:r>
          </w:p>
        </w:tc>
      </w:tr>
    </w:tbl>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Vederlag til suppleanter, der deltager i enkeltmøder:</w:t>
      </w:r>
    </w:p>
    <w:p w:rsidR="00B2232C" w:rsidRPr="00B2232C" w:rsidRDefault="00B2232C" w:rsidP="00B2232C">
      <w:pPr>
        <w:widowControl/>
        <w:autoSpaceDE/>
        <w:autoSpaceDN/>
        <w:adjustRightInd/>
        <w:spacing w:after="200" w:line="276" w:lineRule="auto"/>
        <w:rPr>
          <w:rFonts w:ascii="Calibri" w:eastAsia="Calibri" w:hAnsi="Calibri"/>
          <w:sz w:val="22"/>
          <w:szCs w:val="22"/>
          <w:lang w:eastAsia="en-US"/>
        </w:rPr>
      </w:pPr>
      <w:r w:rsidRPr="00B2232C">
        <w:rPr>
          <w:rFonts w:ascii="Calibri" w:eastAsia="Calibri" w:hAnsi="Calibri"/>
          <w:sz w:val="22"/>
          <w:szCs w:val="22"/>
          <w:lang w:eastAsia="en-US"/>
        </w:rPr>
        <w:t>Hver suppleant modtager 550 kr. for hvert møde, de deltager i.</w:t>
      </w:r>
    </w:p>
    <w:p w:rsidR="00B2232C" w:rsidRPr="00B2232C" w:rsidRDefault="00B2232C" w:rsidP="00B2232C">
      <w:pPr>
        <w:widowControl/>
        <w:autoSpaceDE/>
        <w:autoSpaceDN/>
        <w:adjustRightInd/>
        <w:spacing w:after="200" w:line="276" w:lineRule="auto"/>
        <w:rPr>
          <w:rFonts w:ascii="Calibri" w:eastAsia="Calibri" w:hAnsi="Calibri"/>
          <w:b/>
          <w:sz w:val="22"/>
          <w:szCs w:val="22"/>
          <w:lang w:eastAsia="en-US"/>
        </w:rPr>
      </w:pPr>
    </w:p>
    <w:p w:rsidR="00B2232C" w:rsidRDefault="00B2232C">
      <w:pPr>
        <w:widowControl/>
        <w:spacing w:line="288" w:lineRule="auto"/>
        <w:ind w:firstLine="1701"/>
        <w:jc w:val="both"/>
        <w:rPr>
          <w:sz w:val="24"/>
        </w:rPr>
      </w:pPr>
    </w:p>
    <w:sectPr w:rsidR="00B2232C" w:rsidSect="00CE48C6">
      <w:headerReference w:type="default" r:id="rId7"/>
      <w:endnotePr>
        <w:numFmt w:val="decimal"/>
      </w:endnotePr>
      <w:pgSz w:w="11905" w:h="16837" w:code="9"/>
      <w:pgMar w:top="1418" w:right="1418" w:bottom="1418" w:left="1418" w:header="1418" w:footer="1418" w:gutter="0"/>
      <w:paperSrc w:first="256" w:other="25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02" w:rsidRPr="008C7957" w:rsidRDefault="00361302">
      <w:pPr>
        <w:rPr>
          <w:sz w:val="16"/>
        </w:rPr>
      </w:pPr>
      <w:r>
        <w:separator/>
      </w:r>
    </w:p>
  </w:endnote>
  <w:endnote w:type="continuationSeparator" w:id="0">
    <w:p w:rsidR="00361302" w:rsidRPr="008C7957" w:rsidRDefault="00361302">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02" w:rsidRPr="008C7957" w:rsidRDefault="00361302">
      <w:pPr>
        <w:rPr>
          <w:sz w:val="16"/>
        </w:rPr>
      </w:pPr>
      <w:r>
        <w:separator/>
      </w:r>
    </w:p>
  </w:footnote>
  <w:footnote w:type="continuationSeparator" w:id="0">
    <w:p w:rsidR="00361302" w:rsidRPr="008C7957" w:rsidRDefault="00361302">
      <w:pPr>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02" w:rsidRDefault="00361302">
    <w:pPr>
      <w:pStyle w:val="Sidehoved"/>
      <w:jc w:val="center"/>
      <w:rPr>
        <w:rStyle w:val="Sidetal"/>
        <w:sz w:val="24"/>
      </w:rPr>
    </w:pPr>
    <w:r>
      <w:rPr>
        <w:sz w:val="24"/>
      </w:rPr>
      <w:t xml:space="preserve">- </w:t>
    </w:r>
    <w:r>
      <w:rPr>
        <w:rStyle w:val="Sidetal"/>
        <w:sz w:val="24"/>
      </w:rPr>
      <w:fldChar w:fldCharType="begin"/>
    </w:r>
    <w:r>
      <w:rPr>
        <w:rStyle w:val="Sidetal"/>
        <w:sz w:val="24"/>
      </w:rPr>
      <w:instrText xml:space="preserve"> PAGE </w:instrText>
    </w:r>
    <w:r>
      <w:rPr>
        <w:rStyle w:val="Sidetal"/>
        <w:sz w:val="24"/>
      </w:rPr>
      <w:fldChar w:fldCharType="separate"/>
    </w:r>
    <w:r w:rsidR="00DF4741">
      <w:rPr>
        <w:rStyle w:val="Sidetal"/>
        <w:noProof/>
        <w:sz w:val="24"/>
      </w:rPr>
      <w:t>10</w:t>
    </w:r>
    <w:r>
      <w:rPr>
        <w:rStyle w:val="Sidetal"/>
        <w:sz w:val="24"/>
      </w:rPr>
      <w:fldChar w:fldCharType="end"/>
    </w:r>
    <w:r>
      <w:rPr>
        <w:rStyle w:val="Sidetal"/>
        <w:sz w:val="24"/>
      </w:rPr>
      <w:t xml:space="preserve"> -</w:t>
    </w:r>
  </w:p>
  <w:p w:rsidR="00361302" w:rsidRDefault="00361302">
    <w:pPr>
      <w:pStyle w:val="Sidehoved"/>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FF5"/>
    <w:rsid w:val="00020782"/>
    <w:rsid w:val="00030ADE"/>
    <w:rsid w:val="00065DEB"/>
    <w:rsid w:val="00067FAC"/>
    <w:rsid w:val="0007400E"/>
    <w:rsid w:val="00095F65"/>
    <w:rsid w:val="000B62A8"/>
    <w:rsid w:val="000B7F9F"/>
    <w:rsid w:val="000D6193"/>
    <w:rsid w:val="000E399A"/>
    <w:rsid w:val="000F272C"/>
    <w:rsid w:val="001002FF"/>
    <w:rsid w:val="00103588"/>
    <w:rsid w:val="0012557C"/>
    <w:rsid w:val="00126D3C"/>
    <w:rsid w:val="00146DA1"/>
    <w:rsid w:val="00160634"/>
    <w:rsid w:val="001709D5"/>
    <w:rsid w:val="001712B8"/>
    <w:rsid w:val="00180069"/>
    <w:rsid w:val="001847DB"/>
    <w:rsid w:val="001A1CEF"/>
    <w:rsid w:val="001A51BE"/>
    <w:rsid w:val="001C700E"/>
    <w:rsid w:val="001D1AC0"/>
    <w:rsid w:val="001E2029"/>
    <w:rsid w:val="001F19D1"/>
    <w:rsid w:val="00212B37"/>
    <w:rsid w:val="00236708"/>
    <w:rsid w:val="00241EB7"/>
    <w:rsid w:val="00244F8C"/>
    <w:rsid w:val="0025250E"/>
    <w:rsid w:val="00255D68"/>
    <w:rsid w:val="002613EB"/>
    <w:rsid w:val="002656E8"/>
    <w:rsid w:val="002D6334"/>
    <w:rsid w:val="00304362"/>
    <w:rsid w:val="00306777"/>
    <w:rsid w:val="00314161"/>
    <w:rsid w:val="003231DD"/>
    <w:rsid w:val="00361302"/>
    <w:rsid w:val="003816AB"/>
    <w:rsid w:val="003B63FF"/>
    <w:rsid w:val="003C76FE"/>
    <w:rsid w:val="003F6DA1"/>
    <w:rsid w:val="004163B8"/>
    <w:rsid w:val="004227C1"/>
    <w:rsid w:val="00436FF6"/>
    <w:rsid w:val="00441940"/>
    <w:rsid w:val="0044648A"/>
    <w:rsid w:val="00477CC8"/>
    <w:rsid w:val="004973D0"/>
    <w:rsid w:val="004A0D4B"/>
    <w:rsid w:val="004A2CE3"/>
    <w:rsid w:val="004C5B04"/>
    <w:rsid w:val="004F38C7"/>
    <w:rsid w:val="00523055"/>
    <w:rsid w:val="00530B8F"/>
    <w:rsid w:val="00534BAB"/>
    <w:rsid w:val="00543EAF"/>
    <w:rsid w:val="00545990"/>
    <w:rsid w:val="0055667D"/>
    <w:rsid w:val="005601F2"/>
    <w:rsid w:val="0056668B"/>
    <w:rsid w:val="005720AC"/>
    <w:rsid w:val="00587619"/>
    <w:rsid w:val="0059547C"/>
    <w:rsid w:val="005C7D41"/>
    <w:rsid w:val="005D1E26"/>
    <w:rsid w:val="005E7EB5"/>
    <w:rsid w:val="005F1C30"/>
    <w:rsid w:val="00631FF5"/>
    <w:rsid w:val="00654B50"/>
    <w:rsid w:val="006634FA"/>
    <w:rsid w:val="00664696"/>
    <w:rsid w:val="006765DC"/>
    <w:rsid w:val="0068257F"/>
    <w:rsid w:val="00683A60"/>
    <w:rsid w:val="006B3863"/>
    <w:rsid w:val="006C47E7"/>
    <w:rsid w:val="006F6678"/>
    <w:rsid w:val="00702D12"/>
    <w:rsid w:val="00703092"/>
    <w:rsid w:val="0070414B"/>
    <w:rsid w:val="0071658D"/>
    <w:rsid w:val="00736F45"/>
    <w:rsid w:val="0074271D"/>
    <w:rsid w:val="0074756D"/>
    <w:rsid w:val="0076088D"/>
    <w:rsid w:val="007756AB"/>
    <w:rsid w:val="0077578A"/>
    <w:rsid w:val="007907BA"/>
    <w:rsid w:val="007A4FB1"/>
    <w:rsid w:val="007B2D25"/>
    <w:rsid w:val="007B4515"/>
    <w:rsid w:val="007D157E"/>
    <w:rsid w:val="007D26DC"/>
    <w:rsid w:val="007F159B"/>
    <w:rsid w:val="007F5A62"/>
    <w:rsid w:val="008068AF"/>
    <w:rsid w:val="00827479"/>
    <w:rsid w:val="008532EF"/>
    <w:rsid w:val="00863C2E"/>
    <w:rsid w:val="008677FB"/>
    <w:rsid w:val="00896F7A"/>
    <w:rsid w:val="008B4170"/>
    <w:rsid w:val="008C5FFE"/>
    <w:rsid w:val="008D502E"/>
    <w:rsid w:val="008E7B75"/>
    <w:rsid w:val="008F44FF"/>
    <w:rsid w:val="009056D9"/>
    <w:rsid w:val="00913E1C"/>
    <w:rsid w:val="00951374"/>
    <w:rsid w:val="00986710"/>
    <w:rsid w:val="009A2075"/>
    <w:rsid w:val="009B21BE"/>
    <w:rsid w:val="009B6CAD"/>
    <w:rsid w:val="009E3B69"/>
    <w:rsid w:val="009E4F28"/>
    <w:rsid w:val="00A46B4E"/>
    <w:rsid w:val="00A72FC1"/>
    <w:rsid w:val="00A732ED"/>
    <w:rsid w:val="00A84AF3"/>
    <w:rsid w:val="00AB187B"/>
    <w:rsid w:val="00AB7299"/>
    <w:rsid w:val="00AF0B3D"/>
    <w:rsid w:val="00B15FB4"/>
    <w:rsid w:val="00B2232C"/>
    <w:rsid w:val="00B23140"/>
    <w:rsid w:val="00B240B9"/>
    <w:rsid w:val="00B648E6"/>
    <w:rsid w:val="00B75F2F"/>
    <w:rsid w:val="00BB3C70"/>
    <w:rsid w:val="00BC2776"/>
    <w:rsid w:val="00BD41BE"/>
    <w:rsid w:val="00BD7CD4"/>
    <w:rsid w:val="00BF32FE"/>
    <w:rsid w:val="00C002E9"/>
    <w:rsid w:val="00C11359"/>
    <w:rsid w:val="00C3356D"/>
    <w:rsid w:val="00C34DF7"/>
    <w:rsid w:val="00C44ED8"/>
    <w:rsid w:val="00C46048"/>
    <w:rsid w:val="00C706A5"/>
    <w:rsid w:val="00C7630C"/>
    <w:rsid w:val="00C822DB"/>
    <w:rsid w:val="00C96843"/>
    <w:rsid w:val="00CA39E8"/>
    <w:rsid w:val="00CE1A86"/>
    <w:rsid w:val="00CE48C6"/>
    <w:rsid w:val="00CE6076"/>
    <w:rsid w:val="00CE731B"/>
    <w:rsid w:val="00CF1449"/>
    <w:rsid w:val="00D0054B"/>
    <w:rsid w:val="00D039E1"/>
    <w:rsid w:val="00D05AF0"/>
    <w:rsid w:val="00D24C8C"/>
    <w:rsid w:val="00D26674"/>
    <w:rsid w:val="00D367F6"/>
    <w:rsid w:val="00D555CC"/>
    <w:rsid w:val="00D576CB"/>
    <w:rsid w:val="00D62C7F"/>
    <w:rsid w:val="00D6418C"/>
    <w:rsid w:val="00D67F54"/>
    <w:rsid w:val="00D76AE1"/>
    <w:rsid w:val="00DC5869"/>
    <w:rsid w:val="00DC615B"/>
    <w:rsid w:val="00DC6A75"/>
    <w:rsid w:val="00DD00E8"/>
    <w:rsid w:val="00DE1F59"/>
    <w:rsid w:val="00DF4741"/>
    <w:rsid w:val="00E139E5"/>
    <w:rsid w:val="00E14B8B"/>
    <w:rsid w:val="00E40AAC"/>
    <w:rsid w:val="00E55BF3"/>
    <w:rsid w:val="00E7699E"/>
    <w:rsid w:val="00E90376"/>
    <w:rsid w:val="00E9447F"/>
    <w:rsid w:val="00E96266"/>
    <w:rsid w:val="00E97AD4"/>
    <w:rsid w:val="00EA666B"/>
    <w:rsid w:val="00EB037F"/>
    <w:rsid w:val="00ED130D"/>
    <w:rsid w:val="00F11EA5"/>
    <w:rsid w:val="00F21267"/>
    <w:rsid w:val="00F326A1"/>
    <w:rsid w:val="00F33ED1"/>
    <w:rsid w:val="00F5272A"/>
    <w:rsid w:val="00F71D1F"/>
    <w:rsid w:val="00F730E6"/>
    <w:rsid w:val="00F90356"/>
    <w:rsid w:val="00FA0416"/>
    <w:rsid w:val="00FA6F25"/>
    <w:rsid w:val="00FB7D99"/>
    <w:rsid w:val="00FC2AAC"/>
    <w:rsid w:val="00FC4548"/>
    <w:rsid w:val="00FE228A"/>
    <w:rsid w:val="00FE7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04"/>
    <w:pPr>
      <w:widowControl w:val="0"/>
      <w:autoSpaceDE w:val="0"/>
      <w:autoSpaceDN w:val="0"/>
      <w:adjustRightInd w:val="0"/>
    </w:pPr>
    <w:rPr>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CE48C6"/>
  </w:style>
  <w:style w:type="paragraph" w:styleId="Sidehoved">
    <w:name w:val="header"/>
    <w:basedOn w:val="Normal"/>
    <w:rsid w:val="00CE48C6"/>
    <w:pPr>
      <w:tabs>
        <w:tab w:val="center" w:pos="4819"/>
        <w:tab w:val="right" w:pos="9638"/>
      </w:tabs>
    </w:pPr>
  </w:style>
  <w:style w:type="paragraph" w:styleId="Sidefod">
    <w:name w:val="footer"/>
    <w:basedOn w:val="Normal"/>
    <w:rsid w:val="00CE48C6"/>
    <w:pPr>
      <w:tabs>
        <w:tab w:val="center" w:pos="4819"/>
        <w:tab w:val="right" w:pos="9638"/>
      </w:tabs>
    </w:pPr>
  </w:style>
  <w:style w:type="character" w:styleId="Sidetal">
    <w:name w:val="page number"/>
    <w:basedOn w:val="Standardskrifttypeiafsnit"/>
    <w:rsid w:val="00CE48C6"/>
  </w:style>
  <w:style w:type="paragraph" w:styleId="Markeringsbobletekst">
    <w:name w:val="Balloon Text"/>
    <w:basedOn w:val="Normal"/>
    <w:link w:val="MarkeringsbobletekstTegn"/>
    <w:rsid w:val="0007400E"/>
    <w:rPr>
      <w:rFonts w:ascii="Tahoma" w:hAnsi="Tahoma" w:cs="Tahoma"/>
      <w:sz w:val="16"/>
      <w:szCs w:val="16"/>
    </w:rPr>
  </w:style>
  <w:style w:type="character" w:customStyle="1" w:styleId="MarkeringsbobletekstTegn">
    <w:name w:val="Markeringsbobletekst Tegn"/>
    <w:link w:val="Markeringsbobletekst"/>
    <w:rsid w:val="0007400E"/>
    <w:rPr>
      <w:rFonts w:ascii="Tahoma" w:hAnsi="Tahoma" w:cs="Tahoma"/>
      <w:sz w:val="16"/>
      <w:szCs w:val="16"/>
      <w:lang w:val="en-US"/>
    </w:rPr>
  </w:style>
  <w:style w:type="table" w:styleId="Tabel-Gitter">
    <w:name w:val="Table Grid"/>
    <w:basedOn w:val="Tabel-Normal"/>
    <w:uiPriority w:val="59"/>
    <w:rsid w:val="00B2232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rsid w:val="009E4F28"/>
    <w:rPr>
      <w:sz w:val="16"/>
      <w:szCs w:val="16"/>
    </w:rPr>
  </w:style>
  <w:style w:type="paragraph" w:styleId="Kommentartekst">
    <w:name w:val="annotation text"/>
    <w:basedOn w:val="Normal"/>
    <w:link w:val="KommentartekstTegn"/>
    <w:rsid w:val="009E4F28"/>
    <w:rPr>
      <w:szCs w:val="20"/>
    </w:rPr>
  </w:style>
  <w:style w:type="character" w:customStyle="1" w:styleId="KommentartekstTegn">
    <w:name w:val="Kommentartekst Tegn"/>
    <w:basedOn w:val="Standardskrifttypeiafsnit"/>
    <w:link w:val="Kommentartekst"/>
    <w:rsid w:val="009E4F28"/>
  </w:style>
  <w:style w:type="paragraph" w:styleId="Kommentaremne">
    <w:name w:val="annotation subject"/>
    <w:basedOn w:val="Kommentartekst"/>
    <w:next w:val="Kommentartekst"/>
    <w:link w:val="KommentaremneTegn"/>
    <w:rsid w:val="009E4F28"/>
    <w:rPr>
      <w:b/>
      <w:bCs/>
    </w:rPr>
  </w:style>
  <w:style w:type="character" w:customStyle="1" w:styleId="KommentaremneTegn">
    <w:name w:val="Kommentaremne Tegn"/>
    <w:link w:val="Kommentaremne"/>
    <w:rsid w:val="009E4F28"/>
    <w:rPr>
      <w:b/>
      <w:bCs/>
    </w:rPr>
  </w:style>
  <w:style w:type="paragraph" w:styleId="Korrektur">
    <w:name w:val="Revision"/>
    <w:hidden/>
    <w:uiPriority w:val="99"/>
    <w:semiHidden/>
    <w:rsid w:val="001847DB"/>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Skrivebord\tmp\%5bCaptia%5d%20Love%20Bekendtg&#248;relse.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[Captia] Love Bekendtgørelse</Template>
  <TotalTime>0</TotalTime>
  <Pages>10</Pages>
  <Words>2868</Words>
  <Characters>17501</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SkatteministerietJ</vt:lpstr>
    </vt:vector>
  </TitlesOfParts>
  <Company>Skatteministeriet</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SkatteministerietJ</dc:title>
  <dc:creator>Susanne Poulsen</dc:creator>
  <cp:lastModifiedBy>Susanne Poulsen</cp:lastModifiedBy>
  <cp:revision>2</cp:revision>
  <cp:lastPrinted>2013-11-01T09:30:00Z</cp:lastPrinted>
  <dcterms:created xsi:type="dcterms:W3CDTF">2013-11-04T13:32:00Z</dcterms:created>
  <dcterms:modified xsi:type="dcterms:W3CDTF">2013-11-04T13:32:00Z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C:\Users\w19092\AppData\Local\Temp\Scanjour\Captia\SJ20131104124721225 [DOK24514471].DOC</vt:lpwstr>
  </property>
  <property fmtid="{D5CDD505-2E9C-101B-9397-08002B2CF9AE}" pid="3" name="title">
    <vt:lpwstr>FO for ankenævn (høring) (DOK24514471)</vt:lpwstr>
  </property>
  <property fmtid="{D5CDD505-2E9C-101B-9397-08002B2CF9AE}" pid="4" name="command">
    <vt:lpwstr/>
  </property>
</Properties>
</file>