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4" w:rsidRDefault="006E2DA4" w:rsidP="006E2DA4">
      <w:pPr>
        <w:pStyle w:val="Annexetitre"/>
      </w:pPr>
      <w:r w:rsidRPr="0008138B">
        <w:t xml:space="preserve">ANNEX </w:t>
      </w:r>
      <w:r w:rsidRPr="0057529A">
        <w:t>I</w:t>
      </w:r>
      <w:r>
        <w:t xml:space="preserve"> </w:t>
      </w:r>
    </w:p>
    <w:p w:rsidR="006E2DA4" w:rsidRPr="004A0D72" w:rsidRDefault="006E2DA4" w:rsidP="006E2DA4">
      <w:pPr>
        <w:rPr>
          <w:lang w:val="en-IE"/>
        </w:rPr>
      </w:pPr>
      <w:r w:rsidRPr="00C835C0">
        <w:t xml:space="preserve">Laboratory referred to in </w:t>
      </w:r>
      <w:r w:rsidRPr="004A0D72">
        <w:rPr>
          <w:rFonts w:eastAsiaTheme="majorEastAsia"/>
          <w:bCs/>
          <w:szCs w:val="26"/>
        </w:rPr>
        <w:t>Article 3(1)</w:t>
      </w:r>
      <w:r>
        <w:t>, responsible for carrying out the proficiency tests for the laboratories applying for the listing referred to in Article 2(1)</w:t>
      </w:r>
      <w:r w:rsidRPr="004A0D72">
        <w:rPr>
          <w:rFonts w:eastAsiaTheme="majorEastAsia"/>
          <w:bCs/>
          <w:szCs w:val="26"/>
        </w:rPr>
        <w:t xml:space="preserve">: </w:t>
      </w:r>
      <w:r w:rsidRPr="004A0D72">
        <w:rPr>
          <w:lang w:val="en-IE"/>
        </w:rPr>
        <w:t>European Union reference laboratory for rabies (ANSES Laboratoire d’études sur la rage et la pathologie des animaux sauvages in Nancy, Fran</w:t>
      </w:r>
      <w:bookmarkStart w:id="0" w:name="_GoBack"/>
      <w:bookmarkEnd w:id="0"/>
      <w:r w:rsidRPr="004A0D72">
        <w:rPr>
          <w:lang w:val="en-IE"/>
        </w:rPr>
        <w:t>ce).</w:t>
      </w:r>
    </w:p>
    <w:p w:rsidR="006E2DA4" w:rsidRPr="00AC2B7F" w:rsidRDefault="006E2DA4" w:rsidP="006E2DA4">
      <w:pPr>
        <w:rPr>
          <w:lang w:val="en-IE"/>
        </w:rPr>
        <w:sectPr w:rsidR="006E2DA4" w:rsidRPr="00AC2B7F" w:rsidSect="00E15312">
          <w:footerReference w:type="default" r:id="rId5"/>
          <w:footerReference w:type="first" r:id="rId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6E2DA4" w:rsidRDefault="006E2DA4" w:rsidP="006E2DA4">
      <w:pPr>
        <w:pStyle w:val="Annexetitre"/>
      </w:pPr>
      <w:r w:rsidRPr="0008138B">
        <w:lastRenderedPageBreak/>
        <w:t xml:space="preserve">ANNEX </w:t>
      </w:r>
      <w:r w:rsidRPr="0057529A">
        <w:t>II</w:t>
      </w:r>
    </w:p>
    <w:p w:rsidR="006E2DA4" w:rsidRDefault="006E2DA4" w:rsidP="006E2DA4">
      <w:pPr>
        <w:pStyle w:val="Heading2"/>
        <w:numPr>
          <w:ilvl w:val="0"/>
          <w:numId w:val="0"/>
        </w:numPr>
        <w:ind w:left="850" w:hanging="850"/>
        <w:rPr>
          <w:lang w:val="en-IE"/>
        </w:rPr>
      </w:pPr>
      <w:r>
        <w:t xml:space="preserve">Tasks and responsibilities of the </w:t>
      </w:r>
      <w:r w:rsidRPr="000425AD">
        <w:rPr>
          <w:lang w:val="en-IE"/>
        </w:rPr>
        <w:t>laboratory referred to in Ar</w:t>
      </w:r>
      <w:r>
        <w:rPr>
          <w:lang w:val="en-IE"/>
        </w:rPr>
        <w:t>ticle 3(1)</w:t>
      </w:r>
    </w:p>
    <w:p w:rsidR="006E2DA4" w:rsidRPr="004A0D72" w:rsidRDefault="006E2DA4" w:rsidP="006E2DA4">
      <w:pPr>
        <w:pStyle w:val="Text1"/>
        <w:ind w:left="0"/>
        <w:rPr>
          <w:lang w:val="en-IE"/>
        </w:rPr>
      </w:pPr>
      <w:r>
        <w:rPr>
          <w:lang w:val="en-IE"/>
        </w:rPr>
        <w:t>The laboratory referred to in Article 3(1) shall have the following tasks and responsibilities:</w:t>
      </w:r>
    </w:p>
    <w:p w:rsidR="006E2DA4" w:rsidRPr="000521C8" w:rsidRDefault="006E2DA4" w:rsidP="006E2DA4">
      <w:pPr>
        <w:pStyle w:val="Tiret0"/>
        <w:numPr>
          <w:ilvl w:val="0"/>
          <w:numId w:val="0"/>
        </w:numPr>
        <w:ind w:left="850"/>
      </w:pPr>
      <w:r>
        <w:rPr>
          <w:lang w:val="en-IE"/>
        </w:rPr>
        <w:t xml:space="preserve">(a) </w:t>
      </w:r>
      <w:r w:rsidRPr="000521C8">
        <w:t xml:space="preserve">coordinate the establishment, improvement and standardisation of methods of </w:t>
      </w:r>
      <w:r>
        <w:t xml:space="preserve">the rabies antibody titration test </w:t>
      </w:r>
      <w:r w:rsidRPr="000521C8">
        <w:t>on carni</w:t>
      </w:r>
      <w:r>
        <w:t>vores vaccinated against rabies;</w:t>
      </w:r>
    </w:p>
    <w:p w:rsidR="006E2DA4" w:rsidRPr="000521C8" w:rsidRDefault="006E2DA4" w:rsidP="006E2DA4">
      <w:pPr>
        <w:pStyle w:val="Tiret0"/>
        <w:numPr>
          <w:ilvl w:val="0"/>
          <w:numId w:val="0"/>
        </w:numPr>
        <w:ind w:left="850"/>
      </w:pPr>
      <w:r>
        <w:t xml:space="preserve">(b) </w:t>
      </w:r>
      <w:r w:rsidRPr="000521C8">
        <w:t xml:space="preserve">appraise laboratories </w:t>
      </w:r>
      <w:r>
        <w:t xml:space="preserve">participating in the proficiency test of the rabies antibody titration test; </w:t>
      </w:r>
    </w:p>
    <w:p w:rsidR="006E2DA4" w:rsidRPr="000521C8" w:rsidRDefault="006E2DA4" w:rsidP="006E2DA4">
      <w:pPr>
        <w:pStyle w:val="Tiret0"/>
        <w:numPr>
          <w:ilvl w:val="0"/>
          <w:numId w:val="0"/>
        </w:numPr>
        <w:ind w:left="850"/>
      </w:pPr>
      <w:r>
        <w:t xml:space="preserve">(c) </w:t>
      </w:r>
      <w:r w:rsidRPr="000521C8">
        <w:t xml:space="preserve">provide any useful information on analysis methods and comparative trials </w:t>
      </w:r>
      <w:r>
        <w:t>for rabies antibody titration to the laboratories referred to in point (b);</w:t>
      </w:r>
    </w:p>
    <w:p w:rsidR="006E2DA4" w:rsidRPr="000521C8" w:rsidRDefault="006E2DA4" w:rsidP="006E2DA4">
      <w:pPr>
        <w:pStyle w:val="Tiret0"/>
        <w:numPr>
          <w:ilvl w:val="0"/>
          <w:numId w:val="0"/>
        </w:numPr>
        <w:ind w:left="850"/>
      </w:pPr>
      <w:r>
        <w:t>(d) organise proficiency tests of the rabies antibody titration test;</w:t>
      </w:r>
    </w:p>
    <w:p w:rsidR="006E2DA4" w:rsidRDefault="006E2DA4" w:rsidP="006E2DA4">
      <w:pPr>
        <w:pStyle w:val="Tiret0"/>
        <w:numPr>
          <w:ilvl w:val="0"/>
          <w:numId w:val="0"/>
        </w:numPr>
        <w:ind w:left="850"/>
      </w:pPr>
      <w:r>
        <w:t xml:space="preserve">(e) </w:t>
      </w:r>
      <w:r w:rsidRPr="000521C8">
        <w:t>provide scientific and technical assistance to the Commission and the competent authorities concerned on the matters referred to in this Annex, in particular in cases of disagreement on re</w:t>
      </w:r>
      <w:r>
        <w:t>sults of serological titrations.</w:t>
      </w:r>
    </w:p>
    <w:p w:rsidR="006E2DA4" w:rsidRDefault="006E2DA4" w:rsidP="006E2DA4">
      <w:pPr>
        <w:sectPr w:rsidR="006E2DA4" w:rsidSect="00E15312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6E2DA4" w:rsidRPr="00725C88" w:rsidRDefault="006E2DA4" w:rsidP="006E2DA4">
      <w:pPr>
        <w:pStyle w:val="Tiret1"/>
        <w:numPr>
          <w:ilvl w:val="0"/>
          <w:numId w:val="0"/>
        </w:numPr>
        <w:ind w:left="1417"/>
      </w:pPr>
    </w:p>
    <w:p w:rsidR="00776213" w:rsidRDefault="00776213"/>
    <w:sectPr w:rsidR="00776213" w:rsidSect="00E15312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2" w:rsidRPr="00E15312" w:rsidRDefault="006E2DA4" w:rsidP="00E15312">
    <w:pPr>
      <w:pStyle w:val="Footer"/>
      <w:rPr>
        <w:rFonts w:ascii="Arial" w:hAnsi="Arial" w:cs="Arial"/>
        <w:b/>
        <w:sz w:val="48"/>
      </w:rPr>
    </w:pPr>
    <w:r w:rsidRPr="00E15312">
      <w:rPr>
        <w:rFonts w:ascii="Arial" w:hAnsi="Arial" w:cs="Arial"/>
        <w:b/>
        <w:sz w:val="48"/>
      </w:rPr>
      <w:t>EN</w:t>
    </w:r>
    <w:r w:rsidRPr="00E1531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E15312">
      <w:tab/>
    </w:r>
    <w:r w:rsidRPr="00E15312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2" w:rsidRPr="00E15312" w:rsidRDefault="006E2DA4" w:rsidP="00E1531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E2DA4"/>
    <w:rsid w:val="00361D9C"/>
    <w:rsid w:val="006E2DA4"/>
    <w:rsid w:val="00776213"/>
    <w:rsid w:val="00D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6FF8B-8AD3-482F-861B-17C63F8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DA4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rsid w:val="006E2DA4"/>
    <w:pPr>
      <w:keepNext/>
      <w:numPr>
        <w:numId w:val="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6E2DA4"/>
    <w:pPr>
      <w:keepNext/>
      <w:numPr>
        <w:ilvl w:val="1"/>
        <w:numId w:val="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6E2DA4"/>
    <w:pPr>
      <w:keepNext/>
      <w:numPr>
        <w:ilvl w:val="2"/>
        <w:numId w:val="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6E2DA4"/>
    <w:pPr>
      <w:keepNext/>
      <w:numPr>
        <w:ilvl w:val="3"/>
        <w:numId w:val="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A4"/>
    <w:rPr>
      <w:rFonts w:ascii="Times New Roman" w:eastAsiaTheme="majorEastAsia" w:hAnsi="Times New Roman" w:cs="Times New Roman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DA4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A4"/>
    <w:rPr>
      <w:rFonts w:ascii="Times New Roman" w:eastAsiaTheme="majorEastAsia" w:hAnsi="Times New Roman" w:cs="Times New Roman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A4"/>
    <w:rPr>
      <w:rFonts w:ascii="Times New Roman" w:eastAsiaTheme="majorEastAsia" w:hAnsi="Times New Roman" w:cs="Times New Roman"/>
      <w:bCs/>
      <w:iCs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2DA4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DA4"/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rsid w:val="006E2DA4"/>
    <w:pPr>
      <w:ind w:left="850"/>
    </w:pPr>
  </w:style>
  <w:style w:type="paragraph" w:customStyle="1" w:styleId="Tiret0">
    <w:name w:val="Tiret 0"/>
    <w:basedOn w:val="Normal"/>
    <w:rsid w:val="006E2DA4"/>
    <w:pPr>
      <w:numPr>
        <w:numId w:val="1"/>
      </w:numPr>
    </w:pPr>
  </w:style>
  <w:style w:type="paragraph" w:customStyle="1" w:styleId="Tiret1">
    <w:name w:val="Tiret 1"/>
    <w:basedOn w:val="Normal"/>
    <w:rsid w:val="006E2DA4"/>
    <w:pPr>
      <w:numPr>
        <w:numId w:val="2"/>
      </w:numPr>
    </w:pPr>
  </w:style>
  <w:style w:type="paragraph" w:customStyle="1" w:styleId="Annexetitre">
    <w:name w:val="Annexe titre"/>
    <w:basedOn w:val="Normal"/>
    <w:next w:val="Normal"/>
    <w:rsid w:val="006E2DA4"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1035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ROSADO MARTIN Pedro (SANTE)</dc:creator>
  <cp:keywords/>
  <dc:description/>
  <cp:lastModifiedBy>ROSADO MARTIN Pedro (SANTE)</cp:lastModifiedBy>
  <cp:revision>1</cp:revision>
  <dcterms:created xsi:type="dcterms:W3CDTF">2022-01-24T15:07:00Z</dcterms:created>
  <dcterms:modified xsi:type="dcterms:W3CDTF">2022-01-24T15:09:00Z</dcterms:modified>
</cp:coreProperties>
</file>