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BE808" w14:textId="1E4CCC95" w:rsidR="00953D2E" w:rsidRDefault="000734C8" w:rsidP="000734C8">
      <w:pPr>
        <w:pStyle w:val="Pagedecouverture"/>
      </w:pPr>
      <w:r>
        <w:pict w14:anchorId="23C06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02A4B8E-C4E4-4D8D-A8EF-73FE2B7A79BD" style="width:450.55pt;height:434.25pt">
            <v:imagedata r:id="rId8" o:title=""/>
          </v:shape>
        </w:pict>
      </w:r>
    </w:p>
    <w:p w14:paraId="50116035" w14:textId="77777777" w:rsidR="00953D2E" w:rsidRDefault="00953D2E" w:rsidP="00953D2E">
      <w:pPr>
        <w:sectPr w:rsidR="00953D2E" w:rsidSect="000734C8">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45A4C146" w14:textId="30A32DB1" w:rsidR="00953D2E" w:rsidRDefault="00953D2E" w:rsidP="00973B76">
      <w:pPr>
        <w:pStyle w:val="Exposdesmotifstitre"/>
      </w:pPr>
      <w:bookmarkStart w:id="0" w:name="_GoBack"/>
      <w:bookmarkEnd w:id="0"/>
      <w:r w:rsidRPr="00FB18DC">
        <w:lastRenderedPageBreak/>
        <w:t>EXPLANATORY MEMORANDUM</w:t>
      </w:r>
    </w:p>
    <w:p w14:paraId="5C97631C" w14:textId="77777777" w:rsidR="00953D2E" w:rsidRDefault="00953D2E" w:rsidP="00973B76">
      <w:pPr>
        <w:pStyle w:val="ManualHeading1"/>
      </w:pPr>
      <w:r w:rsidRPr="00FB18DC">
        <w:t>1.</w:t>
      </w:r>
      <w:r w:rsidRPr="00FB18DC">
        <w:tab/>
      </w:r>
      <w:r>
        <w:t>CONTEXT OF THE DELEGATED ACT</w:t>
      </w:r>
    </w:p>
    <w:p w14:paraId="36C20A5B" w14:textId="0D9AEF99" w:rsidR="00953D2E" w:rsidRDefault="007C18ED" w:rsidP="00973B76">
      <w:r w:rsidRPr="00E80015">
        <w:rPr>
          <w:noProof/>
        </w:rPr>
        <w:t xml:space="preserve">Regulation (EU) No 576/2013 </w:t>
      </w:r>
      <w:r>
        <w:rPr>
          <w:rStyle w:val="FootnoteReference"/>
          <w:noProof/>
        </w:rPr>
        <w:footnoteReference w:id="1"/>
      </w:r>
      <w:r>
        <w:rPr>
          <w:noProof/>
        </w:rPr>
        <w:t>provides</w:t>
      </w:r>
      <w:r>
        <w:t xml:space="preserve"> for the compulsory anti-rabies vaccination of pets subject to non-commercial movements into a Member State from territories or third countries.</w:t>
      </w:r>
    </w:p>
    <w:p w14:paraId="661C0978" w14:textId="77777777" w:rsidR="00B604BB" w:rsidRDefault="007C18ED" w:rsidP="00973B76">
      <w:r>
        <w:t xml:space="preserve">It also provides for a system of checks </w:t>
      </w:r>
      <w:r w:rsidRPr="007D4F98">
        <w:t xml:space="preserve">on the effectiveness of the </w:t>
      </w:r>
      <w:r>
        <w:t xml:space="preserve">anti-rabies </w:t>
      </w:r>
      <w:r w:rsidRPr="007D4F98">
        <w:t xml:space="preserve">vaccination of those animals by </w:t>
      </w:r>
      <w:r>
        <w:t xml:space="preserve">a rabies antibody titration test when they are sourced from certain territories or third countries that are not listed in Annex II to </w:t>
      </w:r>
      <w:r w:rsidRPr="008D1DB8">
        <w:t>Commission Implementing Regulation (EU) No 577/2013</w:t>
      </w:r>
      <w:r>
        <w:rPr>
          <w:rStyle w:val="FootnoteReference"/>
        </w:rPr>
        <w:footnoteReference w:id="2"/>
      </w:r>
      <w:r>
        <w:t>.</w:t>
      </w:r>
      <w:r w:rsidR="00B604BB">
        <w:t xml:space="preserve"> </w:t>
      </w:r>
    </w:p>
    <w:p w14:paraId="26E93C0D" w14:textId="7DAF6A1B" w:rsidR="007C18ED" w:rsidRDefault="00B604BB" w:rsidP="00973B76">
      <w:r>
        <w:t>T</w:t>
      </w:r>
      <w:r w:rsidRPr="00B604BB">
        <w:t xml:space="preserve">he rabies antibody titration test must be performed in a laboratory approved in accordance with Article 3 </w:t>
      </w:r>
      <w:r>
        <w:t>of Council Decision 2000/258/EC</w:t>
      </w:r>
      <w:r w:rsidRPr="00B604BB">
        <w:t>. Decision 2000/258/EC has been repealed by Regulation (EU) 2016/429</w:t>
      </w:r>
      <w:r w:rsidR="005A3D43">
        <w:rPr>
          <w:rStyle w:val="FootnoteReference"/>
          <w:noProof/>
        </w:rPr>
        <w:footnoteReference w:id="3"/>
      </w:r>
      <w:r w:rsidR="005A3D43">
        <w:t xml:space="preserve"> and therefore the system to approve laboratories is no longer operational. </w:t>
      </w:r>
    </w:p>
    <w:p w14:paraId="638C32FD" w14:textId="0A71292D" w:rsidR="007C18ED" w:rsidRDefault="007C18ED" w:rsidP="00973B76">
      <w:r>
        <w:t xml:space="preserve">This system </w:t>
      </w:r>
      <w:r w:rsidR="00B604BB">
        <w:t xml:space="preserve">of checks </w:t>
      </w:r>
      <w:r w:rsidR="00B604BB" w:rsidRPr="007D4F98">
        <w:t xml:space="preserve">on the effectiveness of the </w:t>
      </w:r>
      <w:r w:rsidR="00B604BB">
        <w:t xml:space="preserve">anti-rabies </w:t>
      </w:r>
      <w:r w:rsidR="00B604BB" w:rsidRPr="007D4F98">
        <w:t>vaccination</w:t>
      </w:r>
      <w:r w:rsidR="00B604BB">
        <w:t xml:space="preserve"> </w:t>
      </w:r>
      <w:r>
        <w:t>was mirrored for the imports into the EU of dogs, cats and ferrets as provided for by the already repealed Council Directive 92/65/EEC</w:t>
      </w:r>
      <w:r>
        <w:rPr>
          <w:rStyle w:val="FootnoteReference"/>
        </w:rPr>
        <w:footnoteReference w:id="4"/>
      </w:r>
      <w:r w:rsidR="00777612">
        <w:t xml:space="preserve">. </w:t>
      </w:r>
    </w:p>
    <w:p w14:paraId="64739A92" w14:textId="77777777" w:rsidR="007A0867" w:rsidRDefault="00B604BB" w:rsidP="00973B76">
      <w:r>
        <w:t xml:space="preserve">The rules </w:t>
      </w:r>
      <w:r w:rsidR="007A0867">
        <w:t xml:space="preserve">in force </w:t>
      </w:r>
      <w:r>
        <w:t>applicable to the entry into the Union of dogs, cats and ferrets are laid down in Commission Delegated Regulation (EU) 2020/692</w:t>
      </w:r>
      <w:r>
        <w:rPr>
          <w:rStyle w:val="FootnoteReference"/>
        </w:rPr>
        <w:footnoteReference w:id="5"/>
      </w:r>
      <w:r>
        <w:t>. It provides for a system whereby c</w:t>
      </w:r>
      <w:r w:rsidRPr="00C64D22">
        <w:t xml:space="preserve">onsignments of </w:t>
      </w:r>
      <w:r>
        <w:t>dogs, cats and ferrets are only</w:t>
      </w:r>
      <w:r w:rsidRPr="00C64D22">
        <w:t xml:space="preserve"> perm</w:t>
      </w:r>
      <w:r w:rsidR="007A0867">
        <w:t>itted to enter the Union, amongst other requirements if:</w:t>
      </w:r>
    </w:p>
    <w:p w14:paraId="0DE36362" w14:textId="58FEE984" w:rsidR="007A0867" w:rsidRDefault="007A0867" w:rsidP="00B13845">
      <w:pPr>
        <w:pStyle w:val="Tiret0"/>
        <w:numPr>
          <w:ilvl w:val="0"/>
          <w:numId w:val="38"/>
        </w:numPr>
      </w:pPr>
      <w:r>
        <w:t>The animals are sourced from territories or third countries</w:t>
      </w:r>
      <w:r w:rsidR="005A3D43">
        <w:t xml:space="preserve"> listed </w:t>
      </w:r>
      <w:r>
        <w:t>in Annex VIII to Commission Implementing Regulation (EU) 2021/</w:t>
      </w:r>
      <w:r w:rsidR="005A3D43">
        <w:t>404</w:t>
      </w:r>
      <w:r w:rsidR="000F760D">
        <w:rPr>
          <w:rStyle w:val="FootnoteReference"/>
        </w:rPr>
        <w:footnoteReference w:id="6"/>
      </w:r>
      <w:r>
        <w:t>; and</w:t>
      </w:r>
    </w:p>
    <w:p w14:paraId="32456463" w14:textId="3B263C9A" w:rsidR="00B604BB" w:rsidRDefault="00B604BB" w:rsidP="00B13845">
      <w:pPr>
        <w:pStyle w:val="Tiret0"/>
      </w:pPr>
      <w:r>
        <w:t xml:space="preserve">the </w:t>
      </w:r>
      <w:r w:rsidR="007A0867">
        <w:t xml:space="preserve">rabies antibody titration test, when </w:t>
      </w:r>
      <w:r>
        <w:t>required by Delegated</w:t>
      </w:r>
      <w:r w:rsidRPr="00C64D22">
        <w:t xml:space="preserve"> R</w:t>
      </w:r>
      <w:r w:rsidR="007A0867">
        <w:t>egulation (EU) 2020/692 has</w:t>
      </w:r>
      <w:r>
        <w:t xml:space="preserve"> been carried out in a laboratory </w:t>
      </w:r>
      <w:r w:rsidRPr="00C64D22">
        <w:t>designated in accordance with Article 37 of Regulation (EU) 2017/625</w:t>
      </w:r>
      <w:r w:rsidR="00A21124">
        <w:rPr>
          <w:rStyle w:val="FootnoteReference"/>
        </w:rPr>
        <w:footnoteReference w:id="7"/>
      </w:r>
      <w:r>
        <w:t xml:space="preserve"> in a </w:t>
      </w:r>
      <w:r w:rsidR="007A0867">
        <w:t xml:space="preserve">listed territory </w:t>
      </w:r>
      <w:r w:rsidR="005A3D43">
        <w:t xml:space="preserve">or </w:t>
      </w:r>
      <w:r>
        <w:t>third country.</w:t>
      </w:r>
      <w:r w:rsidR="007A0867">
        <w:t xml:space="preserve"> </w:t>
      </w:r>
      <w:r w:rsidR="00B304BA">
        <w:t xml:space="preserve">However, it </w:t>
      </w:r>
      <w:r w:rsidR="00B304BA">
        <w:lastRenderedPageBreak/>
        <w:t>should also be possible that the test is performed in</w:t>
      </w:r>
      <w:r w:rsidR="00B304BA" w:rsidRPr="00C64D22">
        <w:t xml:space="preserve"> an official laboratory</w:t>
      </w:r>
      <w:r w:rsidR="00B304BA">
        <w:t xml:space="preserve"> in a Member State. </w:t>
      </w:r>
    </w:p>
    <w:p w14:paraId="10106B05" w14:textId="02A35861" w:rsidR="002E6D08" w:rsidRDefault="007A0867" w:rsidP="007A0867">
      <w:r>
        <w:t xml:space="preserve">As the rabies antibody titration test can be performed in </w:t>
      </w:r>
      <w:r w:rsidR="005934CE">
        <w:t>the two</w:t>
      </w:r>
      <w:r w:rsidR="005A3D43">
        <w:t xml:space="preserve"> types of laboratories</w:t>
      </w:r>
      <w:r>
        <w:t xml:space="preserve"> </w:t>
      </w:r>
      <w:r w:rsidR="005934CE">
        <w:t>mentioned above</w:t>
      </w:r>
      <w:r>
        <w:t xml:space="preserve"> for the purposes of the entry into the Union, it should also be possible that it is performed in one of these laboratories for the purposes of non-commercial movements of pets into a Member State from territori</w:t>
      </w:r>
      <w:r w:rsidR="008D492F">
        <w:t xml:space="preserve">es or </w:t>
      </w:r>
      <w:r w:rsidR="00960B9B">
        <w:t>third countries.</w:t>
      </w:r>
    </w:p>
    <w:p w14:paraId="31F20262" w14:textId="0D9D9133" w:rsidR="003C3787" w:rsidRDefault="007A0867" w:rsidP="007A0867">
      <w:r>
        <w:t>However, non-commercial movements of pets into a Member State sourced from third countries or territories not listed in Annex VIII to Commission Implem</w:t>
      </w:r>
      <w:r w:rsidR="009E1FBE">
        <w:t xml:space="preserve">enting Regulation (EU) 2021/404 are possible. Those non-commercial movements are subject to rabies antibody titration test. </w:t>
      </w:r>
      <w:r w:rsidR="008D492F">
        <w:t xml:space="preserve">If the test is to be performed in a laboratory placed in a non-listed third country or territory, it is still necessary to design a system </w:t>
      </w:r>
      <w:r w:rsidR="00B304BA">
        <w:t>replacing and updating the one laid down by the repealed Decision 2000/258/EC</w:t>
      </w:r>
      <w:r w:rsidR="00BC12FD">
        <w:t xml:space="preserve"> </w:t>
      </w:r>
      <w:r w:rsidR="008D492F">
        <w:t xml:space="preserve">to </w:t>
      </w:r>
      <w:r w:rsidR="00BC12FD">
        <w:t>list</w:t>
      </w:r>
      <w:r w:rsidR="00B304BA">
        <w:t xml:space="preserve"> </w:t>
      </w:r>
      <w:r w:rsidR="008D492F">
        <w:t>these laboratories</w:t>
      </w:r>
      <w:r w:rsidR="00B304BA">
        <w:t>.</w:t>
      </w:r>
    </w:p>
    <w:p w14:paraId="3B01C6B9" w14:textId="68DE3026" w:rsidR="003C3787" w:rsidRDefault="003C3787" w:rsidP="007A0867">
      <w:r>
        <w:t>For this purpose, this Delegated</w:t>
      </w:r>
      <w:r w:rsidR="00214B01">
        <w:t xml:space="preserve"> R</w:t>
      </w:r>
      <w:r>
        <w:t xml:space="preserve">egulation </w:t>
      </w:r>
      <w:r w:rsidR="00214B01">
        <w:rPr>
          <w:rFonts w:eastAsia="Times New Roman"/>
          <w:szCs w:val="20"/>
        </w:rPr>
        <w:t xml:space="preserve">establishes a new system to </w:t>
      </w:r>
      <w:r w:rsidR="00B304BA">
        <w:rPr>
          <w:rFonts w:eastAsia="Times New Roman"/>
          <w:szCs w:val="20"/>
        </w:rPr>
        <w:t xml:space="preserve">list </w:t>
      </w:r>
      <w:r w:rsidR="00214B01">
        <w:rPr>
          <w:rFonts w:eastAsia="Times New Roman"/>
          <w:szCs w:val="20"/>
        </w:rPr>
        <w:t xml:space="preserve">laboratories </w:t>
      </w:r>
      <w:r w:rsidR="00B304BA">
        <w:rPr>
          <w:rFonts w:eastAsia="Times New Roman"/>
          <w:szCs w:val="20"/>
        </w:rPr>
        <w:t>that can</w:t>
      </w:r>
      <w:r w:rsidR="00214B01">
        <w:rPr>
          <w:rFonts w:eastAsia="Times New Roman"/>
          <w:szCs w:val="20"/>
        </w:rPr>
        <w:t xml:space="preserve"> perform the</w:t>
      </w:r>
      <w:r w:rsidR="00214B01" w:rsidRPr="00C00584">
        <w:rPr>
          <w:rFonts w:eastAsia="Times New Roman"/>
          <w:szCs w:val="20"/>
        </w:rPr>
        <w:t xml:space="preserve"> rabies antibody titration </w:t>
      </w:r>
      <w:r w:rsidR="00214B01">
        <w:rPr>
          <w:rFonts w:eastAsia="Times New Roman"/>
          <w:szCs w:val="20"/>
        </w:rPr>
        <w:t>tests</w:t>
      </w:r>
      <w:r w:rsidR="0037091F">
        <w:rPr>
          <w:rFonts w:eastAsia="Times New Roman"/>
          <w:szCs w:val="20"/>
        </w:rPr>
        <w:t xml:space="preserve"> and</w:t>
      </w:r>
      <w:r w:rsidR="00214B01">
        <w:rPr>
          <w:rFonts w:eastAsia="Times New Roman"/>
          <w:szCs w:val="20"/>
        </w:rPr>
        <w:t xml:space="preserve"> designates the EURL for rabies as </w:t>
      </w:r>
      <w:r w:rsidR="00214B01" w:rsidRPr="003B414F">
        <w:rPr>
          <w:rFonts w:eastAsia="Times New Roman"/>
          <w:szCs w:val="20"/>
        </w:rPr>
        <w:t xml:space="preserve">responsible for coordinating </w:t>
      </w:r>
      <w:r w:rsidR="00214B01" w:rsidRPr="003B414F">
        <w:rPr>
          <w:szCs w:val="24"/>
        </w:rPr>
        <w:t xml:space="preserve">of the proficiency tests needed for </w:t>
      </w:r>
      <w:r w:rsidR="00214B01" w:rsidRPr="003B414F">
        <w:rPr>
          <w:rFonts w:eastAsia="Times New Roman"/>
          <w:szCs w:val="20"/>
        </w:rPr>
        <w:t xml:space="preserve">the </w:t>
      </w:r>
      <w:r w:rsidR="00B304BA">
        <w:rPr>
          <w:rFonts w:eastAsia="Times New Roman"/>
          <w:szCs w:val="20"/>
        </w:rPr>
        <w:t>listing</w:t>
      </w:r>
      <w:r w:rsidR="00214B01" w:rsidRPr="003B414F">
        <w:rPr>
          <w:rFonts w:eastAsia="Times New Roman"/>
          <w:szCs w:val="20"/>
        </w:rPr>
        <w:t xml:space="preserve"> of laboratories in respect of rabies antibody titration tests.</w:t>
      </w:r>
      <w:r w:rsidR="00214B01">
        <w:rPr>
          <w:rFonts w:eastAsia="Times New Roman"/>
          <w:szCs w:val="20"/>
        </w:rPr>
        <w:t xml:space="preserve"> </w:t>
      </w:r>
    </w:p>
    <w:p w14:paraId="4D140F16" w14:textId="77777777" w:rsidR="00953D2E" w:rsidRDefault="00953D2E" w:rsidP="00973B76">
      <w:pPr>
        <w:pStyle w:val="ManualHeading1"/>
      </w:pPr>
      <w:r w:rsidRPr="00FB18DC">
        <w:t>2.</w:t>
      </w:r>
      <w:r w:rsidRPr="00FB18DC">
        <w:tab/>
      </w:r>
      <w:r>
        <w:t>CONSULTATIONS PRIOR TO THE ADOPTION OF THE ACT</w:t>
      </w:r>
    </w:p>
    <w:p w14:paraId="01F53A65" w14:textId="18F736B2" w:rsidR="006E4BCA" w:rsidRDefault="00A51A4B" w:rsidP="006E4BCA">
      <w:pPr>
        <w:rPr>
          <w:i/>
          <w:iCs/>
          <w:sz w:val="22"/>
        </w:rPr>
      </w:pPr>
      <w:r>
        <w:t xml:space="preserve">The </w:t>
      </w:r>
      <w:r w:rsidR="006E4BCA">
        <w:t xml:space="preserve">draft Delegated Regulation </w:t>
      </w:r>
      <w:r>
        <w:t xml:space="preserve">was presented </w:t>
      </w:r>
      <w:r w:rsidR="006E4BCA">
        <w:t xml:space="preserve">to </w:t>
      </w:r>
      <w:r>
        <w:t xml:space="preserve">the </w:t>
      </w:r>
      <w:r w:rsidR="006E4BCA">
        <w:t>members of the Expert G</w:t>
      </w:r>
      <w:r>
        <w:t xml:space="preserve">roup on Animal Health (E00930) on 3 February 2022. </w:t>
      </w:r>
    </w:p>
    <w:p w14:paraId="5D015687" w14:textId="77777777" w:rsidR="00953D2E" w:rsidRDefault="00953D2E" w:rsidP="00973B76">
      <w:pPr>
        <w:pStyle w:val="ManualHeading1"/>
      </w:pPr>
      <w:r w:rsidRPr="00FB18DC">
        <w:t>3.</w:t>
      </w:r>
      <w:r w:rsidRPr="00FB18DC">
        <w:tab/>
      </w:r>
      <w:r>
        <w:t>LEGAL ELEMENTS OF THE DELEGATED ACT</w:t>
      </w:r>
    </w:p>
    <w:p w14:paraId="5B5EFDBE" w14:textId="544BDB09" w:rsidR="003F6572" w:rsidRPr="003F6572" w:rsidRDefault="003F6572" w:rsidP="00973B76">
      <w:r w:rsidRPr="003719AF">
        <w:rPr>
          <w:noProof/>
        </w:rPr>
        <w:t>This Delegated Regulation is to be adopted within the f</w:t>
      </w:r>
      <w:r w:rsidR="00BB062D">
        <w:rPr>
          <w:noProof/>
        </w:rPr>
        <w:t>ramework</w:t>
      </w:r>
      <w:r>
        <w:rPr>
          <w:rFonts w:eastAsia="Times New Roman"/>
          <w:szCs w:val="20"/>
        </w:rPr>
        <w:t xml:space="preserve"> of </w:t>
      </w:r>
      <w:r w:rsidRPr="00F83B1D">
        <w:rPr>
          <w:rFonts w:eastAsia="Times New Roman"/>
          <w:szCs w:val="20"/>
        </w:rPr>
        <w:t>Regulation (EU) 2017/625</w:t>
      </w:r>
      <w:r>
        <w:rPr>
          <w:rFonts w:eastAsia="Times New Roman"/>
          <w:szCs w:val="20"/>
        </w:rPr>
        <w:t xml:space="preserve"> </w:t>
      </w:r>
      <w:r w:rsidR="002E6D08">
        <w:rPr>
          <w:rFonts w:eastAsia="Times New Roman"/>
          <w:szCs w:val="20"/>
        </w:rPr>
        <w:t xml:space="preserve">and </w:t>
      </w:r>
      <w:r w:rsidRPr="00A65FC9">
        <w:rPr>
          <w:noProof/>
        </w:rPr>
        <w:t xml:space="preserve">in particular pursuant </w:t>
      </w:r>
      <w:r>
        <w:rPr>
          <w:noProof/>
        </w:rPr>
        <w:t xml:space="preserve">to </w:t>
      </w:r>
      <w:r w:rsidRPr="00F83B1D">
        <w:rPr>
          <w:rFonts w:eastAsia="Times New Roman"/>
          <w:szCs w:val="20"/>
        </w:rPr>
        <w:t xml:space="preserve">Article 99(2) </w:t>
      </w:r>
      <w:r>
        <w:rPr>
          <w:rFonts w:eastAsia="Times New Roman"/>
          <w:szCs w:val="20"/>
        </w:rPr>
        <w:t xml:space="preserve">thereof. </w:t>
      </w:r>
    </w:p>
    <w:p w14:paraId="0F5E8F9E" w14:textId="77777777" w:rsidR="00953D2E" w:rsidRDefault="00953D2E" w:rsidP="00973B76">
      <w:pPr>
        <w:sectPr w:rsidR="00953D2E" w:rsidSect="000734C8">
          <w:footerReference w:type="default" r:id="rId15"/>
          <w:footerReference w:type="first" r:id="rId16"/>
          <w:pgSz w:w="11907" w:h="16839"/>
          <w:pgMar w:top="1134" w:right="1417" w:bottom="1134" w:left="1417" w:header="709" w:footer="709" w:gutter="0"/>
          <w:cols w:space="708"/>
          <w:docGrid w:linePitch="360"/>
        </w:sectPr>
      </w:pPr>
    </w:p>
    <w:p w14:paraId="39B852AD" w14:textId="5B62A07D" w:rsidR="00953D2E" w:rsidRPr="00937BA9" w:rsidRDefault="000734C8" w:rsidP="000734C8">
      <w:pPr>
        <w:pStyle w:val="Typedudocument"/>
      </w:pPr>
      <w:r w:rsidRPr="000734C8">
        <w:lastRenderedPageBreak/>
        <w:t>COMMISSION DELEGATED REGULATION (EU) …/...</w:t>
      </w:r>
    </w:p>
    <w:p w14:paraId="6F488C1D" w14:textId="67106586" w:rsidR="00953D2E" w:rsidRPr="00CE4FF7" w:rsidRDefault="000734C8" w:rsidP="000734C8">
      <w:pPr>
        <w:pStyle w:val="Datedadoption"/>
      </w:pPr>
      <w:r w:rsidRPr="000734C8">
        <w:t xml:space="preserve">of </w:t>
      </w:r>
      <w:r w:rsidRPr="000734C8">
        <w:rPr>
          <w:rStyle w:val="Marker2"/>
        </w:rPr>
        <w:t>XXX</w:t>
      </w:r>
    </w:p>
    <w:p w14:paraId="7C3CE02F" w14:textId="6259FA06" w:rsidR="000F760D" w:rsidRDefault="001F5C6C">
      <w:pPr>
        <w:pStyle w:val="IntrtEEE"/>
      </w:pPr>
      <w:r>
        <w:t>(</w:t>
      </w:r>
      <w:r w:rsidR="00D4494D" w:rsidRPr="00D4494D">
        <w:t>Text with EEA relevance)</w:t>
      </w:r>
    </w:p>
    <w:p w14:paraId="6528DBCE" w14:textId="07C06DB1" w:rsidR="00953D2E" w:rsidRPr="00937BA9" w:rsidRDefault="00953D2E" w:rsidP="00973B76">
      <w:pPr>
        <w:pStyle w:val="Institutionquiagit"/>
      </w:pPr>
      <w:r w:rsidRPr="00937BA9">
        <w:t>THE EUROPEAN COMMISSION,</w:t>
      </w:r>
    </w:p>
    <w:p w14:paraId="6B85528A" w14:textId="56FA9484" w:rsidR="00953D2E" w:rsidRDefault="00953D2E" w:rsidP="00973B76">
      <w:r w:rsidRPr="00937BA9">
        <w:rPr>
          <w:color w:val="000000"/>
        </w:rPr>
        <w:t>Having regard to the Treaty on the Functioning of the European Union</w:t>
      </w:r>
      <w:r w:rsidRPr="00937BA9">
        <w:t>,</w:t>
      </w:r>
    </w:p>
    <w:p w14:paraId="1D9A1754" w14:textId="5A6228EC" w:rsidR="00953D2E" w:rsidRDefault="00953D2E" w:rsidP="00953D2E">
      <w:pPr>
        <w:rPr>
          <w:rFonts w:eastAsia="Times New Roman"/>
          <w:szCs w:val="20"/>
        </w:rPr>
      </w:pPr>
      <w:r>
        <w:rPr>
          <w:noProof/>
        </w:rPr>
        <w:t xml:space="preserve">Having regard to </w:t>
      </w:r>
      <w:r w:rsidRPr="0048183D">
        <w:rPr>
          <w:noProof/>
        </w:rPr>
        <w:t>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Pr>
          <w:rStyle w:val="FootnoteReference"/>
          <w:noProof/>
        </w:rPr>
        <w:footnoteReference w:id="8"/>
      </w:r>
      <w:r>
        <w:rPr>
          <w:noProof/>
        </w:rPr>
        <w:t xml:space="preserve"> and in particular Article 99(2) thereof, </w:t>
      </w:r>
    </w:p>
    <w:p w14:paraId="3B7DB447" w14:textId="3E328ACD" w:rsidR="00953D2E" w:rsidRDefault="00953D2E" w:rsidP="00973B76">
      <w:r w:rsidRPr="00937BA9">
        <w:t>Whereas:</w:t>
      </w:r>
    </w:p>
    <w:p w14:paraId="1FDD4B5E" w14:textId="5F0A278A" w:rsidR="00F83FF2" w:rsidRDefault="00CC4176" w:rsidP="00CC4176">
      <w:pPr>
        <w:pStyle w:val="Considrant"/>
      </w:pPr>
      <w:r w:rsidRPr="0048183D">
        <w:rPr>
          <w:noProof/>
        </w:rPr>
        <w:t xml:space="preserve">Regulation (EU) 2017/625 </w:t>
      </w:r>
      <w:r>
        <w:rPr>
          <w:noProof/>
        </w:rPr>
        <w:t>lays down, inter alia, rules for the designation, responsabilities and tasks of European Union reference laboratories. It provides for delegated acts to be adopted in certain cases in order to lay down rules supplementing the requirements, responsabilities and tasks of the European Union reference laboratories.</w:t>
      </w:r>
    </w:p>
    <w:p w14:paraId="5CA5EFA1" w14:textId="56BDB5E7" w:rsidR="00F83FF2" w:rsidRPr="00F83FF2" w:rsidRDefault="00F83FF2">
      <w:pPr>
        <w:pStyle w:val="Considrant"/>
        <w:rPr>
          <w:i/>
        </w:rPr>
      </w:pPr>
      <w:r w:rsidRPr="006255FD">
        <w:t>Commission Delegated Regulation (EU) 2020/692</w:t>
      </w:r>
      <w:r w:rsidRPr="006255FD">
        <w:rPr>
          <w:rStyle w:val="FootnoteReference"/>
        </w:rPr>
        <w:footnoteReference w:id="9"/>
      </w:r>
      <w:r w:rsidRPr="006255FD">
        <w:t xml:space="preserve"> lays down supplementing animal health rules concerning the entry into the Union of consignments of certain species and categories of animals. Article 9 provides, inter alia, for a system whereby consignments of dogs, cats and ferrets are only permitted to enter the Union if the laboratory tests required by that Delegated Regulation have been carried out in a laboratory designated in accordance with Article 37 of Regulation (EU) 2017/625 in a third country or territory.</w:t>
      </w:r>
      <w:r>
        <w:t xml:space="preserve"> </w:t>
      </w:r>
      <w:r w:rsidRPr="006255FD">
        <w:t xml:space="preserve">However, it is also possible that the laboratory tests have been carried out in an official laboratory in a Member State. </w:t>
      </w:r>
      <w:r w:rsidRPr="0080609B">
        <w:t>Article 76 requires a</w:t>
      </w:r>
      <w:r w:rsidRPr="006255FD">
        <w:t xml:space="preserve"> valid rabies antibody titration test</w:t>
      </w:r>
      <w:r>
        <w:t xml:space="preserve"> </w:t>
      </w:r>
      <w:r w:rsidRPr="006255FD">
        <w:t xml:space="preserve">for consignments of dogs, cats and ferrets </w:t>
      </w:r>
      <w:r w:rsidRPr="0080609B">
        <w:t xml:space="preserve">that are being moved into a Member State from </w:t>
      </w:r>
      <w:r w:rsidRPr="006255FD">
        <w:t>territories or third countries that are not listed in Annex II to Implementing Regulation (EU) No 577/2013</w:t>
      </w:r>
      <w:r w:rsidR="00780F18">
        <w:rPr>
          <w:rStyle w:val="FootnoteReference"/>
        </w:rPr>
        <w:footnoteReference w:id="10"/>
      </w:r>
      <w:r w:rsidRPr="006255FD">
        <w:t xml:space="preserve">. </w:t>
      </w:r>
    </w:p>
    <w:p w14:paraId="64E6C994" w14:textId="4A5CE499" w:rsidR="00F83FF2" w:rsidRDefault="00F83FF2" w:rsidP="00F83FF2">
      <w:pPr>
        <w:pStyle w:val="Considrant"/>
      </w:pPr>
      <w:r>
        <w:lastRenderedPageBreak/>
        <w:t>Commission Implementing Regulation (EU) 2021/404</w:t>
      </w:r>
      <w:r w:rsidRPr="00B13845">
        <w:rPr>
          <w:rStyle w:val="FootnoteReference"/>
        </w:rPr>
        <w:footnoteReference w:id="11"/>
      </w:r>
      <w:r>
        <w:t xml:space="preserve"> </w:t>
      </w:r>
      <w:r w:rsidRPr="00144BE9">
        <w:t xml:space="preserve">lays down the lists of third countries, territories or zones or compartments thereof from which the entry into the Union of consignments of the species and categories of animals falling within the scope of Delegated Regulation (EU) 2020/692 is permitted. </w:t>
      </w:r>
      <w:r>
        <w:t>C</w:t>
      </w:r>
      <w:r w:rsidRPr="00C64D22">
        <w:t xml:space="preserve">onsignments of </w:t>
      </w:r>
      <w:r>
        <w:t xml:space="preserve">dogs, </w:t>
      </w:r>
      <w:r w:rsidRPr="00DC297A">
        <w:t>cats and ferrets are only permitted to enter into the Union from third countries or territories listed in Annex VIII to that Implementing Regulation. When required by Delegated Regulation (EU) 2020/692, the rabies antibody titration test may be performed either in a laboratory designated in accordance with Article 37 of Regulation (EU) 2017/625 by the competent authority of the third country or territory listed in Annex VIII to Implementing Regulation (EU) 2021/404, or in an official laboratory in a Member State.</w:t>
      </w:r>
      <w:r>
        <w:t xml:space="preserve"> </w:t>
      </w:r>
    </w:p>
    <w:p w14:paraId="7635D356" w14:textId="73C76870" w:rsidR="00953D2E" w:rsidRDefault="00953D2E" w:rsidP="004E061D">
      <w:pPr>
        <w:pStyle w:val="Considrant"/>
      </w:pPr>
      <w:r>
        <w:t>Regulation (EU) No 576/2013</w:t>
      </w:r>
      <w:r w:rsidR="00CC4176">
        <w:rPr>
          <w:rStyle w:val="FootnoteReference"/>
          <w:noProof/>
        </w:rPr>
        <w:footnoteReference w:id="12"/>
      </w:r>
      <w:r>
        <w:t xml:space="preserve"> lays down the animal health requirements applicable to non-commercial movement</w:t>
      </w:r>
      <w:r w:rsidR="00C04845">
        <w:t>s</w:t>
      </w:r>
      <w:r>
        <w:t xml:space="preserve"> of pet animals into a Member State from a territory or a third country and the rules for compliance checks on such </w:t>
      </w:r>
      <w:r w:rsidR="000D4EC8">
        <w:t xml:space="preserve">non-commercial </w:t>
      </w:r>
      <w:r>
        <w:t>movement</w:t>
      </w:r>
      <w:r w:rsidR="000D4EC8">
        <w:t>s</w:t>
      </w:r>
      <w:r w:rsidR="0025066B">
        <w:t xml:space="preserve">. </w:t>
      </w:r>
      <w:r w:rsidR="00130EE9">
        <w:t xml:space="preserve">The definition of pet animal in that Regulation covers dogs, cats and ferrets. </w:t>
      </w:r>
      <w:r w:rsidR="000D4EC8">
        <w:t xml:space="preserve">Regulation </w:t>
      </w:r>
      <w:r w:rsidR="0025066B">
        <w:t xml:space="preserve">(EU) No 576/2013 </w:t>
      </w:r>
      <w:r>
        <w:t xml:space="preserve">has </w:t>
      </w:r>
      <w:r w:rsidR="000D4EC8">
        <w:t xml:space="preserve">now </w:t>
      </w:r>
      <w:r>
        <w:t xml:space="preserve">been repealed by </w:t>
      </w:r>
      <w:r>
        <w:rPr>
          <w:noProof/>
        </w:rPr>
        <w:t>Regulation (EU) 2016/429</w:t>
      </w:r>
      <w:r w:rsidR="000D4EC8">
        <w:rPr>
          <w:noProof/>
        </w:rPr>
        <w:t xml:space="preserve"> of the European</w:t>
      </w:r>
      <w:r w:rsidR="00F17A48">
        <w:rPr>
          <w:noProof/>
        </w:rPr>
        <w:t xml:space="preserve"> </w:t>
      </w:r>
      <w:r w:rsidR="000D4EC8">
        <w:rPr>
          <w:noProof/>
        </w:rPr>
        <w:t>Parliament and of the Council</w:t>
      </w:r>
      <w:r w:rsidR="000D4EC8">
        <w:rPr>
          <w:rStyle w:val="FootnoteReference"/>
          <w:noProof/>
        </w:rPr>
        <w:footnoteReference w:id="13"/>
      </w:r>
      <w:r>
        <w:rPr>
          <w:noProof/>
        </w:rPr>
        <w:t xml:space="preserve"> but, as a transitional measure, it continue</w:t>
      </w:r>
      <w:r w:rsidR="000D4EC8">
        <w:rPr>
          <w:noProof/>
        </w:rPr>
        <w:t>s</w:t>
      </w:r>
      <w:r>
        <w:rPr>
          <w:noProof/>
        </w:rPr>
        <w:t xml:space="preserve"> to apply until 21 April 2026</w:t>
      </w:r>
      <w:r w:rsidR="000D4EC8">
        <w:rPr>
          <w:noProof/>
        </w:rPr>
        <w:t xml:space="preserve"> </w:t>
      </w:r>
      <w:r w:rsidR="000D4EC8" w:rsidRPr="000D4EC8">
        <w:rPr>
          <w:noProof/>
        </w:rPr>
        <w:t>in respect of non–commercial movements of pet animals, in place of Part VI of Regulation</w:t>
      </w:r>
      <w:r w:rsidR="000D4EC8">
        <w:rPr>
          <w:noProof/>
        </w:rPr>
        <w:t xml:space="preserve"> (EU) 2016/429</w:t>
      </w:r>
      <w:r>
        <w:rPr>
          <w:noProof/>
        </w:rPr>
        <w:t>.</w:t>
      </w:r>
    </w:p>
    <w:p w14:paraId="2695FE10" w14:textId="15BCFEED" w:rsidR="00227CDD" w:rsidRDefault="005600E8" w:rsidP="00953D2E">
      <w:pPr>
        <w:pStyle w:val="Considrant"/>
      </w:pPr>
      <w:r>
        <w:t xml:space="preserve">In addition, </w:t>
      </w:r>
      <w:r w:rsidR="00953D2E">
        <w:t xml:space="preserve">Regulation (EU) No 576/2013 provides for the compulsory anti-rabies </w:t>
      </w:r>
      <w:r w:rsidR="00953D2E" w:rsidRPr="008570E5">
        <w:t xml:space="preserve">vaccination of </w:t>
      </w:r>
      <w:r w:rsidR="000C285F" w:rsidRPr="008570E5">
        <w:t xml:space="preserve">certain </w:t>
      </w:r>
      <w:r w:rsidR="00953D2E" w:rsidRPr="008570E5">
        <w:t>pet</w:t>
      </w:r>
      <w:r w:rsidRPr="008570E5">
        <w:t xml:space="preserve"> animal</w:t>
      </w:r>
      <w:r w:rsidR="00953D2E" w:rsidRPr="008570E5">
        <w:t>s</w:t>
      </w:r>
      <w:r w:rsidR="00953D2E">
        <w:t xml:space="preserve"> subject to non-commercial movements into a Member State from territories</w:t>
      </w:r>
      <w:r w:rsidR="00406B6D">
        <w:t xml:space="preserve"> </w:t>
      </w:r>
      <w:r w:rsidR="00953D2E">
        <w:t>or third countries.</w:t>
      </w:r>
      <w:r w:rsidR="00860DB5">
        <w:t xml:space="preserve"> </w:t>
      </w:r>
      <w:r w:rsidR="00953D2E">
        <w:t xml:space="preserve">It also provides for a system of checks </w:t>
      </w:r>
      <w:r w:rsidR="00953D2E" w:rsidRPr="007D4F98">
        <w:t xml:space="preserve">on the effectiveness of the </w:t>
      </w:r>
      <w:r w:rsidR="00953D2E">
        <w:t xml:space="preserve">anti-rabies </w:t>
      </w:r>
      <w:r w:rsidR="00953D2E" w:rsidRPr="007D4F98">
        <w:t xml:space="preserve">vaccination of those </w:t>
      </w:r>
      <w:r w:rsidR="00BD618D">
        <w:t xml:space="preserve">pet </w:t>
      </w:r>
      <w:r w:rsidR="00953D2E" w:rsidRPr="007D4F98">
        <w:t xml:space="preserve">animals by </w:t>
      </w:r>
      <w:r w:rsidR="00953D2E">
        <w:t>a rabies antibody titration test when the</w:t>
      </w:r>
      <w:r w:rsidR="00720408">
        <w:t>y</w:t>
      </w:r>
      <w:r w:rsidR="00953D2E">
        <w:t xml:space="preserve"> are sourced from certain territories or third countries that are not listed in Annex II to </w:t>
      </w:r>
      <w:r w:rsidR="00953D2E" w:rsidRPr="008D1DB8">
        <w:t>Commission Implementing Regulation (EU) No 577/2013</w:t>
      </w:r>
      <w:r w:rsidR="00780F18">
        <w:t>.</w:t>
      </w:r>
      <w:r w:rsidR="00953D2E">
        <w:t xml:space="preserve"> </w:t>
      </w:r>
    </w:p>
    <w:p w14:paraId="45A5A4B6" w14:textId="3CCCCC14" w:rsidR="00A70082" w:rsidRDefault="00A70082" w:rsidP="00BD618D">
      <w:pPr>
        <w:pStyle w:val="Considrant"/>
      </w:pPr>
      <w:r w:rsidRPr="00D04619">
        <w:t xml:space="preserve">Annex IV to Regulation (EU) No 576/2013 </w:t>
      </w:r>
      <w:r w:rsidR="00BD618D">
        <w:t>lays down v</w:t>
      </w:r>
      <w:r w:rsidR="00BD618D" w:rsidRPr="00BD618D">
        <w:t>alidity requirements for</w:t>
      </w:r>
      <w:r w:rsidR="00BD618D">
        <w:t xml:space="preserve"> the rabies antibody titration</w:t>
      </w:r>
      <w:r w:rsidR="00227CDD">
        <w:t xml:space="preserve"> test</w:t>
      </w:r>
      <w:r w:rsidR="0027342A">
        <w:t>,</w:t>
      </w:r>
      <w:r w:rsidR="00BD618D">
        <w:t xml:space="preserve"> and it</w:t>
      </w:r>
      <w:r w:rsidR="00BD618D" w:rsidRPr="00BD618D">
        <w:t xml:space="preserve"> </w:t>
      </w:r>
      <w:r w:rsidRPr="00D04619">
        <w:t xml:space="preserve">establishes that, for the purposes </w:t>
      </w:r>
      <w:r w:rsidR="00BD618D">
        <w:t xml:space="preserve">of </w:t>
      </w:r>
      <w:r w:rsidR="00706115">
        <w:t xml:space="preserve">the </w:t>
      </w:r>
      <w:r w:rsidRPr="00D04619">
        <w:t xml:space="preserve">non-commercial movement of pet animals from third countries or territories, the rabies antibody titration test must be performed in a laboratory approved in accordance with Article 3 of </w:t>
      </w:r>
      <w:r w:rsidR="005E09BD">
        <w:t>Council Decision 2000/258/EC</w:t>
      </w:r>
      <w:r w:rsidR="005E09BD">
        <w:rPr>
          <w:rStyle w:val="FootnoteReference"/>
        </w:rPr>
        <w:footnoteReference w:id="14"/>
      </w:r>
      <w:r w:rsidR="005E09BD">
        <w:t xml:space="preserve">. Decision 2000/258/EC has </w:t>
      </w:r>
      <w:r w:rsidR="0027342A">
        <w:t xml:space="preserve">now </w:t>
      </w:r>
      <w:r w:rsidR="005E09BD">
        <w:t xml:space="preserve">been repealed by </w:t>
      </w:r>
      <w:r w:rsidR="005E09BD">
        <w:rPr>
          <w:noProof/>
        </w:rPr>
        <w:t xml:space="preserve">Regulation (EU) 2016/429. </w:t>
      </w:r>
    </w:p>
    <w:p w14:paraId="02A0640C" w14:textId="08C497BA" w:rsidR="00035654" w:rsidRDefault="00F83FF2" w:rsidP="00943D41">
      <w:pPr>
        <w:pStyle w:val="Considrant"/>
      </w:pPr>
      <w:r>
        <w:rPr>
          <w:noProof/>
        </w:rPr>
        <w:t xml:space="preserve">As for the </w:t>
      </w:r>
      <w:r w:rsidR="00035654">
        <w:rPr>
          <w:noProof/>
        </w:rPr>
        <w:t xml:space="preserve">purposes of </w:t>
      </w:r>
      <w:r>
        <w:rPr>
          <w:noProof/>
        </w:rPr>
        <w:t xml:space="preserve">entry into the Union of dogs, cats and ferrets </w:t>
      </w:r>
      <w:r>
        <w:t xml:space="preserve">into a Member State from a territory or third country </w:t>
      </w:r>
      <w:r w:rsidRPr="00780F18">
        <w:t>listed in Annex II to Implementing Regulation (EU) 577/2013 or in Annex VIII to Implementing Regulation 2021/404</w:t>
      </w:r>
      <w:r w:rsidRPr="00780F18">
        <w:rPr>
          <w:noProof/>
        </w:rPr>
        <w:t>,</w:t>
      </w:r>
      <w:r>
        <w:rPr>
          <w:noProof/>
        </w:rPr>
        <w:t xml:space="preserve"> the rabies antibody titration test can be performed </w:t>
      </w:r>
      <w:r w:rsidR="00035654">
        <w:t xml:space="preserve">in a </w:t>
      </w:r>
      <w:r w:rsidR="00035654" w:rsidRPr="00C64D22">
        <w:t>laboratory designated in accordance with Article 37 of Regulation (EU) 2017/625</w:t>
      </w:r>
      <w:r w:rsidR="00035654">
        <w:t xml:space="preserve"> by a competent authority of that territory or third country or in an official laboratory in a Member State, for reasons of consistency </w:t>
      </w:r>
      <w:r w:rsidR="00035654">
        <w:lastRenderedPageBreak/>
        <w:t xml:space="preserve">it should also be possible to allow the performance of the rabies antibody titration test required for non-commercial movements of pet animals in those laboratories. </w:t>
      </w:r>
    </w:p>
    <w:p w14:paraId="1782F5F9" w14:textId="6CAA0FBA" w:rsidR="00745042" w:rsidRPr="00780F18" w:rsidRDefault="00953D2E" w:rsidP="00953D2E">
      <w:pPr>
        <w:pStyle w:val="Considrant"/>
      </w:pPr>
      <w:r w:rsidRPr="00780F18">
        <w:t xml:space="preserve">However, </w:t>
      </w:r>
      <w:r w:rsidR="00745042" w:rsidRPr="00780F18">
        <w:t xml:space="preserve">the </w:t>
      </w:r>
      <w:r w:rsidRPr="00780F18">
        <w:t>non-commercial movements of pet</w:t>
      </w:r>
      <w:r w:rsidR="0011035F" w:rsidRPr="00780F18">
        <w:t xml:space="preserve"> animal</w:t>
      </w:r>
      <w:r w:rsidRPr="00780F18">
        <w:t xml:space="preserve">s into a Member State from third countries or territories </w:t>
      </w:r>
      <w:r w:rsidR="007B34FE" w:rsidRPr="00780F18">
        <w:t>nor</w:t>
      </w:r>
      <w:r w:rsidR="000F50A8" w:rsidRPr="00780F18">
        <w:t xml:space="preserve"> listed in Annex II to Implementing Regulation (EU) 577/2013</w:t>
      </w:r>
      <w:r w:rsidR="007B34FE" w:rsidRPr="00780F18">
        <w:t xml:space="preserve"> neither</w:t>
      </w:r>
      <w:r w:rsidR="000F50A8" w:rsidRPr="00780F18">
        <w:t xml:space="preserve"> </w:t>
      </w:r>
      <w:r w:rsidRPr="00780F18">
        <w:t>in Annex VIII to Implementing Regulation (EU) 2021/404</w:t>
      </w:r>
      <w:r w:rsidR="00745042" w:rsidRPr="00780F18">
        <w:t xml:space="preserve"> is possible and they are subject to the rabies antibody titration test that </w:t>
      </w:r>
      <w:r w:rsidR="0011035F" w:rsidRPr="00780F18">
        <w:t xml:space="preserve">may </w:t>
      </w:r>
      <w:r w:rsidR="00745042" w:rsidRPr="00780F18">
        <w:t xml:space="preserve">be performed in a laboratory </w:t>
      </w:r>
      <w:r w:rsidR="00144BE9" w:rsidRPr="00780F18">
        <w:t xml:space="preserve">located </w:t>
      </w:r>
      <w:r w:rsidR="00745042" w:rsidRPr="00780F18">
        <w:t xml:space="preserve">in one of these third countries or territories. These laboratories should demonstrate their capacity to perform the </w:t>
      </w:r>
      <w:r w:rsidR="00144BE9" w:rsidRPr="00780F18">
        <w:t xml:space="preserve">rabies antibody titration </w:t>
      </w:r>
      <w:r w:rsidR="00745042" w:rsidRPr="00780F18">
        <w:t>test. Therefore, a listing procedure of th</w:t>
      </w:r>
      <w:r w:rsidR="0082243D" w:rsidRPr="00780F18">
        <w:t>o</w:t>
      </w:r>
      <w:r w:rsidR="00745042" w:rsidRPr="00780F18">
        <w:t xml:space="preserve">se laboratories that replaces and updates the one laid down by the repealed Decision 2000/258/EC should be set up. </w:t>
      </w:r>
    </w:p>
    <w:p w14:paraId="7DD1627C" w14:textId="4EED4690" w:rsidR="00953D2E" w:rsidRDefault="00953D2E" w:rsidP="00953D2E">
      <w:pPr>
        <w:pStyle w:val="Considrant"/>
      </w:pPr>
      <w:r>
        <w:t xml:space="preserve">The </w:t>
      </w:r>
      <w:r w:rsidR="00745042">
        <w:t xml:space="preserve">listing procedure </w:t>
      </w:r>
      <w:r>
        <w:t xml:space="preserve">should be based </w:t>
      </w:r>
      <w:r w:rsidR="00144BE9">
        <w:t>o</w:t>
      </w:r>
      <w:r>
        <w:t xml:space="preserve">n the participation with favourable results of the laboratory in a proficiency test organised by a laboratory designated by the Commission. </w:t>
      </w:r>
    </w:p>
    <w:p w14:paraId="64BC2B93" w14:textId="59F959FC" w:rsidR="00953D2E" w:rsidRDefault="00953D2E" w:rsidP="00953D2E">
      <w:pPr>
        <w:pStyle w:val="Considrant"/>
      </w:pPr>
      <w:r w:rsidRPr="008F54D4">
        <w:t>Commission Regulation (EC) No 737/2008</w:t>
      </w:r>
      <w:r>
        <w:rPr>
          <w:rStyle w:val="FootnoteReference"/>
        </w:rPr>
        <w:footnoteReference w:id="15"/>
      </w:r>
      <w:r w:rsidRPr="008F54D4">
        <w:t xml:space="preserve"> designated the </w:t>
      </w:r>
      <w:r>
        <w:t>ANSES</w:t>
      </w:r>
      <w:r w:rsidRPr="008F54D4">
        <w:t xml:space="preserve"> Laboratoire d’études sur la rage et la pathologie des animaux sauvages in Nancy, France as the EU referen</w:t>
      </w:r>
      <w:r>
        <w:t xml:space="preserve">ce laboratory for rabies. The repealed Decision 2000/258/EC designated </w:t>
      </w:r>
      <w:r w:rsidR="00144BE9">
        <w:t xml:space="preserve">that </w:t>
      </w:r>
      <w:r>
        <w:t xml:space="preserve">laboratory as </w:t>
      </w:r>
      <w:r w:rsidR="00144BE9">
        <w:t xml:space="preserve">the </w:t>
      </w:r>
      <w:r w:rsidRPr="00BE754A">
        <w:t>specific institute responsible for establishing the criteria necessary for standardising the serological tests to monitor the effectiveness of rabies vaccines</w:t>
      </w:r>
      <w:r>
        <w:t>. One of the task</w:t>
      </w:r>
      <w:r w:rsidR="001B373B">
        <w:t>s</w:t>
      </w:r>
      <w:r>
        <w:t xml:space="preserve"> of th</w:t>
      </w:r>
      <w:r w:rsidR="00144BE9">
        <w:t>at</w:t>
      </w:r>
      <w:r>
        <w:t xml:space="preserve"> institute was to organise a proficiency test and appraise the results of the laboratories for their </w:t>
      </w:r>
      <w:r w:rsidR="00625C24">
        <w:t>possible</w:t>
      </w:r>
      <w:r>
        <w:t xml:space="preserve"> approval for </w:t>
      </w:r>
      <w:r w:rsidRPr="00BE754A">
        <w:t>the purposes of their authorisation to carry out the serological tests to monitor the effectiveness of the anti-rabies vaccination.</w:t>
      </w:r>
    </w:p>
    <w:p w14:paraId="188434A0" w14:textId="1D1B8DD5" w:rsidR="008A490F" w:rsidRDefault="00463609" w:rsidP="008A490F">
      <w:pPr>
        <w:pStyle w:val="Considrant"/>
      </w:pPr>
      <w:r>
        <w:t xml:space="preserve">Considering the experience that the </w:t>
      </w:r>
      <w:r w:rsidRPr="008F54D4">
        <w:t>Laboratoire d’études sur la rage et la pathologie des animaux sauvages in Nancy</w:t>
      </w:r>
      <w:r>
        <w:t xml:space="preserve"> has obtained since it was designated by Decision 2000/258/EC </w:t>
      </w:r>
      <w:r w:rsidR="00AC0BBF">
        <w:t xml:space="preserve">and due to the new legal requirements introduced by Delegated Regulation (EU) 2020/692, it is appropriate to designate it as the laboratory responsible for the organisation and coordination of the proficiency test and the appraisal of the laboratories for </w:t>
      </w:r>
      <w:r w:rsidR="00AC0BBF" w:rsidRPr="00BE754A">
        <w:t xml:space="preserve">the purposes of their </w:t>
      </w:r>
      <w:r w:rsidR="00AC0BBF">
        <w:t>listing</w:t>
      </w:r>
      <w:r w:rsidR="00AC0BBF" w:rsidRPr="00BE754A">
        <w:t xml:space="preserve"> to carry out the serological tests </w:t>
      </w:r>
      <w:r w:rsidR="00AC0BBF" w:rsidRPr="00D04619">
        <w:t>to monitor the effectiveness of the anti-rabies vaccination</w:t>
      </w:r>
      <w:r w:rsidR="008A490F">
        <w:t>.</w:t>
      </w:r>
    </w:p>
    <w:p w14:paraId="41C36139" w14:textId="5D27202A" w:rsidR="00953D2E" w:rsidRDefault="00953D2E" w:rsidP="00973B76">
      <w:pPr>
        <w:pStyle w:val="Considrant"/>
      </w:pPr>
      <w:r>
        <w:t xml:space="preserve">Upon arrival </w:t>
      </w:r>
      <w:r w:rsidR="0011035F">
        <w:t xml:space="preserve">in </w:t>
      </w:r>
      <w:r w:rsidR="007E2479">
        <w:t xml:space="preserve">the </w:t>
      </w:r>
      <w:r w:rsidR="00625C24">
        <w:t>Union</w:t>
      </w:r>
      <w:r>
        <w:t xml:space="preserve">, the validity of </w:t>
      </w:r>
      <w:r w:rsidR="00AB6B38">
        <w:t xml:space="preserve">a </w:t>
      </w:r>
      <w:r w:rsidRPr="00D04619">
        <w:t>rabies antibody titration test</w:t>
      </w:r>
      <w:r>
        <w:t xml:space="preserve"> must be easily verifiable to detect non-compliance</w:t>
      </w:r>
      <w:r w:rsidR="00625C24">
        <w:t xml:space="preserve"> with </w:t>
      </w:r>
      <w:r w:rsidR="00886E98">
        <w:t xml:space="preserve">the validity of the </w:t>
      </w:r>
      <w:r w:rsidR="00886E98" w:rsidRPr="00D04619">
        <w:t xml:space="preserve">rabies antibody titration </w:t>
      </w:r>
      <w:r w:rsidR="00886E98">
        <w:t>test</w:t>
      </w:r>
      <w:r>
        <w:t xml:space="preserve">. For this purpose, the contact details of the </w:t>
      </w:r>
      <w:r w:rsidR="00B705F4">
        <w:t xml:space="preserve">official laboratories in member states and designated or listed </w:t>
      </w:r>
      <w:r>
        <w:t>laboratories</w:t>
      </w:r>
      <w:r w:rsidR="0041414F">
        <w:t xml:space="preserve"> </w:t>
      </w:r>
      <w:r w:rsidR="00B705F4">
        <w:t xml:space="preserve">in third countries or territories </w:t>
      </w:r>
      <w:r w:rsidR="00E464C0">
        <w:t xml:space="preserve">performing the test </w:t>
      </w:r>
      <w:r w:rsidR="0041414F">
        <w:t xml:space="preserve">should be </w:t>
      </w:r>
      <w:r w:rsidR="002878C5">
        <w:t xml:space="preserve">made </w:t>
      </w:r>
      <w:r w:rsidR="0041414F">
        <w:t>publicly available</w:t>
      </w:r>
      <w:r w:rsidR="002878C5">
        <w:t xml:space="preserve"> by the Commission</w:t>
      </w:r>
      <w:r w:rsidR="00AC3027">
        <w:t>,</w:t>
      </w:r>
    </w:p>
    <w:p w14:paraId="7F75A1B1" w14:textId="77777777" w:rsidR="00953D2E" w:rsidRPr="00937BA9" w:rsidRDefault="00953D2E" w:rsidP="00973B76">
      <w:pPr>
        <w:pStyle w:val="Formuledadoption"/>
      </w:pPr>
      <w:r w:rsidRPr="00937BA9">
        <w:t>HAS ADOPTED THIS REGULATION:</w:t>
      </w:r>
    </w:p>
    <w:p w14:paraId="5EC90945" w14:textId="77777777" w:rsidR="00953D2E" w:rsidRDefault="00953D2E" w:rsidP="00E21250">
      <w:pPr>
        <w:pStyle w:val="Titrearticle"/>
        <w:spacing w:after="0"/>
      </w:pPr>
      <w:r>
        <w:t>Article 1</w:t>
      </w:r>
    </w:p>
    <w:p w14:paraId="61759393" w14:textId="3A6BC727" w:rsidR="00953D2E" w:rsidRPr="00795595" w:rsidRDefault="00E21250" w:rsidP="00953D2E">
      <w:pPr>
        <w:pStyle w:val="Titrearticle"/>
        <w:spacing w:before="0"/>
      </w:pPr>
      <w:r>
        <w:t>Subject matter and scope</w:t>
      </w:r>
    </w:p>
    <w:p w14:paraId="48C0E981" w14:textId="4B120DC7" w:rsidR="004C3DD6" w:rsidRDefault="00953D2E" w:rsidP="00953D2E">
      <w:r>
        <w:t>This Regulation</w:t>
      </w:r>
      <w:r w:rsidR="005E19EC">
        <w:t xml:space="preserve"> lays down rules on</w:t>
      </w:r>
      <w:r>
        <w:t>:</w:t>
      </w:r>
    </w:p>
    <w:p w14:paraId="34452D1B" w14:textId="49FA6583" w:rsidR="00973B76" w:rsidRDefault="00E21250" w:rsidP="00E21250">
      <w:pPr>
        <w:pStyle w:val="Point0"/>
      </w:pPr>
      <w:r>
        <w:t>(a)</w:t>
      </w:r>
      <w:r>
        <w:tab/>
      </w:r>
      <w:r w:rsidR="00AC3027">
        <w:t xml:space="preserve">the </w:t>
      </w:r>
      <w:r w:rsidR="00151F6B">
        <w:t>l</w:t>
      </w:r>
      <w:r w:rsidR="00973B76">
        <w:t>isting of laboratories in third countries</w:t>
      </w:r>
      <w:r w:rsidR="004C3DD6">
        <w:t xml:space="preserve"> or territories not listed in Annex VIII to Implementing Regulation (EU) 2021/404 for the purposes of </w:t>
      </w:r>
      <w:r w:rsidR="004C3DD6" w:rsidRPr="002378F6">
        <w:t xml:space="preserve">carrying out </w:t>
      </w:r>
      <w:r w:rsidR="00CE07AB">
        <w:t xml:space="preserve">a </w:t>
      </w:r>
      <w:r w:rsidR="004C3DD6">
        <w:t>rabies antibody titration test for the non-commercial movement of dogs, cats and ferrets</w:t>
      </w:r>
      <w:r w:rsidR="00151F6B">
        <w:t xml:space="preserve"> into a Member State from a third country or territory; </w:t>
      </w:r>
    </w:p>
    <w:p w14:paraId="1041DE54" w14:textId="5893B218" w:rsidR="00973B76" w:rsidRDefault="00E21250" w:rsidP="00E21250">
      <w:pPr>
        <w:pStyle w:val="Point0"/>
      </w:pPr>
      <w:r>
        <w:lastRenderedPageBreak/>
        <w:t>(b)</w:t>
      </w:r>
      <w:r>
        <w:tab/>
      </w:r>
      <w:r w:rsidR="00CE07AB">
        <w:t xml:space="preserve">the </w:t>
      </w:r>
      <w:r w:rsidR="00973B76">
        <w:t>proficiency test</w:t>
      </w:r>
      <w:r w:rsidR="00034A98">
        <w:t xml:space="preserve"> </w:t>
      </w:r>
      <w:r w:rsidR="00CE07AB">
        <w:t xml:space="preserve">whereby </w:t>
      </w:r>
      <w:r w:rsidR="00034A98">
        <w:t xml:space="preserve">laboratories in third countries or territories not listed in Annex VIII to Implementing Regulation (EU) 2021/404 </w:t>
      </w:r>
      <w:r w:rsidR="00034A98" w:rsidRPr="005E19EC">
        <w:t>participate and obtain a favourable result to qualify</w:t>
      </w:r>
      <w:r w:rsidR="00034A98">
        <w:t xml:space="preserve"> for listing;</w:t>
      </w:r>
    </w:p>
    <w:p w14:paraId="3B08872C" w14:textId="32E7FA9F" w:rsidR="00034A98" w:rsidRDefault="00E21250" w:rsidP="00E21250">
      <w:pPr>
        <w:pStyle w:val="Point0"/>
      </w:pPr>
      <w:r>
        <w:t>(c)</w:t>
      </w:r>
      <w:r>
        <w:tab/>
      </w:r>
      <w:r w:rsidR="0011035F">
        <w:t xml:space="preserve">the </w:t>
      </w:r>
      <w:r w:rsidR="00CE07AB">
        <w:t xml:space="preserve">requirements for </w:t>
      </w:r>
      <w:r w:rsidR="00034A98">
        <w:t xml:space="preserve">the </w:t>
      </w:r>
      <w:r w:rsidR="00034A98" w:rsidRPr="00FD27E6">
        <w:t>listed laboratories</w:t>
      </w:r>
      <w:r w:rsidR="00034A98">
        <w:t xml:space="preserve"> in third countries or territor</w:t>
      </w:r>
      <w:r w:rsidR="00BC12FD">
        <w:t>ies</w:t>
      </w:r>
      <w:r w:rsidR="0011035F">
        <w:t>,</w:t>
      </w:r>
      <w:r w:rsidR="00BC12FD">
        <w:t xml:space="preserve"> not listed in Annex VIII to</w:t>
      </w:r>
      <w:r w:rsidR="00034A98">
        <w:t xml:space="preserve"> Implementing Regulation (EU) 2021/404 to rem</w:t>
      </w:r>
      <w:r w:rsidR="00DF2F25">
        <w:t xml:space="preserve">ain </w:t>
      </w:r>
      <w:r w:rsidR="0011035F">
        <w:t>o</w:t>
      </w:r>
      <w:r w:rsidR="00DF2F25">
        <w:t>n the list;</w:t>
      </w:r>
    </w:p>
    <w:p w14:paraId="33285AD5" w14:textId="77777777" w:rsidR="00095A32" w:rsidRDefault="00E21250" w:rsidP="00130EE9">
      <w:pPr>
        <w:pStyle w:val="Point0"/>
      </w:pPr>
      <w:r>
        <w:t>(d)</w:t>
      </w:r>
      <w:r>
        <w:tab/>
      </w:r>
      <w:r w:rsidR="00151F6B" w:rsidRPr="00130EE9">
        <w:t>designating</w:t>
      </w:r>
      <w:r w:rsidR="00973B76" w:rsidRPr="00130EE9">
        <w:t xml:space="preserve"> an EU laboratory for the proficiency testing, </w:t>
      </w:r>
      <w:r w:rsidR="00CC27FE" w:rsidRPr="00130EE9">
        <w:t xml:space="preserve">and </w:t>
      </w:r>
      <w:r w:rsidR="00973B76" w:rsidRPr="00130EE9">
        <w:t>its tasks and responsibilities</w:t>
      </w:r>
      <w:r w:rsidR="00151F6B" w:rsidRPr="00130EE9">
        <w:t>;</w:t>
      </w:r>
      <w:r w:rsidR="00371AD4">
        <w:t xml:space="preserve"> </w:t>
      </w:r>
    </w:p>
    <w:p w14:paraId="2792690A" w14:textId="35E91AEC" w:rsidR="00973B76" w:rsidRDefault="00E21250" w:rsidP="00E21250">
      <w:pPr>
        <w:pStyle w:val="Point0"/>
      </w:pPr>
      <w:r>
        <w:t>(</w:t>
      </w:r>
      <w:r w:rsidR="005652E5">
        <w:t>e</w:t>
      </w:r>
      <w:r>
        <w:t>)</w:t>
      </w:r>
      <w:r>
        <w:tab/>
      </w:r>
      <w:r w:rsidR="00953D2E">
        <w:t xml:space="preserve">the obligation of the </w:t>
      </w:r>
      <w:r w:rsidR="00905A9C">
        <w:t>c</w:t>
      </w:r>
      <w:r w:rsidR="00953D2E">
        <w:t xml:space="preserve">ompetent </w:t>
      </w:r>
      <w:r w:rsidR="00905A9C">
        <w:t>a</w:t>
      </w:r>
      <w:r w:rsidR="00953D2E">
        <w:t>uthority of the laboratories performing rabies anti</w:t>
      </w:r>
      <w:r w:rsidR="00573D10">
        <w:t>body titration test</w:t>
      </w:r>
      <w:r w:rsidR="00CE07AB">
        <w:t>s</w:t>
      </w:r>
      <w:r w:rsidR="00573D10">
        <w:t xml:space="preserve"> to submit</w:t>
      </w:r>
      <w:r w:rsidR="00953D2E">
        <w:t xml:space="preserve"> the contact details of th</w:t>
      </w:r>
      <w:r w:rsidR="005E19EC">
        <w:t>os</w:t>
      </w:r>
      <w:r w:rsidR="00953D2E">
        <w:t>e l</w:t>
      </w:r>
      <w:r w:rsidR="0041414F">
        <w:t>aboratories to the Commission</w:t>
      </w:r>
      <w:r w:rsidR="00151F6B">
        <w:t xml:space="preserve">. </w:t>
      </w:r>
    </w:p>
    <w:p w14:paraId="2579EF19" w14:textId="77777777" w:rsidR="00953D2E" w:rsidRDefault="00953D2E" w:rsidP="00E21250">
      <w:pPr>
        <w:pStyle w:val="Titrearticle"/>
        <w:spacing w:after="0"/>
      </w:pPr>
      <w:r>
        <w:t>Article 2</w:t>
      </w:r>
    </w:p>
    <w:p w14:paraId="51D665A0" w14:textId="69646C23" w:rsidR="00953D2E" w:rsidRPr="00795595" w:rsidRDefault="007A1F61" w:rsidP="00953D2E">
      <w:pPr>
        <w:pStyle w:val="Titrearticle"/>
        <w:spacing w:before="0"/>
      </w:pPr>
      <w:r>
        <w:t>Listing of laboratories</w:t>
      </w:r>
      <w:r w:rsidR="004C3DD6">
        <w:t xml:space="preserve"> in third countries or territories </w:t>
      </w:r>
      <w:r w:rsidR="00DF2F25">
        <w:t>not listed in Annex VIII to Implem</w:t>
      </w:r>
      <w:r w:rsidR="00E21250">
        <w:t>enting Regulation (EU) 2021/404</w:t>
      </w:r>
      <w:r w:rsidR="00FD27E6">
        <w:t xml:space="preserve"> </w:t>
      </w:r>
    </w:p>
    <w:p w14:paraId="29059945" w14:textId="1FB3F611" w:rsidR="00953D2E" w:rsidRDefault="00953D2E" w:rsidP="00363EF8">
      <w:pPr>
        <w:pStyle w:val="Point0"/>
      </w:pPr>
      <w:r w:rsidRPr="00943F27">
        <w:t>1.</w:t>
      </w:r>
      <w:r w:rsidRPr="00543646">
        <w:tab/>
      </w:r>
      <w:r>
        <w:t xml:space="preserve">The Commission may </w:t>
      </w:r>
      <w:r w:rsidR="007A1F61">
        <w:t xml:space="preserve">list </w:t>
      </w:r>
      <w:r>
        <w:t xml:space="preserve">laboratories in third countries </w:t>
      </w:r>
      <w:r w:rsidR="0041414F">
        <w:t>or territor</w:t>
      </w:r>
      <w:r w:rsidR="001638D0">
        <w:t>ies not listed in Annex VIII to</w:t>
      </w:r>
      <w:r w:rsidR="0041414F">
        <w:t xml:space="preserve"> Implementing Regulation (EU) 2021/404 </w:t>
      </w:r>
      <w:r w:rsidRPr="002378F6">
        <w:t xml:space="preserve">for </w:t>
      </w:r>
      <w:r w:rsidR="00905A9C">
        <w:t xml:space="preserve">the purpose of </w:t>
      </w:r>
      <w:r w:rsidRPr="002378F6">
        <w:t xml:space="preserve">carrying out </w:t>
      </w:r>
      <w:r w:rsidR="00CE07AB">
        <w:t xml:space="preserve">a </w:t>
      </w:r>
      <w:r w:rsidR="0041414F">
        <w:t>rabies antibody titration test</w:t>
      </w:r>
      <w:r>
        <w:t xml:space="preserve"> for the non-commercial movement of dogs, cats and ferrets </w:t>
      </w:r>
      <w:r w:rsidR="004C3DD6">
        <w:t xml:space="preserve">into a Member State from a third country or territory </w:t>
      </w:r>
      <w:r w:rsidR="00FD27E6">
        <w:t xml:space="preserve">subject to compliance with </w:t>
      </w:r>
      <w:r w:rsidR="007A1F61">
        <w:t>the following conditions</w:t>
      </w:r>
      <w:r>
        <w:t>:</w:t>
      </w:r>
    </w:p>
    <w:p w14:paraId="1FCC6B24" w14:textId="67330C8F" w:rsidR="001F5723" w:rsidRPr="00301969" w:rsidRDefault="00E21250" w:rsidP="00E21250">
      <w:pPr>
        <w:pStyle w:val="Point1"/>
      </w:pPr>
      <w:r>
        <w:t>(a)</w:t>
      </w:r>
      <w:r>
        <w:tab/>
      </w:r>
      <w:r w:rsidR="001F5723">
        <w:t>the laboratory participates in the proficiency test provided for in Article 3 and obtain</w:t>
      </w:r>
      <w:r w:rsidR="00FD27E6">
        <w:t>s</w:t>
      </w:r>
      <w:r w:rsidR="001F5723">
        <w:t xml:space="preserve"> a favourable result</w:t>
      </w:r>
      <w:r w:rsidR="00FD27E6">
        <w:t>;</w:t>
      </w:r>
    </w:p>
    <w:p w14:paraId="6E0D9AEC" w14:textId="692367A0" w:rsidR="00E132D3" w:rsidRDefault="00E21250" w:rsidP="00E21250">
      <w:pPr>
        <w:pStyle w:val="Point1"/>
      </w:pPr>
      <w:r>
        <w:t>(b)</w:t>
      </w:r>
      <w:r>
        <w:tab/>
      </w:r>
      <w:r w:rsidR="00953D2E">
        <w:t xml:space="preserve">the </w:t>
      </w:r>
      <w:r w:rsidR="00FD27E6">
        <w:t>c</w:t>
      </w:r>
      <w:r w:rsidR="00953D2E">
        <w:t xml:space="preserve">ompetent </w:t>
      </w:r>
      <w:r w:rsidR="00FD27E6">
        <w:t>a</w:t>
      </w:r>
      <w:r w:rsidR="00953D2E">
        <w:t xml:space="preserve">uthority </w:t>
      </w:r>
      <w:r w:rsidR="00E132D3">
        <w:t xml:space="preserve">of the </w:t>
      </w:r>
      <w:r w:rsidR="00151F6B">
        <w:t xml:space="preserve">third </w:t>
      </w:r>
      <w:r w:rsidR="00E132D3">
        <w:t xml:space="preserve">country </w:t>
      </w:r>
      <w:r w:rsidR="00151F6B">
        <w:t xml:space="preserve">or territory </w:t>
      </w:r>
      <w:r w:rsidR="00E132D3">
        <w:t xml:space="preserve">responsible for </w:t>
      </w:r>
      <w:r w:rsidR="00953D2E">
        <w:t>the laboratory submits to the Commission an a</w:t>
      </w:r>
      <w:r w:rsidR="00953D2E" w:rsidRPr="002378F6">
        <w:t xml:space="preserve">pplication for </w:t>
      </w:r>
      <w:r w:rsidR="00E132D3">
        <w:t>listing the laboratory</w:t>
      </w:r>
      <w:r w:rsidR="001345FC">
        <w:t xml:space="preserve"> containing at least the name of the laboratory, the name of the responsible of the laboratory, </w:t>
      </w:r>
      <w:r w:rsidR="00CE07AB">
        <w:t xml:space="preserve">and </w:t>
      </w:r>
      <w:r w:rsidR="005E19EC">
        <w:t>the</w:t>
      </w:r>
      <w:r w:rsidR="00CE07AB">
        <w:t xml:space="preserve"> </w:t>
      </w:r>
      <w:r w:rsidR="001345FC">
        <w:t>address, telephone number and e-mail</w:t>
      </w:r>
      <w:r w:rsidR="00846095">
        <w:t>.</w:t>
      </w:r>
    </w:p>
    <w:p w14:paraId="4DCD7546" w14:textId="0970C87D" w:rsidR="00363EF8" w:rsidRDefault="00953D2E" w:rsidP="007A5AD5">
      <w:pPr>
        <w:pStyle w:val="Point0"/>
      </w:pPr>
      <w:r>
        <w:t>2</w:t>
      </w:r>
      <w:r w:rsidRPr="00943F27">
        <w:t>.</w:t>
      </w:r>
      <w:r w:rsidRPr="00543646">
        <w:tab/>
      </w:r>
      <w:r w:rsidR="00363EF8">
        <w:t>L</w:t>
      </w:r>
      <w:r w:rsidR="00363EF8" w:rsidRPr="00363EF8">
        <w:t xml:space="preserve">aboratories </w:t>
      </w:r>
      <w:r w:rsidR="00363EF8">
        <w:t xml:space="preserve">listed in accordance with paragraph 1 of this Article </w:t>
      </w:r>
      <w:r w:rsidR="00363EF8" w:rsidRPr="00363EF8">
        <w:t xml:space="preserve">shall </w:t>
      </w:r>
      <w:r w:rsidR="00FD27E6">
        <w:t xml:space="preserve">only </w:t>
      </w:r>
      <w:r w:rsidR="00363EF8">
        <w:t xml:space="preserve">remain on the list </w:t>
      </w:r>
      <w:r w:rsidR="00FD27E6">
        <w:t xml:space="preserve">if they </w:t>
      </w:r>
      <w:r w:rsidR="00363EF8" w:rsidRPr="00363EF8">
        <w:t xml:space="preserve">participate in the proficiency test </w:t>
      </w:r>
      <w:r w:rsidR="00363EF8">
        <w:t>provided for in Article 3</w:t>
      </w:r>
      <w:r w:rsidR="00363EF8" w:rsidRPr="00363EF8">
        <w:t xml:space="preserve"> </w:t>
      </w:r>
      <w:r w:rsidR="00363EF8">
        <w:t xml:space="preserve">with a </w:t>
      </w:r>
      <w:r w:rsidR="00363EF8" w:rsidRPr="00363EF8">
        <w:t xml:space="preserve">favourable result every two years following </w:t>
      </w:r>
      <w:r w:rsidR="00FD27E6">
        <w:t xml:space="preserve">the date of </w:t>
      </w:r>
      <w:r w:rsidR="00363EF8" w:rsidRPr="00363EF8">
        <w:t xml:space="preserve">their </w:t>
      </w:r>
      <w:r w:rsidR="00363EF8">
        <w:t xml:space="preserve">initial listing or subsequent prolongation. </w:t>
      </w:r>
    </w:p>
    <w:p w14:paraId="4CCC2E44" w14:textId="4E844FC0" w:rsidR="00953D2E" w:rsidRDefault="00953D2E" w:rsidP="00E21250">
      <w:pPr>
        <w:pStyle w:val="Titrearticle"/>
        <w:spacing w:after="0"/>
      </w:pPr>
      <w:r>
        <w:t xml:space="preserve">Article </w:t>
      </w:r>
      <w:r w:rsidR="00E132D3">
        <w:t>3</w:t>
      </w:r>
    </w:p>
    <w:p w14:paraId="5017C437" w14:textId="02E34DCE" w:rsidR="00953D2E" w:rsidRPr="00795595" w:rsidRDefault="00E21250" w:rsidP="00E21250">
      <w:pPr>
        <w:pStyle w:val="Titrearticle"/>
        <w:spacing w:before="0"/>
      </w:pPr>
      <w:r>
        <w:t>Proficiency test</w:t>
      </w:r>
    </w:p>
    <w:p w14:paraId="3ACF3FD5" w14:textId="625C4F70" w:rsidR="00953D2E" w:rsidRDefault="00953D2E" w:rsidP="00E21250">
      <w:pPr>
        <w:pStyle w:val="Point0"/>
      </w:pPr>
      <w:r w:rsidRPr="00943F27">
        <w:t>1.</w:t>
      </w:r>
      <w:r w:rsidRPr="00543646">
        <w:tab/>
      </w:r>
      <w:r>
        <w:t xml:space="preserve">The proficiency test </w:t>
      </w:r>
      <w:r w:rsidR="00363EF8">
        <w:t xml:space="preserve">for the laboratories applying for the listing </w:t>
      </w:r>
      <w:r>
        <w:t xml:space="preserve">referred to in Article </w:t>
      </w:r>
      <w:r w:rsidR="00363EF8">
        <w:t>2</w:t>
      </w:r>
      <w:r w:rsidR="00A25194">
        <w:t>(1)</w:t>
      </w:r>
      <w:r w:rsidR="00363EF8">
        <w:t xml:space="preserve"> </w:t>
      </w:r>
      <w:r>
        <w:t xml:space="preserve">shall be carried out by </w:t>
      </w:r>
      <w:r w:rsidRPr="009957F9">
        <w:t xml:space="preserve">the </w:t>
      </w:r>
      <w:r w:rsidR="001776A9" w:rsidRPr="009957F9">
        <w:t xml:space="preserve">EU </w:t>
      </w:r>
      <w:r w:rsidRPr="009957F9">
        <w:t>laboratory listed</w:t>
      </w:r>
      <w:r>
        <w:t xml:space="preserve"> in Annex I. </w:t>
      </w:r>
    </w:p>
    <w:p w14:paraId="3BD09DA7" w14:textId="4524C154" w:rsidR="00953D2E" w:rsidRDefault="00953D2E" w:rsidP="00E21250">
      <w:pPr>
        <w:pStyle w:val="Point0"/>
      </w:pPr>
      <w:r>
        <w:t>2.</w:t>
      </w:r>
      <w:r>
        <w:tab/>
        <w:t xml:space="preserve">The first proficiency test </w:t>
      </w:r>
      <w:r w:rsidR="00363EF8">
        <w:t xml:space="preserve">shall </w:t>
      </w:r>
      <w:r>
        <w:t xml:space="preserve">take place in 2022 and </w:t>
      </w:r>
      <w:r w:rsidRPr="009957F9">
        <w:t xml:space="preserve">it </w:t>
      </w:r>
      <w:r w:rsidR="00B622C7" w:rsidRPr="009957F9">
        <w:t>shall</w:t>
      </w:r>
      <w:r w:rsidR="00A25194" w:rsidRPr="009957F9">
        <w:t xml:space="preserve"> </w:t>
      </w:r>
      <w:r w:rsidRPr="009957F9">
        <w:t xml:space="preserve">be repeated </w:t>
      </w:r>
      <w:r w:rsidR="0027310B">
        <w:t xml:space="preserve">every </w:t>
      </w:r>
      <w:r w:rsidR="009957F9" w:rsidRPr="009957F9">
        <w:t>two years from the date of the previous test</w:t>
      </w:r>
      <w:r w:rsidRPr="009957F9">
        <w:t>.</w:t>
      </w:r>
      <w:r w:rsidR="00B622C7">
        <w:t xml:space="preserve"> </w:t>
      </w:r>
    </w:p>
    <w:p w14:paraId="4D3CF040" w14:textId="535D19CA" w:rsidR="00953D2E" w:rsidRDefault="00953D2E" w:rsidP="00E21250">
      <w:pPr>
        <w:pStyle w:val="Point0"/>
      </w:pPr>
      <w:r>
        <w:t>3.</w:t>
      </w:r>
      <w:r>
        <w:tab/>
        <w:t xml:space="preserve">Following each proficiency test, </w:t>
      </w:r>
      <w:r w:rsidR="0041414F">
        <w:t xml:space="preserve">the </w:t>
      </w:r>
      <w:r w:rsidR="001776A9">
        <w:t xml:space="preserve">EU </w:t>
      </w:r>
      <w:r w:rsidR="0041414F">
        <w:t xml:space="preserve">laboratory listed in Annex I </w:t>
      </w:r>
      <w:r>
        <w:t>shall submit</w:t>
      </w:r>
      <w:r w:rsidR="00B622C7">
        <w:t xml:space="preserve"> an appraisal report</w:t>
      </w:r>
      <w:r>
        <w:t>, at the latest by 31 October of the same year, to</w:t>
      </w:r>
      <w:r w:rsidR="00DF2F25">
        <w:t>:</w:t>
      </w:r>
    </w:p>
    <w:p w14:paraId="35D9A643" w14:textId="5D02A72D" w:rsidR="00953D2E" w:rsidRDefault="00E21250" w:rsidP="00E21250">
      <w:pPr>
        <w:pStyle w:val="Point1"/>
      </w:pPr>
      <w:r>
        <w:t>(a)</w:t>
      </w:r>
      <w:r>
        <w:tab/>
      </w:r>
      <w:r w:rsidR="00953D2E">
        <w:t>the corresponding laboratory which underwent the proficiency test;</w:t>
      </w:r>
    </w:p>
    <w:p w14:paraId="79CC181A" w14:textId="5DD16A9F" w:rsidR="00953D2E" w:rsidRDefault="00E21250" w:rsidP="00E21250">
      <w:pPr>
        <w:pStyle w:val="Point1"/>
      </w:pPr>
      <w:r>
        <w:t>(b)</w:t>
      </w:r>
      <w:r>
        <w:tab/>
      </w:r>
      <w:r w:rsidR="00953D2E">
        <w:t>the Commission.</w:t>
      </w:r>
    </w:p>
    <w:p w14:paraId="25C58D64" w14:textId="0E4D2A3F" w:rsidR="00953D2E" w:rsidRDefault="00953D2E" w:rsidP="00E21250">
      <w:pPr>
        <w:pStyle w:val="Point0"/>
      </w:pPr>
      <w:r>
        <w:t>4.</w:t>
      </w:r>
      <w:r>
        <w:tab/>
        <w:t>By way of derogation from the deadline referred to in paragraph 3</w:t>
      </w:r>
      <w:r w:rsidR="00A73B15">
        <w:t>,</w:t>
      </w:r>
      <w:r>
        <w:t xml:space="preserve"> an </w:t>
      </w:r>
      <w:r w:rsidRPr="002262C2">
        <w:t>unfavou</w:t>
      </w:r>
      <w:r w:rsidR="0027310B">
        <w:t xml:space="preserve">rable report shall be submitted </w:t>
      </w:r>
      <w:r w:rsidR="005E19EC">
        <w:t>within a period of 30 days follo</w:t>
      </w:r>
      <w:r w:rsidR="0027310B">
        <w:t>wing the date of the appraisal</w:t>
      </w:r>
      <w:r w:rsidR="00151F6B" w:rsidRPr="002262C2">
        <w:t>.</w:t>
      </w:r>
      <w:r w:rsidR="00151F6B">
        <w:t xml:space="preserve"> </w:t>
      </w:r>
    </w:p>
    <w:p w14:paraId="26CDF731" w14:textId="54C24B76" w:rsidR="00953D2E" w:rsidRDefault="00953D2E" w:rsidP="00E21250">
      <w:pPr>
        <w:pStyle w:val="Titrearticle"/>
        <w:spacing w:after="0"/>
      </w:pPr>
      <w:r>
        <w:lastRenderedPageBreak/>
        <w:t xml:space="preserve">Article </w:t>
      </w:r>
      <w:r w:rsidR="00363EF8">
        <w:t>4</w:t>
      </w:r>
    </w:p>
    <w:p w14:paraId="4690DFAD" w14:textId="77777777" w:rsidR="00953D2E" w:rsidRPr="00795595" w:rsidRDefault="00953D2E" w:rsidP="00E21250">
      <w:pPr>
        <w:pStyle w:val="Titrearticle"/>
        <w:spacing w:before="0"/>
      </w:pPr>
      <w:r>
        <w:t>Tasks and responsibilities of the laboratory listed in Annex I</w:t>
      </w:r>
    </w:p>
    <w:p w14:paraId="3EE1D7A0" w14:textId="53228B13" w:rsidR="00953D2E" w:rsidRDefault="00953D2E" w:rsidP="00953D2E">
      <w:pPr>
        <w:rPr>
          <w:lang w:val="en-IE"/>
        </w:rPr>
      </w:pPr>
      <w:r w:rsidRPr="000425AD">
        <w:rPr>
          <w:lang w:val="en-IE"/>
        </w:rPr>
        <w:t xml:space="preserve">The </w:t>
      </w:r>
      <w:r>
        <w:t xml:space="preserve">tasks and responsibilities of the </w:t>
      </w:r>
      <w:r w:rsidR="00C45148">
        <w:t xml:space="preserve">EU </w:t>
      </w:r>
      <w:r w:rsidRPr="000425AD">
        <w:rPr>
          <w:lang w:val="en-IE"/>
        </w:rPr>
        <w:t>laboratory referred to in Ar</w:t>
      </w:r>
      <w:r>
        <w:rPr>
          <w:lang w:val="en-IE"/>
        </w:rPr>
        <w:t xml:space="preserve">ticle </w:t>
      </w:r>
      <w:r w:rsidR="00034A98">
        <w:rPr>
          <w:lang w:val="en-IE"/>
        </w:rPr>
        <w:t>3</w:t>
      </w:r>
      <w:r w:rsidR="0001193F">
        <w:rPr>
          <w:lang w:val="en-IE"/>
        </w:rPr>
        <w:t>(1)</w:t>
      </w:r>
      <w:r>
        <w:rPr>
          <w:lang w:val="en-IE"/>
        </w:rPr>
        <w:t xml:space="preserve"> are </w:t>
      </w:r>
      <w:r w:rsidR="00A25194">
        <w:rPr>
          <w:lang w:val="en-IE"/>
        </w:rPr>
        <w:t xml:space="preserve">laid down </w:t>
      </w:r>
      <w:r w:rsidR="005652E5">
        <w:rPr>
          <w:lang w:val="en-IE"/>
        </w:rPr>
        <w:t xml:space="preserve">in </w:t>
      </w:r>
      <w:r>
        <w:rPr>
          <w:lang w:val="en-IE"/>
        </w:rPr>
        <w:t>Annex II</w:t>
      </w:r>
      <w:r w:rsidR="005652E5">
        <w:rPr>
          <w:lang w:val="en-IE"/>
        </w:rPr>
        <w:t>.</w:t>
      </w:r>
    </w:p>
    <w:p w14:paraId="6CED2CC8" w14:textId="7FBAF00E" w:rsidR="00953D2E" w:rsidRDefault="00953D2E" w:rsidP="00E21250">
      <w:pPr>
        <w:pStyle w:val="Titrearticle"/>
        <w:spacing w:after="0"/>
      </w:pPr>
      <w:r>
        <w:t xml:space="preserve">Article </w:t>
      </w:r>
      <w:r w:rsidR="005652E5">
        <w:t>5</w:t>
      </w:r>
    </w:p>
    <w:p w14:paraId="61DBE319" w14:textId="77777777" w:rsidR="00953D2E" w:rsidRPr="00795595" w:rsidRDefault="00953D2E" w:rsidP="00E21250">
      <w:pPr>
        <w:pStyle w:val="Titrearticle"/>
        <w:spacing w:before="0"/>
      </w:pPr>
      <w:r>
        <w:t>Publicly available information in the Commission website</w:t>
      </w:r>
    </w:p>
    <w:p w14:paraId="4BA42C65" w14:textId="612BC242" w:rsidR="00953D2E" w:rsidRDefault="00953D2E" w:rsidP="00953D2E">
      <w:pPr>
        <w:pStyle w:val="Point0"/>
      </w:pPr>
      <w:r>
        <w:t>1.</w:t>
      </w:r>
      <w:r>
        <w:tab/>
        <w:t xml:space="preserve">The </w:t>
      </w:r>
      <w:r w:rsidR="00706115">
        <w:t>c</w:t>
      </w:r>
      <w:r>
        <w:t xml:space="preserve">ompetent </w:t>
      </w:r>
      <w:r w:rsidR="00706115">
        <w:t>a</w:t>
      </w:r>
      <w:r>
        <w:t xml:space="preserve">uthority </w:t>
      </w:r>
      <w:r w:rsidR="001F5723">
        <w:t xml:space="preserve">responsible for the laboratory </w:t>
      </w:r>
      <w:r>
        <w:t xml:space="preserve">shall send the Commission the </w:t>
      </w:r>
      <w:r w:rsidR="001345FC">
        <w:t>information provided for in Article 2</w:t>
      </w:r>
      <w:r w:rsidR="00C77789">
        <w:t>(1)</w:t>
      </w:r>
      <w:r w:rsidR="00706115">
        <w:t>,</w:t>
      </w:r>
      <w:r w:rsidR="00C77789">
        <w:t xml:space="preserve"> point (b)</w:t>
      </w:r>
      <w:r w:rsidR="00706115">
        <w:t>,</w:t>
      </w:r>
      <w:r w:rsidR="001345FC">
        <w:t xml:space="preserve"> </w:t>
      </w:r>
      <w:r>
        <w:t xml:space="preserve">of the following laboratories that </w:t>
      </w:r>
      <w:r w:rsidR="00706115">
        <w:t>may</w:t>
      </w:r>
      <w:r>
        <w:t xml:space="preserve"> perform </w:t>
      </w:r>
      <w:r w:rsidR="00C45148">
        <w:t xml:space="preserve">a </w:t>
      </w:r>
      <w:r>
        <w:t xml:space="preserve">valid rabies antibody titration test: </w:t>
      </w:r>
    </w:p>
    <w:p w14:paraId="7447F142" w14:textId="46203DB0" w:rsidR="00953D2E" w:rsidRDefault="00E21250" w:rsidP="00E21250">
      <w:pPr>
        <w:pStyle w:val="Point1"/>
      </w:pPr>
      <w:r>
        <w:t>(a)</w:t>
      </w:r>
      <w:r>
        <w:tab/>
      </w:r>
      <w:r w:rsidR="00953D2E">
        <w:t xml:space="preserve">official laboratories in </w:t>
      </w:r>
      <w:r w:rsidR="002F43F8">
        <w:t>a Member State</w:t>
      </w:r>
      <w:r w:rsidR="00953D2E">
        <w:t xml:space="preserve">; </w:t>
      </w:r>
    </w:p>
    <w:p w14:paraId="06FF77A0" w14:textId="49E0C086" w:rsidR="00953D2E" w:rsidRDefault="00E21250" w:rsidP="00E21250">
      <w:pPr>
        <w:pStyle w:val="Point1"/>
      </w:pPr>
      <w:r>
        <w:t>(b)</w:t>
      </w:r>
      <w:r>
        <w:tab/>
      </w:r>
      <w:r w:rsidR="00953D2E">
        <w:t xml:space="preserve">laboratories in third countries or territories </w:t>
      </w:r>
      <w:r w:rsidR="00953D2E" w:rsidRPr="00C64D22">
        <w:t>designated in accordance with Article 37 of Regulation (EU) 2017/625</w:t>
      </w:r>
      <w:r w:rsidR="00953D2E">
        <w:t>;</w:t>
      </w:r>
    </w:p>
    <w:p w14:paraId="119CF857" w14:textId="3431F7AD" w:rsidR="00953D2E" w:rsidRDefault="00E21250" w:rsidP="00E21250">
      <w:pPr>
        <w:pStyle w:val="Point1"/>
      </w:pPr>
      <w:r>
        <w:t>(c)</w:t>
      </w:r>
      <w:r>
        <w:tab/>
      </w:r>
      <w:r w:rsidR="002F43F8">
        <w:t xml:space="preserve">laboratories in </w:t>
      </w:r>
      <w:r w:rsidR="00706115">
        <w:t xml:space="preserve">a </w:t>
      </w:r>
      <w:r w:rsidR="002F43F8">
        <w:t>third country or territory</w:t>
      </w:r>
      <w:r w:rsidR="00953D2E">
        <w:t xml:space="preserve"> </w:t>
      </w:r>
      <w:r w:rsidR="00151F6B">
        <w:t>listed</w:t>
      </w:r>
      <w:r w:rsidR="00953D2E">
        <w:t xml:space="preserve"> in accordance with Article 2.</w:t>
      </w:r>
    </w:p>
    <w:p w14:paraId="4DEFD275" w14:textId="6EC9B369" w:rsidR="00953D2E" w:rsidRDefault="00953D2E" w:rsidP="00953D2E">
      <w:pPr>
        <w:pStyle w:val="Point0"/>
      </w:pPr>
      <w:r>
        <w:t>2.</w:t>
      </w:r>
      <w:r>
        <w:tab/>
        <w:t>T</w:t>
      </w:r>
      <w:r w:rsidR="00C77789">
        <w:t>he Commission shall m</w:t>
      </w:r>
      <w:r>
        <w:t xml:space="preserve">ake the contact details </w:t>
      </w:r>
      <w:r w:rsidR="005E19EC">
        <w:t xml:space="preserve">of the laboratories </w:t>
      </w:r>
      <w:r>
        <w:t xml:space="preserve">referred to </w:t>
      </w:r>
      <w:r w:rsidR="00AA50EE">
        <w:t>in</w:t>
      </w:r>
      <w:r>
        <w:t xml:space="preserve"> paragraph 1 publicly available </w:t>
      </w:r>
      <w:r w:rsidR="005E19EC">
        <w:t>o</w:t>
      </w:r>
      <w:r>
        <w:t xml:space="preserve">n the Commission’s website. </w:t>
      </w:r>
    </w:p>
    <w:p w14:paraId="0469BCD5" w14:textId="1A26BBC3" w:rsidR="00953D2E" w:rsidRPr="00D05533" w:rsidRDefault="00953D2E" w:rsidP="00E21250">
      <w:pPr>
        <w:pStyle w:val="Titrearticle"/>
      </w:pPr>
      <w:r w:rsidRPr="00D05533">
        <w:t xml:space="preserve">Article </w:t>
      </w:r>
      <w:r w:rsidR="005652E5">
        <w:t>6</w:t>
      </w:r>
    </w:p>
    <w:p w14:paraId="677DE130" w14:textId="0CD5B88F" w:rsidR="00953D2E" w:rsidRPr="00D05533" w:rsidRDefault="00953D2E" w:rsidP="00973B76">
      <w:r w:rsidRPr="00D05533">
        <w:t xml:space="preserve">This Regulation shall enter into force on the </w:t>
      </w:r>
      <w:r w:rsidR="00EE2105">
        <w:t>twentieth</w:t>
      </w:r>
      <w:r w:rsidRPr="00D05533">
        <w:t xml:space="preserve"> day following that of its publication in the </w:t>
      </w:r>
      <w:r w:rsidRPr="00D05533">
        <w:rPr>
          <w:i/>
        </w:rPr>
        <w:t>Official Journal of the European Union</w:t>
      </w:r>
      <w:r w:rsidRPr="00D05533">
        <w:t>.</w:t>
      </w:r>
    </w:p>
    <w:p w14:paraId="6334D5E9" w14:textId="77777777" w:rsidR="00953D2E" w:rsidRDefault="00953D2E" w:rsidP="00973B76">
      <w:pPr>
        <w:pStyle w:val="Applicationdirecte"/>
      </w:pPr>
      <w:r w:rsidRPr="00937BA9">
        <w:t>This Regulation shall be binding in its entirety and directly applicable in all Member States.</w:t>
      </w:r>
    </w:p>
    <w:p w14:paraId="7CFF45ED" w14:textId="6E03BCAE" w:rsidR="00953D2E" w:rsidRDefault="000734C8" w:rsidP="000734C8">
      <w:pPr>
        <w:pStyle w:val="Fait"/>
      </w:pPr>
      <w:r w:rsidRPr="000734C8">
        <w:t>Done at Brussels,</w:t>
      </w:r>
    </w:p>
    <w:p w14:paraId="1BE999EF" w14:textId="77777777" w:rsidR="00992D3E" w:rsidRDefault="00992D3E" w:rsidP="00992D3E">
      <w:pPr>
        <w:pStyle w:val="Institutionquisigne"/>
      </w:pPr>
      <w:r w:rsidRPr="002831FC">
        <w:tab/>
        <w:t>For the Commission</w:t>
      </w:r>
    </w:p>
    <w:p w14:paraId="6BC31E18" w14:textId="77777777" w:rsidR="00992D3E" w:rsidRDefault="00992D3E" w:rsidP="00992D3E">
      <w:pPr>
        <w:pStyle w:val="Personnequisigne"/>
      </w:pPr>
      <w:r w:rsidRPr="002831FC">
        <w:tab/>
        <w:t>The President</w:t>
      </w:r>
    </w:p>
    <w:p w14:paraId="4172A1F7" w14:textId="462D5D50" w:rsidR="00953D2E" w:rsidRPr="00953D2E" w:rsidRDefault="00992D3E" w:rsidP="00E21250">
      <w:pPr>
        <w:pStyle w:val="Personnequisigne"/>
      </w:pPr>
      <w:r w:rsidRPr="003C4C3D">
        <w:tab/>
      </w:r>
      <w:r w:rsidRPr="00120C53">
        <w:t>Ursula VON DER LEYEN</w:t>
      </w:r>
    </w:p>
    <w:sectPr w:rsidR="00953D2E" w:rsidRPr="00953D2E" w:rsidSect="000734C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6FA6C" w14:textId="77777777" w:rsidR="00D4305E" w:rsidRDefault="00D4305E" w:rsidP="00953D2E">
      <w:pPr>
        <w:spacing w:before="0" w:after="0"/>
      </w:pPr>
      <w:r>
        <w:separator/>
      </w:r>
    </w:p>
  </w:endnote>
  <w:endnote w:type="continuationSeparator" w:id="0">
    <w:p w14:paraId="16A6674A" w14:textId="77777777" w:rsidR="00D4305E" w:rsidRDefault="00D4305E" w:rsidP="00953D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843B2" w14:textId="77777777" w:rsidR="000734C8" w:rsidRPr="000734C8" w:rsidRDefault="000734C8" w:rsidP="00073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C3C1" w14:textId="5176E3AB" w:rsidR="00973B76" w:rsidRPr="000734C8" w:rsidRDefault="000734C8" w:rsidP="000734C8">
    <w:pPr>
      <w:pStyle w:val="Footer"/>
      <w:rPr>
        <w:rFonts w:ascii="Arial" w:hAnsi="Arial" w:cs="Arial"/>
        <w:b/>
        <w:sz w:val="48"/>
      </w:rPr>
    </w:pPr>
    <w:r w:rsidRPr="000734C8">
      <w:rPr>
        <w:rFonts w:ascii="Arial" w:hAnsi="Arial" w:cs="Arial"/>
        <w:b/>
        <w:sz w:val="48"/>
      </w:rPr>
      <w:t>EN</w:t>
    </w:r>
    <w:r w:rsidRPr="000734C8">
      <w:rPr>
        <w:rFonts w:ascii="Arial" w:hAnsi="Arial" w:cs="Arial"/>
        <w:b/>
        <w:sz w:val="48"/>
      </w:rPr>
      <w:tab/>
    </w:r>
    <w:r w:rsidRPr="000734C8">
      <w:rPr>
        <w:rFonts w:ascii="Arial" w:hAnsi="Arial" w:cs="Arial"/>
        <w:b/>
        <w:sz w:val="48"/>
      </w:rPr>
      <w:tab/>
    </w:r>
    <w:r w:rsidRPr="000734C8">
      <w:tab/>
    </w:r>
    <w:r w:rsidRPr="000734C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6F786" w14:textId="77777777" w:rsidR="000734C8" w:rsidRPr="000734C8" w:rsidRDefault="000734C8" w:rsidP="000734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9C1C" w14:textId="652E02B6" w:rsidR="000734C8" w:rsidRPr="000734C8" w:rsidRDefault="000734C8" w:rsidP="000734C8">
    <w:pPr>
      <w:pStyle w:val="Footer"/>
      <w:rPr>
        <w:rFonts w:ascii="Arial" w:hAnsi="Arial" w:cs="Arial"/>
        <w:b/>
        <w:sz w:val="48"/>
      </w:rPr>
    </w:pPr>
    <w:r w:rsidRPr="000734C8">
      <w:rPr>
        <w:rFonts w:ascii="Arial" w:hAnsi="Arial" w:cs="Arial"/>
        <w:b/>
        <w:sz w:val="48"/>
      </w:rPr>
      <w:t>EN</w:t>
    </w:r>
    <w:r w:rsidRPr="000734C8">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rsidRPr="000734C8">
      <w:tab/>
    </w:r>
    <w:r w:rsidRPr="000734C8">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F6C3" w14:textId="77777777" w:rsidR="000734C8" w:rsidRPr="000734C8" w:rsidRDefault="000734C8" w:rsidP="00073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1EAD7" w14:textId="77777777" w:rsidR="00D4305E" w:rsidRDefault="00D4305E" w:rsidP="00953D2E">
      <w:pPr>
        <w:spacing w:before="0" w:after="0"/>
      </w:pPr>
      <w:r>
        <w:separator/>
      </w:r>
    </w:p>
  </w:footnote>
  <w:footnote w:type="continuationSeparator" w:id="0">
    <w:p w14:paraId="3099F558" w14:textId="77777777" w:rsidR="00D4305E" w:rsidRDefault="00D4305E" w:rsidP="00953D2E">
      <w:pPr>
        <w:spacing w:before="0" w:after="0"/>
      </w:pPr>
      <w:r>
        <w:continuationSeparator/>
      </w:r>
    </w:p>
  </w:footnote>
  <w:footnote w:id="1">
    <w:p w14:paraId="16E1FEE5" w14:textId="189DC3A4" w:rsidR="00973B76" w:rsidRPr="007C18ED" w:rsidRDefault="00973B76" w:rsidP="007C18ED">
      <w:pPr>
        <w:pStyle w:val="FootnoteText"/>
        <w:rPr>
          <w:lang w:val="en-IE"/>
        </w:rPr>
      </w:pPr>
      <w:r>
        <w:rPr>
          <w:rStyle w:val="FootnoteReference"/>
        </w:rPr>
        <w:footnoteRef/>
      </w:r>
      <w:r w:rsidRPr="007C18ED">
        <w:rPr>
          <w:lang w:val="en-IE"/>
        </w:rPr>
        <w:tab/>
      </w:r>
      <w:r w:rsidRPr="00E80015">
        <w:rPr>
          <w:noProof/>
        </w:rPr>
        <w:t>Regulation (EU) No 576/2013 of the European Parliament and of the Council of 12 June 2013 on the non-commercial movement of pet animals and repealing Regulation (EC) No 998/2003</w:t>
      </w:r>
      <w:r>
        <w:rPr>
          <w:noProof/>
        </w:rPr>
        <w:t xml:space="preserve"> (</w:t>
      </w:r>
      <w:r>
        <w:rPr>
          <w:lang w:val="en-IE"/>
        </w:rPr>
        <w:t xml:space="preserve">OJ L 178, 28.6.2013, p. 1). </w:t>
      </w:r>
    </w:p>
  </w:footnote>
  <w:footnote w:id="2">
    <w:p w14:paraId="29029E8F" w14:textId="77777777" w:rsidR="00973B76" w:rsidRPr="008D1DB8" w:rsidRDefault="00973B76" w:rsidP="007C18ED">
      <w:pPr>
        <w:pStyle w:val="FootnoteText"/>
        <w:rPr>
          <w:lang w:val="en-IE"/>
        </w:rPr>
      </w:pPr>
      <w:r>
        <w:rPr>
          <w:rStyle w:val="FootnoteReference"/>
        </w:rPr>
        <w:footnoteRef/>
      </w:r>
      <w:r>
        <w:rPr>
          <w:lang w:val="en-IE"/>
        </w:rPr>
        <w:tab/>
      </w:r>
      <w:r w:rsidRPr="008D1DB8">
        <w:t>Commission Implementing Regulation (EU) No 577/2013 of 28 June 2013 on the model identification documents for the non-commercial movement of dogs, cats and ferrets, the establishment of lists of territories and third countries and the format, layout and language requirements of the declarations attesting compliance with certain conditions provided for in Regulation (EU) No 576/2013 of the European Parliament and of the Council</w:t>
      </w:r>
      <w:r>
        <w:t xml:space="preserve"> (</w:t>
      </w:r>
      <w:r w:rsidRPr="008D1DB8">
        <w:t>OJ L 178, 28.6.2013, p. 109</w:t>
      </w:r>
      <w:r>
        <w:t>).</w:t>
      </w:r>
    </w:p>
  </w:footnote>
  <w:footnote w:id="3">
    <w:p w14:paraId="65FFE2CE" w14:textId="361EC2A3" w:rsidR="00973B76" w:rsidRPr="005A3D43" w:rsidRDefault="00973B76" w:rsidP="005A3D43">
      <w:pPr>
        <w:pStyle w:val="FootnoteText"/>
        <w:rPr>
          <w:lang w:val="en-IE"/>
        </w:rPr>
      </w:pPr>
      <w:r>
        <w:rPr>
          <w:rStyle w:val="FootnoteReference"/>
        </w:rPr>
        <w:footnoteRef/>
      </w:r>
      <w:r w:rsidRPr="005A3D43">
        <w:rPr>
          <w:lang w:val="en-IE"/>
        </w:rPr>
        <w:tab/>
      </w:r>
      <w:r w:rsidRPr="00B604BB">
        <w:t>Regulation (EU) 2016/429</w:t>
      </w:r>
      <w:r>
        <w:rPr>
          <w:rStyle w:val="FootnoteReference"/>
          <w:noProof/>
        </w:rPr>
        <w:footnoteRef/>
      </w:r>
      <w:r>
        <w:t xml:space="preserve"> </w:t>
      </w:r>
      <w:r>
        <w:rPr>
          <w:noProof/>
        </w:rPr>
        <w:t xml:space="preserve">of the European Parliament and of the Council of 9 March 2016 on transmissible animal diseases and amending and repealing certain acts in the area of animal health (‘Animal Health Law’) </w:t>
      </w:r>
      <w:r w:rsidRPr="005A3D43">
        <w:rPr>
          <w:lang w:val="en-IE"/>
        </w:rPr>
        <w:t>(OJ L 84, 31.3.2016, p. 1).</w:t>
      </w:r>
    </w:p>
  </w:footnote>
  <w:footnote w:id="4">
    <w:p w14:paraId="2CEE0C5F" w14:textId="1D0C00E5" w:rsidR="00973B76" w:rsidRPr="007C18ED" w:rsidRDefault="00973B76">
      <w:pPr>
        <w:pStyle w:val="FootnoteText"/>
        <w:rPr>
          <w:lang w:val="en-IE"/>
        </w:rPr>
      </w:pPr>
      <w:r>
        <w:rPr>
          <w:rStyle w:val="FootnoteReference"/>
        </w:rPr>
        <w:footnoteRef/>
      </w:r>
      <w:r>
        <w:tab/>
      </w:r>
      <w:r w:rsidRPr="007C18ED">
        <w:t>Council Directive 92/65/EEC of 13 July 1992 laying down animal health requirements governing trade in and imports into the Community of animals, semen, ova and embryos not subject to animal health requirements laid down in specific Community rules referred to in Annex A (I) to Directive 90/425/EEC</w:t>
      </w:r>
      <w:r>
        <w:t xml:space="preserve"> (OJ L 268, 14.9.1992, p. 54). </w:t>
      </w:r>
    </w:p>
  </w:footnote>
  <w:footnote w:id="5">
    <w:p w14:paraId="36758507" w14:textId="77777777" w:rsidR="00973B76" w:rsidRPr="00C64D22" w:rsidRDefault="00973B76" w:rsidP="00B604BB">
      <w:pPr>
        <w:pStyle w:val="FootnoteText"/>
        <w:rPr>
          <w:lang w:val="en-IE"/>
        </w:rPr>
      </w:pPr>
      <w:r>
        <w:rPr>
          <w:rStyle w:val="FootnoteReference"/>
        </w:rPr>
        <w:footnoteRef/>
      </w:r>
      <w:r>
        <w:rPr>
          <w:lang w:val="en-IE"/>
        </w:rPr>
        <w:tab/>
      </w:r>
      <w:r w:rsidRPr="00C64D22">
        <w:rPr>
          <w:lang w:val="en-IE"/>
        </w:rPr>
        <w:t xml:space="preserve">Commission Delegated Regulation (EU) 2020/692 of 30 January 2020 supplementing Regulation (EU) 2016/429 of the European Parliament and of the Council as regards rules for entry into the Union, and the movement and handling after entry of consignments of certain animals, germinal products and products </w:t>
      </w:r>
      <w:r>
        <w:rPr>
          <w:lang w:val="en-IE"/>
        </w:rPr>
        <w:t>of animal origin (</w:t>
      </w:r>
      <w:r w:rsidRPr="00C64D22">
        <w:rPr>
          <w:lang w:val="en-IE"/>
        </w:rPr>
        <w:t>OJ L 174, 3.6.2020, p. 379</w:t>
      </w:r>
      <w:r>
        <w:rPr>
          <w:lang w:val="en-IE"/>
        </w:rPr>
        <w:t xml:space="preserve">). </w:t>
      </w:r>
    </w:p>
  </w:footnote>
  <w:footnote w:id="6">
    <w:p w14:paraId="579F4C30" w14:textId="08183615" w:rsidR="00973B76" w:rsidRPr="000F760D" w:rsidRDefault="00973B76">
      <w:pPr>
        <w:pStyle w:val="FootnoteText"/>
        <w:rPr>
          <w:lang w:val="en-IE"/>
        </w:rPr>
      </w:pPr>
      <w:r>
        <w:rPr>
          <w:rStyle w:val="FootnoteReference"/>
        </w:rPr>
        <w:footnoteRef/>
      </w:r>
      <w:r>
        <w:rPr>
          <w:lang w:val="en-IE"/>
        </w:rPr>
        <w:tab/>
      </w:r>
      <w:r w:rsidRPr="000F760D">
        <w:rPr>
          <w:lang w:val="en-IE"/>
        </w:rPr>
        <w:t>Commission Implementing Regulation (EU) 2021/404 of 24 March 2021 laying down the lists of third countries, territories or zones thereof from which the entry into the Union of animals, germinal products and products of animal origin is permitted in accordance with Regulation (EU) 2016/429 of the European Parliament and the Council</w:t>
      </w:r>
      <w:r>
        <w:rPr>
          <w:lang w:val="en-IE"/>
        </w:rPr>
        <w:t xml:space="preserve"> (OJ L 114, 31.3.2021, p. 1). </w:t>
      </w:r>
    </w:p>
  </w:footnote>
  <w:footnote w:id="7">
    <w:p w14:paraId="00C27742" w14:textId="4CAEE8CC" w:rsidR="00973B76" w:rsidRPr="00A21124" w:rsidRDefault="00973B76">
      <w:pPr>
        <w:pStyle w:val="FootnoteText"/>
        <w:rPr>
          <w:lang w:val="en-IE"/>
        </w:rPr>
      </w:pPr>
      <w:r>
        <w:rPr>
          <w:rStyle w:val="FootnoteReference"/>
        </w:rPr>
        <w:footnoteRef/>
      </w:r>
      <w:r>
        <w:rPr>
          <w:lang w:val="en-IE"/>
        </w:rPr>
        <w:tab/>
      </w:r>
      <w:r w:rsidRPr="0048183D">
        <w:rPr>
          <w:noProof/>
        </w:rPr>
        <w:t>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Pr>
          <w:noProof/>
        </w:rPr>
        <w:t xml:space="preserve"> (</w:t>
      </w:r>
      <w:r>
        <w:rPr>
          <w:noProof/>
          <w:lang w:val="en-IE"/>
        </w:rPr>
        <w:t xml:space="preserve">OJ L 95, 7.4.2017, p. 1). </w:t>
      </w:r>
    </w:p>
  </w:footnote>
  <w:footnote w:id="8">
    <w:p w14:paraId="64375BFE" w14:textId="77777777" w:rsidR="00973B76" w:rsidRPr="007C18ED" w:rsidRDefault="00973B76" w:rsidP="00953D2E">
      <w:pPr>
        <w:pStyle w:val="FootnoteText"/>
        <w:rPr>
          <w:lang w:val="en-IE"/>
        </w:rPr>
      </w:pPr>
      <w:r>
        <w:rPr>
          <w:rStyle w:val="FootnoteReference"/>
        </w:rPr>
        <w:footnoteRef/>
      </w:r>
      <w:r w:rsidRPr="007C18ED">
        <w:rPr>
          <w:lang w:val="en-IE"/>
        </w:rPr>
        <w:tab/>
      </w:r>
      <w:r w:rsidRPr="007C18ED">
        <w:rPr>
          <w:noProof/>
          <w:lang w:val="en-IE"/>
        </w:rPr>
        <w:t xml:space="preserve">OJ L 95, 7.4.2017, p. 1. </w:t>
      </w:r>
    </w:p>
  </w:footnote>
  <w:footnote w:id="9">
    <w:p w14:paraId="04F0AA74" w14:textId="77777777" w:rsidR="00F83FF2" w:rsidRPr="00C64D22" w:rsidRDefault="00F83FF2" w:rsidP="00F83FF2">
      <w:pPr>
        <w:pStyle w:val="FootnoteText"/>
        <w:rPr>
          <w:lang w:val="en-IE"/>
        </w:rPr>
      </w:pPr>
      <w:r>
        <w:rPr>
          <w:rStyle w:val="FootnoteReference"/>
        </w:rPr>
        <w:footnoteRef/>
      </w:r>
      <w:r>
        <w:rPr>
          <w:lang w:val="en-IE"/>
        </w:rPr>
        <w:tab/>
      </w:r>
      <w:r w:rsidRPr="00C64D22">
        <w:rPr>
          <w:lang w:val="en-IE"/>
        </w:rPr>
        <w:t xml:space="preserve">Commission Delegated Regulation (EU) 2020/692 of 30 January 2020 supplementing Regulation (EU) 2016/429 of the European Parliament and of the Council as regards rules for entry into the Union, and the movement and handling after entry of consignments of certain animals, germinal products and products </w:t>
      </w:r>
      <w:r>
        <w:rPr>
          <w:lang w:val="en-IE"/>
        </w:rPr>
        <w:t>of animal origin (</w:t>
      </w:r>
      <w:r w:rsidRPr="00C64D22">
        <w:rPr>
          <w:lang w:val="en-IE"/>
        </w:rPr>
        <w:t>OJ L 174, 3.6.2020, p. 379</w:t>
      </w:r>
      <w:r>
        <w:rPr>
          <w:lang w:val="en-IE"/>
        </w:rPr>
        <w:t xml:space="preserve">). </w:t>
      </w:r>
    </w:p>
  </w:footnote>
  <w:footnote w:id="10">
    <w:p w14:paraId="233EB83F" w14:textId="77777777" w:rsidR="00780F18" w:rsidRPr="008D1DB8" w:rsidRDefault="00780F18" w:rsidP="00780F18">
      <w:pPr>
        <w:pStyle w:val="FootnoteText"/>
        <w:rPr>
          <w:lang w:val="en-IE"/>
        </w:rPr>
      </w:pPr>
      <w:r>
        <w:rPr>
          <w:rStyle w:val="FootnoteReference"/>
        </w:rPr>
        <w:footnoteRef/>
      </w:r>
      <w:r>
        <w:rPr>
          <w:lang w:val="en-IE"/>
        </w:rPr>
        <w:tab/>
      </w:r>
      <w:r w:rsidRPr="008D1DB8">
        <w:t>Commission Implementing Regulation (EU) No 577/2013 of 28 June 2013 on the model identification documents for the non-commercial movement of dogs, cats and ferrets, the establishment of lists of territories and third countries and the format, layout and language requirements of the declarations attesting compliance with certain conditions provided for in Regulation (EU) No 576/2013 of the European Parliament and of the Council</w:t>
      </w:r>
      <w:r>
        <w:t xml:space="preserve"> (</w:t>
      </w:r>
      <w:r w:rsidRPr="008D1DB8">
        <w:t>OJ L 178, 28.6.2013, p. 109</w:t>
      </w:r>
      <w:r>
        <w:t>).</w:t>
      </w:r>
    </w:p>
  </w:footnote>
  <w:footnote w:id="11">
    <w:p w14:paraId="1FC7CDBA" w14:textId="2B57DA67" w:rsidR="00F83FF2" w:rsidRPr="003544C8" w:rsidRDefault="00F83FF2" w:rsidP="00F83FF2">
      <w:pPr>
        <w:pStyle w:val="FootnoteText"/>
        <w:rPr>
          <w:lang w:val="en-IE"/>
        </w:rPr>
      </w:pPr>
      <w:r>
        <w:rPr>
          <w:rStyle w:val="FootnoteReference"/>
        </w:rPr>
        <w:footnoteRef/>
      </w:r>
      <w:r>
        <w:rPr>
          <w:lang w:val="en-IE"/>
        </w:rPr>
        <w:tab/>
      </w:r>
      <w:r>
        <w:t>Commission Implementing Regulation (EU) 2021/404 of 24 March 2021 laying down the lists of third countries, territories or zones thereof from which the entry into the Union of animals, germinal products and products of animal origin is permitted in accordance with Regulation (EU) 2016/429 of the European Parliament and the Coun</w:t>
      </w:r>
      <w:r w:rsidR="004116DD">
        <w:t>cil (OJ L 114, 31.3.2021, p. 1).</w:t>
      </w:r>
    </w:p>
  </w:footnote>
  <w:footnote w:id="12">
    <w:p w14:paraId="57D3D1F7" w14:textId="77777777" w:rsidR="00E57DC6" w:rsidRDefault="00E57DC6"/>
  </w:footnote>
  <w:footnote w:id="13">
    <w:p w14:paraId="4E22C098" w14:textId="4E6F3CA4" w:rsidR="000D4EC8" w:rsidRPr="00CF2358" w:rsidRDefault="000D4EC8">
      <w:pPr>
        <w:pStyle w:val="FootnoteText"/>
      </w:pPr>
      <w:r>
        <w:rPr>
          <w:rStyle w:val="FootnoteReference"/>
        </w:rPr>
        <w:footnoteRef/>
      </w:r>
      <w:r>
        <w:t xml:space="preserve"> </w:t>
      </w:r>
      <w:r w:rsidRPr="004116DD">
        <w:rPr>
          <w:lang w:val="en-IE"/>
        </w:rPr>
        <w:tab/>
      </w:r>
      <w:r w:rsidR="005600E8">
        <w:rPr>
          <w:lang w:val="en-IE"/>
        </w:rPr>
        <w:t>R</w:t>
      </w:r>
      <w:r w:rsidRPr="000D4EC8">
        <w:rPr>
          <w:lang w:val="en-IE"/>
        </w:rPr>
        <w:t>egulation (EU) 2016/429 of the European Parliament and of the Council of 9 March 2016 on transmissible animal diseases and amending and repealing certain acts in the area of animal health (‘Animal Health Law’)</w:t>
      </w:r>
      <w:r w:rsidR="001B373B">
        <w:rPr>
          <w:lang w:val="en-IE"/>
        </w:rPr>
        <w:t xml:space="preserve"> </w:t>
      </w:r>
      <w:r>
        <w:rPr>
          <w:lang w:val="en-IE"/>
        </w:rPr>
        <w:t>(</w:t>
      </w:r>
      <w:r w:rsidRPr="000D4EC8">
        <w:t xml:space="preserve"> </w:t>
      </w:r>
      <w:r w:rsidRPr="000D4EC8">
        <w:rPr>
          <w:lang w:val="en-IE"/>
        </w:rPr>
        <w:t>OJ L 84, 31.3.2016, p. 1</w:t>
      </w:r>
      <w:r>
        <w:rPr>
          <w:lang w:val="en-IE"/>
        </w:rPr>
        <w:t xml:space="preserve">). </w:t>
      </w:r>
    </w:p>
  </w:footnote>
  <w:footnote w:id="14">
    <w:p w14:paraId="60B681FD" w14:textId="77777777" w:rsidR="00973B76" w:rsidRPr="007C0BF5" w:rsidRDefault="00973B76" w:rsidP="005E09BD">
      <w:pPr>
        <w:pStyle w:val="FootnoteText"/>
        <w:rPr>
          <w:lang w:val="en-IE"/>
        </w:rPr>
      </w:pPr>
      <w:r>
        <w:rPr>
          <w:rStyle w:val="FootnoteReference"/>
        </w:rPr>
        <w:footnoteRef/>
      </w:r>
      <w:r>
        <w:rPr>
          <w:lang w:val="en-IE"/>
        </w:rPr>
        <w:tab/>
      </w:r>
      <w:r w:rsidRPr="007C0BF5">
        <w:rPr>
          <w:lang w:val="en-IE"/>
        </w:rPr>
        <w:t>Council Decision 2000/258/EC</w:t>
      </w:r>
      <w:r>
        <w:rPr>
          <w:lang w:val="en-IE"/>
        </w:rPr>
        <w:t xml:space="preserve"> </w:t>
      </w:r>
      <w:r w:rsidRPr="007C0BF5">
        <w:rPr>
          <w:lang w:val="en-IE"/>
        </w:rPr>
        <w:t>of 20 March 2000 designating a specific institute responsible for establishing the criteria necessary for standardising the serological tests to monitor the effectiveness of rabies vaccines</w:t>
      </w:r>
      <w:r>
        <w:rPr>
          <w:lang w:val="en-IE"/>
        </w:rPr>
        <w:t xml:space="preserve"> (</w:t>
      </w:r>
      <w:r w:rsidRPr="007C0BF5">
        <w:rPr>
          <w:lang w:val="en-IE"/>
        </w:rPr>
        <w:t>OJ L 79, 30.3.2000, p. 40</w:t>
      </w:r>
      <w:r>
        <w:rPr>
          <w:lang w:val="en-IE"/>
        </w:rPr>
        <w:t xml:space="preserve">). </w:t>
      </w:r>
    </w:p>
  </w:footnote>
  <w:footnote w:id="15">
    <w:p w14:paraId="30B69632" w14:textId="580121FA" w:rsidR="00973B76" w:rsidRPr="00A852AF" w:rsidRDefault="00973B76" w:rsidP="00130EE9">
      <w:pPr>
        <w:pStyle w:val="FootnoteText"/>
        <w:ind w:left="0" w:firstLine="0"/>
        <w:rPr>
          <w:lang w:val="en-IE"/>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4073" w14:textId="77777777" w:rsidR="000734C8" w:rsidRPr="000734C8" w:rsidRDefault="000734C8" w:rsidP="00073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CC2C5" w14:textId="77777777" w:rsidR="000734C8" w:rsidRPr="000734C8" w:rsidRDefault="000734C8" w:rsidP="00073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92F48" w14:textId="77777777" w:rsidR="000734C8" w:rsidRPr="000734C8" w:rsidRDefault="000734C8" w:rsidP="00073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BD2644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C01EF9CE"/>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BC2C52F2"/>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2584835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D0661A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E8C20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0901E9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D1EF7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8864D9"/>
    <w:multiLevelType w:val="hybridMultilevel"/>
    <w:tmpl w:val="0B2C19E4"/>
    <w:lvl w:ilvl="0" w:tplc="2A5A2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8510F33"/>
    <w:multiLevelType w:val="hybridMultilevel"/>
    <w:tmpl w:val="D8B41CCC"/>
    <w:lvl w:ilvl="0" w:tplc="55448DF0">
      <w:start w:val="9"/>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BE4812"/>
    <w:multiLevelType w:val="singleLevel"/>
    <w:tmpl w:val="AE78D976"/>
    <w:lvl w:ilvl="0">
      <w:start w:val="1"/>
      <w:numFmt w:val="decimal"/>
      <w:lvlRestart w:val="0"/>
      <w:pStyle w:val="Considrant"/>
      <w:lvlText w:val="(%1)"/>
      <w:lvlJc w:val="left"/>
      <w:pPr>
        <w:tabs>
          <w:tab w:val="num" w:pos="709"/>
        </w:tabs>
        <w:ind w:left="709" w:hanging="709"/>
      </w:pPr>
      <w:rPr>
        <w:i w:val="0"/>
      </w:rPr>
    </w:lvl>
  </w:abstractNum>
  <w:num w:numId="1">
    <w:abstractNumId w:val="7"/>
  </w:num>
  <w:num w:numId="2">
    <w:abstractNumId w:val="5"/>
  </w:num>
  <w:num w:numId="3">
    <w:abstractNumId w:val="4"/>
  </w:num>
  <w:num w:numId="4">
    <w:abstractNumId w:val="3"/>
  </w:num>
  <w:num w:numId="5">
    <w:abstractNumId w:val="18"/>
  </w:num>
  <w:num w:numId="6">
    <w:abstractNumId w:val="12"/>
  </w:num>
  <w:num w:numId="7">
    <w:abstractNumId w:val="21"/>
  </w:num>
  <w:num w:numId="8">
    <w:abstractNumId w:val="11"/>
  </w:num>
  <w:num w:numId="9">
    <w:abstractNumId w:val="13"/>
  </w:num>
  <w:num w:numId="10">
    <w:abstractNumId w:val="9"/>
  </w:num>
  <w:num w:numId="11">
    <w:abstractNumId w:val="19"/>
  </w:num>
  <w:num w:numId="12">
    <w:abstractNumId w:val="8"/>
  </w:num>
  <w:num w:numId="13">
    <w:abstractNumId w:val="14"/>
  </w:num>
  <w:num w:numId="14">
    <w:abstractNumId w:val="16"/>
  </w:num>
  <w:num w:numId="15">
    <w:abstractNumId w:val="17"/>
  </w:num>
  <w:num w:numId="16">
    <w:abstractNumId w:val="10"/>
  </w:num>
  <w:num w:numId="17">
    <w:abstractNumId w:val="15"/>
  </w:num>
  <w:num w:numId="18">
    <w:abstractNumId w:val="23"/>
  </w:num>
  <w:num w:numId="19">
    <w:abstractNumId w:val="23"/>
  </w:num>
  <w:num w:numId="20">
    <w:abstractNumId w:val="6"/>
  </w:num>
  <w:num w:numId="21">
    <w:abstractNumId w:val="2"/>
  </w:num>
  <w:num w:numId="22">
    <w:abstractNumId w:val="1"/>
  </w:num>
  <w:num w:numId="23">
    <w:abstractNumId w:val="0"/>
  </w:num>
  <w:num w:numId="24">
    <w:abstractNumId w:val="18"/>
  </w:num>
  <w:num w:numId="25">
    <w:abstractNumId w:val="12"/>
  </w:num>
  <w:num w:numId="26">
    <w:abstractNumId w:val="21"/>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3"/>
  </w:num>
  <w:num w:numId="38">
    <w:abstractNumId w:val="18"/>
    <w:lvlOverride w:ilvl="0">
      <w:startOverride w:val="1"/>
    </w:lvlOverride>
  </w:num>
  <w:num w:numId="39">
    <w:abstractNumId w:val="20"/>
  </w:num>
  <w:num w:numId="4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1"/>
  <w:attachedTemplate r:id="rId1"/>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03 16:19: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VERPAGE_EXISTS" w:val="True"/>
    <w:docVar w:name="LW_COVERPAGE_GUID" w:val="A02A4B8E-C4E4-4D8D-A8EF-73FE2B7A79BD"/>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D_EXP.MOTIFS.NEW" w:val="EM_AA_"/>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1) XXX"/>
    <w:docVar w:name="LW_REF.INTERNE" w:val="SANTE/7274/2021 CIS (POOL/G2/2021/7274/7274-EN CIS.docx)"/>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upplementing Regulation (EU) 2017/625 of the European Parliament and of the Council as regards the designation of an EU laboratory to organise the proficiency testing for carrying out rabies antibody titration tests for the purposes of non-commercial movements of pet animals from third countries and territories and setting up a system to list laboratories that can perform these tests&lt;/FMT&gt;_x000b_"/>
    <w:docVar w:name="LW_TYPE.DOC.CP" w:val="COMMISSION DELEGATED REGULATION (EU) \u8230?/..."/>
  </w:docVars>
  <w:rsids>
    <w:rsidRoot w:val="00953D2E"/>
    <w:rsid w:val="00005ABD"/>
    <w:rsid w:val="0001193F"/>
    <w:rsid w:val="000222E4"/>
    <w:rsid w:val="00034A98"/>
    <w:rsid w:val="00035654"/>
    <w:rsid w:val="00036B4C"/>
    <w:rsid w:val="00042599"/>
    <w:rsid w:val="00046E20"/>
    <w:rsid w:val="000470F6"/>
    <w:rsid w:val="00067527"/>
    <w:rsid w:val="000734C8"/>
    <w:rsid w:val="000816E7"/>
    <w:rsid w:val="00083707"/>
    <w:rsid w:val="00092C42"/>
    <w:rsid w:val="00095A32"/>
    <w:rsid w:val="000A7517"/>
    <w:rsid w:val="000B0939"/>
    <w:rsid w:val="000C1282"/>
    <w:rsid w:val="000C285F"/>
    <w:rsid w:val="000D4EC8"/>
    <w:rsid w:val="000E198E"/>
    <w:rsid w:val="000F50A8"/>
    <w:rsid w:val="000F760D"/>
    <w:rsid w:val="0011035F"/>
    <w:rsid w:val="00130EE9"/>
    <w:rsid w:val="001345FC"/>
    <w:rsid w:val="00144BE9"/>
    <w:rsid w:val="00151F6B"/>
    <w:rsid w:val="001638D0"/>
    <w:rsid w:val="001776A9"/>
    <w:rsid w:val="001B2488"/>
    <w:rsid w:val="001B373B"/>
    <w:rsid w:val="001C2816"/>
    <w:rsid w:val="001C3CC3"/>
    <w:rsid w:val="001D7DB8"/>
    <w:rsid w:val="001F15B2"/>
    <w:rsid w:val="001F5723"/>
    <w:rsid w:val="001F5C6C"/>
    <w:rsid w:val="00214B01"/>
    <w:rsid w:val="00224649"/>
    <w:rsid w:val="002262C2"/>
    <w:rsid w:val="00227CDD"/>
    <w:rsid w:val="00232E98"/>
    <w:rsid w:val="00242FE6"/>
    <w:rsid w:val="00245327"/>
    <w:rsid w:val="0025066B"/>
    <w:rsid w:val="00270506"/>
    <w:rsid w:val="0027310B"/>
    <w:rsid w:val="0027342A"/>
    <w:rsid w:val="002878C5"/>
    <w:rsid w:val="002B510E"/>
    <w:rsid w:val="002C2D26"/>
    <w:rsid w:val="002D269F"/>
    <w:rsid w:val="002E6D08"/>
    <w:rsid w:val="002E78FC"/>
    <w:rsid w:val="002F43F8"/>
    <w:rsid w:val="00314050"/>
    <w:rsid w:val="00320052"/>
    <w:rsid w:val="0034784D"/>
    <w:rsid w:val="00363EF8"/>
    <w:rsid w:val="0037091F"/>
    <w:rsid w:val="00371AD4"/>
    <w:rsid w:val="003C3787"/>
    <w:rsid w:val="003D5D18"/>
    <w:rsid w:val="003E2F16"/>
    <w:rsid w:val="003F63B3"/>
    <w:rsid w:val="003F6572"/>
    <w:rsid w:val="00406B6D"/>
    <w:rsid w:val="004116DD"/>
    <w:rsid w:val="00412F0E"/>
    <w:rsid w:val="0041414F"/>
    <w:rsid w:val="00415FFA"/>
    <w:rsid w:val="00416D9E"/>
    <w:rsid w:val="00450E94"/>
    <w:rsid w:val="004572F5"/>
    <w:rsid w:val="00463609"/>
    <w:rsid w:val="00465B2F"/>
    <w:rsid w:val="00472E0B"/>
    <w:rsid w:val="00492384"/>
    <w:rsid w:val="004A7A0E"/>
    <w:rsid w:val="004B08B3"/>
    <w:rsid w:val="004C3DD6"/>
    <w:rsid w:val="004D6CFC"/>
    <w:rsid w:val="004E061D"/>
    <w:rsid w:val="004E1D47"/>
    <w:rsid w:val="004F5AA0"/>
    <w:rsid w:val="00500009"/>
    <w:rsid w:val="00513B5D"/>
    <w:rsid w:val="005216EF"/>
    <w:rsid w:val="005600E8"/>
    <w:rsid w:val="005652E5"/>
    <w:rsid w:val="00573D10"/>
    <w:rsid w:val="00574FF9"/>
    <w:rsid w:val="00581249"/>
    <w:rsid w:val="00592DAC"/>
    <w:rsid w:val="005934CE"/>
    <w:rsid w:val="005A3D43"/>
    <w:rsid w:val="005C2EAE"/>
    <w:rsid w:val="005E081A"/>
    <w:rsid w:val="005E09BD"/>
    <w:rsid w:val="005E19EC"/>
    <w:rsid w:val="005E3A30"/>
    <w:rsid w:val="00606F0A"/>
    <w:rsid w:val="00615DF2"/>
    <w:rsid w:val="00620845"/>
    <w:rsid w:val="006255FD"/>
    <w:rsid w:val="00625C24"/>
    <w:rsid w:val="00656D0D"/>
    <w:rsid w:val="006D4BD8"/>
    <w:rsid w:val="006D61CC"/>
    <w:rsid w:val="006D73C0"/>
    <w:rsid w:val="006E4BCA"/>
    <w:rsid w:val="0070128F"/>
    <w:rsid w:val="00706115"/>
    <w:rsid w:val="00720408"/>
    <w:rsid w:val="00735FD4"/>
    <w:rsid w:val="007424AC"/>
    <w:rsid w:val="00745042"/>
    <w:rsid w:val="007630A6"/>
    <w:rsid w:val="00777612"/>
    <w:rsid w:val="00780576"/>
    <w:rsid w:val="00780F18"/>
    <w:rsid w:val="0078548B"/>
    <w:rsid w:val="007A0867"/>
    <w:rsid w:val="007A1F61"/>
    <w:rsid w:val="007A5AD5"/>
    <w:rsid w:val="007B34FE"/>
    <w:rsid w:val="007C06F6"/>
    <w:rsid w:val="007C18ED"/>
    <w:rsid w:val="007E2479"/>
    <w:rsid w:val="007E47F8"/>
    <w:rsid w:val="007E74DC"/>
    <w:rsid w:val="0080609B"/>
    <w:rsid w:val="0082243D"/>
    <w:rsid w:val="00846095"/>
    <w:rsid w:val="00852391"/>
    <w:rsid w:val="008538BB"/>
    <w:rsid w:val="008570B7"/>
    <w:rsid w:val="008570E5"/>
    <w:rsid w:val="00860DB5"/>
    <w:rsid w:val="00886E98"/>
    <w:rsid w:val="008A490F"/>
    <w:rsid w:val="008C6CD9"/>
    <w:rsid w:val="008D492F"/>
    <w:rsid w:val="008E5335"/>
    <w:rsid w:val="00905A9C"/>
    <w:rsid w:val="0094289E"/>
    <w:rsid w:val="00953D2E"/>
    <w:rsid w:val="00960B9B"/>
    <w:rsid w:val="0096611D"/>
    <w:rsid w:val="00973B76"/>
    <w:rsid w:val="00986B33"/>
    <w:rsid w:val="00987AD5"/>
    <w:rsid w:val="00992D3E"/>
    <w:rsid w:val="009957F9"/>
    <w:rsid w:val="009B5363"/>
    <w:rsid w:val="009B7138"/>
    <w:rsid w:val="009D303D"/>
    <w:rsid w:val="009D3040"/>
    <w:rsid w:val="009E1FBE"/>
    <w:rsid w:val="009E1FD1"/>
    <w:rsid w:val="009F1218"/>
    <w:rsid w:val="009F5396"/>
    <w:rsid w:val="00A1505F"/>
    <w:rsid w:val="00A153EF"/>
    <w:rsid w:val="00A20532"/>
    <w:rsid w:val="00A21124"/>
    <w:rsid w:val="00A25194"/>
    <w:rsid w:val="00A51A4B"/>
    <w:rsid w:val="00A63D03"/>
    <w:rsid w:val="00A640E5"/>
    <w:rsid w:val="00A70082"/>
    <w:rsid w:val="00A73B15"/>
    <w:rsid w:val="00AA0354"/>
    <w:rsid w:val="00AA50EE"/>
    <w:rsid w:val="00AB0506"/>
    <w:rsid w:val="00AB6B38"/>
    <w:rsid w:val="00AB7C96"/>
    <w:rsid w:val="00AC0BBF"/>
    <w:rsid w:val="00AC3027"/>
    <w:rsid w:val="00AC45AF"/>
    <w:rsid w:val="00AD637C"/>
    <w:rsid w:val="00AF40F5"/>
    <w:rsid w:val="00B13845"/>
    <w:rsid w:val="00B15BBE"/>
    <w:rsid w:val="00B304BA"/>
    <w:rsid w:val="00B604BB"/>
    <w:rsid w:val="00B622C7"/>
    <w:rsid w:val="00B705F4"/>
    <w:rsid w:val="00B82D63"/>
    <w:rsid w:val="00B92881"/>
    <w:rsid w:val="00BA572C"/>
    <w:rsid w:val="00BA68B4"/>
    <w:rsid w:val="00BB062D"/>
    <w:rsid w:val="00BB21EB"/>
    <w:rsid w:val="00BC12FD"/>
    <w:rsid w:val="00BD618D"/>
    <w:rsid w:val="00BD6FC9"/>
    <w:rsid w:val="00BE246D"/>
    <w:rsid w:val="00BF17AA"/>
    <w:rsid w:val="00BF3005"/>
    <w:rsid w:val="00C04845"/>
    <w:rsid w:val="00C06E8E"/>
    <w:rsid w:val="00C24556"/>
    <w:rsid w:val="00C45148"/>
    <w:rsid w:val="00C64150"/>
    <w:rsid w:val="00C77789"/>
    <w:rsid w:val="00CA1CB9"/>
    <w:rsid w:val="00CB68DD"/>
    <w:rsid w:val="00CC27FE"/>
    <w:rsid w:val="00CC4176"/>
    <w:rsid w:val="00CC4B17"/>
    <w:rsid w:val="00CE07AB"/>
    <w:rsid w:val="00CF2358"/>
    <w:rsid w:val="00D00258"/>
    <w:rsid w:val="00D05533"/>
    <w:rsid w:val="00D24243"/>
    <w:rsid w:val="00D4305E"/>
    <w:rsid w:val="00D4494D"/>
    <w:rsid w:val="00D57B04"/>
    <w:rsid w:val="00D73AB5"/>
    <w:rsid w:val="00D76BB5"/>
    <w:rsid w:val="00D9015D"/>
    <w:rsid w:val="00DB3826"/>
    <w:rsid w:val="00DC297A"/>
    <w:rsid w:val="00DF2F25"/>
    <w:rsid w:val="00E01BCA"/>
    <w:rsid w:val="00E132D3"/>
    <w:rsid w:val="00E1566A"/>
    <w:rsid w:val="00E21250"/>
    <w:rsid w:val="00E2763C"/>
    <w:rsid w:val="00E464C0"/>
    <w:rsid w:val="00E5483D"/>
    <w:rsid w:val="00E57DC6"/>
    <w:rsid w:val="00E94F40"/>
    <w:rsid w:val="00EB14F2"/>
    <w:rsid w:val="00EB3927"/>
    <w:rsid w:val="00ED09B3"/>
    <w:rsid w:val="00EE0FE9"/>
    <w:rsid w:val="00EE2105"/>
    <w:rsid w:val="00F03994"/>
    <w:rsid w:val="00F16017"/>
    <w:rsid w:val="00F17A48"/>
    <w:rsid w:val="00F20062"/>
    <w:rsid w:val="00F46631"/>
    <w:rsid w:val="00F83FF2"/>
    <w:rsid w:val="00F94713"/>
    <w:rsid w:val="00FB4E8E"/>
    <w:rsid w:val="00FD27E6"/>
    <w:rsid w:val="00FD467F"/>
    <w:rsid w:val="00FD6882"/>
    <w:rsid w:val="00FF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25BB7E0"/>
  <w15:docId w15:val="{9103F26C-AD6D-434F-B00C-F0093B0B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nt0">
    <w:name w:val="Pont 0"/>
    <w:basedOn w:val="Normal"/>
    <w:rsid w:val="00953D2E"/>
  </w:style>
  <w:style w:type="paragraph" w:styleId="ListBullet">
    <w:name w:val="List Bullet"/>
    <w:basedOn w:val="Normal"/>
    <w:uiPriority w:val="99"/>
    <w:semiHidden/>
    <w:unhideWhenUsed/>
    <w:rsid w:val="002F43F8"/>
    <w:pPr>
      <w:numPr>
        <w:numId w:val="1"/>
      </w:numPr>
      <w:contextualSpacing/>
    </w:pPr>
  </w:style>
  <w:style w:type="paragraph" w:styleId="ListBullet2">
    <w:name w:val="List Bullet 2"/>
    <w:basedOn w:val="Normal"/>
    <w:uiPriority w:val="99"/>
    <w:semiHidden/>
    <w:unhideWhenUsed/>
    <w:rsid w:val="002F43F8"/>
    <w:pPr>
      <w:numPr>
        <w:numId w:val="2"/>
      </w:numPr>
      <w:contextualSpacing/>
    </w:pPr>
  </w:style>
  <w:style w:type="paragraph" w:styleId="ListBullet3">
    <w:name w:val="List Bullet 3"/>
    <w:basedOn w:val="Normal"/>
    <w:uiPriority w:val="99"/>
    <w:semiHidden/>
    <w:unhideWhenUsed/>
    <w:rsid w:val="002F43F8"/>
    <w:pPr>
      <w:numPr>
        <w:numId w:val="3"/>
      </w:numPr>
      <w:contextualSpacing/>
    </w:pPr>
  </w:style>
  <w:style w:type="paragraph" w:styleId="ListBullet4">
    <w:name w:val="List Bullet 4"/>
    <w:basedOn w:val="Normal"/>
    <w:uiPriority w:val="99"/>
    <w:semiHidden/>
    <w:unhideWhenUsed/>
    <w:rsid w:val="002F43F8"/>
    <w:pPr>
      <w:numPr>
        <w:numId w:val="4"/>
      </w:numPr>
      <w:contextualSpacing/>
    </w:pPr>
  </w:style>
  <w:style w:type="character" w:styleId="CommentReference">
    <w:name w:val="annotation reference"/>
    <w:basedOn w:val="DefaultParagraphFont"/>
    <w:uiPriority w:val="99"/>
    <w:semiHidden/>
    <w:unhideWhenUsed/>
    <w:rsid w:val="009F1218"/>
    <w:rPr>
      <w:sz w:val="16"/>
      <w:szCs w:val="16"/>
    </w:rPr>
  </w:style>
  <w:style w:type="paragraph" w:styleId="CommentText">
    <w:name w:val="annotation text"/>
    <w:basedOn w:val="Normal"/>
    <w:link w:val="CommentTextChar"/>
    <w:uiPriority w:val="99"/>
    <w:unhideWhenUsed/>
    <w:rsid w:val="009F1218"/>
    <w:rPr>
      <w:sz w:val="20"/>
      <w:szCs w:val="20"/>
    </w:rPr>
  </w:style>
  <w:style w:type="character" w:customStyle="1" w:styleId="CommentTextChar">
    <w:name w:val="Comment Text Char"/>
    <w:basedOn w:val="DefaultParagraphFont"/>
    <w:link w:val="CommentText"/>
    <w:uiPriority w:val="99"/>
    <w:rsid w:val="009F1218"/>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F1218"/>
    <w:rPr>
      <w:b/>
      <w:bCs/>
    </w:rPr>
  </w:style>
  <w:style w:type="character" w:customStyle="1" w:styleId="CommentSubjectChar">
    <w:name w:val="Comment Subject Char"/>
    <w:basedOn w:val="CommentTextChar"/>
    <w:link w:val="CommentSubject"/>
    <w:uiPriority w:val="99"/>
    <w:semiHidden/>
    <w:rsid w:val="009F1218"/>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F121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218"/>
    <w:rPr>
      <w:rFonts w:ascii="Segoe UI" w:hAnsi="Segoe UI" w:cs="Segoe UI"/>
      <w:sz w:val="18"/>
      <w:szCs w:val="18"/>
      <w:lang w:val="en-GB"/>
    </w:rPr>
  </w:style>
  <w:style w:type="paragraph" w:styleId="Revision">
    <w:name w:val="Revision"/>
    <w:hidden/>
    <w:uiPriority w:val="99"/>
    <w:semiHidden/>
    <w:rsid w:val="009F1218"/>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7A0867"/>
    <w:pPr>
      <w:ind w:left="720"/>
      <w:contextualSpacing/>
    </w:pPr>
  </w:style>
  <w:style w:type="paragraph" w:styleId="Caption">
    <w:name w:val="caption"/>
    <w:basedOn w:val="Normal"/>
    <w:next w:val="Normal"/>
    <w:uiPriority w:val="35"/>
    <w:semiHidden/>
    <w:unhideWhenUsed/>
    <w:qFormat/>
    <w:rsid w:val="00F9471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94713"/>
    <w:pPr>
      <w:spacing w:after="0"/>
    </w:pPr>
  </w:style>
  <w:style w:type="paragraph" w:styleId="ListNumber">
    <w:name w:val="List Number"/>
    <w:basedOn w:val="Normal"/>
    <w:uiPriority w:val="99"/>
    <w:semiHidden/>
    <w:unhideWhenUsed/>
    <w:rsid w:val="00F94713"/>
    <w:pPr>
      <w:numPr>
        <w:numId w:val="20"/>
      </w:numPr>
      <w:contextualSpacing/>
    </w:pPr>
  </w:style>
  <w:style w:type="paragraph" w:styleId="ListNumber2">
    <w:name w:val="List Number 2"/>
    <w:basedOn w:val="Normal"/>
    <w:uiPriority w:val="99"/>
    <w:semiHidden/>
    <w:unhideWhenUsed/>
    <w:rsid w:val="00F94713"/>
    <w:pPr>
      <w:numPr>
        <w:numId w:val="21"/>
      </w:numPr>
      <w:contextualSpacing/>
    </w:pPr>
  </w:style>
  <w:style w:type="paragraph" w:styleId="ListNumber3">
    <w:name w:val="List Number 3"/>
    <w:basedOn w:val="Normal"/>
    <w:uiPriority w:val="99"/>
    <w:semiHidden/>
    <w:unhideWhenUsed/>
    <w:rsid w:val="00F94713"/>
    <w:pPr>
      <w:numPr>
        <w:numId w:val="22"/>
      </w:numPr>
      <w:contextualSpacing/>
    </w:pPr>
  </w:style>
  <w:style w:type="paragraph" w:styleId="ListNumber4">
    <w:name w:val="List Number 4"/>
    <w:basedOn w:val="Normal"/>
    <w:uiPriority w:val="99"/>
    <w:semiHidden/>
    <w:unhideWhenUsed/>
    <w:rsid w:val="00F94713"/>
    <w:pPr>
      <w:numPr>
        <w:numId w:val="23"/>
      </w:numPr>
      <w:contextualSpacing/>
    </w:pPr>
  </w:style>
  <w:style w:type="character" w:styleId="Hyperlink">
    <w:name w:val="Hyperlink"/>
    <w:basedOn w:val="DefaultParagraphFont"/>
    <w:uiPriority w:val="99"/>
    <w:unhideWhenUsed/>
    <w:rsid w:val="00B13845"/>
    <w:rPr>
      <w:color w:val="0000FF" w:themeColor="hyperlink"/>
      <w:u w:val="single"/>
    </w:rPr>
  </w:style>
  <w:style w:type="paragraph" w:styleId="Header">
    <w:name w:val="header"/>
    <w:basedOn w:val="Normal"/>
    <w:link w:val="HeaderChar"/>
    <w:uiPriority w:val="99"/>
    <w:unhideWhenUsed/>
    <w:rsid w:val="000734C8"/>
    <w:pPr>
      <w:tabs>
        <w:tab w:val="center" w:pos="4535"/>
        <w:tab w:val="right" w:pos="9071"/>
      </w:tabs>
      <w:spacing w:before="0"/>
    </w:pPr>
  </w:style>
  <w:style w:type="character" w:customStyle="1" w:styleId="HeaderChar">
    <w:name w:val="Header Char"/>
    <w:basedOn w:val="DefaultParagraphFont"/>
    <w:link w:val="Header"/>
    <w:uiPriority w:val="99"/>
    <w:rsid w:val="000734C8"/>
    <w:rPr>
      <w:rFonts w:ascii="Times New Roman" w:hAnsi="Times New Roman" w:cs="Times New Roman"/>
      <w:sz w:val="24"/>
      <w:lang w:val="en-GB"/>
    </w:rPr>
  </w:style>
  <w:style w:type="paragraph" w:styleId="Footer">
    <w:name w:val="footer"/>
    <w:basedOn w:val="Normal"/>
    <w:link w:val="FooterChar"/>
    <w:uiPriority w:val="99"/>
    <w:unhideWhenUsed/>
    <w:rsid w:val="000734C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734C8"/>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0734C8"/>
    <w:pPr>
      <w:tabs>
        <w:tab w:val="center" w:pos="7285"/>
        <w:tab w:val="right" w:pos="14003"/>
      </w:tabs>
      <w:spacing w:before="0"/>
    </w:pPr>
  </w:style>
  <w:style w:type="paragraph" w:customStyle="1" w:styleId="FooterLandscape">
    <w:name w:val="FooterLandscape"/>
    <w:basedOn w:val="Normal"/>
    <w:rsid w:val="000734C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0734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734C8"/>
    <w:pPr>
      <w:spacing w:before="0"/>
      <w:jc w:val="right"/>
    </w:pPr>
    <w:rPr>
      <w:sz w:val="28"/>
    </w:rPr>
  </w:style>
  <w:style w:type="paragraph" w:customStyle="1" w:styleId="FooterSensitivity">
    <w:name w:val="Footer Sensitivity"/>
    <w:basedOn w:val="Normal"/>
    <w:rsid w:val="000734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9"/>
      </w:numPr>
    </w:pPr>
  </w:style>
  <w:style w:type="paragraph" w:customStyle="1" w:styleId="NumPar2">
    <w:name w:val="NumPar 2"/>
    <w:basedOn w:val="Normal"/>
    <w:next w:val="Text1"/>
    <w:rsid w:val="009B7138"/>
    <w:pPr>
      <w:numPr>
        <w:ilvl w:val="1"/>
        <w:numId w:val="29"/>
      </w:numPr>
    </w:pPr>
  </w:style>
  <w:style w:type="paragraph" w:customStyle="1" w:styleId="NumPar3">
    <w:name w:val="NumPar 3"/>
    <w:basedOn w:val="Normal"/>
    <w:next w:val="Text1"/>
    <w:rsid w:val="009B7138"/>
    <w:pPr>
      <w:numPr>
        <w:ilvl w:val="2"/>
        <w:numId w:val="29"/>
      </w:numPr>
    </w:pPr>
  </w:style>
  <w:style w:type="paragraph" w:customStyle="1" w:styleId="NumPar4">
    <w:name w:val="NumPar 4"/>
    <w:basedOn w:val="Normal"/>
    <w:next w:val="Text1"/>
    <w:rsid w:val="009B7138"/>
    <w:pPr>
      <w:numPr>
        <w:ilvl w:val="3"/>
        <w:numId w:val="2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1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8679">
      <w:bodyDiv w:val="1"/>
      <w:marLeft w:val="0"/>
      <w:marRight w:val="0"/>
      <w:marTop w:val="0"/>
      <w:marBottom w:val="0"/>
      <w:divBdr>
        <w:top w:val="none" w:sz="0" w:space="0" w:color="auto"/>
        <w:left w:val="none" w:sz="0" w:space="0" w:color="auto"/>
        <w:bottom w:val="none" w:sz="0" w:space="0" w:color="auto"/>
        <w:right w:val="none" w:sz="0" w:space="0" w:color="auto"/>
      </w:divBdr>
    </w:div>
    <w:div w:id="622034122">
      <w:bodyDiv w:val="1"/>
      <w:marLeft w:val="0"/>
      <w:marRight w:val="0"/>
      <w:marTop w:val="0"/>
      <w:marBottom w:val="0"/>
      <w:divBdr>
        <w:top w:val="none" w:sz="0" w:space="0" w:color="auto"/>
        <w:left w:val="none" w:sz="0" w:space="0" w:color="auto"/>
        <w:bottom w:val="none" w:sz="0" w:space="0" w:color="auto"/>
        <w:right w:val="none" w:sz="0" w:space="0" w:color="auto"/>
      </w:divBdr>
    </w:div>
    <w:div w:id="8647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8D780-3693-4EEE-B86B-97989B08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31</TotalTime>
  <Pages>8</Pages>
  <Words>2427</Words>
  <Characters>13158</Characters>
  <Application>Microsoft Office Word</Application>
  <DocSecurity>0</DocSecurity>
  <Lines>226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ROSADO MARTIN Pedro (SANTE)</dc:creator>
  <cp:keywords/>
  <dc:description/>
  <cp:lastModifiedBy>ROSADO MARTIN Pedro (SANTE)</cp:lastModifiedBy>
  <cp:revision>6</cp:revision>
  <dcterms:created xsi:type="dcterms:W3CDTF">2022-01-24T14:35:00Z</dcterms:created>
  <dcterms:modified xsi:type="dcterms:W3CDTF">2022-01-25T08:44:00Z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Yellow (DQC version 03)</vt:lpwstr>
  </property>
</Properties>
</file>