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r w:rsidRPr="004853E5">
              <w:t>Notat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E812A1" w:rsidP="00F5763E">
            <w:pPr>
              <w:pStyle w:val="Template-Adresse"/>
              <w:tabs>
                <w:tab w:val="left" w:pos="709"/>
              </w:tabs>
            </w:pPr>
            <w:r>
              <w:fldChar w:fldCharType="begin"/>
            </w:r>
            <w:r>
              <w:instrText xml:space="preserve"> MACROBUTTON  AccenttegnKomma [dato]</w:instrText>
            </w:r>
            <w:r>
              <w:fldChar w:fldCharType="end"/>
            </w:r>
          </w:p>
          <w:p w:rsidR="00EF595A" w:rsidRDefault="00E812A1" w:rsidP="00F5763E">
            <w:pPr>
              <w:pStyle w:val="Template-Adresse"/>
              <w:tabs>
                <w:tab w:val="left" w:pos="709"/>
              </w:tabs>
            </w:pPr>
            <w:r>
              <w:fldChar w:fldCharType="begin"/>
            </w:r>
            <w:r>
              <w:instrText xml:space="preserve"> MACROBUTTON  AccenttegnKomma [j.nr.]</w:instrText>
            </w:r>
            <w:r>
              <w:fldChar w:fldCharType="end"/>
            </w:r>
          </w:p>
        </w:tc>
      </w:tr>
    </w:tbl>
    <w:p w:rsidR="00EA313E" w:rsidRDefault="00EA313E" w:rsidP="00EA313E">
      <w:pPr>
        <w:pStyle w:val="Default"/>
        <w:spacing w:line="280" w:lineRule="atLeast"/>
      </w:pPr>
      <w:r>
        <w:rPr>
          <w:b/>
          <w:bCs/>
          <w:sz w:val="21"/>
          <w:szCs w:val="21"/>
        </w:rPr>
        <w:t xml:space="preserve">Høring over udkast til Forslag til lov om ændring af færdselsloven </w:t>
      </w:r>
      <w:r w:rsidRPr="00EA313E">
        <w:rPr>
          <w:b/>
          <w:bCs/>
          <w:sz w:val="21"/>
          <w:szCs w:val="21"/>
        </w:rPr>
        <w:t>(Forhøjelse af bødeniveauet for alvorlige sikkerhedskritiske fejl og mangler ved tunge motordrevne køretøjer og for ulovlig støj fra m</w:t>
      </w:r>
      <w:r w:rsidRPr="00EA313E">
        <w:rPr>
          <w:b/>
          <w:bCs/>
          <w:sz w:val="21"/>
          <w:szCs w:val="21"/>
        </w:rPr>
        <w:t>o</w:t>
      </w:r>
      <w:r w:rsidRPr="00EA313E">
        <w:rPr>
          <w:b/>
          <w:bCs/>
          <w:sz w:val="21"/>
          <w:szCs w:val="21"/>
        </w:rPr>
        <w:t>tordrevne køretøjer)</w:t>
      </w:r>
      <w:r>
        <w:rPr>
          <w:b/>
          <w:bCs/>
          <w:sz w:val="21"/>
          <w:szCs w:val="21"/>
        </w:rPr>
        <w:t xml:space="preserve"> </w:t>
      </w:r>
    </w:p>
    <w:p w:rsidR="00EA313E" w:rsidRDefault="00EA313E" w:rsidP="00EA313E">
      <w:pPr>
        <w:pStyle w:val="Default"/>
        <w:spacing w:line="280" w:lineRule="atLeast"/>
        <w:rPr>
          <w:sz w:val="21"/>
          <w:szCs w:val="21"/>
        </w:rPr>
      </w:pPr>
    </w:p>
    <w:p w:rsidR="0003335A" w:rsidRDefault="0003335A" w:rsidP="0003335A">
      <w:pPr>
        <w:pStyle w:val="Normal-medluft"/>
        <w:rPr>
          <w:b/>
        </w:rPr>
      </w:pPr>
      <w:r>
        <w:rPr>
          <w:szCs w:val="24"/>
        </w:rPr>
        <w:t>Østre og Vestre Landsret</w:t>
      </w:r>
    </w:p>
    <w:p w:rsidR="0003335A" w:rsidRDefault="0003335A" w:rsidP="0003335A">
      <w:pPr>
        <w:pStyle w:val="Normal-medluft"/>
        <w:spacing w:after="240" w:line="240" w:lineRule="auto"/>
        <w:rPr>
          <w:szCs w:val="24"/>
        </w:rPr>
      </w:pPr>
      <w:r>
        <w:rPr>
          <w:szCs w:val="24"/>
        </w:rPr>
        <w:t>Samtlige byretter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Advokatrådet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Autobranchen Danmark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Automobilbranchens Handels- og Industriforening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Beredskabsstyrelse</w:t>
      </w:r>
      <w:r w:rsidRPr="00AA040C">
        <w:rPr>
          <w:szCs w:val="24"/>
        </w:rPr>
        <w:t>n</w:t>
      </w:r>
    </w:p>
    <w:p w:rsidR="0003335A" w:rsidRDefault="0003335A" w:rsidP="0003335A">
      <w:r w:rsidRPr="004B0E57">
        <w:t>Campingbranchen</w:t>
      </w:r>
    </w:p>
    <w:p w:rsidR="0003335A" w:rsidRPr="004B0E57" w:rsidRDefault="0003335A" w:rsidP="0003335A"/>
    <w:p w:rsidR="0003335A" w:rsidRDefault="0003335A" w:rsidP="0003335A">
      <w:pPr>
        <w:pStyle w:val="Normal-medluft"/>
        <w:spacing w:line="240" w:lineRule="auto"/>
        <w:rPr>
          <w:szCs w:val="24"/>
        </w:rPr>
      </w:pPr>
      <w:r w:rsidRPr="00AA040C">
        <w:rPr>
          <w:szCs w:val="24"/>
        </w:rPr>
        <w:t>Cyklistforbundet</w:t>
      </w:r>
      <w:r>
        <w:rPr>
          <w:szCs w:val="24"/>
        </w:rPr>
        <w:t xml:space="preserve"> 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Tekniske Universitet, Institut for Transport (DTU Transport)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Motor Union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Bilbrancheråd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Bilforhandler Union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Byggeri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Erhverv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Industri (DI)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Kørelærer-Union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Køreskole Forening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Metal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Dansk Standard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Transport &amp; Logistik (DTL)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Advokater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Biludlejere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Kørelæreres Landsforbund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Motorcyklister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Regioner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 Danske Bilimportører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Den Danske Dommerforening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Dommerfuldmægtigforeningen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Domstolsstyrelsen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Erhvervs- og Vækstministeriet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Erhvervsstyrelsen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Falck Danmark A/S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Finansministeriet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Forbrugerombudsmanden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 xml:space="preserve">Forbrugerrådet </w:t>
      </w:r>
      <w:r w:rsidRPr="00AA040C">
        <w:rPr>
          <w:szCs w:val="24"/>
        </w:rPr>
        <w:t>Tænk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Forenede Danske Motorejere (FDM)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Frie Kørelærere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offentlige anklagere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Forsikring &amp; Pension</w:t>
      </w:r>
    </w:p>
    <w:p w:rsidR="0003335A" w:rsidRDefault="0003335A" w:rsidP="0003335A">
      <w:r w:rsidRPr="004B0E57">
        <w:t>Forsvarets Køreskole</w:t>
      </w:r>
    </w:p>
    <w:p w:rsidR="0003335A" w:rsidRPr="004B0E57" w:rsidRDefault="0003335A" w:rsidP="0003335A"/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 xml:space="preserve">Frie Danske Lastbilvognmænd </w:t>
      </w:r>
      <w:r w:rsidRPr="00AA040C">
        <w:rPr>
          <w:szCs w:val="24"/>
        </w:rPr>
        <w:t>(FDL)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Håndværksrådet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Justitsministeriet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Institut for Menneskerettigheder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International Transport Danmark (ITD)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KL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Køreprøvesagkyndiges Landsforening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Landdistrikternes Fællesråd</w:t>
      </w:r>
    </w:p>
    <w:p w:rsidR="0003335A" w:rsidRDefault="0003335A" w:rsidP="0003335A">
      <w:r>
        <w:t>Landsforeningen for Forsvarsadvokater</w:t>
      </w:r>
    </w:p>
    <w:p w:rsidR="0003335A" w:rsidRPr="004B0E57" w:rsidRDefault="0003335A" w:rsidP="0003335A"/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Landsbyerne i Danmark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af Polio og Trafik- og Ulykkesskadede</w:t>
      </w:r>
      <w:bookmarkStart w:id="0" w:name="_GoBack"/>
      <w:bookmarkEnd w:id="0"/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NOAH-Trafik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Politiforbundet i Danmark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Rigsadvokaten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Rigspolitiet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Bæredygtig Trafik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Sikker Trafik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Skatteministeriet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Trafikforskningsgruppen ved Aalborg Universitet</w:t>
      </w:r>
    </w:p>
    <w:p w:rsidR="0003335A" w:rsidRDefault="0003335A" w:rsidP="0003335A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Trafiksikkerheds Venner i Danmark</w:t>
      </w:r>
    </w:p>
    <w:p w:rsidR="0003335A" w:rsidRDefault="0003335A" w:rsidP="0003335A">
      <w:r w:rsidRPr="004B0E57">
        <w:t>Transporterhvervets Uddannelser</w:t>
      </w:r>
    </w:p>
    <w:p w:rsidR="0003335A" w:rsidRPr="004B0E57" w:rsidRDefault="0003335A" w:rsidP="0003335A"/>
    <w:p w:rsidR="0003335A" w:rsidRDefault="0003335A" w:rsidP="0003335A">
      <w:pPr>
        <w:pStyle w:val="Normal-medluft"/>
        <w:spacing w:line="240" w:lineRule="auto"/>
      </w:pPr>
      <w:r>
        <w:t>Veteranknallertklubben Arkiv</w:t>
      </w:r>
    </w:p>
    <w:p w:rsidR="000D6AC3" w:rsidRDefault="000D6AC3" w:rsidP="00EA313E">
      <w:pPr>
        <w:pStyle w:val="Normal-medluft"/>
        <w:spacing w:after="0"/>
      </w:pPr>
    </w:p>
    <w:sectPr w:rsidR="000D6AC3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8" w:rsidRDefault="00572638" w:rsidP="00A56EBB">
      <w:pPr>
        <w:spacing w:line="240" w:lineRule="auto"/>
      </w:pPr>
      <w:r>
        <w:separator/>
      </w:r>
    </w:p>
  </w:endnote>
  <w:endnote w:type="continuationSeparator" w:id="0">
    <w:p w:rsidR="00572638" w:rsidRDefault="00572638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8" w:rsidRDefault="00572638" w:rsidP="00A56EBB">
      <w:pPr>
        <w:spacing w:line="240" w:lineRule="auto"/>
      </w:pPr>
      <w:r>
        <w:separator/>
      </w:r>
    </w:p>
  </w:footnote>
  <w:footnote w:type="continuationSeparator" w:id="0">
    <w:p w:rsidR="00572638" w:rsidRDefault="00572638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21C85E" wp14:editId="05107AC5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428904" wp14:editId="678F5A28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3335A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3335A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3335A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3335A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0182AC77" wp14:editId="0D1F1558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288B7" wp14:editId="36C3BF3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7"/>
    <w:rsid w:val="000037E2"/>
    <w:rsid w:val="0003335A"/>
    <w:rsid w:val="00034ECC"/>
    <w:rsid w:val="000576A9"/>
    <w:rsid w:val="00075AB4"/>
    <w:rsid w:val="00080CC1"/>
    <w:rsid w:val="000D264F"/>
    <w:rsid w:val="000D6AC3"/>
    <w:rsid w:val="000F1787"/>
    <w:rsid w:val="00117C1D"/>
    <w:rsid w:val="00160911"/>
    <w:rsid w:val="001A1309"/>
    <w:rsid w:val="001D1A1E"/>
    <w:rsid w:val="0022450C"/>
    <w:rsid w:val="0025571D"/>
    <w:rsid w:val="00334AE0"/>
    <w:rsid w:val="003A7A7C"/>
    <w:rsid w:val="003B27A8"/>
    <w:rsid w:val="003C4AB9"/>
    <w:rsid w:val="003D31BC"/>
    <w:rsid w:val="00400B59"/>
    <w:rsid w:val="00443A14"/>
    <w:rsid w:val="004A1E39"/>
    <w:rsid w:val="004E6E95"/>
    <w:rsid w:val="00502E69"/>
    <w:rsid w:val="00551E81"/>
    <w:rsid w:val="00572638"/>
    <w:rsid w:val="00581FF5"/>
    <w:rsid w:val="005D173D"/>
    <w:rsid w:val="005D35CA"/>
    <w:rsid w:val="00616D97"/>
    <w:rsid w:val="00651900"/>
    <w:rsid w:val="00657848"/>
    <w:rsid w:val="00660C87"/>
    <w:rsid w:val="006906EB"/>
    <w:rsid w:val="006F4FDC"/>
    <w:rsid w:val="00742692"/>
    <w:rsid w:val="00751AE5"/>
    <w:rsid w:val="00766FAD"/>
    <w:rsid w:val="007B705C"/>
    <w:rsid w:val="007E224D"/>
    <w:rsid w:val="007F3A1E"/>
    <w:rsid w:val="00812A4B"/>
    <w:rsid w:val="008503D5"/>
    <w:rsid w:val="0087452A"/>
    <w:rsid w:val="00886E10"/>
    <w:rsid w:val="008B2837"/>
    <w:rsid w:val="0090472D"/>
    <w:rsid w:val="0090725E"/>
    <w:rsid w:val="00943AF9"/>
    <w:rsid w:val="009A1530"/>
    <w:rsid w:val="009A257E"/>
    <w:rsid w:val="00A110F7"/>
    <w:rsid w:val="00A16E73"/>
    <w:rsid w:val="00A56EBB"/>
    <w:rsid w:val="00B41EC5"/>
    <w:rsid w:val="00B75EBE"/>
    <w:rsid w:val="00B967E8"/>
    <w:rsid w:val="00BE4B6F"/>
    <w:rsid w:val="00BE5780"/>
    <w:rsid w:val="00C020F0"/>
    <w:rsid w:val="00C33062"/>
    <w:rsid w:val="00CD1CFA"/>
    <w:rsid w:val="00CE77D3"/>
    <w:rsid w:val="00CF0A95"/>
    <w:rsid w:val="00D042CF"/>
    <w:rsid w:val="00D046CB"/>
    <w:rsid w:val="00D424D8"/>
    <w:rsid w:val="00DC7102"/>
    <w:rsid w:val="00DD22FE"/>
    <w:rsid w:val="00E1784B"/>
    <w:rsid w:val="00E20D40"/>
    <w:rsid w:val="00E812A1"/>
    <w:rsid w:val="00E83AFB"/>
    <w:rsid w:val="00EA2DFA"/>
    <w:rsid w:val="00EA313E"/>
    <w:rsid w:val="00EB1AB9"/>
    <w:rsid w:val="00EC43A7"/>
    <w:rsid w:val="00EF595A"/>
    <w:rsid w:val="00F346A5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EA31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EA31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9948bcac2cda4056a0014fbdfe5395b4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23BE-1C01-4D80-8695-7AA3B0CA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9948bcac2cda4056a0014fbdfe5395b4</Template>
  <TotalTime>14</TotalTime>
  <Pages>3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Ulla Østergaard</dc:creator>
  <cp:lastModifiedBy> Ulla Østergaard</cp:lastModifiedBy>
  <cp:revision>3</cp:revision>
  <dcterms:created xsi:type="dcterms:W3CDTF">2018-12-19T15:30:00Z</dcterms:created>
  <dcterms:modified xsi:type="dcterms:W3CDTF">2018-12-21T14:17:00Z</dcterms:modified>
</cp:coreProperties>
</file>