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b/>
          <w:bCs/>
          <w:i/>
          <w:iCs/>
          <w:color w:val="000000"/>
          <w:sz w:val="24"/>
          <w:szCs w:val="24"/>
          <w:lang w:eastAsia="da-DK"/>
        </w:rPr>
        <w:t>UDKAST</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000000"/>
          <w:sz w:val="24"/>
          <w:szCs w:val="24"/>
          <w:lang w:eastAsia="da-DK"/>
        </w:rPr>
        <w:t>Forslag</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til</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 xml:space="preserve">Lov om ændring af </w:t>
      </w:r>
      <w:r>
        <w:rPr>
          <w:rFonts w:ascii="Times New Roman" w:eastAsia="Times New Roman" w:hAnsi="Times New Roman" w:cs="Times New Roman"/>
          <w:color w:val="000000"/>
          <w:sz w:val="24"/>
          <w:szCs w:val="24"/>
          <w:lang w:eastAsia="da-DK"/>
        </w:rPr>
        <w:t>færdsels</w:t>
      </w:r>
      <w:r w:rsidRPr="00894519">
        <w:rPr>
          <w:rFonts w:ascii="Times New Roman" w:eastAsia="Times New Roman" w:hAnsi="Times New Roman" w:cs="Times New Roman"/>
          <w:color w:val="000000"/>
          <w:sz w:val="24"/>
          <w:szCs w:val="24"/>
          <w:lang w:eastAsia="da-DK"/>
        </w:rPr>
        <w:t>lov</w:t>
      </w:r>
      <w:r>
        <w:rPr>
          <w:rFonts w:ascii="Times New Roman" w:eastAsia="Times New Roman" w:hAnsi="Times New Roman" w:cs="Times New Roman"/>
          <w:color w:val="000000"/>
          <w:sz w:val="24"/>
          <w:szCs w:val="24"/>
          <w:lang w:eastAsia="da-DK"/>
        </w:rPr>
        <w:t>en</w:t>
      </w:r>
      <w:r w:rsidRPr="00894519">
        <w:rPr>
          <w:rFonts w:ascii="Times New Roman" w:eastAsia="Times New Roman" w:hAnsi="Times New Roman" w:cs="Times New Roman"/>
          <w:color w:val="000000"/>
          <w:sz w:val="24"/>
          <w:szCs w:val="24"/>
          <w:lang w:eastAsia="da-DK"/>
        </w:rPr>
        <w:t xml:space="preserve"> </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w:t>
      </w:r>
      <w:r w:rsidRPr="00A076DD">
        <w:rPr>
          <w:rFonts w:ascii="Times New Roman" w:eastAsia="Times New Roman" w:hAnsi="Times New Roman" w:cs="Times New Roman"/>
          <w:color w:val="000000"/>
          <w:sz w:val="24"/>
          <w:szCs w:val="24"/>
          <w:lang w:eastAsia="da-DK"/>
        </w:rPr>
        <w:t>Forhøjelse af bødeniveau</w:t>
      </w:r>
      <w:r>
        <w:rPr>
          <w:rFonts w:ascii="Times New Roman" w:eastAsia="Times New Roman" w:hAnsi="Times New Roman" w:cs="Times New Roman"/>
          <w:color w:val="000000"/>
          <w:sz w:val="24"/>
          <w:szCs w:val="24"/>
          <w:lang w:eastAsia="da-DK"/>
        </w:rPr>
        <w:t>et</w:t>
      </w:r>
      <w:r w:rsidRPr="00A076DD">
        <w:rPr>
          <w:rFonts w:ascii="Times New Roman" w:eastAsia="Times New Roman" w:hAnsi="Times New Roman" w:cs="Times New Roman"/>
          <w:color w:val="000000"/>
          <w:sz w:val="24"/>
          <w:szCs w:val="24"/>
          <w:lang w:eastAsia="da-DK"/>
        </w:rPr>
        <w:t xml:space="preserve"> for </w:t>
      </w:r>
      <w:r>
        <w:rPr>
          <w:rFonts w:ascii="Times New Roman" w:eastAsia="Times New Roman" w:hAnsi="Times New Roman" w:cs="Times New Roman"/>
          <w:color w:val="000000"/>
          <w:sz w:val="24"/>
          <w:szCs w:val="24"/>
          <w:lang w:eastAsia="da-DK"/>
        </w:rPr>
        <w:t xml:space="preserve">alvorlige </w:t>
      </w:r>
      <w:r w:rsidRPr="00A076DD">
        <w:rPr>
          <w:rFonts w:ascii="Times New Roman" w:eastAsia="Times New Roman" w:hAnsi="Times New Roman" w:cs="Times New Roman"/>
          <w:color w:val="000000"/>
          <w:sz w:val="24"/>
          <w:szCs w:val="24"/>
          <w:lang w:eastAsia="da-DK"/>
        </w:rPr>
        <w:t>sikkerhedskritiske fejl</w:t>
      </w:r>
      <w:r>
        <w:rPr>
          <w:rFonts w:ascii="Times New Roman" w:eastAsia="Times New Roman" w:hAnsi="Times New Roman" w:cs="Times New Roman"/>
          <w:color w:val="000000"/>
          <w:sz w:val="24"/>
          <w:szCs w:val="24"/>
          <w:lang w:eastAsia="da-DK"/>
        </w:rPr>
        <w:t xml:space="preserve"> og mangler</w:t>
      </w:r>
      <w:r w:rsidRPr="00A076DD">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ved</w:t>
      </w:r>
      <w:r w:rsidRPr="00A076DD">
        <w:rPr>
          <w:rFonts w:ascii="Times New Roman" w:eastAsia="Times New Roman" w:hAnsi="Times New Roman" w:cs="Times New Roman"/>
          <w:color w:val="000000"/>
          <w:sz w:val="24"/>
          <w:szCs w:val="24"/>
          <w:lang w:eastAsia="da-DK"/>
        </w:rPr>
        <w:t xml:space="preserve"> tunge</w:t>
      </w:r>
      <w:r w:rsidR="00246D92">
        <w:rPr>
          <w:rFonts w:ascii="Times New Roman" w:eastAsia="Times New Roman" w:hAnsi="Times New Roman" w:cs="Times New Roman"/>
          <w:color w:val="000000"/>
          <w:sz w:val="24"/>
          <w:szCs w:val="24"/>
          <w:lang w:eastAsia="da-DK"/>
        </w:rPr>
        <w:t xml:space="preserve"> </w:t>
      </w:r>
      <w:r w:rsidR="001862BD">
        <w:rPr>
          <w:rFonts w:ascii="Times New Roman" w:eastAsia="Times New Roman" w:hAnsi="Times New Roman" w:cs="Times New Roman"/>
          <w:color w:val="000000"/>
          <w:sz w:val="24"/>
          <w:szCs w:val="24"/>
          <w:lang w:eastAsia="da-DK"/>
        </w:rPr>
        <w:t xml:space="preserve">motordrevne </w:t>
      </w:r>
      <w:r w:rsidRPr="00A076DD">
        <w:rPr>
          <w:rFonts w:ascii="Times New Roman" w:eastAsia="Times New Roman" w:hAnsi="Times New Roman" w:cs="Times New Roman"/>
          <w:color w:val="000000"/>
          <w:sz w:val="24"/>
          <w:szCs w:val="24"/>
          <w:lang w:eastAsia="da-DK"/>
        </w:rPr>
        <w:t>køret</w:t>
      </w:r>
      <w:r>
        <w:rPr>
          <w:rFonts w:ascii="Times New Roman" w:eastAsia="Times New Roman" w:hAnsi="Times New Roman" w:cs="Times New Roman"/>
          <w:color w:val="000000"/>
          <w:sz w:val="24"/>
          <w:szCs w:val="24"/>
          <w:lang w:eastAsia="da-DK"/>
        </w:rPr>
        <w:t>øjer</w:t>
      </w:r>
      <w:r w:rsidR="00800478">
        <w:rPr>
          <w:rFonts w:ascii="Times New Roman" w:eastAsia="Times New Roman" w:hAnsi="Times New Roman" w:cs="Times New Roman"/>
          <w:color w:val="000000"/>
          <w:sz w:val="24"/>
          <w:szCs w:val="24"/>
          <w:lang w:eastAsia="da-DK"/>
        </w:rPr>
        <w:t xml:space="preserve"> og for ulovlig støj fra motordrevne køretøjer</w:t>
      </w:r>
      <w:r>
        <w:rPr>
          <w:rFonts w:ascii="Times New Roman" w:eastAsia="Times New Roman" w:hAnsi="Times New Roman" w:cs="Times New Roman"/>
          <w:color w:val="000000"/>
          <w:sz w:val="24"/>
          <w:szCs w:val="24"/>
          <w:lang w:eastAsia="da-DK"/>
        </w:rPr>
        <w:t>)</w:t>
      </w:r>
    </w:p>
    <w:p w:rsidR="00EC5BE4" w:rsidRPr="00894519" w:rsidRDefault="00EC5BE4" w:rsidP="00EC5BE4">
      <w:pPr>
        <w:spacing w:before="100" w:beforeAutospacing="1" w:line="240" w:lineRule="auto"/>
        <w:rPr>
          <w:rFonts w:ascii="Times New Roman" w:eastAsia="Times New Roman" w:hAnsi="Times New Roman" w:cs="Times New Roman"/>
          <w:i/>
          <w:iCs/>
          <w:color w:val="000000"/>
          <w:sz w:val="24"/>
          <w:szCs w:val="24"/>
          <w:lang w:eastAsia="da-DK"/>
        </w:rPr>
      </w:pPr>
    </w:p>
    <w:p w:rsidR="00EC5BE4" w:rsidRDefault="00800478" w:rsidP="00EC5BE4">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b/>
          <w:iCs/>
          <w:color w:val="000000"/>
          <w:sz w:val="24"/>
          <w:szCs w:val="24"/>
          <w:lang w:eastAsia="da-DK"/>
        </w:rPr>
        <w:t>§ 1</w:t>
      </w:r>
    </w:p>
    <w:p w:rsidR="00EC5BE4" w:rsidRDefault="00EC5BE4" w:rsidP="00EC5BE4">
      <w:pPr>
        <w:spacing w:before="100" w:beforeAutospacing="1" w:line="240" w:lineRule="auto"/>
        <w:ind w:firstLine="170"/>
        <w:rPr>
          <w:rFonts w:ascii="Times New Roman" w:eastAsia="Times New Roman" w:hAnsi="Times New Roman" w:cs="Times New Roman"/>
          <w:iCs/>
          <w:color w:val="000000"/>
          <w:sz w:val="24"/>
          <w:szCs w:val="24"/>
          <w:lang w:eastAsia="da-DK"/>
        </w:rPr>
      </w:pPr>
      <w:r>
        <w:rPr>
          <w:rFonts w:ascii="Times New Roman" w:eastAsia="Times New Roman" w:hAnsi="Times New Roman" w:cs="Times New Roman"/>
          <w:iCs/>
          <w:color w:val="000000"/>
          <w:sz w:val="24"/>
          <w:szCs w:val="24"/>
          <w:lang w:eastAsia="da-DK"/>
        </w:rPr>
        <w:t>I færdselsloven,</w:t>
      </w:r>
      <w:r w:rsidR="008B6790">
        <w:rPr>
          <w:rFonts w:ascii="Times New Roman" w:eastAsia="Times New Roman" w:hAnsi="Times New Roman" w:cs="Times New Roman"/>
          <w:b/>
          <w:iCs/>
          <w:color w:val="000000"/>
          <w:sz w:val="24"/>
          <w:szCs w:val="24"/>
          <w:lang w:eastAsia="da-DK"/>
        </w:rPr>
        <w:t xml:space="preserve"> </w:t>
      </w:r>
      <w:r>
        <w:rPr>
          <w:rFonts w:ascii="Times New Roman" w:eastAsia="Times New Roman" w:hAnsi="Times New Roman" w:cs="Times New Roman"/>
          <w:iCs/>
          <w:color w:val="000000"/>
          <w:sz w:val="24"/>
          <w:szCs w:val="24"/>
          <w:lang w:eastAsia="da-DK"/>
        </w:rPr>
        <w:t xml:space="preserve">jf. lovbekendtgørelse nr. </w:t>
      </w:r>
      <w:r w:rsidR="008B6790">
        <w:rPr>
          <w:rFonts w:ascii="Times New Roman" w:eastAsia="Times New Roman" w:hAnsi="Times New Roman" w:cs="Times New Roman"/>
          <w:iCs/>
          <w:color w:val="000000"/>
          <w:sz w:val="24"/>
          <w:szCs w:val="24"/>
          <w:lang w:eastAsia="da-DK"/>
        </w:rPr>
        <w:t>1324</w:t>
      </w:r>
      <w:r>
        <w:rPr>
          <w:rFonts w:ascii="Times New Roman" w:eastAsia="Times New Roman" w:hAnsi="Times New Roman" w:cs="Times New Roman"/>
          <w:iCs/>
          <w:color w:val="000000"/>
          <w:sz w:val="24"/>
          <w:szCs w:val="24"/>
          <w:lang w:eastAsia="da-DK"/>
        </w:rPr>
        <w:t xml:space="preserve"> af </w:t>
      </w:r>
      <w:r w:rsidR="008B6790">
        <w:rPr>
          <w:rFonts w:ascii="Times New Roman" w:eastAsia="Times New Roman" w:hAnsi="Times New Roman" w:cs="Times New Roman"/>
          <w:iCs/>
          <w:color w:val="000000"/>
          <w:sz w:val="24"/>
          <w:szCs w:val="24"/>
          <w:lang w:eastAsia="da-DK"/>
        </w:rPr>
        <w:t>21</w:t>
      </w:r>
      <w:r>
        <w:rPr>
          <w:rFonts w:ascii="Times New Roman" w:eastAsia="Times New Roman" w:hAnsi="Times New Roman" w:cs="Times New Roman"/>
          <w:iCs/>
          <w:color w:val="000000"/>
          <w:sz w:val="24"/>
          <w:szCs w:val="24"/>
          <w:lang w:eastAsia="da-DK"/>
        </w:rPr>
        <w:t xml:space="preserve">. </w:t>
      </w:r>
      <w:r w:rsidR="008B6790">
        <w:rPr>
          <w:rFonts w:ascii="Times New Roman" w:eastAsia="Times New Roman" w:hAnsi="Times New Roman" w:cs="Times New Roman"/>
          <w:iCs/>
          <w:color w:val="000000"/>
          <w:sz w:val="24"/>
          <w:szCs w:val="24"/>
          <w:lang w:eastAsia="da-DK"/>
        </w:rPr>
        <w:t>november</w:t>
      </w:r>
      <w:r>
        <w:rPr>
          <w:rFonts w:ascii="Times New Roman" w:eastAsia="Times New Roman" w:hAnsi="Times New Roman" w:cs="Times New Roman"/>
          <w:iCs/>
          <w:color w:val="000000"/>
          <w:sz w:val="24"/>
          <w:szCs w:val="24"/>
          <w:lang w:eastAsia="da-DK"/>
        </w:rPr>
        <w:t xml:space="preserve"> 201</w:t>
      </w:r>
      <w:r w:rsidR="008B6790">
        <w:rPr>
          <w:rFonts w:ascii="Times New Roman" w:eastAsia="Times New Roman" w:hAnsi="Times New Roman" w:cs="Times New Roman"/>
          <w:iCs/>
          <w:color w:val="000000"/>
          <w:sz w:val="24"/>
          <w:szCs w:val="24"/>
          <w:lang w:eastAsia="da-DK"/>
        </w:rPr>
        <w:t>8</w:t>
      </w:r>
      <w:r>
        <w:rPr>
          <w:rFonts w:ascii="Times New Roman" w:eastAsia="Times New Roman" w:hAnsi="Times New Roman" w:cs="Times New Roman"/>
          <w:iCs/>
          <w:color w:val="000000"/>
          <w:sz w:val="24"/>
          <w:szCs w:val="24"/>
          <w:lang w:eastAsia="da-DK"/>
        </w:rPr>
        <w:t>,</w:t>
      </w:r>
      <w:r w:rsidRPr="00894519">
        <w:rPr>
          <w:rFonts w:ascii="Times New Roman" w:eastAsia="Times New Roman" w:hAnsi="Times New Roman" w:cs="Times New Roman"/>
          <w:iCs/>
          <w:color w:val="000000"/>
          <w:sz w:val="24"/>
          <w:szCs w:val="24"/>
          <w:lang w:eastAsia="da-DK"/>
        </w:rPr>
        <w:t xml:space="preserve"> foretages følgende ændringer</w:t>
      </w:r>
      <w:r>
        <w:rPr>
          <w:rFonts w:ascii="Times New Roman" w:eastAsia="Times New Roman" w:hAnsi="Times New Roman" w:cs="Times New Roman"/>
          <w:iCs/>
          <w:color w:val="000000"/>
          <w:sz w:val="24"/>
          <w:szCs w:val="24"/>
          <w:lang w:eastAsia="da-DK"/>
        </w:rPr>
        <w:t>:</w:t>
      </w:r>
    </w:p>
    <w:p w:rsidR="00800478" w:rsidRDefault="00800478" w:rsidP="00246D92">
      <w:pPr>
        <w:pStyle w:val="Listeafsnit"/>
        <w:numPr>
          <w:ilvl w:val="0"/>
          <w:numId w:val="8"/>
        </w:numPr>
        <w:spacing w:before="100" w:beforeAutospacing="1" w:line="240" w:lineRule="auto"/>
        <w:rPr>
          <w:rFonts w:ascii="Times New Roman" w:eastAsia="Times New Roman" w:hAnsi="Times New Roman" w:cs="Times New Roman"/>
          <w:iCs/>
          <w:color w:val="auto"/>
          <w:sz w:val="24"/>
          <w:szCs w:val="24"/>
          <w:lang w:eastAsia="da-DK"/>
        </w:rPr>
      </w:pPr>
      <w:r w:rsidRPr="00246D92">
        <w:rPr>
          <w:rFonts w:ascii="Times New Roman" w:eastAsia="Times New Roman" w:hAnsi="Times New Roman" w:cs="Times New Roman"/>
          <w:iCs/>
          <w:color w:val="auto"/>
          <w:sz w:val="24"/>
          <w:szCs w:val="24"/>
          <w:lang w:eastAsia="da-DK"/>
        </w:rPr>
        <w:t xml:space="preserve">I </w:t>
      </w:r>
      <w:r w:rsidRPr="00246D92">
        <w:rPr>
          <w:rFonts w:ascii="Times New Roman" w:eastAsia="Times New Roman" w:hAnsi="Times New Roman" w:cs="Times New Roman"/>
          <w:i/>
          <w:iCs/>
          <w:color w:val="auto"/>
          <w:sz w:val="24"/>
          <w:szCs w:val="24"/>
          <w:lang w:eastAsia="da-DK"/>
        </w:rPr>
        <w:t>§ 67, stk. 4</w:t>
      </w:r>
      <w:r w:rsidRPr="00246D92">
        <w:rPr>
          <w:rFonts w:ascii="Times New Roman" w:eastAsia="Times New Roman" w:hAnsi="Times New Roman" w:cs="Times New Roman"/>
          <w:iCs/>
          <w:color w:val="auto"/>
          <w:sz w:val="24"/>
          <w:szCs w:val="24"/>
          <w:lang w:eastAsia="da-DK"/>
        </w:rPr>
        <w:t>, indsættes efter »angår«: »køretøjets afgivelse af støj og for så vidt angår«.</w:t>
      </w:r>
    </w:p>
    <w:p w:rsidR="00246D92" w:rsidRPr="00246D92" w:rsidRDefault="00246D92" w:rsidP="00246D92">
      <w:pPr>
        <w:pStyle w:val="Listeafsnit"/>
        <w:spacing w:before="100" w:beforeAutospacing="1" w:line="240" w:lineRule="auto"/>
        <w:ind w:left="927"/>
        <w:rPr>
          <w:rFonts w:ascii="Times New Roman" w:eastAsia="Times New Roman" w:hAnsi="Times New Roman" w:cs="Times New Roman"/>
          <w:iCs/>
          <w:color w:val="auto"/>
          <w:sz w:val="24"/>
          <w:szCs w:val="24"/>
          <w:lang w:eastAsia="da-DK"/>
        </w:rPr>
      </w:pPr>
    </w:p>
    <w:p w:rsidR="00246D92" w:rsidRPr="00246D92" w:rsidRDefault="00246D92" w:rsidP="00246D92">
      <w:pPr>
        <w:pStyle w:val="Listeafsnit"/>
        <w:numPr>
          <w:ilvl w:val="0"/>
          <w:numId w:val="8"/>
        </w:numPr>
        <w:spacing w:before="100" w:beforeAutospacing="1" w:line="240" w:lineRule="auto"/>
        <w:rPr>
          <w:rFonts w:ascii="Times New Roman" w:eastAsia="Times New Roman" w:hAnsi="Times New Roman" w:cs="Times New Roman"/>
          <w:iCs/>
          <w:color w:val="auto"/>
          <w:sz w:val="24"/>
          <w:szCs w:val="24"/>
          <w:lang w:eastAsia="da-DK"/>
        </w:rPr>
      </w:pPr>
      <w:r w:rsidRPr="00246D92">
        <w:rPr>
          <w:rFonts w:ascii="Times New Roman" w:eastAsia="Times New Roman" w:hAnsi="Times New Roman" w:cs="Times New Roman"/>
          <w:iCs/>
          <w:color w:val="auto"/>
          <w:sz w:val="24"/>
          <w:szCs w:val="24"/>
          <w:lang w:eastAsia="da-DK"/>
        </w:rPr>
        <w:t xml:space="preserve">I </w:t>
      </w:r>
      <w:r w:rsidRPr="00246D92">
        <w:rPr>
          <w:rFonts w:ascii="Times New Roman" w:eastAsia="Times New Roman" w:hAnsi="Times New Roman" w:cs="Times New Roman"/>
          <w:i/>
          <w:color w:val="auto"/>
          <w:sz w:val="24"/>
          <w:szCs w:val="24"/>
          <w:lang w:eastAsia="da-DK"/>
        </w:rPr>
        <w:t>§ 118, stk. 1, 1. pkt.,</w:t>
      </w:r>
      <w:r>
        <w:rPr>
          <w:rFonts w:ascii="Times New Roman" w:eastAsia="Times New Roman" w:hAnsi="Times New Roman" w:cs="Times New Roman"/>
          <w:iCs/>
          <w:color w:val="auto"/>
          <w:sz w:val="24"/>
          <w:szCs w:val="24"/>
          <w:lang w:eastAsia="da-DK"/>
        </w:rPr>
        <w:t xml:space="preserve"> ændres »stk. 7</w:t>
      </w:r>
      <w:r w:rsidRPr="00246D92">
        <w:rPr>
          <w:rFonts w:ascii="Times New Roman" w:eastAsia="Times New Roman" w:hAnsi="Times New Roman" w:cs="Times New Roman"/>
          <w:iCs/>
          <w:color w:val="auto"/>
          <w:sz w:val="24"/>
          <w:szCs w:val="24"/>
          <w:lang w:eastAsia="da-DK"/>
        </w:rPr>
        <w:t xml:space="preserve">« til: »stk. </w:t>
      </w:r>
      <w:r>
        <w:rPr>
          <w:rFonts w:ascii="Times New Roman" w:eastAsia="Times New Roman" w:hAnsi="Times New Roman" w:cs="Times New Roman"/>
          <w:iCs/>
          <w:color w:val="auto"/>
          <w:sz w:val="24"/>
          <w:szCs w:val="24"/>
          <w:lang w:eastAsia="da-DK"/>
        </w:rPr>
        <w:t>9</w:t>
      </w:r>
      <w:r w:rsidRPr="00246D92">
        <w:rPr>
          <w:rFonts w:ascii="Times New Roman" w:eastAsia="Times New Roman" w:hAnsi="Times New Roman" w:cs="Times New Roman"/>
          <w:iCs/>
          <w:color w:val="auto"/>
          <w:sz w:val="24"/>
          <w:szCs w:val="24"/>
          <w:lang w:eastAsia="da-DK"/>
        </w:rPr>
        <w:t>«.</w:t>
      </w:r>
    </w:p>
    <w:p w:rsidR="00734CFB" w:rsidRDefault="00246D92" w:rsidP="00734CFB">
      <w:pPr>
        <w:spacing w:before="100" w:beforeAutospacing="1" w:line="240" w:lineRule="auto"/>
        <w:ind w:left="567"/>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b/>
          <w:iCs/>
          <w:color w:val="auto"/>
          <w:sz w:val="24"/>
          <w:szCs w:val="24"/>
          <w:lang w:eastAsia="da-DK"/>
        </w:rPr>
        <w:t>3</w:t>
      </w:r>
      <w:r w:rsidR="00734CFB" w:rsidRPr="00734CFB">
        <w:rPr>
          <w:rFonts w:ascii="Times New Roman" w:eastAsia="Times New Roman" w:hAnsi="Times New Roman" w:cs="Times New Roman"/>
          <w:b/>
          <w:iCs/>
          <w:color w:val="auto"/>
          <w:sz w:val="24"/>
          <w:szCs w:val="24"/>
          <w:lang w:eastAsia="da-DK"/>
        </w:rPr>
        <w:t>.</w:t>
      </w:r>
      <w:r w:rsidR="00734CFB">
        <w:rPr>
          <w:rFonts w:ascii="Times New Roman" w:eastAsia="Times New Roman" w:hAnsi="Times New Roman" w:cs="Times New Roman"/>
          <w:b/>
          <w:iCs/>
          <w:color w:val="auto"/>
          <w:sz w:val="24"/>
          <w:szCs w:val="24"/>
          <w:lang w:eastAsia="da-DK"/>
        </w:rPr>
        <w:t xml:space="preserve"> </w:t>
      </w:r>
      <w:r w:rsidR="00EC5BE4" w:rsidRPr="00800478">
        <w:rPr>
          <w:rFonts w:ascii="Times New Roman" w:eastAsia="Times New Roman" w:hAnsi="Times New Roman" w:cs="Times New Roman"/>
          <w:iCs/>
          <w:color w:val="auto"/>
          <w:sz w:val="24"/>
          <w:szCs w:val="24"/>
          <w:lang w:eastAsia="da-DK"/>
        </w:rPr>
        <w:t xml:space="preserve">I </w:t>
      </w:r>
      <w:r w:rsidR="00EC5BE4" w:rsidRPr="00800478">
        <w:rPr>
          <w:rFonts w:ascii="Times New Roman" w:eastAsia="Times New Roman" w:hAnsi="Times New Roman" w:cs="Times New Roman"/>
          <w:i/>
          <w:iCs/>
          <w:color w:val="auto"/>
          <w:sz w:val="24"/>
          <w:szCs w:val="24"/>
          <w:lang w:eastAsia="da-DK"/>
        </w:rPr>
        <w:t xml:space="preserve">§ 118 </w:t>
      </w:r>
      <w:r w:rsidR="00EC5BE4" w:rsidRPr="00800478">
        <w:rPr>
          <w:rFonts w:ascii="Times New Roman" w:eastAsia="Times New Roman" w:hAnsi="Times New Roman" w:cs="Times New Roman"/>
          <w:iCs/>
          <w:color w:val="auto"/>
          <w:sz w:val="24"/>
          <w:szCs w:val="24"/>
          <w:lang w:eastAsia="da-DK"/>
        </w:rPr>
        <w:t>indsættes som nyt</w:t>
      </w:r>
      <w:r w:rsidR="00EC5BE4" w:rsidRPr="00800478">
        <w:rPr>
          <w:rFonts w:ascii="Times New Roman" w:eastAsia="Times New Roman" w:hAnsi="Times New Roman" w:cs="Times New Roman"/>
          <w:i/>
          <w:iCs/>
          <w:color w:val="auto"/>
          <w:sz w:val="24"/>
          <w:szCs w:val="24"/>
          <w:lang w:eastAsia="da-DK"/>
        </w:rPr>
        <w:t xml:space="preserve"> stk. </w:t>
      </w:r>
      <w:r w:rsidR="00800478" w:rsidRPr="00800478">
        <w:rPr>
          <w:rFonts w:ascii="Times New Roman" w:eastAsia="Times New Roman" w:hAnsi="Times New Roman" w:cs="Times New Roman"/>
          <w:i/>
          <w:iCs/>
          <w:color w:val="auto"/>
          <w:sz w:val="24"/>
          <w:szCs w:val="24"/>
          <w:lang w:eastAsia="da-DK"/>
        </w:rPr>
        <w:t>7 og 8</w:t>
      </w:r>
      <w:r w:rsidR="00EC5BE4" w:rsidRPr="00800478">
        <w:rPr>
          <w:rFonts w:ascii="Times New Roman" w:eastAsia="Times New Roman" w:hAnsi="Times New Roman" w:cs="Times New Roman"/>
          <w:iCs/>
          <w:color w:val="auto"/>
          <w:sz w:val="24"/>
          <w:szCs w:val="24"/>
          <w:lang w:eastAsia="da-DK"/>
        </w:rPr>
        <w:t>:</w:t>
      </w:r>
    </w:p>
    <w:p w:rsidR="00734CFB" w:rsidRDefault="00EC5BE4" w:rsidP="00734CFB">
      <w:pPr>
        <w:spacing w:line="240" w:lineRule="auto"/>
        <w:ind w:left="851" w:firstLine="283"/>
        <w:rPr>
          <w:rFonts w:ascii="Times New Roman" w:eastAsia="Times New Roman" w:hAnsi="Times New Roman" w:cs="Times New Roman"/>
          <w:iCs/>
          <w:color w:val="auto"/>
          <w:sz w:val="24"/>
          <w:szCs w:val="24"/>
          <w:lang w:eastAsia="da-DK"/>
        </w:rPr>
      </w:pPr>
      <w:r w:rsidRPr="00734CFB">
        <w:rPr>
          <w:rFonts w:ascii="Times New Roman" w:eastAsia="Times New Roman" w:hAnsi="Times New Roman" w:cs="Times New Roman"/>
          <w:iCs/>
          <w:color w:val="auto"/>
          <w:sz w:val="24"/>
          <w:szCs w:val="24"/>
          <w:lang w:eastAsia="da-DK"/>
        </w:rPr>
        <w:t>»</w:t>
      </w:r>
      <w:r w:rsidRPr="00734CFB">
        <w:rPr>
          <w:rFonts w:ascii="Times New Roman" w:eastAsia="Times New Roman" w:hAnsi="Times New Roman" w:cs="Times New Roman"/>
          <w:i/>
          <w:iCs/>
          <w:color w:val="auto"/>
          <w:sz w:val="24"/>
          <w:szCs w:val="24"/>
          <w:lang w:eastAsia="da-DK"/>
        </w:rPr>
        <w:t>Stk. 7.</w:t>
      </w:r>
      <w:r w:rsidRPr="00734CFB">
        <w:rPr>
          <w:rFonts w:ascii="Times New Roman" w:eastAsia="Times New Roman" w:hAnsi="Times New Roman" w:cs="Times New Roman"/>
          <w:iCs/>
          <w:color w:val="auto"/>
          <w:sz w:val="24"/>
          <w:szCs w:val="24"/>
          <w:lang w:eastAsia="da-DK"/>
        </w:rPr>
        <w:t xml:space="preserve"> Ved fastsættelse af bøder for overtrædelse af § 67, stk. 1-3, skal det for </w:t>
      </w:r>
      <w:r w:rsidR="00D508A3">
        <w:rPr>
          <w:rFonts w:ascii="Times New Roman" w:eastAsia="Times New Roman" w:hAnsi="Times New Roman" w:cs="Times New Roman"/>
          <w:iCs/>
          <w:color w:val="auto"/>
          <w:sz w:val="24"/>
          <w:szCs w:val="24"/>
          <w:lang w:eastAsia="da-DK"/>
        </w:rPr>
        <w:t>lastbil med og uden stort påhængskøretøj (kategori</w:t>
      </w:r>
      <w:r w:rsidR="009A3818">
        <w:rPr>
          <w:rFonts w:ascii="Times New Roman" w:eastAsia="Times New Roman" w:hAnsi="Times New Roman" w:cs="Times New Roman"/>
          <w:iCs/>
          <w:color w:val="auto"/>
          <w:sz w:val="24"/>
          <w:szCs w:val="24"/>
          <w:lang w:eastAsia="da-DK"/>
        </w:rPr>
        <w:t xml:space="preserve"> </w:t>
      </w:r>
      <w:r w:rsidR="00D508A3">
        <w:rPr>
          <w:rFonts w:ascii="Times New Roman" w:eastAsia="Times New Roman" w:hAnsi="Times New Roman" w:cs="Times New Roman"/>
          <w:iCs/>
          <w:color w:val="auto"/>
          <w:sz w:val="24"/>
          <w:szCs w:val="24"/>
          <w:lang w:eastAsia="da-DK"/>
        </w:rPr>
        <w:t>C1, C1/E, C og C/E) og for bus med og uden stort påhængskøretøj</w:t>
      </w:r>
      <w:r w:rsidR="00D508A3" w:rsidRPr="00734CFB">
        <w:rPr>
          <w:rFonts w:ascii="Times New Roman" w:eastAsia="Times New Roman" w:hAnsi="Times New Roman" w:cs="Times New Roman"/>
          <w:iCs/>
          <w:color w:val="auto"/>
          <w:sz w:val="24"/>
          <w:szCs w:val="24"/>
          <w:lang w:eastAsia="da-DK"/>
        </w:rPr>
        <w:t xml:space="preserve"> </w:t>
      </w:r>
      <w:r w:rsidR="00D508A3">
        <w:rPr>
          <w:rFonts w:ascii="Times New Roman" w:eastAsia="Times New Roman" w:hAnsi="Times New Roman" w:cs="Times New Roman"/>
          <w:iCs/>
          <w:color w:val="auto"/>
          <w:sz w:val="24"/>
          <w:szCs w:val="24"/>
          <w:lang w:eastAsia="da-DK"/>
        </w:rPr>
        <w:t>(kategori D1, D1/E, D og D/E)</w:t>
      </w:r>
      <w:r w:rsidRPr="00734CFB">
        <w:rPr>
          <w:rFonts w:ascii="Times New Roman" w:eastAsia="Times New Roman" w:hAnsi="Times New Roman" w:cs="Times New Roman"/>
          <w:iCs/>
          <w:color w:val="auto"/>
          <w:sz w:val="24"/>
          <w:szCs w:val="24"/>
          <w:lang w:eastAsia="da-DK"/>
        </w:rPr>
        <w:t>, indgå som en særligt skærpende omstændighed, hvis køretøjet eller vogntoget har alvorlige sikkerhedskritiske fejl og mangler.</w:t>
      </w:r>
    </w:p>
    <w:p w:rsidR="00EC5BE4" w:rsidRPr="00CB7098" w:rsidRDefault="00800478" w:rsidP="00734CFB">
      <w:pPr>
        <w:spacing w:line="240" w:lineRule="auto"/>
        <w:ind w:left="851" w:firstLine="283"/>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
          <w:iCs/>
          <w:color w:val="auto"/>
          <w:sz w:val="24"/>
          <w:szCs w:val="24"/>
          <w:lang w:eastAsia="da-DK"/>
        </w:rPr>
        <w:t>Stk. 8</w:t>
      </w:r>
      <w:r w:rsidRPr="00894519">
        <w:rPr>
          <w:rFonts w:ascii="Times New Roman" w:eastAsia="Times New Roman" w:hAnsi="Times New Roman" w:cs="Times New Roman"/>
          <w:i/>
          <w:iCs/>
          <w:color w:val="auto"/>
          <w:sz w:val="24"/>
          <w:szCs w:val="24"/>
          <w:lang w:eastAsia="da-DK"/>
        </w:rPr>
        <w:t>.</w:t>
      </w:r>
      <w:r w:rsidRPr="00894519">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V</w:t>
      </w:r>
      <w:r w:rsidRPr="004B3789">
        <w:rPr>
          <w:rFonts w:ascii="Times New Roman" w:eastAsia="Times New Roman" w:hAnsi="Times New Roman" w:cs="Times New Roman"/>
          <w:iCs/>
          <w:color w:val="auto"/>
          <w:sz w:val="24"/>
          <w:szCs w:val="24"/>
          <w:lang w:eastAsia="da-DK"/>
        </w:rPr>
        <w:t xml:space="preserve">ed fastsættelse af bøder for </w:t>
      </w:r>
      <w:r>
        <w:rPr>
          <w:rFonts w:ascii="Times New Roman" w:eastAsia="Times New Roman" w:hAnsi="Times New Roman" w:cs="Times New Roman"/>
          <w:iCs/>
          <w:color w:val="auto"/>
          <w:sz w:val="24"/>
          <w:szCs w:val="24"/>
          <w:lang w:eastAsia="da-DK"/>
        </w:rPr>
        <w:t>overtrædelse af §</w:t>
      </w:r>
      <w:r w:rsidRPr="004B3789">
        <w:rPr>
          <w:rFonts w:ascii="Times New Roman" w:eastAsia="Times New Roman" w:hAnsi="Times New Roman" w:cs="Times New Roman"/>
          <w:iCs/>
          <w:color w:val="auto"/>
          <w:sz w:val="24"/>
          <w:szCs w:val="24"/>
          <w:lang w:eastAsia="da-DK"/>
        </w:rPr>
        <w:t xml:space="preserve"> 38, stk. 1, og </w:t>
      </w:r>
      <w:r>
        <w:rPr>
          <w:rFonts w:ascii="Times New Roman" w:eastAsia="Times New Roman" w:hAnsi="Times New Roman" w:cs="Times New Roman"/>
          <w:iCs/>
          <w:color w:val="auto"/>
          <w:sz w:val="24"/>
          <w:szCs w:val="24"/>
          <w:lang w:eastAsia="da-DK"/>
        </w:rPr>
        <w:t xml:space="preserve">§ </w:t>
      </w:r>
      <w:r w:rsidRPr="004B3789">
        <w:rPr>
          <w:rFonts w:ascii="Times New Roman" w:eastAsia="Times New Roman" w:hAnsi="Times New Roman" w:cs="Times New Roman"/>
          <w:iCs/>
          <w:color w:val="auto"/>
          <w:sz w:val="24"/>
          <w:szCs w:val="24"/>
          <w:lang w:eastAsia="da-DK"/>
        </w:rPr>
        <w:t>67, stk. 2</w:t>
      </w:r>
      <w:r>
        <w:rPr>
          <w:rFonts w:ascii="Times New Roman" w:eastAsia="Times New Roman" w:hAnsi="Times New Roman" w:cs="Times New Roman"/>
          <w:iCs/>
          <w:color w:val="auto"/>
          <w:sz w:val="24"/>
          <w:szCs w:val="24"/>
          <w:lang w:eastAsia="da-DK"/>
        </w:rPr>
        <w:t xml:space="preserve"> og 4</w:t>
      </w:r>
      <w:r w:rsidRPr="004B3789">
        <w:rPr>
          <w:rFonts w:ascii="Times New Roman" w:eastAsia="Times New Roman" w:hAnsi="Times New Roman" w:cs="Times New Roman"/>
          <w:iCs/>
          <w:color w:val="auto"/>
          <w:sz w:val="24"/>
          <w:szCs w:val="24"/>
          <w:lang w:eastAsia="da-DK"/>
        </w:rPr>
        <w:t xml:space="preserve">, skal det indgå som en </w:t>
      </w:r>
      <w:r>
        <w:rPr>
          <w:rFonts w:ascii="Times New Roman" w:eastAsia="Times New Roman" w:hAnsi="Times New Roman" w:cs="Times New Roman"/>
          <w:iCs/>
          <w:color w:val="auto"/>
          <w:sz w:val="24"/>
          <w:szCs w:val="24"/>
          <w:lang w:eastAsia="da-DK"/>
        </w:rPr>
        <w:t xml:space="preserve">særligt </w:t>
      </w:r>
      <w:r w:rsidRPr="004B3789">
        <w:rPr>
          <w:rFonts w:ascii="Times New Roman" w:eastAsia="Times New Roman" w:hAnsi="Times New Roman" w:cs="Times New Roman"/>
          <w:iCs/>
          <w:color w:val="auto"/>
          <w:sz w:val="24"/>
          <w:szCs w:val="24"/>
          <w:lang w:eastAsia="da-DK"/>
        </w:rPr>
        <w:t>skærpende o</w:t>
      </w:r>
      <w:r w:rsidR="008464FC">
        <w:rPr>
          <w:rFonts w:ascii="Times New Roman" w:eastAsia="Times New Roman" w:hAnsi="Times New Roman" w:cs="Times New Roman"/>
          <w:iCs/>
          <w:color w:val="auto"/>
          <w:sz w:val="24"/>
          <w:szCs w:val="24"/>
          <w:lang w:eastAsia="da-DK"/>
        </w:rPr>
        <w:t>mstændighed, hvis et motordreve</w:t>
      </w:r>
      <w:r w:rsidRPr="004B3789">
        <w:rPr>
          <w:rFonts w:ascii="Times New Roman" w:eastAsia="Times New Roman" w:hAnsi="Times New Roman" w:cs="Times New Roman"/>
          <w:iCs/>
          <w:color w:val="auto"/>
          <w:sz w:val="24"/>
          <w:szCs w:val="24"/>
          <w:lang w:eastAsia="da-DK"/>
        </w:rPr>
        <w:t>t køretøj betjenes således</w:t>
      </w:r>
      <w:r>
        <w:rPr>
          <w:rFonts w:ascii="Times New Roman" w:eastAsia="Times New Roman" w:hAnsi="Times New Roman" w:cs="Times New Roman"/>
          <w:iCs/>
          <w:color w:val="auto"/>
          <w:sz w:val="24"/>
          <w:szCs w:val="24"/>
          <w:lang w:eastAsia="da-DK"/>
        </w:rPr>
        <w:t xml:space="preserve"> eller er i en sådan ulovlig stand, at det afgiver unødig støj.</w:t>
      </w:r>
      <w:r w:rsidRPr="00894519">
        <w:rPr>
          <w:rFonts w:ascii="Times New Roman" w:eastAsia="Times New Roman" w:hAnsi="Times New Roman" w:cs="Times New Roman"/>
          <w:iCs/>
          <w:color w:val="auto"/>
          <w:sz w:val="24"/>
          <w:szCs w:val="24"/>
          <w:lang w:eastAsia="da-DK"/>
        </w:rPr>
        <w:t>«</w:t>
      </w:r>
    </w:p>
    <w:p w:rsidR="00EC5BE4" w:rsidRPr="00734CFB" w:rsidRDefault="00EC5BE4" w:rsidP="00734CFB">
      <w:pPr>
        <w:spacing w:line="240" w:lineRule="auto"/>
        <w:ind w:left="851"/>
        <w:rPr>
          <w:rFonts w:ascii="Times New Roman" w:eastAsia="Times New Roman" w:hAnsi="Times New Roman" w:cs="Times New Roman"/>
          <w:iCs/>
          <w:color w:val="auto"/>
          <w:sz w:val="24"/>
          <w:szCs w:val="24"/>
          <w:lang w:eastAsia="da-DK"/>
        </w:rPr>
      </w:pPr>
      <w:r w:rsidRPr="00734CFB">
        <w:rPr>
          <w:rFonts w:ascii="Times New Roman" w:eastAsia="Times New Roman" w:hAnsi="Times New Roman" w:cs="Times New Roman"/>
          <w:iCs/>
          <w:color w:val="auto"/>
          <w:sz w:val="24"/>
          <w:szCs w:val="24"/>
          <w:lang w:eastAsia="da-DK"/>
        </w:rPr>
        <w:t xml:space="preserve">Stk. 7-11 bliver herefter stk. </w:t>
      </w:r>
      <w:r w:rsidR="00800478" w:rsidRPr="00734CFB">
        <w:rPr>
          <w:rFonts w:ascii="Times New Roman" w:eastAsia="Times New Roman" w:hAnsi="Times New Roman" w:cs="Times New Roman"/>
          <w:iCs/>
          <w:color w:val="auto"/>
          <w:sz w:val="24"/>
          <w:szCs w:val="24"/>
          <w:lang w:eastAsia="da-DK"/>
        </w:rPr>
        <w:t>9</w:t>
      </w:r>
      <w:r w:rsidRPr="00734CFB">
        <w:rPr>
          <w:rFonts w:ascii="Times New Roman" w:eastAsia="Times New Roman" w:hAnsi="Times New Roman" w:cs="Times New Roman"/>
          <w:iCs/>
          <w:color w:val="auto"/>
          <w:sz w:val="24"/>
          <w:szCs w:val="24"/>
          <w:lang w:eastAsia="da-DK"/>
        </w:rPr>
        <w:t>-1</w:t>
      </w:r>
      <w:r w:rsidR="00800478" w:rsidRPr="00734CFB">
        <w:rPr>
          <w:rFonts w:ascii="Times New Roman" w:eastAsia="Times New Roman" w:hAnsi="Times New Roman" w:cs="Times New Roman"/>
          <w:iCs/>
          <w:color w:val="auto"/>
          <w:sz w:val="24"/>
          <w:szCs w:val="24"/>
          <w:lang w:eastAsia="da-DK"/>
        </w:rPr>
        <w:t>3</w:t>
      </w:r>
      <w:r w:rsidRPr="00734CFB">
        <w:rPr>
          <w:rFonts w:ascii="Times New Roman" w:eastAsia="Times New Roman" w:hAnsi="Times New Roman" w:cs="Times New Roman"/>
          <w:iCs/>
          <w:color w:val="auto"/>
          <w:sz w:val="24"/>
          <w:szCs w:val="24"/>
          <w:lang w:eastAsia="da-DK"/>
        </w:rPr>
        <w:t xml:space="preserve">. </w:t>
      </w:r>
    </w:p>
    <w:p w:rsidR="00EC5BE4" w:rsidRPr="00894519" w:rsidRDefault="00EC5BE4" w:rsidP="00734CFB">
      <w:pPr>
        <w:pStyle w:val="Listeafsnit"/>
        <w:spacing w:line="240" w:lineRule="auto"/>
        <w:ind w:left="530"/>
        <w:rPr>
          <w:rFonts w:ascii="Times New Roman" w:eastAsia="Times New Roman" w:hAnsi="Times New Roman" w:cs="Times New Roman"/>
          <w:iCs/>
          <w:color w:val="auto"/>
          <w:sz w:val="24"/>
          <w:szCs w:val="24"/>
          <w:lang w:eastAsia="da-DK"/>
        </w:rPr>
      </w:pPr>
    </w:p>
    <w:p w:rsidR="00EC5BE4" w:rsidRPr="00432B4D" w:rsidRDefault="00246D92" w:rsidP="00734CFB">
      <w:pPr>
        <w:pStyle w:val="Listeafsnit"/>
        <w:spacing w:line="240" w:lineRule="auto"/>
        <w:ind w:left="567"/>
        <w:rPr>
          <w:rFonts w:ascii="Times New Roman" w:eastAsia="Times New Roman" w:hAnsi="Times New Roman" w:cs="Times New Roman"/>
          <w:b/>
          <w:iCs/>
          <w:color w:val="auto"/>
          <w:sz w:val="24"/>
          <w:szCs w:val="24"/>
          <w:lang w:eastAsia="da-DK"/>
        </w:rPr>
      </w:pPr>
      <w:r>
        <w:rPr>
          <w:rFonts w:ascii="Times New Roman" w:eastAsia="Times New Roman" w:hAnsi="Times New Roman" w:cs="Times New Roman"/>
          <w:b/>
          <w:iCs/>
          <w:color w:val="auto"/>
          <w:sz w:val="24"/>
          <w:szCs w:val="24"/>
          <w:lang w:eastAsia="da-DK"/>
        </w:rPr>
        <w:t>4</w:t>
      </w:r>
      <w:r w:rsidR="00734CFB" w:rsidRPr="00734CFB">
        <w:rPr>
          <w:rFonts w:ascii="Times New Roman" w:eastAsia="Times New Roman" w:hAnsi="Times New Roman" w:cs="Times New Roman"/>
          <w:b/>
          <w:iCs/>
          <w:color w:val="auto"/>
          <w:sz w:val="24"/>
          <w:szCs w:val="24"/>
          <w:lang w:eastAsia="da-DK"/>
        </w:rPr>
        <w:t>.</w:t>
      </w:r>
      <w:r w:rsidR="00734CFB">
        <w:rPr>
          <w:rFonts w:ascii="Times New Roman" w:eastAsia="Times New Roman" w:hAnsi="Times New Roman" w:cs="Times New Roman"/>
          <w:b/>
          <w:iCs/>
          <w:color w:val="auto"/>
          <w:sz w:val="24"/>
          <w:szCs w:val="24"/>
          <w:lang w:eastAsia="da-DK"/>
        </w:rPr>
        <w:t xml:space="preserve"> </w:t>
      </w:r>
      <w:r w:rsidR="00EC5BE4" w:rsidRPr="008E22C3">
        <w:rPr>
          <w:rFonts w:ascii="Times New Roman" w:eastAsia="Times New Roman" w:hAnsi="Times New Roman" w:cs="Times New Roman"/>
          <w:iCs/>
          <w:color w:val="auto"/>
          <w:sz w:val="24"/>
          <w:szCs w:val="24"/>
          <w:lang w:eastAsia="da-DK"/>
        </w:rPr>
        <w:t xml:space="preserve">I </w:t>
      </w:r>
      <w:r w:rsidR="00EC5BE4" w:rsidRPr="00F03E5C">
        <w:rPr>
          <w:rFonts w:ascii="Times New Roman" w:eastAsia="Times New Roman" w:hAnsi="Times New Roman" w:cs="Times New Roman"/>
          <w:i/>
          <w:iCs/>
          <w:color w:val="auto"/>
          <w:sz w:val="24"/>
          <w:szCs w:val="24"/>
          <w:lang w:eastAsia="da-DK"/>
        </w:rPr>
        <w:t>§ 134, stk. 4</w:t>
      </w:r>
      <w:r w:rsidR="00EC5BE4" w:rsidRPr="008E22C3">
        <w:rPr>
          <w:rFonts w:ascii="Times New Roman" w:eastAsia="Times New Roman" w:hAnsi="Times New Roman" w:cs="Times New Roman"/>
          <w:iCs/>
          <w:color w:val="auto"/>
          <w:sz w:val="24"/>
          <w:szCs w:val="24"/>
          <w:lang w:eastAsia="da-DK"/>
        </w:rPr>
        <w:t xml:space="preserve">, ændres »stk. </w:t>
      </w:r>
      <w:r w:rsidR="00EC5BE4">
        <w:rPr>
          <w:rFonts w:ascii="Times New Roman" w:eastAsia="Times New Roman" w:hAnsi="Times New Roman" w:cs="Times New Roman"/>
          <w:iCs/>
          <w:color w:val="auto"/>
          <w:sz w:val="24"/>
          <w:szCs w:val="24"/>
          <w:lang w:eastAsia="da-DK"/>
        </w:rPr>
        <w:t>8</w:t>
      </w:r>
      <w:r w:rsidR="00EC5BE4" w:rsidRPr="008E22C3">
        <w:rPr>
          <w:rFonts w:ascii="Times New Roman" w:eastAsia="Times New Roman" w:hAnsi="Times New Roman" w:cs="Times New Roman"/>
          <w:iCs/>
          <w:color w:val="auto"/>
          <w:sz w:val="24"/>
          <w:szCs w:val="24"/>
          <w:lang w:eastAsia="da-DK"/>
        </w:rPr>
        <w:t>« til: »stk.</w:t>
      </w:r>
      <w:r w:rsidR="00EC5BE4">
        <w:rPr>
          <w:rFonts w:ascii="Times New Roman" w:eastAsia="Times New Roman" w:hAnsi="Times New Roman" w:cs="Times New Roman"/>
          <w:iCs/>
          <w:color w:val="auto"/>
          <w:sz w:val="24"/>
          <w:szCs w:val="24"/>
          <w:lang w:eastAsia="da-DK"/>
        </w:rPr>
        <w:t xml:space="preserve"> </w:t>
      </w:r>
      <w:r w:rsidR="00800478">
        <w:rPr>
          <w:rFonts w:ascii="Times New Roman" w:eastAsia="Times New Roman" w:hAnsi="Times New Roman" w:cs="Times New Roman"/>
          <w:iCs/>
          <w:color w:val="auto"/>
          <w:sz w:val="24"/>
          <w:szCs w:val="24"/>
          <w:lang w:eastAsia="da-DK"/>
        </w:rPr>
        <w:t>10</w:t>
      </w:r>
      <w:r w:rsidR="00EC5BE4" w:rsidRPr="008E22C3">
        <w:rPr>
          <w:rFonts w:ascii="Times New Roman" w:eastAsia="Times New Roman" w:hAnsi="Times New Roman" w:cs="Times New Roman"/>
          <w:iCs/>
          <w:color w:val="auto"/>
          <w:sz w:val="24"/>
          <w:szCs w:val="24"/>
          <w:lang w:eastAsia="da-DK"/>
        </w:rPr>
        <w:t>«.</w:t>
      </w:r>
    </w:p>
    <w:p w:rsidR="00EC5BE4" w:rsidRDefault="00EC5BE4" w:rsidP="00734CFB">
      <w:pPr>
        <w:pStyle w:val="Listeafsnit"/>
        <w:spacing w:line="240" w:lineRule="auto"/>
        <w:ind w:left="530"/>
        <w:rPr>
          <w:rFonts w:ascii="Times New Roman" w:eastAsia="Times New Roman" w:hAnsi="Times New Roman" w:cs="Times New Roman"/>
          <w:iCs/>
          <w:color w:val="auto"/>
          <w:sz w:val="24"/>
          <w:szCs w:val="24"/>
          <w:lang w:eastAsia="da-DK"/>
        </w:rPr>
      </w:pPr>
    </w:p>
    <w:p w:rsidR="00EC5BE4" w:rsidRPr="006A342A" w:rsidRDefault="00246D92" w:rsidP="00734CFB">
      <w:pPr>
        <w:pStyle w:val="Listeafsnit"/>
        <w:spacing w:line="240" w:lineRule="auto"/>
        <w:ind w:left="567"/>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b/>
          <w:iCs/>
          <w:color w:val="auto"/>
          <w:sz w:val="24"/>
          <w:szCs w:val="24"/>
          <w:lang w:eastAsia="da-DK"/>
        </w:rPr>
        <w:t>5</w:t>
      </w:r>
      <w:r w:rsidR="00734CFB" w:rsidRPr="00734CFB">
        <w:rPr>
          <w:rFonts w:ascii="Times New Roman" w:eastAsia="Times New Roman" w:hAnsi="Times New Roman" w:cs="Times New Roman"/>
          <w:b/>
          <w:iCs/>
          <w:color w:val="auto"/>
          <w:sz w:val="24"/>
          <w:szCs w:val="24"/>
          <w:lang w:eastAsia="da-DK"/>
        </w:rPr>
        <w:t>.</w:t>
      </w:r>
      <w:r w:rsidR="00734CFB">
        <w:rPr>
          <w:rFonts w:ascii="Times New Roman" w:eastAsia="Times New Roman" w:hAnsi="Times New Roman" w:cs="Times New Roman"/>
          <w:b/>
          <w:iCs/>
          <w:color w:val="auto"/>
          <w:sz w:val="24"/>
          <w:szCs w:val="24"/>
          <w:lang w:eastAsia="da-DK"/>
        </w:rPr>
        <w:t xml:space="preserve"> </w:t>
      </w:r>
      <w:r w:rsidR="00EC5BE4">
        <w:rPr>
          <w:rFonts w:ascii="Times New Roman" w:eastAsia="Times New Roman" w:hAnsi="Times New Roman" w:cs="Times New Roman"/>
          <w:iCs/>
          <w:color w:val="auto"/>
          <w:sz w:val="24"/>
          <w:szCs w:val="24"/>
          <w:lang w:eastAsia="da-DK"/>
        </w:rPr>
        <w:t xml:space="preserve">I </w:t>
      </w:r>
      <w:r w:rsidR="00EC5BE4">
        <w:rPr>
          <w:rFonts w:ascii="Times New Roman" w:eastAsia="Times New Roman" w:hAnsi="Times New Roman" w:cs="Times New Roman"/>
          <w:i/>
          <w:iCs/>
          <w:color w:val="auto"/>
          <w:sz w:val="24"/>
          <w:szCs w:val="24"/>
          <w:lang w:eastAsia="da-DK"/>
        </w:rPr>
        <w:t xml:space="preserve">§ 140, stk. 2, 3. pkt., ændres </w:t>
      </w:r>
      <w:r w:rsidR="00EC5BE4" w:rsidRPr="00894519">
        <w:rPr>
          <w:rFonts w:ascii="Times New Roman" w:eastAsia="Times New Roman" w:hAnsi="Times New Roman" w:cs="Times New Roman"/>
          <w:iCs/>
          <w:color w:val="auto"/>
          <w:sz w:val="24"/>
          <w:szCs w:val="24"/>
          <w:lang w:eastAsia="da-DK"/>
        </w:rPr>
        <w:t>»</w:t>
      </w:r>
      <w:r w:rsidR="00EC5BE4">
        <w:rPr>
          <w:rFonts w:ascii="Times New Roman" w:eastAsia="Times New Roman" w:hAnsi="Times New Roman" w:cs="Times New Roman"/>
          <w:iCs/>
          <w:color w:val="auto"/>
          <w:sz w:val="24"/>
          <w:szCs w:val="24"/>
          <w:lang w:eastAsia="da-DK"/>
        </w:rPr>
        <w:t>stk. 9</w:t>
      </w:r>
      <w:r w:rsidR="00EC5BE4" w:rsidRPr="00894519">
        <w:rPr>
          <w:rFonts w:ascii="Times New Roman" w:eastAsia="Times New Roman" w:hAnsi="Times New Roman" w:cs="Times New Roman"/>
          <w:iCs/>
          <w:color w:val="auto"/>
          <w:sz w:val="24"/>
          <w:szCs w:val="24"/>
          <w:lang w:eastAsia="da-DK"/>
        </w:rPr>
        <w:t>«</w:t>
      </w:r>
      <w:r w:rsidR="00EC5BE4">
        <w:rPr>
          <w:rFonts w:ascii="Times New Roman" w:eastAsia="Times New Roman" w:hAnsi="Times New Roman" w:cs="Times New Roman"/>
          <w:iCs/>
          <w:color w:val="auto"/>
          <w:sz w:val="24"/>
          <w:szCs w:val="24"/>
          <w:lang w:eastAsia="da-DK"/>
        </w:rPr>
        <w:t xml:space="preserve"> til: </w:t>
      </w:r>
      <w:r w:rsidR="00EC5BE4" w:rsidRPr="00894519">
        <w:rPr>
          <w:rFonts w:ascii="Times New Roman" w:eastAsia="Times New Roman" w:hAnsi="Times New Roman" w:cs="Times New Roman"/>
          <w:iCs/>
          <w:color w:val="auto"/>
          <w:sz w:val="24"/>
          <w:szCs w:val="24"/>
          <w:lang w:eastAsia="da-DK"/>
        </w:rPr>
        <w:t>»</w:t>
      </w:r>
      <w:r w:rsidR="00EC5BE4">
        <w:rPr>
          <w:rFonts w:ascii="Times New Roman" w:eastAsia="Times New Roman" w:hAnsi="Times New Roman" w:cs="Times New Roman"/>
          <w:iCs/>
          <w:color w:val="auto"/>
          <w:sz w:val="24"/>
          <w:szCs w:val="24"/>
          <w:lang w:eastAsia="da-DK"/>
        </w:rPr>
        <w:t>stk. 1</w:t>
      </w:r>
      <w:r w:rsidR="008B6790">
        <w:rPr>
          <w:rFonts w:ascii="Times New Roman" w:eastAsia="Times New Roman" w:hAnsi="Times New Roman" w:cs="Times New Roman"/>
          <w:iCs/>
          <w:color w:val="auto"/>
          <w:sz w:val="24"/>
          <w:szCs w:val="24"/>
          <w:lang w:eastAsia="da-DK"/>
        </w:rPr>
        <w:t>1</w:t>
      </w:r>
      <w:r w:rsidR="00EC5BE4" w:rsidRPr="00894519">
        <w:rPr>
          <w:rFonts w:ascii="Times New Roman" w:eastAsia="Times New Roman" w:hAnsi="Times New Roman" w:cs="Times New Roman"/>
          <w:iCs/>
          <w:color w:val="auto"/>
          <w:sz w:val="24"/>
          <w:szCs w:val="24"/>
          <w:lang w:eastAsia="da-DK"/>
        </w:rPr>
        <w:t>«</w:t>
      </w:r>
      <w:r w:rsidR="00EC5BE4">
        <w:rPr>
          <w:rFonts w:ascii="Times New Roman" w:eastAsia="Times New Roman" w:hAnsi="Times New Roman" w:cs="Times New Roman"/>
          <w:iCs/>
          <w:color w:val="auto"/>
          <w:sz w:val="24"/>
          <w:szCs w:val="24"/>
          <w:lang w:eastAsia="da-DK"/>
        </w:rPr>
        <w:t>.</w:t>
      </w:r>
    </w:p>
    <w:p w:rsidR="00EC5BE4" w:rsidRPr="00894519" w:rsidRDefault="00EC5BE4" w:rsidP="00EC5BE4">
      <w:pPr>
        <w:pStyle w:val="Listeafsnit"/>
        <w:spacing w:before="100" w:beforeAutospacing="1" w:line="240" w:lineRule="auto"/>
        <w:ind w:left="530"/>
        <w:rPr>
          <w:rFonts w:ascii="Times New Roman" w:eastAsia="Times New Roman" w:hAnsi="Times New Roman" w:cs="Times New Roman"/>
          <w:iCs/>
          <w:color w:val="FF0000"/>
          <w:sz w:val="24"/>
          <w:szCs w:val="24"/>
          <w:lang w:eastAsia="da-DK"/>
        </w:rPr>
      </w:pPr>
    </w:p>
    <w:p w:rsidR="00EC5BE4" w:rsidRPr="00894519" w:rsidRDefault="00800478"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Pr>
          <w:rFonts w:ascii="Times New Roman" w:eastAsia="Times New Roman" w:hAnsi="Times New Roman" w:cs="Times New Roman"/>
          <w:b/>
          <w:bCs/>
          <w:color w:val="000000"/>
          <w:sz w:val="24"/>
          <w:szCs w:val="24"/>
          <w:lang w:eastAsia="da-DK"/>
        </w:rPr>
        <w:t>§ 2</w:t>
      </w:r>
    </w:p>
    <w:p w:rsidR="00EC5BE4" w:rsidRDefault="00EC5BE4" w:rsidP="00F50CB7">
      <w:pPr>
        <w:spacing w:before="100" w:beforeAutospacing="1" w:line="240" w:lineRule="auto"/>
        <w:ind w:left="567"/>
        <w:rPr>
          <w:rFonts w:ascii="Times New Roman" w:eastAsia="Times New Roman" w:hAnsi="Times New Roman" w:cs="Times New Roman"/>
          <w:i/>
          <w:color w:val="auto"/>
          <w:sz w:val="32"/>
          <w:szCs w:val="32"/>
          <w:lang w:eastAsia="da-DK"/>
        </w:rPr>
      </w:pPr>
      <w:r w:rsidRPr="00894519">
        <w:rPr>
          <w:rFonts w:ascii="Times New Roman" w:eastAsia="Times New Roman" w:hAnsi="Times New Roman" w:cs="Times New Roman"/>
          <w:bCs/>
          <w:color w:val="000000"/>
          <w:sz w:val="24"/>
          <w:szCs w:val="24"/>
          <w:lang w:eastAsia="da-DK"/>
        </w:rPr>
        <w:t xml:space="preserve">Loven træder i kraft den </w:t>
      </w:r>
      <w:r>
        <w:rPr>
          <w:rFonts w:ascii="Times New Roman" w:eastAsia="Times New Roman" w:hAnsi="Times New Roman" w:cs="Times New Roman"/>
          <w:bCs/>
          <w:color w:val="000000"/>
          <w:sz w:val="24"/>
          <w:szCs w:val="24"/>
          <w:lang w:eastAsia="da-DK"/>
        </w:rPr>
        <w:t>1. juli 2019.</w:t>
      </w:r>
    </w:p>
    <w:p w:rsidR="00EC5BE4" w:rsidRDefault="00EC5BE4" w:rsidP="00EC5BE4">
      <w:pPr>
        <w:spacing w:before="100" w:beforeAutospacing="1" w:line="240" w:lineRule="auto"/>
        <w:jc w:val="center"/>
        <w:rPr>
          <w:rFonts w:ascii="Times New Roman" w:eastAsia="Times New Roman" w:hAnsi="Times New Roman" w:cs="Times New Roman"/>
          <w:i/>
          <w:color w:val="auto"/>
          <w:sz w:val="32"/>
          <w:szCs w:val="32"/>
          <w:lang w:eastAsia="da-DK"/>
        </w:rPr>
      </w:pPr>
    </w:p>
    <w:p w:rsidR="00EC5BE4" w:rsidRDefault="00EC5BE4" w:rsidP="00EC5BE4">
      <w:pPr>
        <w:spacing w:before="100" w:beforeAutospacing="1" w:line="240" w:lineRule="auto"/>
        <w:jc w:val="center"/>
        <w:rPr>
          <w:rFonts w:ascii="Times New Roman" w:eastAsia="Times New Roman" w:hAnsi="Times New Roman" w:cs="Times New Roman"/>
          <w:i/>
          <w:color w:val="auto"/>
          <w:sz w:val="32"/>
          <w:szCs w:val="32"/>
          <w:lang w:eastAsia="da-DK"/>
        </w:rPr>
      </w:pPr>
    </w:p>
    <w:p w:rsidR="00EC5BE4" w:rsidRPr="00F05FFE" w:rsidRDefault="00EB5590" w:rsidP="00EC5BE4">
      <w:pPr>
        <w:spacing w:before="100" w:beforeAutospacing="1" w:line="240" w:lineRule="auto"/>
        <w:jc w:val="center"/>
        <w:rPr>
          <w:rFonts w:ascii="Times New Roman" w:eastAsia="Times New Roman" w:hAnsi="Times New Roman" w:cs="Times New Roman"/>
          <w:b/>
          <w:i/>
          <w:color w:val="auto"/>
          <w:sz w:val="32"/>
          <w:szCs w:val="32"/>
          <w:lang w:eastAsia="da-DK"/>
        </w:rPr>
      </w:pPr>
      <w:r w:rsidRPr="00F05FFE">
        <w:rPr>
          <w:rFonts w:ascii="Times New Roman" w:eastAsia="Times New Roman" w:hAnsi="Times New Roman" w:cs="Times New Roman"/>
          <w:b/>
          <w:i/>
          <w:color w:val="auto"/>
          <w:sz w:val="32"/>
          <w:szCs w:val="32"/>
          <w:lang w:eastAsia="da-DK"/>
        </w:rPr>
        <w:lastRenderedPageBreak/>
        <w:t xml:space="preserve">Bemærkninger til </w:t>
      </w:r>
      <w:r w:rsidR="00EC5BE4" w:rsidRPr="00F05FFE">
        <w:rPr>
          <w:rFonts w:ascii="Times New Roman" w:eastAsia="Times New Roman" w:hAnsi="Times New Roman" w:cs="Times New Roman"/>
          <w:b/>
          <w:i/>
          <w:color w:val="auto"/>
          <w:sz w:val="32"/>
          <w:szCs w:val="32"/>
          <w:lang w:eastAsia="da-DK"/>
        </w:rPr>
        <w:t>lovforslaget</w:t>
      </w:r>
    </w:p>
    <w:p w:rsidR="00EC5BE4" w:rsidRPr="00F05FFE"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i/>
          <w:iCs/>
          <w:color w:val="000000"/>
          <w:sz w:val="24"/>
          <w:szCs w:val="24"/>
          <w:lang w:eastAsia="da-DK"/>
        </w:rPr>
        <w:t>Almindelige bemærkninger</w:t>
      </w:r>
    </w:p>
    <w:p w:rsidR="00EC5BE4" w:rsidRPr="00894519" w:rsidRDefault="00EC5BE4" w:rsidP="00EC5BE4">
      <w:pPr>
        <w:spacing w:before="100" w:beforeAutospacing="1" w:line="240" w:lineRule="auto"/>
        <w:ind w:firstLine="170"/>
        <w:rPr>
          <w:rFonts w:ascii="Times New Roman" w:eastAsia="Times New Roman" w:hAnsi="Times New Roman" w:cs="Times New Roman"/>
          <w:color w:val="auto"/>
          <w:sz w:val="24"/>
          <w:szCs w:val="24"/>
          <w:lang w:eastAsia="da-DK"/>
        </w:rPr>
      </w:pPr>
    </w:p>
    <w:p w:rsidR="00EC5BE4" w:rsidRPr="00F05FFE" w:rsidRDefault="00EC5BE4" w:rsidP="00EC5BE4">
      <w:pPr>
        <w:spacing w:before="100" w:beforeAutospacing="1" w:line="240" w:lineRule="auto"/>
        <w:ind w:firstLine="170"/>
        <w:rPr>
          <w:rFonts w:ascii="Times New Roman" w:eastAsia="Times New Roman" w:hAnsi="Times New Roman" w:cs="Times New Roman"/>
          <w:b/>
          <w:iCs/>
          <w:color w:val="FF0000"/>
          <w:sz w:val="24"/>
          <w:szCs w:val="24"/>
          <w:lang w:eastAsia="da-DK"/>
        </w:rPr>
      </w:pPr>
      <w:r w:rsidRPr="00F05FFE">
        <w:rPr>
          <w:rFonts w:ascii="Times New Roman" w:eastAsia="Times New Roman" w:hAnsi="Times New Roman" w:cs="Times New Roman"/>
          <w:b/>
          <w:iCs/>
          <w:color w:val="000000"/>
          <w:sz w:val="24"/>
          <w:szCs w:val="24"/>
          <w:lang w:eastAsia="da-DK"/>
        </w:rPr>
        <w:t>Indholdsfortegnelse</w:t>
      </w:r>
    </w:p>
    <w:p w:rsidR="00EC5BE4" w:rsidRPr="00F05FFE" w:rsidRDefault="00EC5BE4" w:rsidP="00EC5BE4">
      <w:pPr>
        <w:spacing w:before="100" w:beforeAutospacing="1" w:line="240" w:lineRule="auto"/>
        <w:ind w:firstLine="170"/>
        <w:rPr>
          <w:rFonts w:ascii="Times New Roman" w:eastAsia="Times New Roman" w:hAnsi="Times New Roman" w:cs="Times New Roman"/>
          <w:iCs/>
          <w:color w:val="FF0000"/>
          <w:sz w:val="24"/>
          <w:szCs w:val="24"/>
          <w:lang w:eastAsia="da-DK"/>
        </w:rPr>
      </w:pPr>
    </w:p>
    <w:p w:rsidR="00EC5BE4" w:rsidRPr="00F05FFE" w:rsidRDefault="00EC5BE4" w:rsidP="00EC5BE4">
      <w:pPr>
        <w:numPr>
          <w:ilvl w:val="0"/>
          <w:numId w:val="3"/>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Indledning og lovforslagets baggrund</w:t>
      </w:r>
    </w:p>
    <w:p w:rsidR="00EC5BE4" w:rsidRPr="00F05FFE" w:rsidRDefault="00EC5BE4" w:rsidP="00EC5BE4">
      <w:pPr>
        <w:numPr>
          <w:ilvl w:val="0"/>
          <w:numId w:val="3"/>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Lovforslagets hovedpunkter</w:t>
      </w:r>
    </w:p>
    <w:p w:rsidR="00EC5BE4" w:rsidRPr="00F05FFE" w:rsidRDefault="00EC5BE4" w:rsidP="00EC5BE4">
      <w:pPr>
        <w:spacing w:line="240" w:lineRule="auto"/>
        <w:ind w:left="1134" w:hanging="1134"/>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color w:val="auto"/>
          <w:sz w:val="24"/>
          <w:szCs w:val="24"/>
          <w:lang w:eastAsia="da-DK"/>
        </w:rPr>
        <w:t xml:space="preserve">            2.1 Forhøjelse af bødeniveauet for alvorlige sikkerhedskritiske fejl og mangler på tunge køretøjer</w:t>
      </w:r>
    </w:p>
    <w:p w:rsidR="00EC5BE4" w:rsidRPr="00F05FFE" w:rsidRDefault="00EC5BE4" w:rsidP="00EC5BE4">
      <w:pPr>
        <w:spacing w:line="240" w:lineRule="auto"/>
        <w:ind w:left="1080"/>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color w:val="auto"/>
          <w:sz w:val="24"/>
          <w:szCs w:val="24"/>
          <w:lang w:eastAsia="da-DK"/>
        </w:rPr>
        <w:t>2.1.1 Gældende ret</w:t>
      </w:r>
    </w:p>
    <w:p w:rsidR="00EC5BE4" w:rsidRDefault="00EC5BE4" w:rsidP="00EC5BE4">
      <w:pPr>
        <w:spacing w:line="240" w:lineRule="auto"/>
        <w:ind w:left="1080"/>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color w:val="auto"/>
          <w:sz w:val="24"/>
          <w:szCs w:val="24"/>
          <w:lang w:eastAsia="da-DK"/>
        </w:rPr>
        <w:t>2.1.2. Transport-, Bygnings- og Boligministeriets overvejelser og den foreslåede ordning</w:t>
      </w:r>
    </w:p>
    <w:p w:rsidR="008863F8" w:rsidRPr="008863F8" w:rsidRDefault="008863F8" w:rsidP="00E34602">
      <w:pPr>
        <w:spacing w:line="240" w:lineRule="auto"/>
        <w:ind w:left="709"/>
        <w:rPr>
          <w:rFonts w:ascii="Times New Roman" w:eastAsia="Times New Roman" w:hAnsi="Times New Roman" w:cs="Times New Roman"/>
          <w:color w:val="auto"/>
          <w:sz w:val="24"/>
          <w:szCs w:val="24"/>
          <w:lang w:eastAsia="da-DK"/>
        </w:rPr>
      </w:pPr>
      <w:r w:rsidRPr="008863F8">
        <w:rPr>
          <w:rFonts w:ascii="Times New Roman" w:eastAsia="Times New Roman" w:hAnsi="Times New Roman" w:cs="Times New Roman"/>
          <w:color w:val="auto"/>
          <w:sz w:val="24"/>
          <w:szCs w:val="24"/>
          <w:lang w:eastAsia="da-DK"/>
        </w:rPr>
        <w:t>2</w:t>
      </w:r>
      <w:r w:rsidR="00E34602">
        <w:rPr>
          <w:rFonts w:ascii="Times New Roman" w:eastAsia="Times New Roman" w:hAnsi="Times New Roman" w:cs="Times New Roman"/>
          <w:color w:val="auto"/>
          <w:sz w:val="24"/>
          <w:szCs w:val="24"/>
          <w:lang w:eastAsia="da-DK"/>
        </w:rPr>
        <w:t>.2</w:t>
      </w:r>
      <w:r w:rsidRPr="008863F8">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Forhøjelse af bødeniveauet</w:t>
      </w:r>
      <w:r w:rsidRPr="008863F8">
        <w:rPr>
          <w:rFonts w:ascii="Times New Roman" w:eastAsia="Times New Roman" w:hAnsi="Times New Roman" w:cs="Times New Roman"/>
          <w:color w:val="auto"/>
          <w:sz w:val="24"/>
          <w:szCs w:val="24"/>
          <w:lang w:eastAsia="da-DK"/>
        </w:rPr>
        <w:t xml:space="preserve"> for ulovlig støj fra motordrevne køretøjer</w:t>
      </w:r>
    </w:p>
    <w:p w:rsidR="008863F8" w:rsidRPr="008863F8" w:rsidRDefault="00E34602" w:rsidP="008863F8">
      <w:pPr>
        <w:spacing w:line="24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2.2</w:t>
      </w:r>
      <w:r w:rsidR="008863F8" w:rsidRPr="008863F8">
        <w:rPr>
          <w:rFonts w:ascii="Times New Roman" w:eastAsia="Times New Roman" w:hAnsi="Times New Roman" w:cs="Times New Roman"/>
          <w:color w:val="auto"/>
          <w:sz w:val="24"/>
          <w:szCs w:val="24"/>
          <w:lang w:eastAsia="da-DK"/>
        </w:rPr>
        <w:t>.1. Gældende ret</w:t>
      </w:r>
    </w:p>
    <w:p w:rsidR="008863F8" w:rsidRPr="008863F8" w:rsidRDefault="008863F8" w:rsidP="008863F8">
      <w:pPr>
        <w:spacing w:line="240" w:lineRule="auto"/>
        <w:ind w:left="1080"/>
        <w:rPr>
          <w:rFonts w:ascii="Times New Roman" w:eastAsia="Times New Roman" w:hAnsi="Times New Roman" w:cs="Times New Roman"/>
          <w:color w:val="auto"/>
          <w:sz w:val="24"/>
          <w:szCs w:val="24"/>
          <w:lang w:eastAsia="da-DK"/>
        </w:rPr>
      </w:pPr>
      <w:r w:rsidRPr="008863F8">
        <w:rPr>
          <w:rFonts w:ascii="Times New Roman" w:eastAsia="Times New Roman" w:hAnsi="Times New Roman" w:cs="Times New Roman"/>
          <w:color w:val="auto"/>
          <w:sz w:val="24"/>
          <w:szCs w:val="24"/>
          <w:lang w:eastAsia="da-DK"/>
        </w:rPr>
        <w:t>2</w:t>
      </w:r>
      <w:r w:rsidR="00E34602">
        <w:rPr>
          <w:rFonts w:ascii="Times New Roman" w:eastAsia="Times New Roman" w:hAnsi="Times New Roman" w:cs="Times New Roman"/>
          <w:color w:val="auto"/>
          <w:sz w:val="24"/>
          <w:szCs w:val="24"/>
          <w:lang w:eastAsia="da-DK"/>
        </w:rPr>
        <w:t>.2</w:t>
      </w:r>
      <w:r w:rsidRPr="008863F8">
        <w:rPr>
          <w:rFonts w:ascii="Times New Roman" w:eastAsia="Times New Roman" w:hAnsi="Times New Roman" w:cs="Times New Roman"/>
          <w:color w:val="auto"/>
          <w:sz w:val="24"/>
          <w:szCs w:val="24"/>
          <w:lang w:eastAsia="da-DK"/>
        </w:rPr>
        <w:t>.2. Transport-, Bygnings- og Boligministeriets overvejelser</w:t>
      </w:r>
      <w:r>
        <w:rPr>
          <w:rFonts w:ascii="Times New Roman" w:eastAsia="Times New Roman" w:hAnsi="Times New Roman" w:cs="Times New Roman"/>
          <w:color w:val="auto"/>
          <w:sz w:val="24"/>
          <w:szCs w:val="24"/>
          <w:lang w:eastAsia="da-DK"/>
        </w:rPr>
        <w:t xml:space="preserve"> og den foreslåede ordning</w:t>
      </w:r>
    </w:p>
    <w:p w:rsidR="008863F8" w:rsidRPr="008863F8" w:rsidRDefault="00E34602" w:rsidP="00E34602">
      <w:pPr>
        <w:spacing w:line="240" w:lineRule="auto"/>
        <w:ind w:left="709"/>
        <w:rPr>
          <w:rFonts w:ascii="Times New Roman" w:hAnsi="Times New Roman" w:cs="Times New Roman"/>
          <w:sz w:val="24"/>
          <w:szCs w:val="24"/>
        </w:rPr>
      </w:pPr>
      <w:r>
        <w:rPr>
          <w:rFonts w:ascii="Times New Roman" w:eastAsia="Times New Roman" w:hAnsi="Times New Roman" w:cs="Times New Roman"/>
          <w:color w:val="auto"/>
          <w:sz w:val="24"/>
          <w:szCs w:val="24"/>
          <w:lang w:eastAsia="da-DK"/>
        </w:rPr>
        <w:t>2.3</w:t>
      </w:r>
      <w:r w:rsidR="008863F8" w:rsidRPr="008863F8">
        <w:rPr>
          <w:rFonts w:ascii="Times New Roman" w:eastAsia="Times New Roman" w:hAnsi="Times New Roman" w:cs="Times New Roman"/>
          <w:color w:val="auto"/>
          <w:sz w:val="24"/>
          <w:szCs w:val="24"/>
          <w:lang w:eastAsia="da-DK"/>
        </w:rPr>
        <w:t xml:space="preserve">. </w:t>
      </w:r>
      <w:r w:rsidR="008863F8" w:rsidRPr="008863F8">
        <w:rPr>
          <w:rFonts w:ascii="Times New Roman" w:hAnsi="Times New Roman" w:cs="Times New Roman"/>
          <w:sz w:val="24"/>
          <w:szCs w:val="24"/>
        </w:rPr>
        <w:t xml:space="preserve">Indførelse af strafansvar for føreren af </w:t>
      </w:r>
      <w:r w:rsidR="008863F8">
        <w:rPr>
          <w:rFonts w:ascii="Times New Roman" w:hAnsi="Times New Roman" w:cs="Times New Roman"/>
          <w:sz w:val="24"/>
          <w:szCs w:val="24"/>
        </w:rPr>
        <w:t xml:space="preserve">motordrevne </w:t>
      </w:r>
      <w:r w:rsidR="008863F8" w:rsidRPr="008863F8">
        <w:rPr>
          <w:rFonts w:ascii="Times New Roman" w:hAnsi="Times New Roman" w:cs="Times New Roman"/>
          <w:sz w:val="24"/>
          <w:szCs w:val="24"/>
        </w:rPr>
        <w:t>køretøjer, der støjer ulovligt</w:t>
      </w:r>
    </w:p>
    <w:p w:rsidR="008863F8" w:rsidRPr="008863F8" w:rsidRDefault="008863F8" w:rsidP="008863F8">
      <w:pPr>
        <w:spacing w:line="240" w:lineRule="auto"/>
        <w:ind w:left="1080"/>
        <w:rPr>
          <w:rFonts w:ascii="Times New Roman" w:eastAsia="Times New Roman" w:hAnsi="Times New Roman" w:cs="Times New Roman"/>
          <w:color w:val="auto"/>
          <w:sz w:val="24"/>
          <w:szCs w:val="24"/>
          <w:lang w:eastAsia="da-DK"/>
        </w:rPr>
      </w:pPr>
      <w:r w:rsidRPr="008863F8">
        <w:rPr>
          <w:rFonts w:ascii="Times New Roman" w:eastAsia="Times New Roman" w:hAnsi="Times New Roman" w:cs="Times New Roman"/>
          <w:color w:val="auto"/>
          <w:sz w:val="24"/>
          <w:szCs w:val="24"/>
          <w:lang w:eastAsia="da-DK"/>
        </w:rPr>
        <w:t>2.</w:t>
      </w:r>
      <w:r w:rsidR="00E34602">
        <w:rPr>
          <w:rFonts w:ascii="Times New Roman" w:eastAsia="Times New Roman" w:hAnsi="Times New Roman" w:cs="Times New Roman"/>
          <w:color w:val="auto"/>
          <w:sz w:val="24"/>
          <w:szCs w:val="24"/>
          <w:lang w:eastAsia="da-DK"/>
        </w:rPr>
        <w:t>3</w:t>
      </w:r>
      <w:r w:rsidRPr="008863F8">
        <w:rPr>
          <w:rFonts w:ascii="Times New Roman" w:eastAsia="Times New Roman" w:hAnsi="Times New Roman" w:cs="Times New Roman"/>
          <w:color w:val="auto"/>
          <w:sz w:val="24"/>
          <w:szCs w:val="24"/>
          <w:lang w:eastAsia="da-DK"/>
        </w:rPr>
        <w:t>.1. Gældende ret</w:t>
      </w:r>
    </w:p>
    <w:p w:rsidR="008863F8" w:rsidRPr="00F05FFE" w:rsidRDefault="008863F8" w:rsidP="00EC5BE4">
      <w:pPr>
        <w:spacing w:line="240" w:lineRule="auto"/>
        <w:ind w:left="1080"/>
        <w:rPr>
          <w:rFonts w:ascii="Times New Roman" w:eastAsia="Times New Roman" w:hAnsi="Times New Roman" w:cs="Times New Roman"/>
          <w:color w:val="auto"/>
          <w:sz w:val="24"/>
          <w:szCs w:val="24"/>
          <w:lang w:eastAsia="da-DK"/>
        </w:rPr>
      </w:pPr>
      <w:r w:rsidRPr="008863F8">
        <w:rPr>
          <w:rFonts w:ascii="Times New Roman" w:eastAsia="Times New Roman" w:hAnsi="Times New Roman" w:cs="Times New Roman"/>
          <w:color w:val="auto"/>
          <w:sz w:val="24"/>
          <w:szCs w:val="24"/>
          <w:lang w:eastAsia="da-DK"/>
        </w:rPr>
        <w:t>2.</w:t>
      </w:r>
      <w:r w:rsidR="00E34602">
        <w:rPr>
          <w:rFonts w:ascii="Times New Roman" w:eastAsia="Times New Roman" w:hAnsi="Times New Roman" w:cs="Times New Roman"/>
          <w:color w:val="auto"/>
          <w:sz w:val="24"/>
          <w:szCs w:val="24"/>
          <w:lang w:eastAsia="da-DK"/>
        </w:rPr>
        <w:t>3</w:t>
      </w:r>
      <w:r w:rsidRPr="008863F8">
        <w:rPr>
          <w:rFonts w:ascii="Times New Roman" w:eastAsia="Times New Roman" w:hAnsi="Times New Roman" w:cs="Times New Roman"/>
          <w:color w:val="auto"/>
          <w:sz w:val="24"/>
          <w:szCs w:val="24"/>
          <w:lang w:eastAsia="da-DK"/>
        </w:rPr>
        <w:t>.2. Transport-, Bygnings- og Boligministeriets overvejelser</w:t>
      </w:r>
      <w:r>
        <w:rPr>
          <w:rFonts w:ascii="Times New Roman" w:eastAsia="Times New Roman" w:hAnsi="Times New Roman" w:cs="Times New Roman"/>
          <w:color w:val="auto"/>
          <w:sz w:val="24"/>
          <w:szCs w:val="24"/>
          <w:lang w:eastAsia="da-DK"/>
        </w:rPr>
        <w:t xml:space="preserve"> og den foreslåede ordning</w:t>
      </w:r>
    </w:p>
    <w:p w:rsidR="00EC5BE4" w:rsidRPr="00F05FFE" w:rsidRDefault="00EC5BE4" w:rsidP="00EC5BE4">
      <w:pPr>
        <w:numPr>
          <w:ilvl w:val="0"/>
          <w:numId w:val="3"/>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Økonomiske konsekvenser og</w:t>
      </w:r>
      <w:r w:rsidRPr="00F05FFE">
        <w:rPr>
          <w:rStyle w:val="bold1"/>
          <w:rFonts w:ascii="Times New Roman" w:hAnsi="Times New Roman" w:cs="Times New Roman"/>
          <w:b w:val="0"/>
        </w:rPr>
        <w:t xml:space="preserve"> </w:t>
      </w:r>
      <w:r w:rsidRPr="00E34602">
        <w:rPr>
          <w:rStyle w:val="bold1"/>
          <w:rFonts w:ascii="Times New Roman" w:hAnsi="Times New Roman" w:cs="Times New Roman"/>
        </w:rPr>
        <w:t>implementeringskonsekvenser</w:t>
      </w:r>
      <w:r w:rsidRPr="00F05FFE">
        <w:rPr>
          <w:rFonts w:ascii="Times New Roman" w:eastAsia="Times New Roman" w:hAnsi="Times New Roman" w:cs="Times New Roman"/>
          <w:b/>
          <w:color w:val="000000"/>
          <w:sz w:val="24"/>
          <w:szCs w:val="24"/>
          <w:lang w:eastAsia="da-DK"/>
        </w:rPr>
        <w:t xml:space="preserve"> for det offentlige</w:t>
      </w:r>
    </w:p>
    <w:p w:rsidR="00EC5BE4" w:rsidRPr="00F05FFE" w:rsidRDefault="00EC5BE4" w:rsidP="00EC5BE4">
      <w:pPr>
        <w:numPr>
          <w:ilvl w:val="0"/>
          <w:numId w:val="3"/>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erhvervslivet m.v.</w:t>
      </w:r>
    </w:p>
    <w:p w:rsidR="00EC5BE4" w:rsidRPr="00F05FFE" w:rsidRDefault="00EC5BE4" w:rsidP="00EC5BE4">
      <w:pPr>
        <w:numPr>
          <w:ilvl w:val="0"/>
          <w:numId w:val="3"/>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borgerne</w:t>
      </w:r>
    </w:p>
    <w:p w:rsidR="00EC5BE4" w:rsidRPr="00F05FFE" w:rsidRDefault="00EC5BE4" w:rsidP="00EC5BE4">
      <w:pPr>
        <w:numPr>
          <w:ilvl w:val="0"/>
          <w:numId w:val="3"/>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Miljømæssige konsekvenser</w:t>
      </w:r>
    </w:p>
    <w:p w:rsidR="00EC5BE4" w:rsidRPr="00F05FFE" w:rsidRDefault="00EC5BE4" w:rsidP="00EC5BE4">
      <w:pPr>
        <w:numPr>
          <w:ilvl w:val="0"/>
          <w:numId w:val="3"/>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Forholdet til EU-retten</w:t>
      </w:r>
    </w:p>
    <w:p w:rsidR="00EC5BE4" w:rsidRPr="00F05FFE" w:rsidRDefault="00EC5BE4" w:rsidP="00EC5BE4">
      <w:pPr>
        <w:numPr>
          <w:ilvl w:val="0"/>
          <w:numId w:val="3"/>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Hørte myndigheder og organisationer</w:t>
      </w:r>
    </w:p>
    <w:p w:rsidR="00EC5BE4" w:rsidRPr="00F05FFE" w:rsidRDefault="00EC5BE4" w:rsidP="00EC5BE4">
      <w:pPr>
        <w:numPr>
          <w:ilvl w:val="0"/>
          <w:numId w:val="3"/>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Sammenfattende skema</w:t>
      </w: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F50CB7" w:rsidRDefault="00F50CB7" w:rsidP="00EC5BE4">
      <w:pPr>
        <w:spacing w:before="100" w:beforeAutospacing="1" w:line="240" w:lineRule="auto"/>
        <w:rPr>
          <w:rFonts w:ascii="Times New Roman" w:eastAsia="Times New Roman" w:hAnsi="Times New Roman" w:cs="Times New Roman"/>
          <w:b/>
          <w:iCs/>
          <w:color w:val="000000"/>
          <w:sz w:val="24"/>
          <w:szCs w:val="24"/>
          <w:lang w:eastAsia="da-DK"/>
        </w:rPr>
      </w:pPr>
    </w:p>
    <w:p w:rsidR="00D508A3" w:rsidRDefault="00D508A3" w:rsidP="00EC5BE4">
      <w:pPr>
        <w:spacing w:before="100" w:beforeAutospacing="1" w:line="240" w:lineRule="auto"/>
        <w:rPr>
          <w:rFonts w:ascii="Times New Roman" w:eastAsia="Times New Roman" w:hAnsi="Times New Roman" w:cs="Times New Roman"/>
          <w:b/>
          <w:iCs/>
          <w:color w:val="000000"/>
          <w:sz w:val="24"/>
          <w:szCs w:val="24"/>
          <w:lang w:eastAsia="da-DK"/>
        </w:rPr>
      </w:pPr>
    </w:p>
    <w:p w:rsidR="00D508A3" w:rsidRDefault="00D508A3" w:rsidP="00EC5BE4">
      <w:pPr>
        <w:spacing w:before="100" w:beforeAutospacing="1" w:line="240" w:lineRule="auto"/>
        <w:rPr>
          <w:rFonts w:ascii="Times New Roman" w:eastAsia="Times New Roman" w:hAnsi="Times New Roman" w:cs="Times New Roman"/>
          <w:b/>
          <w:iCs/>
          <w:color w:val="000000"/>
          <w:sz w:val="24"/>
          <w:szCs w:val="24"/>
          <w:lang w:eastAsia="da-DK"/>
        </w:rPr>
      </w:pPr>
    </w:p>
    <w:p w:rsidR="00EC5BE4" w:rsidRDefault="00EC5BE4" w:rsidP="00EC5BE4">
      <w:pPr>
        <w:spacing w:before="100" w:beforeAutospacing="1" w:line="240" w:lineRule="auto"/>
        <w:rPr>
          <w:rFonts w:ascii="Times New Roman" w:eastAsia="Times New Roman" w:hAnsi="Times New Roman" w:cs="Times New Roman"/>
          <w:b/>
          <w:iCs/>
          <w:color w:val="000000"/>
          <w:sz w:val="24"/>
          <w:szCs w:val="24"/>
          <w:lang w:eastAsia="da-DK"/>
        </w:rPr>
      </w:pPr>
      <w:r w:rsidRPr="006862CA">
        <w:rPr>
          <w:rFonts w:ascii="Times New Roman" w:eastAsia="Times New Roman" w:hAnsi="Times New Roman" w:cs="Times New Roman"/>
          <w:b/>
          <w:iCs/>
          <w:color w:val="000000"/>
          <w:sz w:val="24"/>
          <w:szCs w:val="24"/>
          <w:lang w:eastAsia="da-DK"/>
        </w:rPr>
        <w:lastRenderedPageBreak/>
        <w:t>1. Indledning og lovforslagets baggrund</w:t>
      </w:r>
    </w:p>
    <w:p w:rsidR="00EC5BE4" w:rsidRDefault="00EC5BE4" w:rsidP="00EC5BE4">
      <w:pPr>
        <w:spacing w:before="100" w:beforeAutospacing="1" w:line="240" w:lineRule="auto"/>
        <w:rPr>
          <w:rFonts w:ascii="Times New Roman" w:eastAsia="Times New Roman" w:hAnsi="Times New Roman" w:cs="Times New Roman"/>
          <w:color w:val="auto"/>
          <w:sz w:val="24"/>
          <w:szCs w:val="24"/>
          <w:lang w:eastAsia="da-DK"/>
        </w:rPr>
      </w:pPr>
      <w:r>
        <w:t xml:space="preserve">Politiet foretog i </w:t>
      </w:r>
      <w:r w:rsidRPr="00032C7B">
        <w:rPr>
          <w:rFonts w:ascii="Times New Roman" w:eastAsia="Times New Roman" w:hAnsi="Times New Roman" w:cs="Times New Roman"/>
          <w:color w:val="auto"/>
          <w:sz w:val="24"/>
          <w:szCs w:val="24"/>
          <w:lang w:eastAsia="da-DK"/>
        </w:rPr>
        <w:t xml:space="preserve">forbindelse med afholdelse af fodboldstævnet Dana Cup ved Hjørring i 2017 </w:t>
      </w:r>
      <w:r>
        <w:rPr>
          <w:rFonts w:ascii="Times New Roman" w:eastAsia="Times New Roman" w:hAnsi="Times New Roman" w:cs="Times New Roman"/>
          <w:color w:val="auto"/>
          <w:sz w:val="24"/>
          <w:szCs w:val="24"/>
          <w:lang w:eastAsia="da-DK"/>
        </w:rPr>
        <w:t>kontrol af</w:t>
      </w:r>
      <w:r w:rsidRPr="00032C7B">
        <w:rPr>
          <w:rFonts w:ascii="Times New Roman" w:eastAsia="Times New Roman" w:hAnsi="Times New Roman" w:cs="Times New Roman"/>
          <w:color w:val="auto"/>
          <w:sz w:val="24"/>
          <w:szCs w:val="24"/>
          <w:lang w:eastAsia="da-DK"/>
        </w:rPr>
        <w:t xml:space="preserve"> et antal busser, der transporterede idr</w:t>
      </w:r>
      <w:r>
        <w:rPr>
          <w:rFonts w:ascii="Times New Roman" w:eastAsia="Times New Roman" w:hAnsi="Times New Roman" w:cs="Times New Roman"/>
          <w:color w:val="auto"/>
          <w:sz w:val="24"/>
          <w:szCs w:val="24"/>
          <w:lang w:eastAsia="da-DK"/>
        </w:rPr>
        <w:t>ætsdeltagere til og fra stævnet, med henblik på at undersøge, hvorvidt busserne var i forskriftmæssig stand. Politiet kunne ved kontrollen konstatere</w:t>
      </w:r>
      <w:r w:rsidRPr="00032C7B">
        <w:rPr>
          <w:rFonts w:ascii="Times New Roman" w:eastAsia="Times New Roman" w:hAnsi="Times New Roman" w:cs="Times New Roman"/>
          <w:color w:val="auto"/>
          <w:sz w:val="24"/>
          <w:szCs w:val="24"/>
          <w:lang w:eastAsia="da-DK"/>
        </w:rPr>
        <w:t xml:space="preserve"> bremsefejl på en stor del af busserne. På baggrund af disse resultater blev der i 2017 foretaget en række yderligere kontroller i forbi</w:t>
      </w:r>
      <w:r>
        <w:rPr>
          <w:rFonts w:ascii="Times New Roman" w:eastAsia="Times New Roman" w:hAnsi="Times New Roman" w:cs="Times New Roman"/>
          <w:color w:val="auto"/>
          <w:sz w:val="24"/>
          <w:szCs w:val="24"/>
          <w:lang w:eastAsia="da-DK"/>
        </w:rPr>
        <w:t>ndelse med større arrangementer.</w:t>
      </w:r>
    </w:p>
    <w:p w:rsidR="00EC5BE4" w:rsidRDefault="00EC5BE4" w:rsidP="00EC5BE4">
      <w:pPr>
        <w:spacing w:before="100" w:beforeAutospacing="1" w:line="240" w:lineRule="auto"/>
      </w:pPr>
      <w:r w:rsidRPr="00032C7B">
        <w:rPr>
          <w:rFonts w:ascii="Times New Roman" w:eastAsia="Times New Roman" w:hAnsi="Times New Roman" w:cs="Times New Roman"/>
          <w:color w:val="auto"/>
          <w:sz w:val="24"/>
          <w:szCs w:val="24"/>
          <w:lang w:eastAsia="da-DK"/>
        </w:rPr>
        <w:t xml:space="preserve">I forbindelse med Dana Cup i 2018 gentog politiet kontrolaktionen fra 2017, men fandt denne gang ingen fejl på bremserne på de </w:t>
      </w:r>
      <w:r>
        <w:rPr>
          <w:rFonts w:ascii="Times New Roman" w:eastAsia="Times New Roman" w:hAnsi="Times New Roman" w:cs="Times New Roman"/>
          <w:color w:val="auto"/>
          <w:sz w:val="24"/>
          <w:szCs w:val="24"/>
          <w:lang w:eastAsia="da-DK"/>
        </w:rPr>
        <w:t>busser, der var til stede ved arrangementet</w:t>
      </w:r>
      <w:r w:rsidRPr="00032C7B">
        <w:rPr>
          <w:rFonts w:ascii="Times New Roman" w:eastAsia="Times New Roman" w:hAnsi="Times New Roman" w:cs="Times New Roman"/>
          <w:color w:val="auto"/>
          <w:sz w:val="24"/>
          <w:szCs w:val="24"/>
          <w:lang w:eastAsia="da-DK"/>
        </w:rPr>
        <w:t xml:space="preserve">. Politiets kontrol af busser ved dette års Skanderborg Festival i august 2018 viste dog, at en stor del af busserne var fejlbehæftede, herunder </w:t>
      </w:r>
      <w:r w:rsidR="00130BE8">
        <w:rPr>
          <w:rFonts w:ascii="Times New Roman" w:eastAsia="Times New Roman" w:hAnsi="Times New Roman" w:cs="Times New Roman"/>
          <w:color w:val="auto"/>
          <w:sz w:val="24"/>
          <w:szCs w:val="24"/>
          <w:lang w:eastAsia="da-DK"/>
        </w:rPr>
        <w:t>bl.a.</w:t>
      </w:r>
      <w:r w:rsidRPr="00032C7B">
        <w:rPr>
          <w:rFonts w:ascii="Times New Roman" w:eastAsia="Times New Roman" w:hAnsi="Times New Roman" w:cs="Times New Roman"/>
          <w:color w:val="auto"/>
          <w:sz w:val="24"/>
          <w:szCs w:val="24"/>
          <w:lang w:eastAsia="da-DK"/>
        </w:rPr>
        <w:t xml:space="preserve"> med bremsefejl.</w:t>
      </w:r>
      <w:r w:rsidR="00003E71" w:rsidRPr="00003E71">
        <w:rPr>
          <w:rFonts w:ascii="Times New Roman" w:hAnsi="Times New Roman" w:cs="Times New Roman"/>
          <w:sz w:val="24"/>
          <w:szCs w:val="24"/>
        </w:rPr>
        <w:t xml:space="preserve"> </w:t>
      </w:r>
      <w:r w:rsidR="00003E71">
        <w:rPr>
          <w:rFonts w:ascii="Times New Roman" w:hAnsi="Times New Roman" w:cs="Times New Roman"/>
          <w:sz w:val="24"/>
          <w:szCs w:val="24"/>
        </w:rPr>
        <w:t>Politiets kontroller har således vist, at defekte bremser på busser er et tilstedeværende problem.</w:t>
      </w:r>
      <w:r w:rsidRPr="00032C7B">
        <w:rPr>
          <w:rFonts w:ascii="Times New Roman" w:eastAsia="Times New Roman" w:hAnsi="Times New Roman" w:cs="Times New Roman"/>
          <w:color w:val="auto"/>
          <w:sz w:val="24"/>
          <w:szCs w:val="24"/>
          <w:lang w:eastAsia="da-DK"/>
        </w:rPr>
        <w:t xml:space="preserve">  </w:t>
      </w:r>
    </w:p>
    <w:p w:rsidR="00EC5BE4" w:rsidRPr="00B462F0" w:rsidRDefault="00003E71" w:rsidP="00EC5BE4">
      <w:pPr>
        <w:spacing w:before="100" w:beforeAutospacing="1" w:line="240" w:lineRule="auto"/>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Det har også vist sig, at der er problemer med den vedligeholdsmæssige stand af lastbiler. En</w:t>
      </w:r>
      <w:r w:rsidR="0033124C">
        <w:rPr>
          <w:rFonts w:ascii="Times New Roman" w:hAnsi="Times New Roman" w:cs="Times New Roman"/>
          <w:sz w:val="24"/>
          <w:szCs w:val="24"/>
        </w:rPr>
        <w:t xml:space="preserve"> </w:t>
      </w:r>
      <w:r w:rsidR="008B6790">
        <w:rPr>
          <w:rFonts w:ascii="Times New Roman" w:hAnsi="Times New Roman" w:cs="Times New Roman"/>
          <w:sz w:val="24"/>
          <w:szCs w:val="24"/>
        </w:rPr>
        <w:t>ikke uvæsentlig</w:t>
      </w:r>
      <w:r w:rsidR="0033124C">
        <w:rPr>
          <w:rFonts w:ascii="Times New Roman" w:hAnsi="Times New Roman" w:cs="Times New Roman"/>
          <w:sz w:val="24"/>
          <w:szCs w:val="24"/>
        </w:rPr>
        <w:t xml:space="preserve"> del </w:t>
      </w:r>
      <w:r>
        <w:rPr>
          <w:rFonts w:ascii="Times New Roman" w:hAnsi="Times New Roman" w:cs="Times New Roman"/>
          <w:sz w:val="24"/>
          <w:szCs w:val="24"/>
        </w:rPr>
        <w:t xml:space="preserve">af de </w:t>
      </w:r>
      <w:r w:rsidR="0033124C">
        <w:rPr>
          <w:rFonts w:ascii="Times New Roman" w:hAnsi="Times New Roman" w:cs="Times New Roman"/>
          <w:sz w:val="24"/>
          <w:szCs w:val="24"/>
        </w:rPr>
        <w:t xml:space="preserve">lastbiler, som politiet kontrollerer, har </w:t>
      </w:r>
      <w:r>
        <w:rPr>
          <w:rFonts w:ascii="Times New Roman" w:hAnsi="Times New Roman" w:cs="Times New Roman"/>
          <w:sz w:val="24"/>
          <w:szCs w:val="24"/>
        </w:rPr>
        <w:t>således vist sig at have</w:t>
      </w:r>
      <w:r w:rsidR="0033124C">
        <w:rPr>
          <w:rFonts w:ascii="Times New Roman" w:hAnsi="Times New Roman" w:cs="Times New Roman"/>
          <w:sz w:val="24"/>
          <w:szCs w:val="24"/>
        </w:rPr>
        <w:t xml:space="preserve"> fejl og mangler i et omfang, så de bliver sendt til syn. </w:t>
      </w:r>
      <w:r w:rsidR="00EC5BE4">
        <w:rPr>
          <w:rFonts w:ascii="Times New Roman" w:hAnsi="Times New Roman" w:cs="Times New Roman"/>
          <w:sz w:val="24"/>
          <w:szCs w:val="24"/>
        </w:rPr>
        <w:t>Det</w:t>
      </w:r>
      <w:r w:rsidR="0033124C">
        <w:rPr>
          <w:rFonts w:ascii="Times New Roman" w:hAnsi="Times New Roman" w:cs="Times New Roman"/>
          <w:sz w:val="24"/>
          <w:szCs w:val="24"/>
        </w:rPr>
        <w:t>te indikerer</w:t>
      </w:r>
      <w:r w:rsidR="00EC5BE4">
        <w:rPr>
          <w:rFonts w:ascii="Times New Roman" w:hAnsi="Times New Roman" w:cs="Times New Roman"/>
          <w:sz w:val="24"/>
          <w:szCs w:val="24"/>
        </w:rPr>
        <w:t xml:space="preserve"> efter Transport-, Bygnings- og Boligministeriets opfattelse, at </w:t>
      </w:r>
      <w:r w:rsidR="00EC5BE4">
        <w:rPr>
          <w:rFonts w:ascii="Times New Roman" w:eastAsia="Times New Roman" w:hAnsi="Times New Roman" w:cs="Times New Roman"/>
          <w:color w:val="auto"/>
          <w:sz w:val="24"/>
          <w:szCs w:val="24"/>
          <w:lang w:eastAsia="da-DK"/>
        </w:rPr>
        <w:t>der</w:t>
      </w:r>
      <w:r w:rsidR="00EC5BE4" w:rsidRPr="000A5434">
        <w:rPr>
          <w:rFonts w:ascii="Times New Roman" w:eastAsia="Times New Roman" w:hAnsi="Times New Roman" w:cs="Times New Roman"/>
          <w:color w:val="auto"/>
          <w:sz w:val="24"/>
          <w:szCs w:val="24"/>
          <w:lang w:eastAsia="da-DK"/>
        </w:rPr>
        <w:t xml:space="preserve"> </w:t>
      </w:r>
      <w:r w:rsidR="00EC5BE4">
        <w:rPr>
          <w:rFonts w:ascii="Times New Roman" w:eastAsia="Times New Roman" w:hAnsi="Times New Roman" w:cs="Times New Roman"/>
          <w:color w:val="auto"/>
          <w:sz w:val="24"/>
          <w:szCs w:val="24"/>
          <w:lang w:eastAsia="da-DK"/>
        </w:rPr>
        <w:t>kan være et</w:t>
      </w:r>
      <w:r w:rsidR="00EC5BE4" w:rsidRPr="000A5434">
        <w:rPr>
          <w:rFonts w:ascii="Times New Roman" w:eastAsia="Times New Roman" w:hAnsi="Times New Roman" w:cs="Times New Roman"/>
          <w:color w:val="auto"/>
          <w:sz w:val="24"/>
          <w:szCs w:val="24"/>
          <w:lang w:eastAsia="da-DK"/>
        </w:rPr>
        <w:t xml:space="preserve"> generelt</w:t>
      </w:r>
      <w:r w:rsidR="00EC5BE4">
        <w:rPr>
          <w:rFonts w:ascii="Times New Roman" w:eastAsia="Times New Roman" w:hAnsi="Times New Roman" w:cs="Times New Roman"/>
          <w:color w:val="auto"/>
          <w:sz w:val="24"/>
          <w:szCs w:val="24"/>
          <w:lang w:eastAsia="da-DK"/>
        </w:rPr>
        <w:t xml:space="preserve"> </w:t>
      </w:r>
      <w:r w:rsidR="00EC5BE4" w:rsidRPr="000A5434">
        <w:rPr>
          <w:rFonts w:ascii="Times New Roman" w:eastAsia="Times New Roman" w:hAnsi="Times New Roman" w:cs="Times New Roman"/>
          <w:color w:val="auto"/>
          <w:sz w:val="24"/>
          <w:szCs w:val="24"/>
          <w:lang w:eastAsia="da-DK"/>
        </w:rPr>
        <w:t>problem med den vedligeholdsmæssige stand på tunge køretøjer</w:t>
      </w:r>
      <w:r w:rsidR="002265C6">
        <w:rPr>
          <w:rFonts w:ascii="Times New Roman" w:eastAsia="Times New Roman" w:hAnsi="Times New Roman" w:cs="Times New Roman"/>
          <w:color w:val="auto"/>
          <w:sz w:val="24"/>
          <w:szCs w:val="24"/>
          <w:lang w:eastAsia="da-DK"/>
        </w:rPr>
        <w:t>. Dette</w:t>
      </w:r>
      <w:r w:rsidR="00EC5BE4">
        <w:rPr>
          <w:rFonts w:ascii="Times New Roman" w:eastAsia="Times New Roman" w:hAnsi="Times New Roman" w:cs="Times New Roman"/>
          <w:color w:val="auto"/>
          <w:sz w:val="24"/>
          <w:szCs w:val="24"/>
          <w:lang w:eastAsia="da-DK"/>
        </w:rPr>
        <w:t xml:space="preserve"> er særligt problematisk, da </w:t>
      </w:r>
      <w:r w:rsidR="002265C6">
        <w:rPr>
          <w:rFonts w:ascii="Times New Roman" w:eastAsia="Times New Roman" w:hAnsi="Times New Roman" w:cs="Times New Roman"/>
          <w:color w:val="auto"/>
          <w:sz w:val="24"/>
          <w:szCs w:val="24"/>
          <w:lang w:eastAsia="da-DK"/>
        </w:rPr>
        <w:t xml:space="preserve">de tunge </w:t>
      </w:r>
      <w:r w:rsidR="00EC5BE4">
        <w:rPr>
          <w:rFonts w:ascii="Times New Roman" w:eastAsia="Times New Roman" w:hAnsi="Times New Roman" w:cs="Times New Roman"/>
          <w:color w:val="auto"/>
          <w:sz w:val="24"/>
          <w:szCs w:val="24"/>
          <w:lang w:eastAsia="da-DK"/>
        </w:rPr>
        <w:t>køretøjer på grund af deres erhvervsmæssige brug tilbagelægger mange kørte kilometer om året og samtidig på grund af deres vægt og størrelse kan forårsage stor skade, hvis uheldet er ude. Dette er til skade for færdselssikkerheden</w:t>
      </w:r>
      <w:r w:rsidR="00EC5BE4" w:rsidRPr="000A5434">
        <w:rPr>
          <w:rFonts w:ascii="Times New Roman" w:eastAsia="Times New Roman" w:hAnsi="Times New Roman" w:cs="Times New Roman"/>
          <w:color w:val="auto"/>
          <w:sz w:val="24"/>
          <w:szCs w:val="24"/>
          <w:lang w:eastAsia="da-DK"/>
        </w:rPr>
        <w:t xml:space="preserve">. </w:t>
      </w:r>
    </w:p>
    <w:p w:rsidR="00EC5BE4" w:rsidRPr="000A5434" w:rsidRDefault="00EC5BE4" w:rsidP="00EC5BE4">
      <w:pPr>
        <w:pStyle w:val="Normal-medluft"/>
        <w:spacing w:after="0"/>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Hertil kommer, at der kan være betydelige besparelser forbundet med at undlade at holde de tunge køretøjer i en færdselssikkerhedsmæssig forsvarlig stand. </w:t>
      </w:r>
      <w:r>
        <w:rPr>
          <w:rFonts w:ascii="Times New Roman" w:eastAsia="Times New Roman" w:hAnsi="Times New Roman" w:cs="Times New Roman"/>
          <w:color w:val="auto"/>
          <w:sz w:val="24"/>
          <w:szCs w:val="24"/>
          <w:lang w:eastAsia="da-DK"/>
        </w:rPr>
        <w:t>F.eks.</w:t>
      </w:r>
      <w:r>
        <w:rPr>
          <w:rFonts w:ascii="Times New Roman" w:hAnsi="Times New Roman" w:cs="Times New Roman"/>
          <w:sz w:val="24"/>
          <w:szCs w:val="24"/>
        </w:rPr>
        <w:t xml:space="preserve"> ligger p</w:t>
      </w:r>
      <w:r w:rsidRPr="000A5434">
        <w:rPr>
          <w:rFonts w:ascii="Times New Roman" w:hAnsi="Times New Roman" w:cs="Times New Roman"/>
          <w:sz w:val="24"/>
          <w:szCs w:val="24"/>
        </w:rPr>
        <w:t>risniveauet for reparation af</w:t>
      </w:r>
      <w:r>
        <w:rPr>
          <w:rFonts w:ascii="Times New Roman" w:hAnsi="Times New Roman" w:cs="Times New Roman"/>
          <w:sz w:val="24"/>
          <w:szCs w:val="24"/>
        </w:rPr>
        <w:t xml:space="preserve"> </w:t>
      </w:r>
      <w:r w:rsidRPr="000A5434">
        <w:rPr>
          <w:rFonts w:ascii="Times New Roman" w:hAnsi="Times New Roman" w:cs="Times New Roman"/>
          <w:sz w:val="24"/>
          <w:szCs w:val="24"/>
        </w:rPr>
        <w:t>bremser på busser</w:t>
      </w:r>
      <w:r>
        <w:rPr>
          <w:rFonts w:ascii="Times New Roman" w:hAnsi="Times New Roman" w:cs="Times New Roman"/>
          <w:sz w:val="24"/>
          <w:szCs w:val="24"/>
        </w:rPr>
        <w:t xml:space="preserve"> således</w:t>
      </w:r>
      <w:r w:rsidRPr="000A5434">
        <w:rPr>
          <w:rFonts w:ascii="Times New Roman" w:hAnsi="Times New Roman" w:cs="Times New Roman"/>
          <w:sz w:val="24"/>
          <w:szCs w:val="24"/>
        </w:rPr>
        <w:t xml:space="preserve"> som udgangspunkt på 10-20.000 kr. pr. aksel, hvis der er tale om udskiftning af skiver og klodser eller bremsetromler. En almindelig bus har to eller tre aksler, og det kan derfor være forbundet med betydelige omkostninger at få repareret bremser på en bus.</w:t>
      </w:r>
      <w:r w:rsidRPr="000A5434" w:rsidDel="00012160">
        <w:rPr>
          <w:rFonts w:ascii="Times New Roman" w:hAnsi="Times New Roman" w:cs="Times New Roman"/>
          <w:sz w:val="24"/>
          <w:szCs w:val="24"/>
        </w:rPr>
        <w:t xml:space="preserve"> </w:t>
      </w:r>
      <w:r>
        <w:rPr>
          <w:rFonts w:ascii="Times New Roman" w:hAnsi="Times New Roman" w:cs="Times New Roman"/>
          <w:sz w:val="24"/>
          <w:szCs w:val="24"/>
        </w:rPr>
        <w:t>Et andet eksempel er reparation af forskellige dele af køretøjets styre</w:t>
      </w:r>
      <w:r w:rsidR="002265C6">
        <w:rPr>
          <w:rFonts w:ascii="Times New Roman" w:hAnsi="Times New Roman" w:cs="Times New Roman"/>
          <w:sz w:val="24"/>
          <w:szCs w:val="24"/>
        </w:rPr>
        <w:t>apparat</w:t>
      </w:r>
      <w:r>
        <w:rPr>
          <w:rFonts w:ascii="Times New Roman" w:hAnsi="Times New Roman" w:cs="Times New Roman"/>
          <w:sz w:val="24"/>
          <w:szCs w:val="24"/>
        </w:rPr>
        <w:t xml:space="preserve">. Det kan også være bekosteligt. Prisniveauet varierer, men ligger som udgangspunkt på 8.000-30.000 kr. afhængig af, hvilken del der udskiftes, om der anvendes brugte eller nye reservedele og køretøjets fabrikat og model. </w:t>
      </w:r>
    </w:p>
    <w:p w:rsidR="00EC5BE4" w:rsidRDefault="00EC5BE4" w:rsidP="00EC5BE4">
      <w:pPr>
        <w:spacing w:line="240" w:lineRule="auto"/>
        <w:rPr>
          <w:rFonts w:ascii="Times New Roman" w:hAnsi="Times New Roman" w:cs="Times New Roman"/>
          <w:sz w:val="24"/>
          <w:szCs w:val="24"/>
        </w:rPr>
      </w:pPr>
    </w:p>
    <w:p w:rsidR="00D84D2C"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I henhold til færdselslovens regler straffes fejl og mangler på motordrevne køretøjer som udgangspunkt med en bøde på mellem 1.000 – 3.000 kr. </w:t>
      </w:r>
      <w:r w:rsidRPr="00650C9D">
        <w:rPr>
          <w:rFonts w:ascii="Times New Roman" w:hAnsi="Times New Roman" w:cs="Times New Roman"/>
          <w:sz w:val="24"/>
          <w:szCs w:val="24"/>
        </w:rPr>
        <w:t xml:space="preserve">Det er Transport-, Bygnings- og Boligministeriets </w:t>
      </w:r>
      <w:r>
        <w:rPr>
          <w:rFonts w:ascii="Times New Roman" w:hAnsi="Times New Roman" w:cs="Times New Roman"/>
          <w:sz w:val="24"/>
          <w:szCs w:val="24"/>
        </w:rPr>
        <w:t>opfattelse</w:t>
      </w:r>
      <w:r w:rsidRPr="00650C9D">
        <w:rPr>
          <w:rFonts w:ascii="Times New Roman" w:hAnsi="Times New Roman" w:cs="Times New Roman"/>
          <w:sz w:val="24"/>
          <w:szCs w:val="24"/>
        </w:rPr>
        <w:t xml:space="preserve">, at bødeniveauet for kørsel med </w:t>
      </w:r>
      <w:r>
        <w:rPr>
          <w:rFonts w:ascii="Times New Roman" w:hAnsi="Times New Roman" w:cs="Times New Roman"/>
          <w:sz w:val="24"/>
          <w:szCs w:val="24"/>
        </w:rPr>
        <w:t xml:space="preserve">alvorlige sikkerhedskritiske fejl og mangler, som f.eks. defekte bremser og styreapparat, er alt for lav i forhold til den færdselssikkerhedsmæssige risiko, som kørsel med sådanne fejl og mangler udgør. Bøden er endvidere uforholdsmæssig lav i forhold til de omkostninger, </w:t>
      </w:r>
      <w:r w:rsidRPr="00650C9D">
        <w:rPr>
          <w:rFonts w:ascii="Times New Roman" w:hAnsi="Times New Roman" w:cs="Times New Roman"/>
          <w:sz w:val="24"/>
          <w:szCs w:val="24"/>
        </w:rPr>
        <w:t xml:space="preserve">der </w:t>
      </w:r>
      <w:r w:rsidR="002265C6">
        <w:rPr>
          <w:rFonts w:ascii="Times New Roman" w:hAnsi="Times New Roman" w:cs="Times New Roman"/>
          <w:sz w:val="24"/>
          <w:szCs w:val="24"/>
        </w:rPr>
        <w:t>kan være</w:t>
      </w:r>
      <w:r w:rsidRPr="00650C9D">
        <w:rPr>
          <w:rFonts w:ascii="Times New Roman" w:hAnsi="Times New Roman" w:cs="Times New Roman"/>
          <w:sz w:val="24"/>
          <w:szCs w:val="24"/>
        </w:rPr>
        <w:t xml:space="preserve"> forbundet med </w:t>
      </w:r>
      <w:r>
        <w:rPr>
          <w:rFonts w:ascii="Times New Roman" w:hAnsi="Times New Roman" w:cs="Times New Roman"/>
          <w:sz w:val="24"/>
          <w:szCs w:val="24"/>
        </w:rPr>
        <w:t xml:space="preserve">vedligeholdelse og </w:t>
      </w:r>
      <w:r w:rsidRPr="00650C9D">
        <w:rPr>
          <w:rFonts w:ascii="Times New Roman" w:hAnsi="Times New Roman" w:cs="Times New Roman"/>
          <w:sz w:val="24"/>
          <w:szCs w:val="24"/>
        </w:rPr>
        <w:t xml:space="preserve">reparation af </w:t>
      </w:r>
      <w:r>
        <w:rPr>
          <w:rFonts w:ascii="Times New Roman" w:hAnsi="Times New Roman" w:cs="Times New Roman"/>
          <w:sz w:val="24"/>
          <w:szCs w:val="24"/>
        </w:rPr>
        <w:t xml:space="preserve">køretøjerne. Det er således nødvendigt at fjerne det økonomiske </w:t>
      </w:r>
      <w:r w:rsidRPr="00650C9D">
        <w:rPr>
          <w:rFonts w:ascii="Times New Roman" w:hAnsi="Times New Roman" w:cs="Times New Roman"/>
          <w:sz w:val="24"/>
          <w:szCs w:val="24"/>
        </w:rPr>
        <w:t>incitament til ikke at udbedre fejl og mangler</w:t>
      </w:r>
      <w:r>
        <w:rPr>
          <w:rFonts w:ascii="Times New Roman" w:hAnsi="Times New Roman" w:cs="Times New Roman"/>
          <w:sz w:val="24"/>
          <w:szCs w:val="24"/>
        </w:rPr>
        <w:t xml:space="preserve"> på køretøjer</w:t>
      </w:r>
      <w:r w:rsidRPr="00650C9D">
        <w:rPr>
          <w:rFonts w:ascii="Times New Roman" w:hAnsi="Times New Roman" w:cs="Times New Roman"/>
          <w:sz w:val="24"/>
          <w:szCs w:val="24"/>
        </w:rPr>
        <w:t xml:space="preserve"> og i stedet betale en langt lavere bøde.</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Lovforslaget har således til formål at forhøje bøderne for alvorlige sikkerhedskritiske fejl og mangler på tunge køretøjer og påhængskøretøjer. Lovforslaget indeholder derfor retningslinjer for forhøjet bødeudmåling for alvorlige sikkerhedskritiske fejl, der udgør en fare for andre trafikanter.</w:t>
      </w:r>
    </w:p>
    <w:p w:rsidR="00D84D2C" w:rsidRDefault="00D84D2C" w:rsidP="00EC5BE4">
      <w:pPr>
        <w:spacing w:line="240" w:lineRule="auto"/>
        <w:rPr>
          <w:rFonts w:ascii="Times New Roman" w:hAnsi="Times New Roman" w:cs="Times New Roman"/>
          <w:sz w:val="24"/>
          <w:szCs w:val="24"/>
        </w:rPr>
      </w:pPr>
    </w:p>
    <w:p w:rsidR="00D84D2C" w:rsidRDefault="00D84D2C" w:rsidP="00D84D2C">
      <w:pPr>
        <w:pStyle w:val="DokOverskrift"/>
        <w:rPr>
          <w:rFonts w:ascii="Times New Roman" w:hAnsi="Times New Roman" w:cs="Times New Roman"/>
          <w:b w:val="0"/>
          <w:sz w:val="24"/>
          <w:szCs w:val="24"/>
        </w:rPr>
      </w:pPr>
      <w:r>
        <w:rPr>
          <w:rFonts w:ascii="Times New Roman" w:hAnsi="Times New Roman" w:cs="Times New Roman"/>
          <w:b w:val="0"/>
          <w:sz w:val="24"/>
          <w:szCs w:val="24"/>
        </w:rPr>
        <w:t xml:space="preserve">Lovforslaget har endvidere til formål at sætte ind over for problemet med ulovlig støj fra motordrevne køretøjer. Ulovlig støj fra motordrevne køretøjer – og i særdeleshed motorcykler – er </w:t>
      </w:r>
      <w:r w:rsidRPr="00931235">
        <w:rPr>
          <w:rFonts w:ascii="Times New Roman" w:hAnsi="Times New Roman" w:cs="Times New Roman"/>
          <w:b w:val="0"/>
          <w:sz w:val="24"/>
          <w:szCs w:val="24"/>
        </w:rPr>
        <w:t xml:space="preserve">et tilbagevendende problem, særligt i sommerhalvåret. </w:t>
      </w:r>
      <w:r>
        <w:rPr>
          <w:rFonts w:ascii="Times New Roman" w:hAnsi="Times New Roman" w:cs="Times New Roman"/>
          <w:b w:val="0"/>
          <w:sz w:val="24"/>
          <w:szCs w:val="24"/>
        </w:rPr>
        <w:t xml:space="preserve">Motordrevne køretøjer, der er konstruktivt </w:t>
      </w:r>
      <w:r>
        <w:rPr>
          <w:rFonts w:ascii="Times New Roman" w:hAnsi="Times New Roman" w:cs="Times New Roman"/>
          <w:b w:val="0"/>
          <w:sz w:val="24"/>
          <w:szCs w:val="24"/>
        </w:rPr>
        <w:lastRenderedPageBreak/>
        <w:t xml:space="preserve">ændrede til at frembringe støj, eller betjenes således, at de støjer ulovligt, er til stor gene for omgivelserne og den øvrige trafik, da de er ekstraordinært dominerende i lydbilledet. Dette gælder navnlig støj fra motorcykler. </w:t>
      </w:r>
    </w:p>
    <w:p w:rsidR="003528D3" w:rsidRDefault="00D84D2C" w:rsidP="006A00E2">
      <w:pPr>
        <w:rPr>
          <w:rFonts w:ascii="Times New Roman" w:hAnsi="Times New Roman" w:cs="Times New Roman"/>
          <w:sz w:val="24"/>
          <w:szCs w:val="24"/>
        </w:rPr>
      </w:pPr>
      <w:r>
        <w:rPr>
          <w:rFonts w:ascii="Times New Roman" w:hAnsi="Times New Roman" w:cs="Times New Roman"/>
          <w:sz w:val="24"/>
          <w:szCs w:val="24"/>
        </w:rPr>
        <w:t xml:space="preserve">I dag er bøden for at afgive ulovlig støj i udgangspunktet </w:t>
      </w:r>
      <w:r w:rsidRPr="00931235">
        <w:rPr>
          <w:rFonts w:ascii="Times New Roman" w:hAnsi="Times New Roman" w:cs="Times New Roman"/>
          <w:sz w:val="24"/>
          <w:szCs w:val="24"/>
        </w:rPr>
        <w:t>1</w:t>
      </w:r>
      <w:r>
        <w:rPr>
          <w:rFonts w:ascii="Times New Roman" w:hAnsi="Times New Roman" w:cs="Times New Roman"/>
          <w:sz w:val="24"/>
          <w:szCs w:val="24"/>
        </w:rPr>
        <w:t>.</w:t>
      </w:r>
      <w:r w:rsidRPr="00931235">
        <w:rPr>
          <w:rFonts w:ascii="Times New Roman" w:hAnsi="Times New Roman" w:cs="Times New Roman"/>
          <w:sz w:val="24"/>
          <w:szCs w:val="24"/>
        </w:rPr>
        <w:t xml:space="preserve">000 kr. </w:t>
      </w:r>
      <w:r>
        <w:rPr>
          <w:rFonts w:ascii="Times New Roman" w:hAnsi="Times New Roman" w:cs="Times New Roman"/>
          <w:sz w:val="24"/>
          <w:szCs w:val="24"/>
        </w:rPr>
        <w:t xml:space="preserve">Det er Transport-, Bygnings- og Boligministeriets opfattelse, at det aktuelle bødeniveau er for lavt til at virke afskrækkende, og </w:t>
      </w:r>
      <w:r w:rsidR="00DE30DF">
        <w:rPr>
          <w:rFonts w:ascii="Times New Roman" w:hAnsi="Times New Roman" w:cs="Times New Roman"/>
          <w:sz w:val="24"/>
          <w:szCs w:val="24"/>
        </w:rPr>
        <w:t xml:space="preserve">det vurderes derfor ikke, at </w:t>
      </w:r>
      <w:r>
        <w:rPr>
          <w:rFonts w:ascii="Times New Roman" w:hAnsi="Times New Roman" w:cs="Times New Roman"/>
          <w:sz w:val="24"/>
          <w:szCs w:val="24"/>
        </w:rPr>
        <w:t xml:space="preserve">bødeniveauet har </w:t>
      </w:r>
      <w:r w:rsidR="00DE30DF">
        <w:rPr>
          <w:rFonts w:ascii="Times New Roman" w:hAnsi="Times New Roman" w:cs="Times New Roman"/>
          <w:sz w:val="24"/>
          <w:szCs w:val="24"/>
        </w:rPr>
        <w:t xml:space="preserve">en </w:t>
      </w:r>
      <w:r>
        <w:rPr>
          <w:rFonts w:ascii="Times New Roman" w:hAnsi="Times New Roman" w:cs="Times New Roman"/>
          <w:sz w:val="24"/>
          <w:szCs w:val="24"/>
        </w:rPr>
        <w:t>præventiv virkning.</w:t>
      </w:r>
      <w:r w:rsidR="003528D3">
        <w:rPr>
          <w:rFonts w:ascii="Times New Roman" w:hAnsi="Times New Roman" w:cs="Times New Roman"/>
          <w:sz w:val="24"/>
          <w:szCs w:val="24"/>
        </w:rPr>
        <w:t xml:space="preserve"> </w:t>
      </w:r>
    </w:p>
    <w:p w:rsidR="003528D3" w:rsidRDefault="003528D3" w:rsidP="006A00E2">
      <w:pPr>
        <w:rPr>
          <w:rFonts w:ascii="Times New Roman" w:hAnsi="Times New Roman" w:cs="Times New Roman"/>
          <w:sz w:val="24"/>
          <w:szCs w:val="24"/>
        </w:rPr>
      </w:pPr>
    </w:p>
    <w:p w:rsidR="00D84D2C" w:rsidRDefault="00D84D2C" w:rsidP="006A00E2">
      <w:pPr>
        <w:rPr>
          <w:rFonts w:ascii="Times New Roman" w:hAnsi="Times New Roman" w:cs="Times New Roman"/>
          <w:sz w:val="24"/>
          <w:szCs w:val="24"/>
          <w:lang w:eastAsia="da-DK"/>
        </w:rPr>
      </w:pPr>
      <w:r>
        <w:rPr>
          <w:rFonts w:ascii="Times New Roman" w:hAnsi="Times New Roman" w:cs="Times New Roman"/>
          <w:sz w:val="24"/>
          <w:szCs w:val="24"/>
          <w:lang w:eastAsia="da-DK"/>
        </w:rPr>
        <w:t xml:space="preserve">Formålet med lovforslaget er derfor </w:t>
      </w:r>
      <w:r w:rsidRPr="00931235">
        <w:rPr>
          <w:rFonts w:ascii="Times New Roman" w:hAnsi="Times New Roman" w:cs="Times New Roman"/>
          <w:sz w:val="24"/>
          <w:szCs w:val="24"/>
          <w:lang w:eastAsia="da-DK"/>
        </w:rPr>
        <w:t>at</w:t>
      </w:r>
      <w:r w:rsidRPr="00D84D2C">
        <w:rPr>
          <w:rFonts w:ascii="Times New Roman" w:hAnsi="Times New Roman" w:cs="Times New Roman"/>
          <w:sz w:val="24"/>
          <w:szCs w:val="24"/>
          <w:lang w:eastAsia="da-DK"/>
        </w:rPr>
        <w:t xml:space="preserve"> </w:t>
      </w:r>
      <w:r>
        <w:rPr>
          <w:rFonts w:ascii="Times New Roman" w:hAnsi="Times New Roman" w:cs="Times New Roman"/>
          <w:sz w:val="24"/>
          <w:szCs w:val="24"/>
        </w:rPr>
        <w:t xml:space="preserve">hæve bødeniveauet for </w:t>
      </w:r>
      <w:r w:rsidRPr="00931235">
        <w:rPr>
          <w:rFonts w:ascii="Times New Roman" w:hAnsi="Times New Roman" w:cs="Times New Roman"/>
          <w:sz w:val="24"/>
          <w:szCs w:val="24"/>
          <w:lang w:eastAsia="da-DK"/>
        </w:rPr>
        <w:t>at ove</w:t>
      </w:r>
      <w:r>
        <w:rPr>
          <w:rFonts w:ascii="Times New Roman" w:hAnsi="Times New Roman" w:cs="Times New Roman"/>
          <w:sz w:val="24"/>
          <w:szCs w:val="24"/>
          <w:lang w:eastAsia="da-DK"/>
        </w:rPr>
        <w:t>r</w:t>
      </w:r>
      <w:r w:rsidR="003B1E6A">
        <w:rPr>
          <w:rFonts w:ascii="Times New Roman" w:hAnsi="Times New Roman" w:cs="Times New Roman"/>
          <w:sz w:val="24"/>
          <w:szCs w:val="24"/>
          <w:lang w:eastAsia="da-DK"/>
        </w:rPr>
        <w:t>skride det tilladte støjniveau</w:t>
      </w:r>
      <w:r>
        <w:rPr>
          <w:rFonts w:ascii="Times New Roman" w:hAnsi="Times New Roman" w:cs="Times New Roman"/>
          <w:sz w:val="24"/>
          <w:szCs w:val="24"/>
          <w:lang w:eastAsia="da-DK"/>
        </w:rPr>
        <w:t>. Lovforslaget vil i praksis navnlig have betydning for ulovlig støj fra motorcykler.</w:t>
      </w:r>
    </w:p>
    <w:p w:rsidR="003528D3" w:rsidRDefault="003528D3" w:rsidP="006A00E2">
      <w:pPr>
        <w:rPr>
          <w:rFonts w:ascii="Times New Roman" w:hAnsi="Times New Roman" w:cs="Times New Roman"/>
          <w:sz w:val="24"/>
          <w:szCs w:val="24"/>
          <w:lang w:eastAsia="da-DK"/>
        </w:rPr>
      </w:pPr>
    </w:p>
    <w:p w:rsidR="003528D3" w:rsidRDefault="003528D3" w:rsidP="006A00E2">
      <w:pPr>
        <w:rPr>
          <w:rFonts w:ascii="Times New Roman" w:hAnsi="Times New Roman" w:cs="Times New Roman"/>
          <w:sz w:val="24"/>
          <w:szCs w:val="24"/>
        </w:rPr>
      </w:pPr>
      <w:r>
        <w:rPr>
          <w:rFonts w:ascii="Times New Roman" w:hAnsi="Times New Roman" w:cs="Times New Roman"/>
          <w:sz w:val="24"/>
          <w:szCs w:val="24"/>
          <w:lang w:eastAsia="da-DK"/>
        </w:rPr>
        <w:t>Endelig indeholder lovforslaget regler om, at en fører (og ikke kun ejeren), der benytter et motordrevet køretøj, selvom denne vidste eller burde vide, at køretøjet afgiver ulovlig støj, også ifalder bødeansvar.</w:t>
      </w:r>
    </w:p>
    <w:p w:rsidR="00EC5BE4" w:rsidRDefault="00EC5BE4" w:rsidP="00EC5BE4">
      <w:pPr>
        <w:spacing w:line="240" w:lineRule="auto"/>
        <w:rPr>
          <w:rFonts w:ascii="Times New Roman" w:eastAsia="Times New Roman" w:hAnsi="Times New Roman" w:cs="Times New Roman"/>
          <w:iCs/>
          <w:color w:val="000000"/>
          <w:sz w:val="24"/>
          <w:szCs w:val="24"/>
          <w:lang w:eastAsia="da-DK"/>
        </w:rPr>
      </w:pPr>
    </w:p>
    <w:p w:rsidR="00EC5BE4" w:rsidRPr="006862CA" w:rsidRDefault="00EC5BE4" w:rsidP="00EC5BE4">
      <w:pPr>
        <w:spacing w:line="240" w:lineRule="auto"/>
        <w:rPr>
          <w:rFonts w:ascii="Times New Roman" w:eastAsia="Times New Roman" w:hAnsi="Times New Roman" w:cs="Times New Roman"/>
          <w:b/>
          <w:color w:val="auto"/>
          <w:sz w:val="24"/>
          <w:szCs w:val="24"/>
          <w:lang w:eastAsia="da-DK"/>
        </w:rPr>
      </w:pPr>
      <w:r w:rsidRPr="006862CA">
        <w:rPr>
          <w:rFonts w:ascii="Times New Roman" w:eastAsia="Times New Roman" w:hAnsi="Times New Roman" w:cs="Times New Roman"/>
          <w:b/>
          <w:color w:val="auto"/>
          <w:sz w:val="24"/>
          <w:szCs w:val="24"/>
          <w:lang w:eastAsia="da-DK"/>
        </w:rPr>
        <w:t xml:space="preserve">2. </w:t>
      </w:r>
      <w:r w:rsidRPr="006862CA">
        <w:rPr>
          <w:rFonts w:ascii="Times New Roman" w:eastAsia="Times New Roman" w:hAnsi="Times New Roman" w:cs="Times New Roman"/>
          <w:b/>
          <w:color w:val="000000"/>
          <w:sz w:val="24"/>
          <w:szCs w:val="24"/>
          <w:lang w:eastAsia="da-DK"/>
        </w:rPr>
        <w:t>Lovforslagets hovedpunkter</w:t>
      </w:r>
    </w:p>
    <w:p w:rsidR="00EC5BE4" w:rsidRPr="00894519" w:rsidRDefault="00EC5BE4" w:rsidP="00EC5BE4">
      <w:pPr>
        <w:spacing w:line="240" w:lineRule="auto"/>
        <w:rPr>
          <w:rFonts w:ascii="Times New Roman" w:eastAsia="Times New Roman" w:hAnsi="Times New Roman" w:cs="Times New Roman"/>
          <w:i/>
          <w:color w:val="auto"/>
          <w:sz w:val="24"/>
          <w:szCs w:val="24"/>
          <w:lang w:eastAsia="da-DK"/>
        </w:rPr>
      </w:pPr>
    </w:p>
    <w:p w:rsidR="00EC5BE4" w:rsidRPr="00762F81" w:rsidRDefault="00EC5BE4" w:rsidP="00EC5BE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w:t>
      </w:r>
      <w:r w:rsidRPr="00D44B71">
        <w:rPr>
          <w:rFonts w:ascii="Times New Roman" w:eastAsia="Times New Roman" w:hAnsi="Times New Roman" w:cs="Times New Roman"/>
          <w:i/>
          <w:color w:val="auto"/>
          <w:sz w:val="24"/>
          <w:szCs w:val="24"/>
          <w:lang w:eastAsia="da-DK"/>
        </w:rPr>
        <w:t xml:space="preserve"> </w:t>
      </w:r>
      <w:r>
        <w:rPr>
          <w:rFonts w:ascii="Times New Roman" w:eastAsia="Times New Roman" w:hAnsi="Times New Roman" w:cs="Times New Roman"/>
          <w:i/>
          <w:color w:val="auto"/>
          <w:sz w:val="24"/>
          <w:szCs w:val="24"/>
          <w:lang w:eastAsia="da-DK"/>
        </w:rPr>
        <w:t>Forhøjelse af bødeniveauet for alvorlige sikkerhedskritiske fejl og mangler på tunge køretøjer</w:t>
      </w:r>
    </w:p>
    <w:p w:rsidR="00EC5BE4" w:rsidRPr="00894519" w:rsidRDefault="00EC5BE4" w:rsidP="00EC5BE4">
      <w:pPr>
        <w:spacing w:line="240" w:lineRule="auto"/>
        <w:rPr>
          <w:rFonts w:ascii="Times New Roman" w:eastAsia="Times New Roman" w:hAnsi="Times New Roman" w:cs="Times New Roman"/>
          <w:i/>
          <w:color w:val="auto"/>
          <w:sz w:val="24"/>
          <w:szCs w:val="24"/>
          <w:lang w:eastAsia="da-DK"/>
        </w:rPr>
      </w:pPr>
    </w:p>
    <w:p w:rsidR="00EC5BE4" w:rsidRPr="00894519" w:rsidRDefault="00EC5BE4" w:rsidP="00EC5BE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.1.1 Gældende ret</w:t>
      </w:r>
    </w:p>
    <w:p w:rsidR="00EC5BE4" w:rsidRPr="00894519" w:rsidRDefault="00EC5BE4" w:rsidP="00EC5BE4">
      <w:pPr>
        <w:spacing w:line="240" w:lineRule="auto"/>
        <w:rPr>
          <w:rFonts w:ascii="Times New Roman" w:eastAsia="Times New Roman" w:hAnsi="Times New Roman" w:cs="Times New Roman"/>
          <w:i/>
          <w:color w:val="auto"/>
          <w:sz w:val="24"/>
          <w:szCs w:val="24"/>
          <w:lang w:eastAsia="da-DK"/>
        </w:rPr>
      </w:pPr>
    </w:p>
    <w:p w:rsidR="002265C6" w:rsidRDefault="002265C6"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Færdselslovens § 67, stk. 1-3, indeholder bestemmelser om, hvem der er ansvarlig for forskellige forhold ved </w:t>
      </w:r>
      <w:r w:rsidR="00602BF6">
        <w:rPr>
          <w:rFonts w:ascii="Times New Roman" w:eastAsia="Times New Roman" w:hAnsi="Times New Roman" w:cs="Times New Roman"/>
          <w:color w:val="auto"/>
          <w:sz w:val="24"/>
          <w:szCs w:val="24"/>
          <w:lang w:eastAsia="da-DK"/>
        </w:rPr>
        <w:t>et køretøj og efter hvilket ansvarsgrundlag. De specifikke tekniske krav til køretøjer fastlægges imidlertid ikke i § 67, stk.1-3, men afgøres efter en række andre forskellige regelsæt, jf. nærmere nedenfor.</w:t>
      </w:r>
    </w:p>
    <w:p w:rsidR="002265C6" w:rsidRDefault="002265C6"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sidRPr="000A5139">
        <w:rPr>
          <w:rFonts w:ascii="Times New Roman" w:eastAsia="Times New Roman" w:hAnsi="Times New Roman" w:cs="Times New Roman"/>
          <w:color w:val="auto"/>
          <w:sz w:val="24"/>
          <w:szCs w:val="24"/>
          <w:lang w:eastAsia="da-DK"/>
        </w:rPr>
        <w:t>Det følger af færdselslovens § 67, stk. 1, at et køretøj skal være således indrettet og holdes i en sådan</w:t>
      </w:r>
      <w:r>
        <w:rPr>
          <w:rFonts w:ascii="Times New Roman" w:eastAsia="Times New Roman" w:hAnsi="Times New Roman" w:cs="Times New Roman"/>
          <w:color w:val="auto"/>
          <w:sz w:val="24"/>
          <w:szCs w:val="24"/>
          <w:lang w:eastAsia="da-DK"/>
        </w:rPr>
        <w:t xml:space="preserve"> </w:t>
      </w:r>
      <w:r w:rsidRPr="000A5139">
        <w:rPr>
          <w:rFonts w:ascii="Times New Roman" w:eastAsia="Times New Roman" w:hAnsi="Times New Roman" w:cs="Times New Roman"/>
          <w:color w:val="auto"/>
          <w:sz w:val="24"/>
          <w:szCs w:val="24"/>
          <w:lang w:eastAsia="da-DK"/>
        </w:rPr>
        <w:t>stand, at det kan benyttes uden fare og ulempe for andre samt uden skade for vejene. Bestemmelsen finder</w:t>
      </w:r>
      <w:r>
        <w:rPr>
          <w:rFonts w:ascii="Times New Roman" w:eastAsia="Times New Roman" w:hAnsi="Times New Roman" w:cs="Times New Roman"/>
          <w:color w:val="auto"/>
          <w:sz w:val="24"/>
          <w:szCs w:val="24"/>
          <w:lang w:eastAsia="da-DK"/>
        </w:rPr>
        <w:t xml:space="preserve"> anvendelse for alle køretøjer og kan betegnes som en generalklausul, der stiller et grundlæggende krav om, at køretøjer skal være indrettet forsvarligt. § 67, stk. 1, har navnlig et selvstændigt indhold i forhold til fejl og mangler, der ikke udgør en teknisk mangel ved køretøjet, som f.eks. manglende udsyn på grund af tilisede ruder eller andre udsynsbegrænsende forhold.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Ifølge </w:t>
      </w:r>
      <w:r w:rsidRPr="000A5139">
        <w:rPr>
          <w:rFonts w:ascii="Times New Roman" w:eastAsia="Times New Roman" w:hAnsi="Times New Roman" w:cs="Times New Roman"/>
          <w:color w:val="auto"/>
          <w:sz w:val="24"/>
          <w:szCs w:val="24"/>
          <w:lang w:eastAsia="da-DK"/>
        </w:rPr>
        <w:t xml:space="preserve">færdselslovens § 67, stk. 2, </w:t>
      </w:r>
      <w:r>
        <w:rPr>
          <w:rFonts w:ascii="Times New Roman" w:eastAsia="Times New Roman" w:hAnsi="Times New Roman" w:cs="Times New Roman"/>
          <w:color w:val="auto"/>
          <w:sz w:val="24"/>
          <w:szCs w:val="24"/>
          <w:lang w:eastAsia="da-DK"/>
        </w:rPr>
        <w:t>er</w:t>
      </w:r>
      <w:r w:rsidRPr="000A5139">
        <w:rPr>
          <w:rFonts w:ascii="Times New Roman" w:eastAsia="Times New Roman" w:hAnsi="Times New Roman" w:cs="Times New Roman"/>
          <w:color w:val="auto"/>
          <w:sz w:val="24"/>
          <w:szCs w:val="24"/>
          <w:lang w:eastAsia="da-DK"/>
        </w:rPr>
        <w:t xml:space="preserve"> ejeren eller den person (brugeren), som har</w:t>
      </w:r>
      <w:r>
        <w:rPr>
          <w:rFonts w:ascii="Times New Roman" w:eastAsia="Times New Roman" w:hAnsi="Times New Roman" w:cs="Times New Roman"/>
          <w:color w:val="auto"/>
          <w:sz w:val="24"/>
          <w:szCs w:val="24"/>
          <w:lang w:eastAsia="da-DK"/>
        </w:rPr>
        <w:t xml:space="preserve"> varig rådighed over køretøjet, </w:t>
      </w:r>
      <w:r w:rsidRPr="000A5139">
        <w:rPr>
          <w:rFonts w:ascii="Times New Roman" w:eastAsia="Times New Roman" w:hAnsi="Times New Roman" w:cs="Times New Roman"/>
          <w:color w:val="auto"/>
          <w:sz w:val="24"/>
          <w:szCs w:val="24"/>
          <w:lang w:eastAsia="da-DK"/>
        </w:rPr>
        <w:t>ansvarlig for, at køretøjet er i lovlig stand. Ansvaret efter § 67, stk. 2, er ikke et objektivt ansvar,</w:t>
      </w:r>
      <w:r>
        <w:rPr>
          <w:rFonts w:ascii="Times New Roman" w:eastAsia="Times New Roman" w:hAnsi="Times New Roman" w:cs="Times New Roman"/>
          <w:color w:val="auto"/>
          <w:sz w:val="24"/>
          <w:szCs w:val="24"/>
          <w:lang w:eastAsia="da-DK"/>
        </w:rPr>
        <w:t xml:space="preserve"> </w:t>
      </w:r>
      <w:r w:rsidRPr="000A5139">
        <w:rPr>
          <w:rFonts w:ascii="Times New Roman" w:eastAsia="Times New Roman" w:hAnsi="Times New Roman" w:cs="Times New Roman"/>
          <w:color w:val="auto"/>
          <w:sz w:val="24"/>
          <w:szCs w:val="24"/>
          <w:lang w:eastAsia="da-DK"/>
        </w:rPr>
        <w:t>men der er i retspraksis fastlagt en meget streng ansvarsvurdering af ejeren (brugeren) efter bestemmelsen.</w:t>
      </w:r>
      <w:r w:rsidR="002265C6">
        <w:rPr>
          <w:rFonts w:ascii="Times New Roman" w:eastAsia="Times New Roman" w:hAnsi="Times New Roman" w:cs="Times New Roman"/>
          <w:color w:val="auto"/>
          <w:sz w:val="24"/>
          <w:szCs w:val="24"/>
          <w:lang w:eastAsia="da-DK"/>
        </w:rPr>
        <w:t xml:space="preserv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følger af færdselslovens § 67, stk. 3, at føreren af et motordrevet køretøj til enhver tid skal være opmærksom på, at køretøjet og eventuelt påhængskøretøj er i forsvarlig stand, særligt at styre-, bremse-, signal- og tegngivningsapparater samt lygter virker forskriftsmæssigt og sikkert, og at tilkoblingen til eventuelt påhængskøretøj er forsvarlig.</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Førerens ansvar efter stk. 3 omfatter, at køretøjet er i </w:t>
      </w:r>
      <w:r w:rsidRPr="008C5A1E">
        <w:rPr>
          <w:rFonts w:ascii="Times New Roman" w:hAnsi="Times New Roman" w:cs="Times New Roman"/>
          <w:sz w:val="24"/>
          <w:szCs w:val="24"/>
        </w:rPr>
        <w:t>forsvarlig stand,</w:t>
      </w:r>
      <w:r>
        <w:rPr>
          <w:rFonts w:ascii="Times New Roman" w:hAnsi="Times New Roman" w:cs="Times New Roman"/>
          <w:sz w:val="24"/>
          <w:szCs w:val="24"/>
        </w:rPr>
        <w:t xml:space="preserve"> hvilket betyder, at føreren alene er forpligtet til at sikre sig, at køretøjet er trafiksikkert. Førerens ansvar er således ikke det samme som ejerens og den varige brugers, hvis ansvar på grund af kravet om køretøjets lovlige stand også omfatter mere formelle krav til køretøjet. </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sidRPr="005F0CAA">
        <w:rPr>
          <w:rFonts w:ascii="Times New Roman" w:hAnsi="Times New Roman" w:cs="Times New Roman"/>
          <w:sz w:val="24"/>
          <w:szCs w:val="24"/>
        </w:rPr>
        <w:t xml:space="preserve">Betingelsen </w:t>
      </w:r>
      <w:r>
        <w:rPr>
          <w:rFonts w:ascii="Times New Roman" w:hAnsi="Times New Roman" w:cs="Times New Roman"/>
          <w:sz w:val="24"/>
          <w:szCs w:val="24"/>
        </w:rPr>
        <w:t xml:space="preserve">i § 67, stk. 3, </w:t>
      </w:r>
      <w:r w:rsidRPr="005F0CAA">
        <w:rPr>
          <w:rFonts w:ascii="Times New Roman" w:hAnsi="Times New Roman" w:cs="Times New Roman"/>
          <w:sz w:val="24"/>
          <w:szCs w:val="24"/>
        </w:rPr>
        <w:t xml:space="preserve">om, at føreren ”skal være opmærksom på”, medfører ikke en direkte pligt for føreren til at foretage en mere tilbundsgående teknisk undersøgelse af køretøjet, som normalt alene kan udføres af en synsvirksomhed eller mekaniker, inden føreren sætter sig ind i køretøjet og betjener det. Betingelsen medfører derimod, at føreren ikke må benytte det pågældende køretøj, hvis føreren er vidende om, eller på grund af konkrete omstændigheder burde være vidende om, at </w:t>
      </w:r>
      <w:r>
        <w:rPr>
          <w:rFonts w:ascii="Times New Roman" w:hAnsi="Times New Roman" w:cs="Times New Roman"/>
          <w:sz w:val="24"/>
          <w:szCs w:val="24"/>
        </w:rPr>
        <w:t>køretøjet ikke er trafiksikkert. Førere</w:t>
      </w:r>
      <w:r w:rsidR="00B53CB9">
        <w:rPr>
          <w:rFonts w:ascii="Times New Roman" w:hAnsi="Times New Roman" w:cs="Times New Roman"/>
          <w:sz w:val="24"/>
          <w:szCs w:val="24"/>
        </w:rPr>
        <w:t xml:space="preserve">ns ansvar er derfor lempeligere </w:t>
      </w:r>
      <w:r>
        <w:rPr>
          <w:rFonts w:ascii="Times New Roman" w:hAnsi="Times New Roman" w:cs="Times New Roman"/>
          <w:sz w:val="24"/>
          <w:szCs w:val="24"/>
        </w:rPr>
        <w:t>end ejerens og den varige brugers.</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602BF6"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Som nævnt ovenfor giver f</w:t>
      </w:r>
      <w:r w:rsidR="00EC5BE4">
        <w:rPr>
          <w:rFonts w:ascii="Times New Roman" w:eastAsia="Times New Roman" w:hAnsi="Times New Roman" w:cs="Times New Roman"/>
          <w:color w:val="auto"/>
          <w:sz w:val="24"/>
          <w:szCs w:val="24"/>
          <w:lang w:eastAsia="da-DK"/>
        </w:rPr>
        <w:t xml:space="preserve">ærdselslovens </w:t>
      </w:r>
      <w:r w:rsidR="00EC5BE4" w:rsidRPr="000A5139">
        <w:rPr>
          <w:rFonts w:ascii="Times New Roman" w:eastAsia="Times New Roman" w:hAnsi="Times New Roman" w:cs="Times New Roman"/>
          <w:color w:val="auto"/>
          <w:sz w:val="24"/>
          <w:szCs w:val="24"/>
          <w:lang w:eastAsia="da-DK"/>
        </w:rPr>
        <w:t xml:space="preserve">§ 67, stk. </w:t>
      </w:r>
      <w:r>
        <w:rPr>
          <w:rFonts w:ascii="Times New Roman" w:eastAsia="Times New Roman" w:hAnsi="Times New Roman" w:cs="Times New Roman"/>
          <w:color w:val="auto"/>
          <w:sz w:val="24"/>
          <w:szCs w:val="24"/>
          <w:lang w:eastAsia="da-DK"/>
        </w:rPr>
        <w:t>1-3</w:t>
      </w:r>
      <w:r w:rsidR="00EC5BE4" w:rsidRPr="000A5139">
        <w:rPr>
          <w:rFonts w:ascii="Times New Roman" w:eastAsia="Times New Roman" w:hAnsi="Times New Roman" w:cs="Times New Roman"/>
          <w:color w:val="auto"/>
          <w:sz w:val="24"/>
          <w:szCs w:val="24"/>
          <w:lang w:eastAsia="da-DK"/>
        </w:rPr>
        <w:t>, ingen nærmere anvisninger af, hvilke specifikke krav der gælder for et køretøj med</w:t>
      </w:r>
      <w:r w:rsidR="00EC5BE4">
        <w:rPr>
          <w:rFonts w:ascii="Times New Roman" w:eastAsia="Times New Roman" w:hAnsi="Times New Roman" w:cs="Times New Roman"/>
          <w:color w:val="auto"/>
          <w:sz w:val="24"/>
          <w:szCs w:val="24"/>
          <w:lang w:eastAsia="da-DK"/>
        </w:rPr>
        <w:t xml:space="preserve"> </w:t>
      </w:r>
      <w:r w:rsidR="00EC5BE4" w:rsidRPr="000A5139">
        <w:rPr>
          <w:rFonts w:ascii="Times New Roman" w:eastAsia="Times New Roman" w:hAnsi="Times New Roman" w:cs="Times New Roman"/>
          <w:color w:val="auto"/>
          <w:sz w:val="24"/>
          <w:szCs w:val="24"/>
          <w:lang w:eastAsia="da-DK"/>
        </w:rPr>
        <w:t xml:space="preserve">hensyn til </w:t>
      </w:r>
      <w:r w:rsidR="00EC5BE4">
        <w:rPr>
          <w:rFonts w:ascii="Times New Roman" w:eastAsia="Times New Roman" w:hAnsi="Times New Roman" w:cs="Times New Roman"/>
          <w:color w:val="auto"/>
          <w:sz w:val="24"/>
          <w:szCs w:val="24"/>
          <w:lang w:eastAsia="da-DK"/>
        </w:rPr>
        <w:t xml:space="preserve">teknisk </w:t>
      </w:r>
      <w:r w:rsidR="00EC5BE4" w:rsidRPr="000A5139">
        <w:rPr>
          <w:rFonts w:ascii="Times New Roman" w:eastAsia="Times New Roman" w:hAnsi="Times New Roman" w:cs="Times New Roman"/>
          <w:color w:val="auto"/>
          <w:sz w:val="24"/>
          <w:szCs w:val="24"/>
          <w:lang w:eastAsia="da-DK"/>
        </w:rPr>
        <w:t>indretning</w:t>
      </w:r>
      <w:r w:rsidR="00EC5BE4">
        <w:rPr>
          <w:rFonts w:ascii="Times New Roman" w:eastAsia="Times New Roman" w:hAnsi="Times New Roman" w:cs="Times New Roman"/>
          <w:color w:val="auto"/>
          <w:sz w:val="24"/>
          <w:szCs w:val="24"/>
          <w:lang w:eastAsia="da-DK"/>
        </w:rPr>
        <w:t xml:space="preserve"> og</w:t>
      </w:r>
      <w:r w:rsidR="00EC5BE4" w:rsidRPr="000A5139">
        <w:rPr>
          <w:rFonts w:ascii="Times New Roman" w:eastAsia="Times New Roman" w:hAnsi="Times New Roman" w:cs="Times New Roman"/>
          <w:color w:val="auto"/>
          <w:sz w:val="24"/>
          <w:szCs w:val="24"/>
          <w:lang w:eastAsia="da-DK"/>
        </w:rPr>
        <w:t xml:space="preserve"> udstyr og vedligeholdelsesstand. </w:t>
      </w:r>
      <w:r w:rsidR="00EC5BE4">
        <w:rPr>
          <w:rFonts w:ascii="Times New Roman" w:eastAsia="Times New Roman" w:hAnsi="Times New Roman" w:cs="Times New Roman"/>
          <w:color w:val="auto"/>
          <w:sz w:val="24"/>
          <w:szCs w:val="24"/>
          <w:lang w:eastAsia="da-DK"/>
        </w:rPr>
        <w:t>For så vidt angår nye motordrevne køretøjer fremgår s</w:t>
      </w:r>
      <w:r w:rsidR="00EC5BE4" w:rsidRPr="000A5139">
        <w:rPr>
          <w:rFonts w:ascii="Times New Roman" w:eastAsia="Times New Roman" w:hAnsi="Times New Roman" w:cs="Times New Roman"/>
          <w:color w:val="auto"/>
          <w:sz w:val="24"/>
          <w:szCs w:val="24"/>
          <w:lang w:eastAsia="da-DK"/>
        </w:rPr>
        <w:t>ådanne specifikke krav</w:t>
      </w:r>
      <w:r w:rsidR="00EC5BE4">
        <w:rPr>
          <w:rFonts w:ascii="Times New Roman" w:eastAsia="Times New Roman" w:hAnsi="Times New Roman" w:cs="Times New Roman"/>
          <w:color w:val="auto"/>
          <w:sz w:val="24"/>
          <w:szCs w:val="24"/>
          <w:lang w:eastAsia="da-DK"/>
        </w:rPr>
        <w:t xml:space="preserve"> af en række forskellige EU-forordninger og direktiver for så vidt angår køretøjernes typegodkendelse.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796D20" w:rsidRDefault="00EC5BE4" w:rsidP="00796D20">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 pågældende direk</w:t>
      </w:r>
      <w:r w:rsidR="002C2CA9">
        <w:rPr>
          <w:rFonts w:ascii="Times New Roman" w:eastAsia="Times New Roman" w:hAnsi="Times New Roman" w:cs="Times New Roman"/>
          <w:color w:val="auto"/>
          <w:sz w:val="24"/>
          <w:szCs w:val="24"/>
          <w:lang w:eastAsia="da-DK"/>
        </w:rPr>
        <w:t xml:space="preserve">tiver er </w:t>
      </w:r>
      <w:r w:rsidR="00130BE8">
        <w:rPr>
          <w:rFonts w:ascii="Times New Roman" w:eastAsia="Times New Roman" w:hAnsi="Times New Roman" w:cs="Times New Roman"/>
          <w:color w:val="auto"/>
          <w:sz w:val="24"/>
          <w:szCs w:val="24"/>
          <w:lang w:eastAsia="da-DK"/>
        </w:rPr>
        <w:t>bl.a.</w:t>
      </w:r>
      <w:r>
        <w:rPr>
          <w:rFonts w:ascii="Times New Roman" w:eastAsia="Times New Roman" w:hAnsi="Times New Roman" w:cs="Times New Roman"/>
          <w:color w:val="auto"/>
          <w:sz w:val="24"/>
          <w:szCs w:val="24"/>
          <w:lang w:eastAsia="da-DK"/>
        </w:rPr>
        <w:t xml:space="preserve"> gennemført i dansk ret i</w:t>
      </w:r>
      <w:r w:rsidRPr="007A69CD">
        <w:rPr>
          <w:rFonts w:ascii="Times New Roman" w:eastAsia="Times New Roman" w:hAnsi="Times New Roman" w:cs="Times New Roman"/>
          <w:color w:val="000000" w:themeColor="text1"/>
          <w:sz w:val="24"/>
          <w:szCs w:val="24"/>
          <w:lang w:eastAsia="da-DK"/>
        </w:rPr>
        <w:t xml:space="preserve"> bekendtgørelse nr. 1595 af 15. december 2016 om </w:t>
      </w:r>
      <w:r w:rsidR="008B6790">
        <w:rPr>
          <w:rFonts w:ascii="Times New Roman" w:eastAsia="Times New Roman" w:hAnsi="Times New Roman" w:cs="Times New Roman"/>
          <w:color w:val="000000" w:themeColor="text1"/>
          <w:sz w:val="24"/>
          <w:szCs w:val="24"/>
          <w:lang w:eastAsia="da-DK"/>
        </w:rPr>
        <w:t>detail</w:t>
      </w:r>
      <w:r w:rsidRPr="007A69CD">
        <w:rPr>
          <w:rFonts w:ascii="Times New Roman" w:eastAsia="Times New Roman" w:hAnsi="Times New Roman" w:cs="Times New Roman"/>
          <w:color w:val="000000" w:themeColor="text1"/>
          <w:sz w:val="24"/>
          <w:szCs w:val="24"/>
          <w:lang w:eastAsia="da-DK"/>
        </w:rPr>
        <w:t>forskrifter for køretøjers indretning og udstyr (detailforskrifterne for køretøjer)</w:t>
      </w:r>
      <w:r>
        <w:rPr>
          <w:rFonts w:ascii="Times New Roman" w:eastAsia="Times New Roman" w:hAnsi="Times New Roman" w:cs="Times New Roman"/>
          <w:color w:val="auto"/>
          <w:sz w:val="24"/>
          <w:szCs w:val="24"/>
          <w:lang w:eastAsia="da-DK"/>
        </w:rPr>
        <w:t xml:space="preserve">, </w:t>
      </w:r>
      <w:r w:rsidR="00602BF6">
        <w:rPr>
          <w:rFonts w:ascii="Times New Roman" w:eastAsia="Times New Roman" w:hAnsi="Times New Roman" w:cs="Times New Roman"/>
          <w:color w:val="auto"/>
          <w:sz w:val="24"/>
          <w:szCs w:val="24"/>
          <w:lang w:eastAsia="da-DK"/>
        </w:rPr>
        <w:t xml:space="preserve">der er udstedt med hjemmel i færdselslovens § 68, stk. 1. Færdselslovens § 68, stk. 1, indeholder hjemmel til, at transport-, bygnings- og boligministeren kan fastsætte bestemmelser om </w:t>
      </w:r>
      <w:r w:rsidR="00130BE8">
        <w:rPr>
          <w:rFonts w:ascii="Times New Roman" w:eastAsia="Times New Roman" w:hAnsi="Times New Roman" w:cs="Times New Roman"/>
          <w:color w:val="auto"/>
          <w:sz w:val="24"/>
          <w:szCs w:val="24"/>
          <w:lang w:eastAsia="da-DK"/>
        </w:rPr>
        <w:t>bl.a.</w:t>
      </w:r>
      <w:r w:rsidR="002C2CA9">
        <w:rPr>
          <w:rFonts w:ascii="Times New Roman" w:eastAsia="Times New Roman" w:hAnsi="Times New Roman" w:cs="Times New Roman"/>
          <w:color w:val="auto"/>
          <w:sz w:val="24"/>
          <w:szCs w:val="24"/>
          <w:lang w:eastAsia="da-DK"/>
        </w:rPr>
        <w:t xml:space="preserve"> </w:t>
      </w:r>
      <w:r w:rsidR="00602BF6">
        <w:rPr>
          <w:rFonts w:ascii="Times New Roman" w:eastAsia="Times New Roman" w:hAnsi="Times New Roman" w:cs="Times New Roman"/>
          <w:color w:val="auto"/>
          <w:sz w:val="24"/>
          <w:szCs w:val="24"/>
          <w:lang w:eastAsia="da-DK"/>
        </w:rPr>
        <w:t>køretøjers indretning, udstyr og tilbehør.</w:t>
      </w:r>
      <w:r w:rsidR="002C2CA9">
        <w:rPr>
          <w:rFonts w:ascii="Times New Roman" w:eastAsia="Times New Roman" w:hAnsi="Times New Roman" w:cs="Times New Roman"/>
          <w:color w:val="auto"/>
          <w:sz w:val="24"/>
          <w:szCs w:val="24"/>
          <w:lang w:eastAsia="da-DK"/>
        </w:rPr>
        <w:t xml:space="preserve"> </w:t>
      </w:r>
      <w:r w:rsidR="00796D20">
        <w:rPr>
          <w:rFonts w:ascii="Times New Roman" w:eastAsia="Times New Roman" w:hAnsi="Times New Roman" w:cs="Times New Roman"/>
          <w:color w:val="auto"/>
          <w:sz w:val="24"/>
          <w:szCs w:val="24"/>
          <w:lang w:eastAsia="da-DK"/>
        </w:rPr>
        <w:t xml:space="preserve">Det mest relevante direktiv er </w:t>
      </w:r>
      <w:r w:rsidR="00796D20" w:rsidRPr="00796D20">
        <w:rPr>
          <w:rFonts w:ascii="Times New Roman" w:eastAsia="Times New Roman" w:hAnsi="Times New Roman" w:cs="Times New Roman"/>
          <w:color w:val="auto"/>
          <w:sz w:val="24"/>
          <w:szCs w:val="24"/>
          <w:lang w:eastAsia="da-DK"/>
        </w:rPr>
        <w:t>Europarlamentets og Rådets direktiv 2007/46/EF om fastlæggelse af en ramme for godkendelse af motorkøretøjer og påhængskøretøjer dertil, samt af systemer, komponenter og separate tekniske enheder til sådanne køretøjer</w:t>
      </w:r>
      <w:r w:rsidR="00796D20">
        <w:rPr>
          <w:rFonts w:ascii="Times New Roman" w:eastAsia="Times New Roman" w:hAnsi="Times New Roman" w:cs="Times New Roman"/>
          <w:color w:val="auto"/>
          <w:sz w:val="24"/>
          <w:szCs w:val="24"/>
          <w:lang w:eastAsia="da-DK"/>
        </w:rPr>
        <w:t>.</w:t>
      </w:r>
      <w:r w:rsidR="00796D20" w:rsidRPr="00796D20">
        <w:rPr>
          <w:rFonts w:ascii="Times New Roman" w:eastAsia="Times New Roman" w:hAnsi="Times New Roman" w:cs="Times New Roman"/>
          <w:color w:val="auto"/>
          <w:sz w:val="24"/>
          <w:szCs w:val="24"/>
          <w:lang w:eastAsia="da-DK"/>
        </w:rPr>
        <w:t xml:space="preserve"> </w:t>
      </w:r>
    </w:p>
    <w:p w:rsidR="00796D20" w:rsidRDefault="00796D20" w:rsidP="00796D20">
      <w:pPr>
        <w:spacing w:line="240" w:lineRule="auto"/>
        <w:rPr>
          <w:rFonts w:ascii="Times New Roman" w:eastAsia="Times New Roman" w:hAnsi="Times New Roman" w:cs="Times New Roman"/>
          <w:color w:val="auto"/>
          <w:sz w:val="24"/>
          <w:szCs w:val="24"/>
          <w:lang w:eastAsia="da-DK"/>
        </w:rPr>
      </w:pPr>
    </w:p>
    <w:p w:rsidR="00EC5BE4" w:rsidRDefault="00796D20"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Forordningerne er umiddelbart gældende i dansk ret og bindende i alle enkeltheder. </w:t>
      </w:r>
      <w:r w:rsidR="00EC5BE4">
        <w:rPr>
          <w:rFonts w:ascii="Times New Roman" w:eastAsia="Times New Roman" w:hAnsi="Times New Roman" w:cs="Times New Roman"/>
          <w:color w:val="auto"/>
          <w:sz w:val="24"/>
          <w:szCs w:val="24"/>
          <w:lang w:eastAsia="da-DK"/>
        </w:rPr>
        <w:t xml:space="preserve">De mest relevante </w:t>
      </w:r>
      <w:r>
        <w:rPr>
          <w:rFonts w:ascii="Times New Roman" w:eastAsia="Times New Roman" w:hAnsi="Times New Roman" w:cs="Times New Roman"/>
          <w:color w:val="auto"/>
          <w:sz w:val="24"/>
          <w:szCs w:val="24"/>
          <w:lang w:eastAsia="da-DK"/>
        </w:rPr>
        <w:t>f</w:t>
      </w:r>
      <w:r w:rsidR="00EC5BE4">
        <w:rPr>
          <w:rFonts w:ascii="Times New Roman" w:eastAsia="Times New Roman" w:hAnsi="Times New Roman" w:cs="Times New Roman"/>
          <w:color w:val="auto"/>
          <w:sz w:val="24"/>
          <w:szCs w:val="24"/>
          <w:lang w:eastAsia="da-DK"/>
        </w:rPr>
        <w:t>orordninger er følgende:</w:t>
      </w:r>
    </w:p>
    <w:p w:rsidR="00EC5BE4" w:rsidRPr="00E04471" w:rsidRDefault="00EC5BE4" w:rsidP="00EC5BE4">
      <w:pPr>
        <w:pStyle w:val="Listeafsnit"/>
        <w:spacing w:line="240" w:lineRule="auto"/>
        <w:ind w:left="720"/>
        <w:rPr>
          <w:rFonts w:ascii="Times New Roman" w:eastAsia="Times New Roman" w:hAnsi="Times New Roman" w:cs="Times New Roman"/>
          <w:color w:val="auto"/>
          <w:sz w:val="24"/>
          <w:szCs w:val="24"/>
          <w:lang w:eastAsia="da-DK"/>
        </w:rPr>
      </w:pPr>
    </w:p>
    <w:p w:rsidR="00EC5BE4" w:rsidRPr="00E04471" w:rsidRDefault="00EC5BE4" w:rsidP="00EC5BE4">
      <w:pPr>
        <w:pStyle w:val="Listeafsnit"/>
        <w:numPr>
          <w:ilvl w:val="0"/>
          <w:numId w:val="5"/>
        </w:numPr>
        <w:spacing w:line="240" w:lineRule="auto"/>
        <w:rPr>
          <w:rFonts w:ascii="Times New Roman" w:eastAsia="Times New Roman" w:hAnsi="Times New Roman" w:cs="Times New Roman"/>
          <w:color w:val="auto"/>
          <w:sz w:val="24"/>
          <w:szCs w:val="24"/>
          <w:lang w:eastAsia="da-DK"/>
        </w:rPr>
      </w:pPr>
      <w:r w:rsidRPr="00E04471">
        <w:rPr>
          <w:rFonts w:ascii="Times New Roman" w:eastAsia="Times New Roman" w:hAnsi="Times New Roman" w:cs="Times New Roman"/>
          <w:color w:val="auto"/>
          <w:sz w:val="24"/>
          <w:szCs w:val="24"/>
          <w:lang w:eastAsia="da-DK"/>
        </w:rPr>
        <w:t>Europ</w:t>
      </w:r>
      <w:r w:rsidR="00D508A3">
        <w:rPr>
          <w:rFonts w:ascii="Times New Roman" w:eastAsia="Times New Roman" w:hAnsi="Times New Roman" w:cs="Times New Roman"/>
          <w:color w:val="auto"/>
          <w:sz w:val="24"/>
          <w:szCs w:val="24"/>
          <w:lang w:eastAsia="da-DK"/>
        </w:rPr>
        <w:t>a</w:t>
      </w:r>
      <w:r w:rsidR="008B6790">
        <w:rPr>
          <w:rFonts w:ascii="Times New Roman" w:eastAsia="Times New Roman" w:hAnsi="Times New Roman" w:cs="Times New Roman"/>
          <w:color w:val="auto"/>
          <w:sz w:val="24"/>
          <w:szCs w:val="24"/>
          <w:lang w:eastAsia="da-DK"/>
        </w:rPr>
        <w:t>-P</w:t>
      </w:r>
      <w:r w:rsidRPr="00E04471">
        <w:rPr>
          <w:rFonts w:ascii="Times New Roman" w:eastAsia="Times New Roman" w:hAnsi="Times New Roman" w:cs="Times New Roman"/>
          <w:color w:val="auto"/>
          <w:sz w:val="24"/>
          <w:szCs w:val="24"/>
          <w:lang w:eastAsia="da-DK"/>
        </w:rPr>
        <w:t>arlamentets og Rådets forordning (EF) nr. 661/2009 om krav til typegodkendelse for den generelle sikkerhed af motorkøretøjer og påhængskøretøjer dertil, samt af systemer, komponenter og separate tekniske enheder til sådanne køretøjer</w:t>
      </w:r>
    </w:p>
    <w:p w:rsidR="00EC5BE4" w:rsidRPr="00E04471" w:rsidRDefault="00EC5BE4" w:rsidP="00EC5BE4">
      <w:pPr>
        <w:pStyle w:val="Listeafsnit"/>
        <w:spacing w:line="240" w:lineRule="auto"/>
        <w:ind w:left="720"/>
        <w:rPr>
          <w:rFonts w:ascii="Times New Roman" w:eastAsia="Times New Roman" w:hAnsi="Times New Roman" w:cs="Times New Roman"/>
          <w:color w:val="auto"/>
          <w:sz w:val="24"/>
          <w:szCs w:val="24"/>
          <w:lang w:eastAsia="da-DK"/>
        </w:rPr>
      </w:pPr>
    </w:p>
    <w:p w:rsidR="00EC5BE4" w:rsidRDefault="00EC5BE4" w:rsidP="00EC5BE4">
      <w:pPr>
        <w:pStyle w:val="Listeafsnit"/>
        <w:numPr>
          <w:ilvl w:val="0"/>
          <w:numId w:val="5"/>
        </w:numPr>
        <w:spacing w:line="240" w:lineRule="auto"/>
        <w:rPr>
          <w:rFonts w:ascii="Times New Roman" w:eastAsia="Times New Roman" w:hAnsi="Times New Roman" w:cs="Times New Roman"/>
          <w:color w:val="000000" w:themeColor="text1"/>
          <w:sz w:val="24"/>
          <w:szCs w:val="24"/>
          <w:lang w:eastAsia="da-DK"/>
        </w:rPr>
      </w:pPr>
      <w:r w:rsidRPr="00E04471">
        <w:rPr>
          <w:rFonts w:ascii="Times New Roman" w:eastAsia="Times New Roman" w:hAnsi="Times New Roman" w:cs="Times New Roman"/>
          <w:color w:val="000000" w:themeColor="text1"/>
          <w:sz w:val="24"/>
          <w:szCs w:val="24"/>
          <w:lang w:eastAsia="da-DK"/>
        </w:rPr>
        <w:t>Kommissionens forordning (EU) nr. 1230/2012 om gennemførelse af Europa-Parlamentets og Rådets forordning (EF) nr. 661/2009 for så vidt angår krav til typegodkendelse for masse og dimensioner for motorkøretøjer og påhængskøretøjer dertil og om ændring af Europa-Parlamentets og Rådets direktiv 2007/46/EF (inkl. senere ændringer)</w:t>
      </w:r>
    </w:p>
    <w:p w:rsidR="00EC5BE4" w:rsidRPr="00E04471" w:rsidRDefault="00EC5BE4" w:rsidP="00EC5BE4">
      <w:pPr>
        <w:spacing w:line="240" w:lineRule="auto"/>
        <w:rPr>
          <w:rFonts w:ascii="Times New Roman" w:eastAsia="Times New Roman" w:hAnsi="Times New Roman" w:cs="Times New Roman"/>
          <w:color w:val="000000" w:themeColor="text1"/>
          <w:sz w:val="24"/>
          <w:szCs w:val="24"/>
          <w:lang w:eastAsia="da-DK"/>
        </w:rPr>
      </w:pPr>
    </w:p>
    <w:p w:rsidR="00EC5BE4" w:rsidRPr="00E04471" w:rsidRDefault="00EC5BE4" w:rsidP="00EC5BE4">
      <w:pPr>
        <w:pStyle w:val="Listeafsnit"/>
        <w:numPr>
          <w:ilvl w:val="0"/>
          <w:numId w:val="5"/>
        </w:numPr>
        <w:spacing w:line="240" w:lineRule="auto"/>
        <w:rPr>
          <w:rFonts w:ascii="Times New Roman" w:eastAsia="Times New Roman" w:hAnsi="Times New Roman" w:cs="Times New Roman"/>
          <w:color w:val="000000" w:themeColor="text1"/>
          <w:sz w:val="24"/>
          <w:szCs w:val="24"/>
          <w:lang w:eastAsia="da-DK"/>
        </w:rPr>
      </w:pPr>
      <w:r w:rsidRPr="00E04471">
        <w:rPr>
          <w:rFonts w:ascii="Times New Roman" w:eastAsia="Times New Roman" w:hAnsi="Times New Roman" w:cs="Times New Roman"/>
          <w:color w:val="000000" w:themeColor="text1"/>
          <w:sz w:val="24"/>
          <w:szCs w:val="24"/>
          <w:lang w:eastAsia="da-DK"/>
        </w:rPr>
        <w:t xml:space="preserve">Kommissionens forordning (EU) nr. 458/2011 </w:t>
      </w:r>
      <w:r w:rsidR="008B6790">
        <w:rPr>
          <w:rFonts w:ascii="Times New Roman" w:eastAsia="Times New Roman" w:hAnsi="Times New Roman" w:cs="Times New Roman"/>
          <w:color w:val="000000" w:themeColor="text1"/>
          <w:sz w:val="24"/>
          <w:szCs w:val="24"/>
          <w:lang w:eastAsia="da-DK"/>
        </w:rPr>
        <w:t xml:space="preserve">om </w:t>
      </w:r>
      <w:r w:rsidRPr="00E04471">
        <w:rPr>
          <w:rFonts w:ascii="Times New Roman" w:eastAsia="Times New Roman" w:hAnsi="Times New Roman" w:cs="Times New Roman"/>
          <w:color w:val="000000" w:themeColor="text1"/>
          <w:sz w:val="24"/>
          <w:szCs w:val="24"/>
          <w:lang w:eastAsia="da-DK"/>
        </w:rPr>
        <w:t>typegodkendelseskrav for motorkøretøjer og påhængskøretøjer dertil for så vidt angår montering af dæk og om gennemførelse af Europa-Parlamentets og Rådets forordning (EF) nr. 661/2009 om krav til typegodkendelse for den generelle sikkerhed af motorkøretøjer, påhængskøretøjer dertil samt systemer, komponenter og separate tekniske enheder til sådanne køretøjer.</w:t>
      </w:r>
    </w:p>
    <w:p w:rsidR="00EC5BE4" w:rsidRDefault="00EC5BE4" w:rsidP="00EC5BE4">
      <w:pPr>
        <w:spacing w:line="240" w:lineRule="auto"/>
        <w:rPr>
          <w:rFonts w:ascii="Times New Roman" w:eastAsia="Times New Roman" w:hAnsi="Times New Roman" w:cs="Times New Roman"/>
          <w:color w:val="000000" w:themeColor="text1"/>
          <w:sz w:val="24"/>
          <w:szCs w:val="24"/>
          <w:lang w:eastAsia="da-DK"/>
        </w:rPr>
      </w:pPr>
    </w:p>
    <w:p w:rsidR="00796D20"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Derudover findes en række forskellige ECE-regulativer og øvrige internationale standarder, herunder bl.a. Wienerkonventionen (Færdselskonventionen af 8. november 1968 om vejtrafik) og Færdselskonventionen af 19. december 1949. Wienerkonventionen om vejtrafik regulerer </w:t>
      </w:r>
      <w:r w:rsidR="00130BE8">
        <w:rPr>
          <w:rFonts w:ascii="Times New Roman" w:eastAsia="Times New Roman" w:hAnsi="Times New Roman" w:cs="Times New Roman"/>
          <w:color w:val="auto"/>
          <w:sz w:val="24"/>
          <w:szCs w:val="24"/>
          <w:lang w:eastAsia="da-DK"/>
        </w:rPr>
        <w:t>bl.a.</w:t>
      </w:r>
      <w:r>
        <w:rPr>
          <w:rFonts w:ascii="Times New Roman" w:eastAsia="Times New Roman" w:hAnsi="Times New Roman" w:cs="Times New Roman"/>
          <w:color w:val="auto"/>
          <w:sz w:val="24"/>
          <w:szCs w:val="24"/>
          <w:lang w:eastAsia="da-DK"/>
        </w:rPr>
        <w:t xml:space="preserve"> tekniske krav til køretøjer, som er hjemmehørende uden for EU</w:t>
      </w:r>
      <w:r w:rsidRPr="00D87065">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og </w:t>
      </w:r>
      <w:r w:rsidRPr="00D87065">
        <w:rPr>
          <w:rFonts w:ascii="Times New Roman" w:hAnsi="Times New Roman" w:cs="Times New Roman"/>
          <w:color w:val="auto"/>
          <w:sz w:val="24"/>
          <w:szCs w:val="24"/>
        </w:rPr>
        <w:t>EØS-land</w:t>
      </w:r>
      <w:r>
        <w:rPr>
          <w:rFonts w:ascii="Times New Roman" w:hAnsi="Times New Roman" w:cs="Times New Roman"/>
          <w:color w:val="auto"/>
          <w:sz w:val="24"/>
          <w:szCs w:val="24"/>
        </w:rPr>
        <w:t>ene</w:t>
      </w:r>
      <w:r w:rsidRPr="00D87065">
        <w:rPr>
          <w:rFonts w:ascii="Times New Roman" w:hAnsi="Times New Roman" w:cs="Times New Roman"/>
          <w:color w:val="auto"/>
          <w:sz w:val="24"/>
          <w:szCs w:val="24"/>
        </w:rPr>
        <w:t xml:space="preserve"> (Norge, Island og Liechtenstein)</w:t>
      </w:r>
      <w:r w:rsidRPr="00D87065">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w:t>
      </w:r>
    </w:p>
    <w:p w:rsidR="00EC5BE4" w:rsidRDefault="00EC5BE4" w:rsidP="00EC5BE4">
      <w:pPr>
        <w:spacing w:line="240" w:lineRule="auto"/>
        <w:rPr>
          <w:rFonts w:ascii="Times New Roman" w:eastAsia="Times New Roman" w:hAnsi="Times New Roman" w:cs="Times New Roman"/>
          <w:color w:val="000000" w:themeColor="text1"/>
          <w:sz w:val="24"/>
          <w:szCs w:val="24"/>
          <w:lang w:eastAsia="da-DK"/>
        </w:rPr>
      </w:pPr>
    </w:p>
    <w:p w:rsidR="00EC5BE4" w:rsidRDefault="00EC5BE4" w:rsidP="00EC5BE4">
      <w:pPr>
        <w:spacing w:line="240" w:lineRule="auto"/>
        <w:rPr>
          <w:rFonts w:ascii="Times New Roman" w:eastAsia="Times New Roman" w:hAnsi="Times New Roman" w:cs="Times New Roman"/>
          <w:color w:val="000000" w:themeColor="text1"/>
          <w:sz w:val="24"/>
          <w:szCs w:val="24"/>
          <w:lang w:eastAsia="da-DK"/>
        </w:rPr>
      </w:pPr>
      <w:r w:rsidRPr="005407F9">
        <w:rPr>
          <w:rFonts w:ascii="Times New Roman" w:eastAsia="Times New Roman" w:hAnsi="Times New Roman" w:cs="Times New Roman"/>
          <w:color w:val="000000" w:themeColor="text1"/>
          <w:sz w:val="24"/>
          <w:szCs w:val="24"/>
          <w:lang w:eastAsia="da-DK"/>
        </w:rPr>
        <w:lastRenderedPageBreak/>
        <w:t>Tekniske krav til ibrugtagne køretøjer</w:t>
      </w:r>
      <w:r>
        <w:rPr>
          <w:rFonts w:ascii="Times New Roman" w:eastAsia="Times New Roman" w:hAnsi="Times New Roman" w:cs="Times New Roman"/>
          <w:color w:val="000000" w:themeColor="text1"/>
          <w:sz w:val="24"/>
          <w:szCs w:val="24"/>
          <w:lang w:eastAsia="da-DK"/>
        </w:rPr>
        <w:t xml:space="preserve"> (det vil sige krav til køretøjernes vedligeholdelsesstand efter ibrugtagning)</w:t>
      </w:r>
      <w:r w:rsidRPr="005407F9">
        <w:rPr>
          <w:rFonts w:ascii="Times New Roman" w:eastAsia="Times New Roman" w:hAnsi="Times New Roman" w:cs="Times New Roman"/>
          <w:color w:val="000000" w:themeColor="text1"/>
          <w:sz w:val="24"/>
          <w:szCs w:val="24"/>
          <w:lang w:eastAsia="da-DK"/>
        </w:rPr>
        <w:t xml:space="preserve"> er ikke </w:t>
      </w:r>
      <w:r>
        <w:rPr>
          <w:rFonts w:ascii="Times New Roman" w:eastAsia="Times New Roman" w:hAnsi="Times New Roman" w:cs="Times New Roman"/>
          <w:color w:val="000000" w:themeColor="text1"/>
          <w:sz w:val="24"/>
          <w:szCs w:val="24"/>
          <w:lang w:eastAsia="da-DK"/>
        </w:rPr>
        <w:t xml:space="preserve">direkte </w:t>
      </w:r>
      <w:r w:rsidRPr="005407F9">
        <w:rPr>
          <w:rFonts w:ascii="Times New Roman" w:eastAsia="Times New Roman" w:hAnsi="Times New Roman" w:cs="Times New Roman"/>
          <w:color w:val="000000" w:themeColor="text1"/>
          <w:sz w:val="24"/>
          <w:szCs w:val="24"/>
          <w:lang w:eastAsia="da-DK"/>
        </w:rPr>
        <w:t>u</w:t>
      </w:r>
      <w:r>
        <w:rPr>
          <w:rFonts w:ascii="Times New Roman" w:eastAsia="Times New Roman" w:hAnsi="Times New Roman" w:cs="Times New Roman"/>
          <w:color w:val="000000" w:themeColor="text1"/>
          <w:sz w:val="24"/>
          <w:szCs w:val="24"/>
          <w:lang w:eastAsia="da-DK"/>
        </w:rPr>
        <w:t xml:space="preserve">nderlagt </w:t>
      </w:r>
      <w:r w:rsidRPr="005407F9">
        <w:rPr>
          <w:rFonts w:ascii="Times New Roman" w:eastAsia="Times New Roman" w:hAnsi="Times New Roman" w:cs="Times New Roman"/>
          <w:color w:val="000000" w:themeColor="text1"/>
          <w:sz w:val="24"/>
          <w:szCs w:val="24"/>
          <w:lang w:eastAsia="da-DK"/>
        </w:rPr>
        <w:t>EU-</w:t>
      </w:r>
      <w:r>
        <w:rPr>
          <w:rFonts w:ascii="Times New Roman" w:eastAsia="Times New Roman" w:hAnsi="Times New Roman" w:cs="Times New Roman"/>
          <w:color w:val="000000" w:themeColor="text1"/>
          <w:sz w:val="24"/>
          <w:szCs w:val="24"/>
          <w:lang w:eastAsia="da-DK"/>
        </w:rPr>
        <w:t xml:space="preserve">retlig </w:t>
      </w:r>
      <w:r w:rsidRPr="005407F9">
        <w:rPr>
          <w:rFonts w:ascii="Times New Roman" w:eastAsia="Times New Roman" w:hAnsi="Times New Roman" w:cs="Times New Roman"/>
          <w:color w:val="000000" w:themeColor="text1"/>
          <w:sz w:val="24"/>
          <w:szCs w:val="24"/>
          <w:lang w:eastAsia="da-DK"/>
        </w:rPr>
        <w:t xml:space="preserve">regulering. I Danmark er </w:t>
      </w:r>
      <w:r w:rsidR="00796D20">
        <w:rPr>
          <w:rFonts w:ascii="Times New Roman" w:eastAsia="Times New Roman" w:hAnsi="Times New Roman" w:cs="Times New Roman"/>
          <w:color w:val="000000" w:themeColor="text1"/>
          <w:sz w:val="24"/>
          <w:szCs w:val="24"/>
          <w:lang w:eastAsia="da-DK"/>
        </w:rPr>
        <w:t xml:space="preserve">de </w:t>
      </w:r>
      <w:r w:rsidRPr="005407F9">
        <w:rPr>
          <w:rFonts w:ascii="Times New Roman" w:eastAsia="Times New Roman" w:hAnsi="Times New Roman" w:cs="Times New Roman"/>
          <w:color w:val="000000" w:themeColor="text1"/>
          <w:sz w:val="24"/>
          <w:szCs w:val="24"/>
          <w:lang w:eastAsia="da-DK"/>
        </w:rPr>
        <w:t xml:space="preserve">tekniske krav til ibrugtagne køretøjer dels fastsat i </w:t>
      </w:r>
      <w:r>
        <w:rPr>
          <w:rFonts w:ascii="Times New Roman" w:eastAsia="Times New Roman" w:hAnsi="Times New Roman" w:cs="Times New Roman"/>
          <w:color w:val="000000" w:themeColor="text1"/>
          <w:sz w:val="24"/>
          <w:szCs w:val="24"/>
          <w:lang w:eastAsia="da-DK"/>
        </w:rPr>
        <w:t>bekendtgørelse</w:t>
      </w:r>
      <w:r w:rsidR="006A00E2">
        <w:rPr>
          <w:rFonts w:ascii="Times New Roman" w:eastAsia="Times New Roman" w:hAnsi="Times New Roman" w:cs="Times New Roman"/>
          <w:color w:val="000000" w:themeColor="text1"/>
          <w:sz w:val="24"/>
          <w:szCs w:val="24"/>
          <w:lang w:eastAsia="da-DK"/>
        </w:rPr>
        <w:t xml:space="preserve"> nr. 154 af 20, april </w:t>
      </w:r>
      <w:r w:rsidRPr="005407F9">
        <w:rPr>
          <w:rFonts w:ascii="Times New Roman" w:eastAsia="Times New Roman" w:hAnsi="Times New Roman" w:cs="Times New Roman"/>
          <w:color w:val="000000" w:themeColor="text1"/>
          <w:sz w:val="24"/>
          <w:szCs w:val="24"/>
          <w:lang w:eastAsia="da-DK"/>
        </w:rPr>
        <w:t xml:space="preserve">1977 om køretøjers indretning og udstyr m.v. </w:t>
      </w:r>
      <w:r>
        <w:rPr>
          <w:rFonts w:ascii="Times New Roman" w:eastAsia="Times New Roman" w:hAnsi="Times New Roman" w:cs="Times New Roman"/>
          <w:color w:val="000000" w:themeColor="text1"/>
          <w:sz w:val="24"/>
          <w:szCs w:val="24"/>
          <w:lang w:eastAsia="da-DK"/>
        </w:rPr>
        <w:t xml:space="preserve">med senere ændringer </w:t>
      </w:r>
      <w:r w:rsidRPr="005407F9">
        <w:rPr>
          <w:rFonts w:ascii="Times New Roman" w:eastAsia="Times New Roman" w:hAnsi="Times New Roman" w:cs="Times New Roman"/>
          <w:color w:val="000000" w:themeColor="text1"/>
          <w:sz w:val="24"/>
          <w:szCs w:val="24"/>
          <w:lang w:eastAsia="da-DK"/>
        </w:rPr>
        <w:t>(</w:t>
      </w:r>
      <w:r>
        <w:rPr>
          <w:rFonts w:ascii="Times New Roman" w:eastAsia="Times New Roman" w:hAnsi="Times New Roman" w:cs="Times New Roman"/>
          <w:color w:val="000000" w:themeColor="text1"/>
          <w:sz w:val="24"/>
          <w:szCs w:val="24"/>
          <w:lang w:eastAsia="da-DK"/>
        </w:rPr>
        <w:t>udstyrsbekendtgørelsen</w:t>
      </w:r>
      <w:r w:rsidRPr="005407F9">
        <w:rPr>
          <w:rFonts w:ascii="Times New Roman" w:eastAsia="Times New Roman" w:hAnsi="Times New Roman" w:cs="Times New Roman"/>
          <w:color w:val="000000" w:themeColor="text1"/>
          <w:sz w:val="24"/>
          <w:szCs w:val="24"/>
          <w:lang w:eastAsia="da-DK"/>
        </w:rPr>
        <w:t>) og dels i mere detaljeret grad</w:t>
      </w:r>
      <w:r>
        <w:rPr>
          <w:rFonts w:ascii="Times New Roman" w:eastAsia="Times New Roman" w:hAnsi="Times New Roman" w:cs="Times New Roman"/>
          <w:color w:val="000000" w:themeColor="text1"/>
          <w:sz w:val="24"/>
          <w:szCs w:val="24"/>
          <w:lang w:eastAsia="da-DK"/>
        </w:rPr>
        <w:t xml:space="preserve"> </w:t>
      </w:r>
      <w:r w:rsidRPr="005407F9">
        <w:rPr>
          <w:rFonts w:ascii="Times New Roman" w:eastAsia="Times New Roman" w:hAnsi="Times New Roman" w:cs="Times New Roman"/>
          <w:color w:val="000000" w:themeColor="text1"/>
          <w:sz w:val="24"/>
          <w:szCs w:val="24"/>
          <w:lang w:eastAsia="da-DK"/>
        </w:rPr>
        <w:t xml:space="preserve">i </w:t>
      </w:r>
      <w:r>
        <w:rPr>
          <w:rFonts w:ascii="Times New Roman" w:eastAsia="Times New Roman" w:hAnsi="Times New Roman" w:cs="Times New Roman"/>
          <w:color w:val="000000" w:themeColor="text1"/>
          <w:sz w:val="24"/>
          <w:szCs w:val="24"/>
          <w:lang w:eastAsia="da-DK"/>
        </w:rPr>
        <w:t>b</w:t>
      </w:r>
      <w:r w:rsidRPr="005407F9">
        <w:rPr>
          <w:rFonts w:ascii="Times New Roman" w:eastAsia="Times New Roman" w:hAnsi="Times New Roman" w:cs="Times New Roman"/>
          <w:color w:val="000000" w:themeColor="text1"/>
          <w:sz w:val="24"/>
          <w:szCs w:val="24"/>
          <w:lang w:eastAsia="da-DK"/>
        </w:rPr>
        <w:t>ekendtgørelse</w:t>
      </w:r>
      <w:r>
        <w:rPr>
          <w:rFonts w:ascii="Times New Roman" w:eastAsia="Times New Roman" w:hAnsi="Times New Roman" w:cs="Times New Roman"/>
          <w:color w:val="000000" w:themeColor="text1"/>
          <w:sz w:val="24"/>
          <w:szCs w:val="24"/>
          <w:lang w:eastAsia="da-DK"/>
        </w:rPr>
        <w:t xml:space="preserve"> nr. 1595 af 15. december 2016 </w:t>
      </w:r>
      <w:r w:rsidRPr="005407F9">
        <w:rPr>
          <w:rFonts w:ascii="Times New Roman" w:eastAsia="Times New Roman" w:hAnsi="Times New Roman" w:cs="Times New Roman"/>
          <w:color w:val="000000" w:themeColor="text1"/>
          <w:sz w:val="24"/>
          <w:szCs w:val="24"/>
          <w:lang w:eastAsia="da-DK"/>
        </w:rPr>
        <w:t>om detailforskrifter for køretøjers indretning og udstyr</w:t>
      </w:r>
      <w:r>
        <w:rPr>
          <w:rFonts w:ascii="Times New Roman" w:eastAsia="Times New Roman" w:hAnsi="Times New Roman" w:cs="Times New Roman"/>
          <w:color w:val="000000" w:themeColor="text1"/>
          <w:sz w:val="24"/>
          <w:szCs w:val="24"/>
          <w:lang w:eastAsia="da-DK"/>
        </w:rPr>
        <w:t xml:space="preserve"> (detailforskrifter for køretøjer)</w:t>
      </w:r>
      <w:r w:rsidRPr="005407F9">
        <w:rPr>
          <w:rFonts w:ascii="Times New Roman" w:eastAsia="Times New Roman" w:hAnsi="Times New Roman" w:cs="Times New Roman"/>
          <w:color w:val="000000" w:themeColor="text1"/>
          <w:sz w:val="24"/>
          <w:szCs w:val="24"/>
          <w:lang w:eastAsia="da-DK"/>
        </w:rPr>
        <w:t xml:space="preserve">. </w:t>
      </w:r>
      <w:r>
        <w:rPr>
          <w:rFonts w:ascii="Times New Roman" w:eastAsia="Times New Roman" w:hAnsi="Times New Roman" w:cs="Times New Roman"/>
          <w:color w:val="000000" w:themeColor="text1"/>
          <w:sz w:val="24"/>
          <w:szCs w:val="24"/>
          <w:lang w:eastAsia="da-DK"/>
        </w:rPr>
        <w:t>Detailforskrifterne for køretøjer ændres og tilpasse</w:t>
      </w:r>
      <w:r w:rsidR="00443E7D">
        <w:rPr>
          <w:rFonts w:ascii="Times New Roman" w:eastAsia="Times New Roman" w:hAnsi="Times New Roman" w:cs="Times New Roman"/>
          <w:color w:val="000000" w:themeColor="text1"/>
          <w:sz w:val="24"/>
          <w:szCs w:val="24"/>
          <w:lang w:eastAsia="da-DK"/>
        </w:rPr>
        <w:t>s</w:t>
      </w:r>
      <w:r>
        <w:rPr>
          <w:rFonts w:ascii="Times New Roman" w:eastAsia="Times New Roman" w:hAnsi="Times New Roman" w:cs="Times New Roman"/>
          <w:color w:val="000000" w:themeColor="text1"/>
          <w:sz w:val="24"/>
          <w:szCs w:val="24"/>
          <w:lang w:eastAsia="da-DK"/>
        </w:rPr>
        <w:t xml:space="preserve"> løbende, og h</w:t>
      </w:r>
      <w:r w:rsidRPr="005407F9">
        <w:rPr>
          <w:rFonts w:ascii="Times New Roman" w:eastAsia="Times New Roman" w:hAnsi="Times New Roman" w:cs="Times New Roman"/>
          <w:color w:val="000000" w:themeColor="text1"/>
          <w:sz w:val="24"/>
          <w:szCs w:val="24"/>
          <w:lang w:eastAsia="da-DK"/>
        </w:rPr>
        <w:t xml:space="preserve">ver udgave er gældende for køretøjer som registreres, godkendes eller tages i brug første gang på ikrafttrædelsesdatoen </w:t>
      </w:r>
      <w:r>
        <w:rPr>
          <w:rFonts w:ascii="Times New Roman" w:eastAsia="Times New Roman" w:hAnsi="Times New Roman" w:cs="Times New Roman"/>
          <w:color w:val="000000" w:themeColor="text1"/>
          <w:sz w:val="24"/>
          <w:szCs w:val="24"/>
          <w:lang w:eastAsia="da-DK"/>
        </w:rPr>
        <w:t xml:space="preserve">for de ændrede detailforskrifter </w:t>
      </w:r>
      <w:r w:rsidRPr="005407F9">
        <w:rPr>
          <w:rFonts w:ascii="Times New Roman" w:eastAsia="Times New Roman" w:hAnsi="Times New Roman" w:cs="Times New Roman"/>
          <w:color w:val="000000" w:themeColor="text1"/>
          <w:sz w:val="24"/>
          <w:szCs w:val="24"/>
          <w:lang w:eastAsia="da-DK"/>
        </w:rPr>
        <w:t xml:space="preserve">eller senere, og gælder således også ibrugtagne køretøjer. </w:t>
      </w:r>
    </w:p>
    <w:p w:rsidR="00A47944" w:rsidRDefault="00A47944" w:rsidP="00796D20">
      <w:pPr>
        <w:spacing w:line="240" w:lineRule="auto"/>
        <w:rPr>
          <w:rFonts w:ascii="Times New Roman" w:eastAsia="Times New Roman" w:hAnsi="Times New Roman" w:cs="Times New Roman"/>
          <w:color w:val="000000" w:themeColor="text1"/>
          <w:sz w:val="24"/>
          <w:szCs w:val="24"/>
          <w:lang w:eastAsia="da-DK"/>
        </w:rPr>
      </w:pPr>
    </w:p>
    <w:p w:rsidR="00796D20" w:rsidRDefault="00796D20" w:rsidP="00EC5BE4">
      <w:pPr>
        <w:spacing w:line="240" w:lineRule="auto"/>
        <w:rPr>
          <w:rFonts w:ascii="Times New Roman" w:eastAsia="Times New Roman" w:hAnsi="Times New Roman" w:cs="Times New Roman"/>
          <w:color w:val="000000" w:themeColor="text1"/>
          <w:sz w:val="24"/>
          <w:szCs w:val="24"/>
          <w:lang w:eastAsia="da-DK"/>
        </w:rPr>
      </w:pPr>
      <w:r>
        <w:rPr>
          <w:rFonts w:ascii="Times New Roman" w:eastAsia="Times New Roman" w:hAnsi="Times New Roman" w:cs="Times New Roman"/>
          <w:color w:val="000000" w:themeColor="text1"/>
          <w:sz w:val="24"/>
          <w:szCs w:val="24"/>
          <w:lang w:eastAsia="da-DK"/>
        </w:rPr>
        <w:t xml:space="preserve">Danmark og de øvrige </w:t>
      </w:r>
      <w:r w:rsidR="00A47944">
        <w:rPr>
          <w:rFonts w:ascii="Times New Roman" w:eastAsia="Times New Roman" w:hAnsi="Times New Roman" w:cs="Times New Roman"/>
          <w:color w:val="000000" w:themeColor="text1"/>
          <w:sz w:val="24"/>
          <w:szCs w:val="24"/>
          <w:lang w:eastAsia="da-DK"/>
        </w:rPr>
        <w:t>EU-</w:t>
      </w:r>
      <w:r>
        <w:rPr>
          <w:rFonts w:ascii="Times New Roman" w:eastAsia="Times New Roman" w:hAnsi="Times New Roman" w:cs="Times New Roman"/>
          <w:color w:val="000000" w:themeColor="text1"/>
          <w:sz w:val="24"/>
          <w:szCs w:val="24"/>
          <w:lang w:eastAsia="da-DK"/>
        </w:rPr>
        <w:t xml:space="preserve">medlemsstater </w:t>
      </w:r>
      <w:r w:rsidR="00A47944">
        <w:rPr>
          <w:rFonts w:ascii="Times New Roman" w:eastAsia="Times New Roman" w:hAnsi="Times New Roman" w:cs="Times New Roman"/>
          <w:color w:val="000000" w:themeColor="text1"/>
          <w:sz w:val="24"/>
          <w:szCs w:val="24"/>
          <w:lang w:eastAsia="da-DK"/>
        </w:rPr>
        <w:t xml:space="preserve">kan </w:t>
      </w:r>
      <w:r>
        <w:rPr>
          <w:rFonts w:ascii="Times New Roman" w:eastAsia="Times New Roman" w:hAnsi="Times New Roman" w:cs="Times New Roman"/>
          <w:color w:val="000000" w:themeColor="text1"/>
          <w:sz w:val="24"/>
          <w:szCs w:val="24"/>
          <w:lang w:eastAsia="da-DK"/>
        </w:rPr>
        <w:t xml:space="preserve">imidlertid ikke fastsætte egne strengere regler for </w:t>
      </w:r>
      <w:r w:rsidR="00130BE8">
        <w:rPr>
          <w:rFonts w:ascii="Times New Roman" w:eastAsia="Times New Roman" w:hAnsi="Times New Roman" w:cs="Times New Roman"/>
          <w:color w:val="000000" w:themeColor="text1"/>
          <w:sz w:val="24"/>
          <w:szCs w:val="24"/>
          <w:lang w:eastAsia="da-DK"/>
        </w:rPr>
        <w:t>bl.a.</w:t>
      </w:r>
      <w:r>
        <w:rPr>
          <w:rFonts w:ascii="Times New Roman" w:eastAsia="Times New Roman" w:hAnsi="Times New Roman" w:cs="Times New Roman"/>
          <w:color w:val="000000" w:themeColor="text1"/>
          <w:sz w:val="24"/>
          <w:szCs w:val="24"/>
          <w:lang w:eastAsia="da-DK"/>
        </w:rPr>
        <w:t xml:space="preserve"> ibrugtagne køretøjer, der fraviger den EU-retlige regulering af køretøjernes typegodkendelse, idet dette vil udgøre en handelshindring. Derfor omfatter den EU-retlige regulering af køretøjernes typegodkendelse</w:t>
      </w:r>
      <w:r w:rsidRPr="005407F9">
        <w:rPr>
          <w:rFonts w:ascii="Times New Roman" w:eastAsia="Times New Roman" w:hAnsi="Times New Roman" w:cs="Times New Roman"/>
          <w:color w:val="000000" w:themeColor="text1"/>
          <w:sz w:val="24"/>
          <w:szCs w:val="24"/>
          <w:lang w:eastAsia="da-DK"/>
        </w:rPr>
        <w:t xml:space="preserve"> </w:t>
      </w:r>
      <w:r>
        <w:rPr>
          <w:rFonts w:ascii="Times New Roman" w:eastAsia="Times New Roman" w:hAnsi="Times New Roman" w:cs="Times New Roman"/>
          <w:color w:val="000000" w:themeColor="text1"/>
          <w:sz w:val="24"/>
          <w:szCs w:val="24"/>
          <w:lang w:eastAsia="da-DK"/>
        </w:rPr>
        <w:t xml:space="preserve">de facto også ibrugtagne motordrevne køretøjer på medlemsstaternes områder, </w:t>
      </w:r>
      <w:r w:rsidR="00A47944">
        <w:rPr>
          <w:rFonts w:ascii="Times New Roman" w:eastAsia="Times New Roman" w:hAnsi="Times New Roman" w:cs="Times New Roman"/>
          <w:color w:val="000000" w:themeColor="text1"/>
          <w:sz w:val="24"/>
          <w:szCs w:val="24"/>
          <w:lang w:eastAsia="da-DK"/>
        </w:rPr>
        <w:t>og</w:t>
      </w:r>
      <w:r>
        <w:rPr>
          <w:rFonts w:ascii="Times New Roman" w:eastAsia="Times New Roman" w:hAnsi="Times New Roman" w:cs="Times New Roman"/>
          <w:color w:val="000000" w:themeColor="text1"/>
          <w:sz w:val="24"/>
          <w:szCs w:val="24"/>
          <w:lang w:eastAsia="da-DK"/>
        </w:rPr>
        <w:t xml:space="preserve"> detailforskrifterne for køretøjer </w:t>
      </w:r>
      <w:r w:rsidR="00A47944">
        <w:rPr>
          <w:rFonts w:ascii="Times New Roman" w:eastAsia="Times New Roman" w:hAnsi="Times New Roman" w:cs="Times New Roman"/>
          <w:color w:val="000000" w:themeColor="text1"/>
          <w:sz w:val="24"/>
          <w:szCs w:val="24"/>
          <w:lang w:eastAsia="da-DK"/>
        </w:rPr>
        <w:t xml:space="preserve">er derfor </w:t>
      </w:r>
      <w:r>
        <w:rPr>
          <w:rFonts w:ascii="Times New Roman" w:eastAsia="Times New Roman" w:hAnsi="Times New Roman" w:cs="Times New Roman"/>
          <w:color w:val="000000" w:themeColor="text1"/>
          <w:sz w:val="24"/>
          <w:szCs w:val="24"/>
          <w:lang w:eastAsia="da-DK"/>
        </w:rPr>
        <w:t>på de væsentligste punkter</w:t>
      </w:r>
      <w:r w:rsidR="00A47944">
        <w:rPr>
          <w:rFonts w:ascii="Times New Roman" w:eastAsia="Times New Roman" w:hAnsi="Times New Roman" w:cs="Times New Roman"/>
          <w:color w:val="000000" w:themeColor="text1"/>
          <w:sz w:val="24"/>
          <w:szCs w:val="24"/>
          <w:lang w:eastAsia="da-DK"/>
        </w:rPr>
        <w:t xml:space="preserve"> alene udtryk for</w:t>
      </w:r>
      <w:r>
        <w:rPr>
          <w:rFonts w:ascii="Times New Roman" w:eastAsia="Times New Roman" w:hAnsi="Times New Roman" w:cs="Times New Roman"/>
          <w:color w:val="000000" w:themeColor="text1"/>
          <w:sz w:val="24"/>
          <w:szCs w:val="24"/>
          <w:lang w:eastAsia="da-DK"/>
        </w:rPr>
        <w:t xml:space="preserve"> en </w:t>
      </w:r>
      <w:r>
        <w:rPr>
          <w:rFonts w:ascii="Times New Roman" w:eastAsia="Times New Roman" w:hAnsi="Times New Roman" w:cs="Times New Roman"/>
          <w:color w:val="auto"/>
          <w:sz w:val="24"/>
          <w:szCs w:val="24"/>
          <w:lang w:eastAsia="da-DK"/>
        </w:rPr>
        <w:t>opdateret gengivelse af de forskellige relevante EU-forordninger.</w:t>
      </w:r>
    </w:p>
    <w:p w:rsidR="00796D20" w:rsidRDefault="00796D20" w:rsidP="00EC5BE4">
      <w:pPr>
        <w:spacing w:line="240" w:lineRule="auto"/>
        <w:rPr>
          <w:rFonts w:ascii="Times New Roman" w:eastAsia="Times New Roman" w:hAnsi="Times New Roman" w:cs="Times New Roman"/>
          <w:color w:val="000000" w:themeColor="text1"/>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Hvis et motordrevet køretøj ikke lever op til de forskellige ovennævnte regler, er køretøjet ikke i lovlig stand, hvilket ejeren efter § 67, stk. 2, er ansvarlig for. Hvis køretøjet ikke lever op til de forskellige ovennæ</w:t>
      </w:r>
      <w:r w:rsidR="006A00E2">
        <w:rPr>
          <w:rFonts w:ascii="Times New Roman" w:eastAsia="Times New Roman" w:hAnsi="Times New Roman" w:cs="Times New Roman"/>
          <w:color w:val="auto"/>
          <w:sz w:val="24"/>
          <w:szCs w:val="24"/>
          <w:lang w:eastAsia="da-DK"/>
        </w:rPr>
        <w:t>vnte regler, vil køretøjet som absolut hovedregel</w:t>
      </w:r>
      <w:r>
        <w:rPr>
          <w:rFonts w:ascii="Times New Roman" w:eastAsia="Times New Roman" w:hAnsi="Times New Roman" w:cs="Times New Roman"/>
          <w:color w:val="auto"/>
          <w:sz w:val="24"/>
          <w:szCs w:val="24"/>
          <w:lang w:eastAsia="da-DK"/>
        </w:rPr>
        <w:t xml:space="preserve"> heller ikke være i forsvarlig stand, hvilke før</w:t>
      </w:r>
      <w:r w:rsidR="006A00E2">
        <w:rPr>
          <w:rFonts w:ascii="Times New Roman" w:eastAsia="Times New Roman" w:hAnsi="Times New Roman" w:cs="Times New Roman"/>
          <w:color w:val="auto"/>
          <w:sz w:val="24"/>
          <w:szCs w:val="24"/>
          <w:lang w:eastAsia="da-DK"/>
        </w:rPr>
        <w:t xml:space="preserve">eren </w:t>
      </w:r>
      <w:r>
        <w:rPr>
          <w:rFonts w:ascii="Times New Roman" w:eastAsia="Times New Roman" w:hAnsi="Times New Roman" w:cs="Times New Roman"/>
          <w:color w:val="auto"/>
          <w:sz w:val="24"/>
          <w:szCs w:val="24"/>
          <w:lang w:eastAsia="da-DK"/>
        </w:rPr>
        <w:t>efter § 67, stk. 3, er ansvarlig for</w:t>
      </w:r>
      <w:r w:rsidR="00A47944">
        <w:rPr>
          <w:rFonts w:ascii="Times New Roman" w:eastAsia="Times New Roman" w:hAnsi="Times New Roman" w:cs="Times New Roman"/>
          <w:color w:val="auto"/>
          <w:sz w:val="24"/>
          <w:szCs w:val="24"/>
          <w:lang w:eastAsia="da-DK"/>
        </w:rPr>
        <w:t>, hvis føreren vidste eller burde vide dette</w:t>
      </w:r>
      <w:r>
        <w:rPr>
          <w:rFonts w:ascii="Times New Roman" w:eastAsia="Times New Roman" w:hAnsi="Times New Roman" w:cs="Times New Roman"/>
          <w:color w:val="auto"/>
          <w:sz w:val="24"/>
          <w:szCs w:val="24"/>
          <w:lang w:eastAsia="da-DK"/>
        </w:rPr>
        <w:t xml:space="preserv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 Rigsadvokatens meddelelse er der på baggrund af anvisninger i lovforarbejder om sanktionsudmåling samt domstolspraksis på området fastsat nærmere retningslinjer for anklagemyndighedens bødepåstand i sager om overtrædelse af færdselslovens § 67. Det følger således af Rigsadvokatens meddelelse om Færdsel – Køretøjers indretning (fl §§ 67-79), at overtrædelse af færdselslovens regler om køretøjers indretning og udstyr og detailforskrifterne for køretøjer som udgangspunkt straffes med en bøde på 1.000 kr.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B53CB9">
      <w:pPr>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 ejeren af køretøjet vil bøden for mangler, der medfører fjernelse af køretøjets nummerplader</w:t>
      </w:r>
      <w:r w:rsidR="00B53CB9">
        <w:rPr>
          <w:rFonts w:ascii="Times New Roman" w:eastAsia="Times New Roman" w:hAnsi="Times New Roman" w:cs="Times New Roman"/>
          <w:color w:val="auto"/>
          <w:sz w:val="24"/>
          <w:szCs w:val="24"/>
          <w:lang w:eastAsia="da-DK"/>
        </w:rPr>
        <w:t xml:space="preserve"> i henhold til </w:t>
      </w:r>
      <w:r w:rsidR="0040512B">
        <w:rPr>
          <w:rFonts w:ascii="Times New Roman" w:eastAsia="Times New Roman" w:hAnsi="Times New Roman" w:cs="Times New Roman"/>
          <w:color w:val="auto"/>
          <w:sz w:val="24"/>
          <w:szCs w:val="24"/>
          <w:lang w:eastAsia="da-DK"/>
        </w:rPr>
        <w:t xml:space="preserve">færdselslovens § 77, stk. 1, 2. pkt., </w:t>
      </w:r>
      <w:r>
        <w:rPr>
          <w:rFonts w:ascii="Times New Roman" w:eastAsia="Times New Roman" w:hAnsi="Times New Roman" w:cs="Times New Roman"/>
          <w:color w:val="auto"/>
          <w:sz w:val="24"/>
          <w:szCs w:val="24"/>
          <w:lang w:eastAsia="da-DK"/>
        </w:rPr>
        <w:t>udmåles</w:t>
      </w:r>
      <w:r w:rsidR="0040512B" w:rsidRPr="0040512B">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til 3.000 kr. Ved flere mangler skal der som udgangspunkt ske en sammenlægning af bøderne for de enkelte mangler, jf. færdselslovens § 118 a, stk. 3. Bøden i tilfælde af flere mangler overstiger dog som udgangspunkt ikke 3.000 kr., svarende til bøden for mangler, der medfører fjernelse af køretøjets nummerplader</w:t>
      </w:r>
      <w:r w:rsidR="0040512B">
        <w:rPr>
          <w:rFonts w:ascii="Times New Roman" w:eastAsia="Times New Roman" w:hAnsi="Times New Roman" w:cs="Times New Roman"/>
          <w:color w:val="auto"/>
          <w:sz w:val="24"/>
          <w:szCs w:val="24"/>
          <w:lang w:eastAsia="da-DK"/>
        </w:rPr>
        <w:t>.</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 så vidt angår føreren af køretøjet fremgår det af meddelelsen, at bøden som udgangspunkt udmåles til halv takst, dog mindst 1.000 kr. Endvidere vil bøder for overtrædelser, som medfører frakendelse af førerretten eller kørselsforbud, dog mindst udmåles til 2.500 kr.  Overtrædelser af færdselslovens § 67, stk. 1-3, straffes således i medfør af færdselslovens § 118, stk. 1, nr. 1, jf. § 118 a, stk. 1, som udgangspunkt med en bøde på mellem 1.000 – 3.000 kr.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Pr="00A56E19"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Tekniske krav til udenlandske køretøjer som betingelse for brug på færdselslovens område er til dels reguleret i bekendtgørelse nr. 818 af 20. juni 2018 om registrering af køretøjer (registreringsbekendtgørelsen). Det følger således af registreringsbekendtgørelsens § 28, stk. 1, at et udenlandsk motorkøretøj</w:t>
      </w:r>
      <w:r w:rsidRPr="00A56E19">
        <w:rPr>
          <w:rFonts w:ascii="Times New Roman" w:eastAsia="Times New Roman" w:hAnsi="Times New Roman" w:cs="Times New Roman"/>
          <w:color w:val="auto"/>
          <w:sz w:val="24"/>
          <w:szCs w:val="24"/>
          <w:lang w:eastAsia="da-DK"/>
        </w:rPr>
        <w:t xml:space="preserve"> eller et udenlandsk påhængskøretøj til et motorkøretøj må bruges på færdselslovens område, hvis køretøjet som minimum opfylder de tekniske krav, der følger af Wienerkonventionen, ann</w:t>
      </w:r>
      <w:r>
        <w:rPr>
          <w:rFonts w:ascii="Times New Roman" w:eastAsia="Times New Roman" w:hAnsi="Times New Roman" w:cs="Times New Roman"/>
          <w:color w:val="auto"/>
          <w:sz w:val="24"/>
          <w:szCs w:val="24"/>
          <w:lang w:eastAsia="da-DK"/>
        </w:rPr>
        <w:t>eks 5, og reglerne i registreringsbekendtgørelsens kapitel 7</w:t>
      </w:r>
      <w:r w:rsidRPr="00A56E19">
        <w:rPr>
          <w:rFonts w:ascii="Times New Roman" w:eastAsia="Times New Roman" w:hAnsi="Times New Roman" w:cs="Times New Roman"/>
          <w:color w:val="auto"/>
          <w:sz w:val="24"/>
          <w:szCs w:val="24"/>
          <w:lang w:eastAsia="da-DK"/>
        </w:rPr>
        <w:t>.</w:t>
      </w:r>
    </w:p>
    <w:p w:rsidR="00EC5BE4" w:rsidRPr="00A56E19"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Endvidere følger det af § 28, stk. 2, at hvis </w:t>
      </w:r>
      <w:r w:rsidRPr="00A56E19">
        <w:rPr>
          <w:rFonts w:ascii="Times New Roman" w:eastAsia="Times New Roman" w:hAnsi="Times New Roman" w:cs="Times New Roman"/>
          <w:color w:val="auto"/>
          <w:sz w:val="24"/>
          <w:szCs w:val="24"/>
          <w:lang w:eastAsia="da-DK"/>
        </w:rPr>
        <w:t xml:space="preserve">køretøjets ejer eller bruger </w:t>
      </w:r>
      <w:r>
        <w:rPr>
          <w:rFonts w:ascii="Times New Roman" w:eastAsia="Times New Roman" w:hAnsi="Times New Roman" w:cs="Times New Roman"/>
          <w:color w:val="auto"/>
          <w:sz w:val="24"/>
          <w:szCs w:val="24"/>
          <w:lang w:eastAsia="da-DK"/>
        </w:rPr>
        <w:t xml:space="preserve">har </w:t>
      </w:r>
      <w:r w:rsidRPr="00A56E19">
        <w:rPr>
          <w:rFonts w:ascii="Times New Roman" w:eastAsia="Times New Roman" w:hAnsi="Times New Roman" w:cs="Times New Roman"/>
          <w:color w:val="auto"/>
          <w:sz w:val="24"/>
          <w:szCs w:val="24"/>
          <w:lang w:eastAsia="da-DK"/>
        </w:rPr>
        <w:t>bopæl eller hjemsted i en stat, der ikke har ratificeret Wienerkonventionen, skal køretøjet som minimum opfylde de tekniske krav, der følger af den internationale færdselskonvention af 19. december 1949, jf. bekendtgørelse nr. 7 af 2. marts 1956</w:t>
      </w:r>
      <w:r w:rsidR="008B6790">
        <w:rPr>
          <w:rFonts w:ascii="Times New Roman" w:eastAsia="Times New Roman" w:hAnsi="Times New Roman" w:cs="Times New Roman"/>
          <w:color w:val="auto"/>
          <w:sz w:val="24"/>
          <w:szCs w:val="24"/>
          <w:lang w:eastAsia="da-DK"/>
        </w:rPr>
        <w:t xml:space="preserve"> om den internationale færdselskonvention af 19. september 1949</w:t>
      </w:r>
      <w:r w:rsidRPr="00A56E19">
        <w:rPr>
          <w:rFonts w:ascii="Times New Roman" w:eastAsia="Times New Roman" w:hAnsi="Times New Roman" w:cs="Times New Roman"/>
          <w:color w:val="auto"/>
          <w:sz w:val="24"/>
          <w:szCs w:val="24"/>
          <w:lang w:eastAsia="da-DK"/>
        </w:rPr>
        <w:t xml:space="preserve">, og </w:t>
      </w:r>
      <w:r>
        <w:rPr>
          <w:rFonts w:ascii="Times New Roman" w:eastAsia="Times New Roman" w:hAnsi="Times New Roman" w:cs="Times New Roman"/>
          <w:color w:val="auto"/>
          <w:sz w:val="24"/>
          <w:szCs w:val="24"/>
          <w:lang w:eastAsia="da-DK"/>
        </w:rPr>
        <w:t>de øvrige regler i registreringsbekendtgørelsens kapitel 7</w:t>
      </w:r>
      <w:r w:rsidRPr="00A56E19">
        <w:rPr>
          <w:rFonts w:ascii="Times New Roman" w:eastAsia="Times New Roman" w:hAnsi="Times New Roman" w:cs="Times New Roman"/>
          <w:color w:val="auto"/>
          <w:sz w:val="24"/>
          <w:szCs w:val="24"/>
          <w:lang w:eastAsia="da-DK"/>
        </w:rPr>
        <w:t>.</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Pr="00A56E19" w:rsidRDefault="00EC5BE4" w:rsidP="00EC5BE4">
      <w:pPr>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Overtrædelse af registreringsbekendtgørelsens § 28, stk. 1</w:t>
      </w:r>
      <w:r w:rsidR="008B6790">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og 2, straffes med bøde, jf. bekendtgørelsens § 111, stk. 3.</w:t>
      </w:r>
    </w:p>
    <w:p w:rsidR="00EC5BE4" w:rsidRPr="00A56E19"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Ifølge registreringsbekendtgørelsens § 28, stk.</w:t>
      </w:r>
      <w:r w:rsidRPr="00A56E19">
        <w:rPr>
          <w:rFonts w:ascii="Times New Roman" w:eastAsia="Times New Roman" w:hAnsi="Times New Roman" w:cs="Times New Roman"/>
          <w:color w:val="auto"/>
          <w:sz w:val="24"/>
          <w:szCs w:val="24"/>
          <w:lang w:eastAsia="da-DK"/>
        </w:rPr>
        <w:t xml:space="preserve"> 3</w:t>
      </w:r>
      <w:r>
        <w:rPr>
          <w:rFonts w:ascii="Times New Roman" w:eastAsia="Times New Roman" w:hAnsi="Times New Roman" w:cs="Times New Roman"/>
          <w:color w:val="auto"/>
          <w:sz w:val="24"/>
          <w:szCs w:val="24"/>
          <w:lang w:eastAsia="da-DK"/>
        </w:rPr>
        <w:t>, kan d</w:t>
      </w:r>
      <w:r w:rsidRPr="00A56E19">
        <w:rPr>
          <w:rFonts w:ascii="Times New Roman" w:eastAsia="Times New Roman" w:hAnsi="Times New Roman" w:cs="Times New Roman"/>
          <w:color w:val="auto"/>
          <w:sz w:val="24"/>
          <w:szCs w:val="24"/>
          <w:lang w:eastAsia="da-DK"/>
        </w:rPr>
        <w:t>er i anden lovgivning m.v.</w:t>
      </w:r>
      <w:r>
        <w:rPr>
          <w:rFonts w:ascii="Times New Roman" w:eastAsia="Times New Roman" w:hAnsi="Times New Roman" w:cs="Times New Roman"/>
          <w:color w:val="auto"/>
          <w:sz w:val="24"/>
          <w:szCs w:val="24"/>
          <w:lang w:eastAsia="da-DK"/>
        </w:rPr>
        <w:t xml:space="preserve"> </w:t>
      </w:r>
      <w:r w:rsidRPr="00A56E19">
        <w:rPr>
          <w:rFonts w:ascii="Times New Roman" w:eastAsia="Times New Roman" w:hAnsi="Times New Roman" w:cs="Times New Roman"/>
          <w:color w:val="auto"/>
          <w:sz w:val="24"/>
          <w:szCs w:val="24"/>
          <w:lang w:eastAsia="da-DK"/>
        </w:rPr>
        <w:t>være fastsat tekniske krav, der skal være opfyldt, før et udenlandsk køretøj må tages i brug på færdselslovens område.</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betyder, at hvis der i anden lovgivning m.v. er fastsat andre køretøjstekniske krav til udenlandske køretøjer, så er det de krav, som de udenlandske køretøjer skal leve op til, og ikke blot reglerne i Wienerkonventionen, der typisk har en mere overordnet karakter uden specifikke tekniske krav.</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3B1E6A" w:rsidP="00EC5BE4">
      <w:pPr>
        <w:pStyle w:val="stk"/>
        <w:ind w:firstLine="0"/>
        <w:rPr>
          <w:rFonts w:ascii="Times New Roman" w:hAnsi="Times New Roman" w:cs="Times New Roman"/>
          <w:color w:val="auto"/>
        </w:rPr>
      </w:pPr>
      <w:r>
        <w:rPr>
          <w:rFonts w:ascii="Times New Roman" w:hAnsi="Times New Roman" w:cs="Times New Roman"/>
          <w:color w:val="auto"/>
        </w:rPr>
        <w:t xml:space="preserve">Reglerne om tekniske krav til udenlandske køretøjer var tidligere fastsat i færdselsloven og regler udstedt i medfør af færdselsloven. Disse blev dog ved en ressortomlægning overført til Skatteministeriet i 2006. </w:t>
      </w:r>
      <w:r w:rsidR="001C3D39">
        <w:rPr>
          <w:rFonts w:ascii="Times New Roman" w:hAnsi="Times New Roman" w:cs="Times New Roman"/>
          <w:color w:val="auto"/>
        </w:rPr>
        <w:t xml:space="preserve">Udtrykket ”anden lovgivning m.v.” kan </w:t>
      </w:r>
      <w:r>
        <w:rPr>
          <w:rFonts w:ascii="Times New Roman" w:hAnsi="Times New Roman" w:cs="Times New Roman"/>
          <w:color w:val="auto"/>
        </w:rPr>
        <w:t>derfor</w:t>
      </w:r>
      <w:r w:rsidR="001C3D39">
        <w:rPr>
          <w:rFonts w:ascii="Times New Roman" w:hAnsi="Times New Roman" w:cs="Times New Roman"/>
          <w:color w:val="auto"/>
        </w:rPr>
        <w:t xml:space="preserve"> ikke forstås som regler i færdselsloven eller regler fastsat med hjemmel i færdselsloven. </w:t>
      </w:r>
      <w:r w:rsidR="00EC5BE4">
        <w:rPr>
          <w:rFonts w:ascii="Times New Roman" w:hAnsi="Times New Roman" w:cs="Times New Roman"/>
          <w:color w:val="auto"/>
        </w:rPr>
        <w:t>Anden lovgivning, der fastsætter</w:t>
      </w:r>
      <w:r w:rsidR="00EC5BE4" w:rsidRPr="00342B18">
        <w:rPr>
          <w:rFonts w:ascii="Times New Roman" w:hAnsi="Times New Roman" w:cs="Times New Roman"/>
          <w:color w:val="auto"/>
        </w:rPr>
        <w:t xml:space="preserve"> </w:t>
      </w:r>
      <w:r w:rsidR="00EC5BE4">
        <w:rPr>
          <w:rFonts w:ascii="Times New Roman" w:hAnsi="Times New Roman" w:cs="Times New Roman"/>
          <w:color w:val="auto"/>
        </w:rPr>
        <w:t xml:space="preserve">køretøjstekniske krav til udenlandske køretøjer, er </w:t>
      </w:r>
      <w:r w:rsidR="001C3D39">
        <w:rPr>
          <w:rFonts w:ascii="Times New Roman" w:hAnsi="Times New Roman" w:cs="Times New Roman"/>
          <w:color w:val="auto"/>
        </w:rPr>
        <w:t xml:space="preserve">derimod </w:t>
      </w:r>
      <w:r w:rsidR="00EC5BE4">
        <w:rPr>
          <w:rFonts w:ascii="Times New Roman" w:hAnsi="Times New Roman" w:cs="Times New Roman"/>
          <w:color w:val="auto"/>
        </w:rPr>
        <w:t>f.eks. de EU-retlig</w:t>
      </w:r>
      <w:r w:rsidR="008B6790">
        <w:rPr>
          <w:rFonts w:ascii="Times New Roman" w:hAnsi="Times New Roman" w:cs="Times New Roman"/>
          <w:color w:val="auto"/>
        </w:rPr>
        <w:t>e</w:t>
      </w:r>
      <w:r w:rsidR="00EC5BE4">
        <w:rPr>
          <w:rFonts w:ascii="Times New Roman" w:hAnsi="Times New Roman" w:cs="Times New Roman"/>
          <w:color w:val="auto"/>
        </w:rPr>
        <w:t xml:space="preserve"> direktiver og forordninger på typegodkendelsesområdet. Det betyder, at udenlandske køretøjer, der er hjemmehørende i en EU-medlemsstat </w:t>
      </w:r>
      <w:r w:rsidR="00EC5BE4" w:rsidRPr="001328A9">
        <w:rPr>
          <w:rFonts w:ascii="Times New Roman" w:hAnsi="Times New Roman" w:cs="Times New Roman"/>
          <w:color w:val="auto"/>
        </w:rPr>
        <w:t>eller et EØS-land</w:t>
      </w:r>
      <w:r w:rsidR="00EC5BE4">
        <w:rPr>
          <w:rFonts w:ascii="Times New Roman" w:hAnsi="Times New Roman" w:cs="Times New Roman"/>
          <w:color w:val="auto"/>
        </w:rPr>
        <w:t xml:space="preserve"> (Norge, Island og Liechtenstein) er underlagt de samme køretøjstek</w:t>
      </w:r>
      <w:r>
        <w:rPr>
          <w:rFonts w:ascii="Times New Roman" w:hAnsi="Times New Roman" w:cs="Times New Roman"/>
          <w:color w:val="auto"/>
        </w:rPr>
        <w:t>niske krav som danske køretøjer. F</w:t>
      </w:r>
      <w:r w:rsidR="00EC5BE4">
        <w:rPr>
          <w:rFonts w:ascii="Times New Roman" w:hAnsi="Times New Roman" w:cs="Times New Roman"/>
          <w:color w:val="auto"/>
        </w:rPr>
        <w:t>ejl og mangler på køretøjer, der er hjemmehørende i en EU-medlemsstat eller et EØS-land</w:t>
      </w:r>
      <w:r w:rsidR="00EC5BE4">
        <w:rPr>
          <w:rFonts w:ascii="Times New Roman" w:hAnsi="Times New Roman" w:cs="Times New Roman"/>
          <w:b/>
          <w:color w:val="auto"/>
        </w:rPr>
        <w:t xml:space="preserve">, </w:t>
      </w:r>
      <w:r w:rsidR="00EC5BE4">
        <w:rPr>
          <w:rFonts w:ascii="Times New Roman" w:hAnsi="Times New Roman" w:cs="Times New Roman"/>
          <w:color w:val="auto"/>
        </w:rPr>
        <w:t xml:space="preserve">sanktioneres </w:t>
      </w:r>
      <w:r>
        <w:rPr>
          <w:rFonts w:ascii="Times New Roman" w:hAnsi="Times New Roman" w:cs="Times New Roman"/>
          <w:color w:val="auto"/>
        </w:rPr>
        <w:t xml:space="preserve">ikke </w:t>
      </w:r>
      <w:r w:rsidR="00EC5BE4">
        <w:rPr>
          <w:rFonts w:ascii="Times New Roman" w:hAnsi="Times New Roman" w:cs="Times New Roman"/>
          <w:color w:val="auto"/>
        </w:rPr>
        <w:t>efter registreringsbekendtgørelsens regler,</w:t>
      </w:r>
      <w:r w:rsidR="000B2D6D">
        <w:rPr>
          <w:rFonts w:ascii="Times New Roman" w:hAnsi="Times New Roman" w:cs="Times New Roman"/>
          <w:color w:val="auto"/>
        </w:rPr>
        <w:t xml:space="preserve"> </w:t>
      </w:r>
      <w:r w:rsidR="00EC5BE4">
        <w:rPr>
          <w:rFonts w:ascii="Times New Roman" w:hAnsi="Times New Roman" w:cs="Times New Roman"/>
          <w:color w:val="auto"/>
        </w:rPr>
        <w:t xml:space="preserve">men derimod efter færdselslovens regler, </w:t>
      </w:r>
      <w:r w:rsidR="0056306C">
        <w:rPr>
          <w:rFonts w:ascii="Times New Roman" w:hAnsi="Times New Roman" w:cs="Times New Roman"/>
          <w:color w:val="auto"/>
        </w:rPr>
        <w:t xml:space="preserve">idet overtrædelse af de EU-retlige regler sanktionernes efter færdselsloven, </w:t>
      </w:r>
      <w:r w:rsidR="00EC5BE4">
        <w:rPr>
          <w:rFonts w:ascii="Times New Roman" w:hAnsi="Times New Roman" w:cs="Times New Roman"/>
          <w:color w:val="auto"/>
        </w:rPr>
        <w:t>når sådanne køretøjer anvendes på færdselslovens område.</w:t>
      </w:r>
    </w:p>
    <w:p w:rsidR="00EC5BE4" w:rsidRDefault="00EC5BE4" w:rsidP="00EC5BE4">
      <w:pPr>
        <w:spacing w:line="240" w:lineRule="auto"/>
        <w:rPr>
          <w:rStyle w:val="Kommentarhenvisning"/>
        </w:rPr>
      </w:pPr>
    </w:p>
    <w:p w:rsidR="00EC5BE4" w:rsidRDefault="00EC5BE4" w:rsidP="00EC5BE4">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w:t>
      </w:r>
      <w:r w:rsidRPr="00894519">
        <w:rPr>
          <w:rFonts w:ascii="Times New Roman" w:eastAsia="Times New Roman" w:hAnsi="Times New Roman" w:cs="Times New Roman"/>
          <w:i/>
          <w:color w:val="auto"/>
          <w:sz w:val="24"/>
          <w:szCs w:val="24"/>
          <w:lang w:eastAsia="da-DK"/>
        </w:rPr>
        <w:t>.1.2.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EC5BE4" w:rsidRDefault="00EC5BE4" w:rsidP="00EC5BE4">
      <w:pPr>
        <w:spacing w:line="240" w:lineRule="auto"/>
        <w:rPr>
          <w:rFonts w:ascii="Times New Roman" w:eastAsia="Times New Roman" w:hAnsi="Times New Roman" w:cs="Times New Roman"/>
          <w:i/>
          <w:color w:val="auto"/>
          <w:sz w:val="24"/>
          <w:szCs w:val="24"/>
          <w:lang w:eastAsia="da-DK"/>
        </w:rPr>
      </w:pPr>
    </w:p>
    <w:p w:rsidR="00EC5BE4" w:rsidRDefault="00EC5BE4" w:rsidP="00AA13F5">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forekommer sjældent, at tekniske fejl og mangler på et motordrevet køretøj i sig selv fører til færdselsulykker. Dog kan tekniske fejl og mangler i flere tilfælde være medvirkende til ulykkers opståen og også gøre eventuel personskade </w:t>
      </w:r>
      <w:r w:rsidR="00A47944">
        <w:rPr>
          <w:rFonts w:ascii="Times New Roman" w:eastAsia="Times New Roman" w:hAnsi="Times New Roman" w:cs="Times New Roman"/>
          <w:color w:val="auto"/>
          <w:sz w:val="24"/>
          <w:szCs w:val="24"/>
          <w:lang w:eastAsia="da-DK"/>
        </w:rPr>
        <w:t xml:space="preserve">og tingsskade </w:t>
      </w:r>
      <w:r>
        <w:rPr>
          <w:rFonts w:ascii="Times New Roman" w:eastAsia="Times New Roman" w:hAnsi="Times New Roman" w:cs="Times New Roman"/>
          <w:color w:val="auto"/>
          <w:sz w:val="24"/>
          <w:szCs w:val="24"/>
          <w:lang w:eastAsia="da-DK"/>
        </w:rPr>
        <w:t xml:space="preserve">værre. Det er derfor vigtigt, at motordrevne køretøjers tekniske </w:t>
      </w:r>
      <w:r w:rsidR="003B1E6A">
        <w:rPr>
          <w:rFonts w:ascii="Times New Roman" w:eastAsia="Times New Roman" w:hAnsi="Times New Roman" w:cs="Times New Roman"/>
          <w:color w:val="auto"/>
          <w:sz w:val="24"/>
          <w:szCs w:val="24"/>
          <w:lang w:eastAsia="da-DK"/>
        </w:rPr>
        <w:t>standard er på et højt niveau med hensyn til krav, der har betydning for trafiksikkerhed</w:t>
      </w:r>
      <w:r>
        <w:rPr>
          <w:rFonts w:ascii="Times New Roman" w:eastAsia="Times New Roman" w:hAnsi="Times New Roman" w:cs="Times New Roman"/>
          <w:color w:val="auto"/>
          <w:sz w:val="24"/>
          <w:szCs w:val="24"/>
          <w:lang w:eastAsia="da-DK"/>
        </w:rPr>
        <w:t>, og at der foretages den nødvendige løbende vedligeholdelse af køretøjerne for at sikre denne standard. Det gør sig efter Transport-, Bygnings- og Boligministeriets opfattelse navnlig gældende med hensyn til de tunge motordrevne køretøjer (bus, lastbil og vogntog), da sådanne køretøjer på grund af deres erhvervsmæssige brug tilbagelægger mange kørte kilometer om året og samtidig på grund af deres vægt og størrelse kan forårsage stor skade, hvis uheldet er ude.</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er Transport-, Bygnings- og Boligministeriets opfattelse, at en bøde på mellem </w:t>
      </w:r>
      <w:r w:rsidRPr="0015180D">
        <w:rPr>
          <w:rFonts w:ascii="Times New Roman" w:eastAsia="Times New Roman" w:hAnsi="Times New Roman" w:cs="Times New Roman"/>
          <w:color w:val="auto"/>
          <w:sz w:val="24"/>
          <w:szCs w:val="24"/>
          <w:lang w:eastAsia="da-DK"/>
        </w:rPr>
        <w:t>1</w:t>
      </w:r>
      <w:r>
        <w:rPr>
          <w:rFonts w:ascii="Times New Roman" w:eastAsia="Times New Roman" w:hAnsi="Times New Roman" w:cs="Times New Roman"/>
          <w:color w:val="auto"/>
          <w:sz w:val="24"/>
          <w:szCs w:val="24"/>
          <w:lang w:eastAsia="da-DK"/>
        </w:rPr>
        <w:t xml:space="preserve">.000 – 3.000 kr. for alvorlige sikkerhedskritisk fejl og mangel på tunge motordrevne køretøjer er alt for lav i forhold til de færdselssikkerhedsmæssige risici og ikke proportional med de økonomiske fordele, der </w:t>
      </w:r>
      <w:r w:rsidR="00F50CB7">
        <w:rPr>
          <w:rFonts w:ascii="Times New Roman" w:eastAsia="Times New Roman" w:hAnsi="Times New Roman" w:cs="Times New Roman"/>
          <w:color w:val="auto"/>
          <w:sz w:val="24"/>
          <w:szCs w:val="24"/>
          <w:lang w:eastAsia="da-DK"/>
        </w:rPr>
        <w:t xml:space="preserve">i mange tilfælde </w:t>
      </w:r>
      <w:r>
        <w:rPr>
          <w:rFonts w:ascii="Times New Roman" w:eastAsia="Times New Roman" w:hAnsi="Times New Roman" w:cs="Times New Roman"/>
          <w:color w:val="auto"/>
          <w:sz w:val="24"/>
          <w:szCs w:val="24"/>
          <w:lang w:eastAsia="da-DK"/>
        </w:rPr>
        <w:t xml:space="preserve">opnås ved at undlade den nødvendige reparation og vedligeholdelse. F.eks. </w:t>
      </w:r>
      <w:r>
        <w:rPr>
          <w:rFonts w:ascii="Times New Roman" w:eastAsia="Times New Roman" w:hAnsi="Times New Roman" w:cs="Times New Roman"/>
          <w:color w:val="auto"/>
          <w:sz w:val="24"/>
          <w:szCs w:val="24"/>
          <w:lang w:eastAsia="da-DK"/>
        </w:rPr>
        <w:lastRenderedPageBreak/>
        <w:t xml:space="preserve">koster større </w:t>
      </w:r>
      <w:r w:rsidRPr="000A5434">
        <w:rPr>
          <w:rFonts w:ascii="Times New Roman" w:hAnsi="Times New Roman" w:cs="Times New Roman"/>
          <w:sz w:val="24"/>
          <w:szCs w:val="24"/>
        </w:rPr>
        <w:t>reparation af bremser på busser</w:t>
      </w:r>
      <w:r>
        <w:rPr>
          <w:rFonts w:ascii="Times New Roman" w:hAnsi="Times New Roman" w:cs="Times New Roman"/>
          <w:sz w:val="24"/>
          <w:szCs w:val="24"/>
        </w:rPr>
        <w:t xml:space="preserve"> </w:t>
      </w:r>
      <w:r w:rsidRPr="000A5434">
        <w:rPr>
          <w:rFonts w:ascii="Times New Roman" w:hAnsi="Times New Roman" w:cs="Times New Roman"/>
          <w:sz w:val="24"/>
          <w:szCs w:val="24"/>
        </w:rPr>
        <w:t xml:space="preserve">som udgangspunkt 10-20.000 kr. pr. aksel, </w:t>
      </w:r>
      <w:r>
        <w:rPr>
          <w:rFonts w:ascii="Times New Roman" w:hAnsi="Times New Roman" w:cs="Times New Roman"/>
          <w:sz w:val="24"/>
          <w:szCs w:val="24"/>
        </w:rPr>
        <w:t>ligesom reparation af forskellige dele af køretøjets styreapparat som udgangspunkt koster 8.000-30.000 kr. afhængig af en række forskellige faktorer.</w:t>
      </w:r>
      <w:r w:rsidRPr="009E2845">
        <w:rPr>
          <w:rFonts w:ascii="Times New Roman" w:eastAsia="Times New Roman" w:hAnsi="Times New Roman" w:cs="Times New Roman"/>
          <w:b/>
          <w:color w:val="auto"/>
          <w:sz w:val="24"/>
          <w:szCs w:val="24"/>
          <w:lang w:eastAsia="da-DK"/>
        </w:rPr>
        <w:t xml:space="preserve"> </w:t>
      </w:r>
      <w:r w:rsidRPr="00650C9D">
        <w:rPr>
          <w:rFonts w:ascii="Times New Roman" w:eastAsia="Times New Roman" w:hAnsi="Times New Roman" w:cs="Times New Roman"/>
          <w:color w:val="auto"/>
          <w:sz w:val="24"/>
          <w:szCs w:val="24"/>
          <w:lang w:eastAsia="da-DK"/>
        </w:rPr>
        <w:t>De</w:t>
      </w:r>
      <w:r>
        <w:rPr>
          <w:rFonts w:ascii="Times New Roman" w:eastAsia="Times New Roman" w:hAnsi="Times New Roman" w:cs="Times New Roman"/>
          <w:color w:val="auto"/>
          <w:sz w:val="24"/>
          <w:szCs w:val="24"/>
          <w:lang w:eastAsia="da-DK"/>
        </w:rPr>
        <w:t xml:space="preserve">t </w:t>
      </w:r>
      <w:r w:rsidRPr="00650C9D">
        <w:rPr>
          <w:rFonts w:ascii="Times New Roman" w:eastAsia="Times New Roman" w:hAnsi="Times New Roman" w:cs="Times New Roman"/>
          <w:color w:val="auto"/>
          <w:sz w:val="24"/>
          <w:szCs w:val="24"/>
          <w:lang w:eastAsia="da-DK"/>
        </w:rPr>
        <w:t>gældende bødeniveau har således ikke en tilstrækkelig effektiv og afskrækkende virkning.</w:t>
      </w:r>
      <w:r>
        <w:rPr>
          <w:rFonts w:ascii="Times New Roman" w:eastAsia="Times New Roman" w:hAnsi="Times New Roman" w:cs="Times New Roman"/>
          <w:color w:val="auto"/>
          <w:sz w:val="24"/>
          <w:szCs w:val="24"/>
          <w:lang w:eastAsia="da-DK"/>
        </w:rPr>
        <w:t xml:space="preserv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Det foreslås på den baggrund, at der indsættes et nyt stykke 7 i færdselslovens § 118, hvorefter </w:t>
      </w:r>
      <w:r>
        <w:rPr>
          <w:rFonts w:ascii="Times New Roman" w:eastAsia="Times New Roman" w:hAnsi="Times New Roman" w:cs="Times New Roman"/>
          <w:iCs/>
          <w:color w:val="auto"/>
          <w:sz w:val="24"/>
          <w:szCs w:val="24"/>
          <w:lang w:eastAsia="da-DK"/>
        </w:rPr>
        <w:t>det for motordrevne køretøjer, hvis tilladte totalvægt overstiger 3.500 kg, og for vogntog</w:t>
      </w:r>
      <w:r w:rsidR="00A47944">
        <w:rPr>
          <w:rFonts w:ascii="Times New Roman" w:eastAsia="Times New Roman" w:hAnsi="Times New Roman" w:cs="Times New Roman"/>
          <w:iCs/>
          <w:color w:val="auto"/>
          <w:sz w:val="24"/>
          <w:szCs w:val="24"/>
          <w:lang w:eastAsia="da-DK"/>
        </w:rPr>
        <w:t xml:space="preserve"> bestående af køretøj, hvis tilladte totalvægt overstiger</w:t>
      </w:r>
      <w:r>
        <w:rPr>
          <w:rFonts w:ascii="Times New Roman" w:eastAsia="Times New Roman" w:hAnsi="Times New Roman" w:cs="Times New Roman"/>
          <w:iCs/>
          <w:color w:val="auto"/>
          <w:sz w:val="24"/>
          <w:szCs w:val="24"/>
          <w:lang w:eastAsia="da-DK"/>
        </w:rPr>
        <w:t xml:space="preserve"> </w:t>
      </w:r>
      <w:r w:rsidR="00A47944">
        <w:rPr>
          <w:rFonts w:ascii="Times New Roman" w:eastAsia="Times New Roman" w:hAnsi="Times New Roman" w:cs="Times New Roman"/>
          <w:iCs/>
          <w:color w:val="auto"/>
          <w:sz w:val="24"/>
          <w:szCs w:val="24"/>
          <w:lang w:eastAsia="da-DK"/>
        </w:rPr>
        <w:t xml:space="preserve">3.500 kg og et registreringspligtigt påhængskøretøj, </w:t>
      </w:r>
      <w:r>
        <w:rPr>
          <w:rFonts w:ascii="Times New Roman" w:eastAsia="Times New Roman" w:hAnsi="Times New Roman" w:cs="Times New Roman"/>
          <w:iCs/>
          <w:color w:val="auto"/>
          <w:sz w:val="24"/>
          <w:szCs w:val="24"/>
          <w:lang w:eastAsia="da-DK"/>
        </w:rPr>
        <w:t xml:space="preserve">skal indgå som en særligt skærpende omstændighed, hvis køretøjet eller vogntoget har alvorlige </w:t>
      </w:r>
      <w:r w:rsidRPr="00CB7098">
        <w:rPr>
          <w:rFonts w:ascii="Times New Roman" w:eastAsia="Times New Roman" w:hAnsi="Times New Roman" w:cs="Times New Roman"/>
          <w:iCs/>
          <w:color w:val="auto"/>
          <w:sz w:val="24"/>
          <w:szCs w:val="24"/>
          <w:lang w:eastAsia="da-DK"/>
        </w:rPr>
        <w:t>sikkerhedskritiske fejl og mangler.</w:t>
      </w:r>
      <w:r>
        <w:rPr>
          <w:rFonts w:ascii="Times New Roman" w:eastAsia="Times New Roman" w:hAnsi="Times New Roman" w:cs="Times New Roman"/>
          <w:color w:val="auto"/>
          <w:sz w:val="24"/>
          <w:szCs w:val="24"/>
          <w:lang w:eastAsia="da-DK"/>
        </w:rPr>
        <w:t xml:space="preserv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Det er Transport-, Bygnings- og Boligministeriets opfattelse, at de fejl og mangler, der vil skulle sanktioneres med en forhøjet bøde, skal være fejl og mangler, der er til skade for de øvrige trafikanter. Det vil sige, at de pågældende fejl og mangler skal være af en sådan karakter, at de i sig selv udgør en nærliggende risiko for, at uheld opstår, enten ved at køretøjet forulykker eller ved, at der sker påkørsel af andre trafikanter.</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hAnsi="Times New Roman" w:cs="Times New Roman"/>
          <w:sz w:val="24"/>
          <w:szCs w:val="24"/>
        </w:rPr>
      </w:pPr>
      <w:r w:rsidRPr="00FA5DB4">
        <w:rPr>
          <w:rFonts w:ascii="Times New Roman" w:hAnsi="Times New Roman" w:cs="Times New Roman"/>
          <w:sz w:val="24"/>
          <w:szCs w:val="24"/>
        </w:rPr>
        <w:t>Fejl og mangler ved indretning og udstyr, der alene har til formål at sikre førerens eller passagerernes sikkerhed, som f.eks. sikkerhedsseler, nødudgange og sikkerhedsforanstaltninger ved indretning af sovebusser, kan utvivlsomt være alvorlige og sikkerhedskritiske. Sådanne fejl og mangler er typisk med til at forværre konsekvenserne af en eventuel ulykke, som køretøjet er impliceret i, men de medfører imidlertid ikke i sig selv en umiddelbar og nærliggende risiko for, at køretøjet forulykker eller forvolder skade. Det er derfor Transport-, Bygnings- og Boligministeriets opfattelse, at fejl og mangler på si</w:t>
      </w:r>
      <w:r w:rsidR="00AA13F5">
        <w:rPr>
          <w:rFonts w:ascii="Times New Roman" w:hAnsi="Times New Roman" w:cs="Times New Roman"/>
          <w:sz w:val="24"/>
          <w:szCs w:val="24"/>
        </w:rPr>
        <w:t>kkerhedsudstyr og -</w:t>
      </w:r>
      <w:r w:rsidRPr="00FA5DB4">
        <w:rPr>
          <w:rFonts w:ascii="Times New Roman" w:hAnsi="Times New Roman" w:cs="Times New Roman"/>
          <w:sz w:val="24"/>
          <w:szCs w:val="24"/>
        </w:rPr>
        <w:t xml:space="preserve">indretninger ikke bør sanktioneres med de foreslåede forhøjede bøder. </w:t>
      </w:r>
    </w:p>
    <w:p w:rsidR="00EC5BE4" w:rsidRDefault="00EC5BE4" w:rsidP="00EC5BE4">
      <w:pPr>
        <w:spacing w:line="240" w:lineRule="auto"/>
        <w:rPr>
          <w:rFonts w:ascii="Times New Roman" w:hAnsi="Times New Roman" w:cs="Times New Roman"/>
          <w:sz w:val="24"/>
          <w:szCs w:val="24"/>
        </w:rPr>
      </w:pPr>
    </w:p>
    <w:p w:rsidR="00EC5BE4" w:rsidRDefault="00EC5BE4" w:rsidP="00EC5BE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Den foreslåede bestemmelse i § 118, stk. 7, indfører ikke nye tekniske krav til motordrevne køretøjer, men angiver alene et sanktionsniveau for visse typer af fejl og mangler. De fejl og mangler, der i medfør af den foreslåede bestemmelse i § 118, stk. 7, vil være at anse for alvorlige sikkerhedskritiske fejl og mangler, vil alle have en sådan karakter, at det vil være ensbetydende med, at de regler, der fastsætter de tekniske krav til køretøjerne, utvivlsomt vil være overtrådt. Det gælder både for nationale regler samt EU-retlig og øvrig international regulering.</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color w:val="auto"/>
          <w:sz w:val="24"/>
          <w:szCs w:val="24"/>
          <w:lang w:eastAsia="da-DK"/>
        </w:rPr>
        <w:t xml:space="preserve">Det er Transport-, Bygnings- og Boligministeriets opfattelse, at tekniske fejl og mangler er særligt færdselssikkerhedsmæssigt kritiske ved tunge motordrevne køretøjer, da disse køretøjer som nævnt ovenfor på grund af deres erhvervsmæssige brug tilbagelægger mange kørte kilometer om året og samtidig på grund af deres vægt og størrelse kan forårsage stor skade, hvis uheldet er ude. De foreslåede forhøjelser af bødeniveauet vil derfor alene finde anvendelse for motordrevne </w:t>
      </w:r>
      <w:r>
        <w:rPr>
          <w:rFonts w:ascii="Times New Roman" w:eastAsia="Times New Roman" w:hAnsi="Times New Roman" w:cs="Times New Roman"/>
          <w:iCs/>
          <w:color w:val="auto"/>
          <w:sz w:val="24"/>
          <w:szCs w:val="24"/>
          <w:lang w:eastAsia="da-DK"/>
        </w:rPr>
        <w:t>køretøjer, hvis tilladte totalvægt overstiger 3.500 kg, og for vogntog bestående af køretøj, hvis tilladte totalvægt overstiger 3.500 kg og et registreringspligtigt påhængskøretøj. Fejl og mangler på lette motordrevne køretøjer (almindelig bil, varebil, motorcykel, knallert og traktor/motorredskab) vil derfor fortsat skulle sanktioneres efter de gældende retningslinjer.</w:t>
      </w:r>
    </w:p>
    <w:p w:rsidR="00EC5BE4" w:rsidRDefault="00EC5BE4" w:rsidP="00EC5BE4">
      <w:pPr>
        <w:spacing w:line="240" w:lineRule="auto"/>
        <w:rPr>
          <w:rFonts w:ascii="Times New Roman" w:eastAsia="Times New Roman" w:hAnsi="Times New Roman" w:cs="Times New Roman"/>
          <w:iCs/>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iCs/>
          <w:color w:val="auto"/>
          <w:sz w:val="24"/>
          <w:szCs w:val="24"/>
          <w:lang w:eastAsia="da-DK"/>
        </w:rPr>
        <w:t xml:space="preserve">De foreslåede </w:t>
      </w:r>
      <w:r>
        <w:rPr>
          <w:rFonts w:ascii="Times New Roman" w:eastAsia="Times New Roman" w:hAnsi="Times New Roman" w:cs="Times New Roman"/>
          <w:color w:val="auto"/>
          <w:sz w:val="24"/>
          <w:szCs w:val="24"/>
          <w:lang w:eastAsia="da-DK"/>
        </w:rPr>
        <w:t xml:space="preserve">forhøjelser af bødeniveauet vil finde anvendelse for både ejer og fører af køretøjet. Da det imidlertid typisk ikke vil være føreren, der opnår den økonomiske fordel ved, at der ikke er foretaget den nødvendige vedligeholdelse af køretøjet, finder Transport-, Bygnings- og Boligministeriet ikke, at bøden skal udmåles til samme niveau, som bøden til ejeren. I lighed med det princip, der gælder på køre- og hviletidsområdet med hensyn til udmåling af bøder til </w:t>
      </w:r>
      <w:r>
        <w:rPr>
          <w:rFonts w:ascii="Times New Roman" w:eastAsia="Times New Roman" w:hAnsi="Times New Roman" w:cs="Times New Roman"/>
          <w:color w:val="auto"/>
          <w:sz w:val="24"/>
          <w:szCs w:val="24"/>
          <w:lang w:eastAsia="da-DK"/>
        </w:rPr>
        <w:lastRenderedPageBreak/>
        <w:t xml:space="preserve">henholdsvis fører og ejer (virksomhed/vognmand), finder Transport-, Bygnings- og Boligministeriet, at bøden for førerens overtrædelse af § 67, stk. 3, i videst muligt omfang bør fastsættes til det halve af den bøde, der idømmes ejeren for overtrædelse af § 67, stk. </w:t>
      </w:r>
      <w:r w:rsidR="00AA13F5">
        <w:rPr>
          <w:rFonts w:ascii="Times New Roman" w:eastAsia="Times New Roman" w:hAnsi="Times New Roman" w:cs="Times New Roman"/>
          <w:color w:val="auto"/>
          <w:sz w:val="24"/>
          <w:szCs w:val="24"/>
          <w:lang w:eastAsia="da-DK"/>
        </w:rPr>
        <w:t xml:space="preserve">1 og </w:t>
      </w:r>
      <w:r>
        <w:rPr>
          <w:rFonts w:ascii="Times New Roman" w:eastAsia="Times New Roman" w:hAnsi="Times New Roman" w:cs="Times New Roman"/>
          <w:color w:val="auto"/>
          <w:sz w:val="24"/>
          <w:szCs w:val="24"/>
          <w:lang w:eastAsia="da-DK"/>
        </w:rPr>
        <w:t>2.</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foreslås herefter følgende retningslinjer for straffastsættelse efter den foreslåede § 118, stk. 7, for overtrædelse af § 67, stk. 1-3, for førstegangstilfælde, forhold til samtidig pådømmelse og i gentagelsestilfælde:</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hAnsi="Times New Roman" w:cs="Times New Roman"/>
          <w:sz w:val="24"/>
          <w:szCs w:val="24"/>
        </w:rPr>
      </w:pPr>
    </w:p>
    <w:tbl>
      <w:tblPr>
        <w:tblStyle w:val="Tabel-Gitter"/>
        <w:tblW w:w="0" w:type="auto"/>
        <w:tblInd w:w="534" w:type="dxa"/>
        <w:tblLook w:val="04A0" w:firstRow="1" w:lastRow="0" w:firstColumn="1" w:lastColumn="0" w:noHBand="0" w:noVBand="1"/>
      </w:tblPr>
      <w:tblGrid>
        <w:gridCol w:w="1275"/>
        <w:gridCol w:w="2552"/>
        <w:gridCol w:w="2551"/>
      </w:tblGrid>
      <w:tr w:rsidR="00EC5BE4" w:rsidTr="00F91FCB">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p>
        </w:tc>
        <w:tc>
          <w:tcPr>
            <w:tcW w:w="2552" w:type="dxa"/>
          </w:tcPr>
          <w:p w:rsidR="00EC5BE4" w:rsidRDefault="00EC5BE4" w:rsidP="00F91FC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Bødestørrelse for </w:t>
            </w:r>
            <w:r w:rsidRPr="00B440CD">
              <w:rPr>
                <w:rFonts w:ascii="Times New Roman" w:eastAsia="Times New Roman" w:hAnsi="Times New Roman" w:cs="Times New Roman"/>
                <w:color w:val="auto"/>
                <w:sz w:val="24"/>
                <w:szCs w:val="24"/>
                <w:u w:val="single"/>
              </w:rPr>
              <w:t xml:space="preserve">ejer </w:t>
            </w:r>
            <w:r>
              <w:rPr>
                <w:rFonts w:ascii="Times New Roman" w:eastAsia="Times New Roman" w:hAnsi="Times New Roman" w:cs="Times New Roman"/>
                <w:color w:val="auto"/>
                <w:sz w:val="24"/>
                <w:szCs w:val="24"/>
              </w:rPr>
              <w:t>ved brug af køretøj med tilladt</w:t>
            </w:r>
            <w:r w:rsidRPr="003B41B2">
              <w:rPr>
                <w:rFonts w:ascii="Times New Roman" w:eastAsia="Times New Roman" w:hAnsi="Times New Roman" w:cs="Times New Roman"/>
                <w:color w:val="auto"/>
                <w:sz w:val="24"/>
                <w:szCs w:val="24"/>
              </w:rPr>
              <w:t xml:space="preserve"> totalvægt over 3.500 kg</w:t>
            </w:r>
            <w:r>
              <w:rPr>
                <w:rFonts w:ascii="Times New Roman" w:eastAsia="Times New Roman" w:hAnsi="Times New Roman" w:cs="Times New Roman"/>
                <w:color w:val="auto"/>
                <w:sz w:val="24"/>
                <w:szCs w:val="24"/>
              </w:rPr>
              <w:t xml:space="preserve"> eller derover samt vogntog</w:t>
            </w:r>
          </w:p>
        </w:tc>
        <w:tc>
          <w:tcPr>
            <w:tcW w:w="2551" w:type="dxa"/>
          </w:tcPr>
          <w:p w:rsidR="00EC5BE4" w:rsidRDefault="00EC5BE4" w:rsidP="00F91FC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Bødestørrelse for </w:t>
            </w:r>
            <w:r w:rsidRPr="00B440CD">
              <w:rPr>
                <w:rFonts w:ascii="Times New Roman" w:eastAsia="Times New Roman" w:hAnsi="Times New Roman" w:cs="Times New Roman"/>
                <w:color w:val="auto"/>
                <w:sz w:val="24"/>
                <w:szCs w:val="24"/>
                <w:u w:val="single"/>
              </w:rPr>
              <w:t>fører</w:t>
            </w:r>
            <w:r>
              <w:rPr>
                <w:rFonts w:ascii="Times New Roman" w:eastAsia="Times New Roman" w:hAnsi="Times New Roman" w:cs="Times New Roman"/>
                <w:color w:val="auto"/>
                <w:sz w:val="24"/>
                <w:szCs w:val="24"/>
              </w:rPr>
              <w:t xml:space="preserve"> ved brug af køretøj med tilladt</w:t>
            </w:r>
            <w:r w:rsidRPr="003B41B2">
              <w:rPr>
                <w:rFonts w:ascii="Times New Roman" w:eastAsia="Times New Roman" w:hAnsi="Times New Roman" w:cs="Times New Roman"/>
                <w:color w:val="auto"/>
                <w:sz w:val="24"/>
                <w:szCs w:val="24"/>
              </w:rPr>
              <w:t xml:space="preserve"> totalvægt over 3.500 kg</w:t>
            </w:r>
            <w:r>
              <w:rPr>
                <w:rFonts w:ascii="Times New Roman" w:eastAsia="Times New Roman" w:hAnsi="Times New Roman" w:cs="Times New Roman"/>
                <w:color w:val="auto"/>
                <w:sz w:val="24"/>
                <w:szCs w:val="24"/>
              </w:rPr>
              <w:t xml:space="preserve"> eller derover samt vogntog </w:t>
            </w:r>
          </w:p>
        </w:tc>
      </w:tr>
      <w:tr w:rsidR="00EC5BE4" w:rsidTr="00F91FCB">
        <w:trPr>
          <w:trHeight w:val="258"/>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5.000 kr.</w:t>
            </w:r>
          </w:p>
        </w:tc>
      </w:tr>
      <w:tr w:rsidR="00EC5BE4" w:rsidTr="00F91FCB">
        <w:trPr>
          <w:trHeight w:val="272"/>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10.000 kr.</w:t>
            </w:r>
          </w:p>
        </w:tc>
      </w:tr>
      <w:tr w:rsidR="00EC5BE4" w:rsidTr="00F91FCB">
        <w:trPr>
          <w:trHeight w:val="258"/>
        </w:trPr>
        <w:tc>
          <w:tcPr>
            <w:cnfStyle w:val="001000000000" w:firstRow="0" w:lastRow="0" w:firstColumn="1" w:lastColumn="0" w:oddVBand="0" w:evenVBand="0" w:oddHBand="0" w:evenHBand="0" w:firstRowFirstColumn="0" w:firstRowLastColumn="0" w:lastRowFirstColumn="0" w:lastRowLastColumn="0"/>
            <w:tcW w:w="1275" w:type="dxa"/>
          </w:tcPr>
          <w:p w:rsidR="00EC5BE4" w:rsidRPr="00F467BC"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15.000 kr.</w:t>
            </w:r>
          </w:p>
        </w:tc>
      </w:tr>
      <w:tr w:rsidR="00EC5BE4" w:rsidTr="00F91FCB">
        <w:trPr>
          <w:trHeight w:val="258"/>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20.000 kr.</w:t>
            </w:r>
          </w:p>
        </w:tc>
      </w:tr>
      <w:tr w:rsidR="00EC5BE4" w:rsidTr="00F91FCB">
        <w:trPr>
          <w:trHeight w:val="258"/>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25.000 kr.</w:t>
            </w:r>
          </w:p>
        </w:tc>
      </w:tr>
      <w:tr w:rsidR="00EC5BE4" w:rsidTr="00F91FCB">
        <w:trPr>
          <w:trHeight w:val="258"/>
        </w:trPr>
        <w:tc>
          <w:tcPr>
            <w:cnfStyle w:val="001000000000" w:firstRow="0" w:lastRow="0" w:firstColumn="1" w:lastColumn="0" w:oddVBand="0" w:evenVBand="0" w:oddHBand="0" w:evenHBand="0" w:firstRowFirstColumn="0" w:firstRowLastColumn="0" w:lastRowFirstColumn="0" w:lastRowLastColumn="0"/>
            <w:tcW w:w="1275" w:type="dxa"/>
          </w:tcPr>
          <w:p w:rsidR="00EC5BE4" w:rsidRDefault="00EC5BE4" w:rsidP="00F91F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gang</w:t>
            </w:r>
          </w:p>
        </w:tc>
        <w:tc>
          <w:tcPr>
            <w:tcW w:w="2552"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60.000 kr.</w:t>
            </w:r>
          </w:p>
        </w:tc>
        <w:tc>
          <w:tcPr>
            <w:tcW w:w="2551" w:type="dxa"/>
          </w:tcPr>
          <w:p w:rsidR="00EC5BE4" w:rsidRDefault="00EC5BE4" w:rsidP="00F91FC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30.000 kr.</w:t>
            </w:r>
          </w:p>
        </w:tc>
      </w:tr>
    </w:tbl>
    <w:p w:rsidR="00EC5BE4" w:rsidRDefault="00EC5BE4" w:rsidP="00EC5BE4">
      <w:pPr>
        <w:spacing w:line="240" w:lineRule="auto"/>
        <w:ind w:firstLine="142"/>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Hvis føreren og ejeren af køretøjet er den samme person, er det ikke hensigten med lovforslaget, at der skal kunne udstedes to bøder til den samme person for den samme overtrædelse.</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w:t>
      </w:r>
      <w:r w:rsidRPr="00FC585B">
        <w:rPr>
          <w:rFonts w:ascii="Times New Roman" w:eastAsia="Times New Roman" w:hAnsi="Times New Roman" w:cs="Times New Roman"/>
          <w:color w:val="auto"/>
          <w:sz w:val="24"/>
          <w:szCs w:val="24"/>
          <w:lang w:eastAsia="da-DK"/>
        </w:rPr>
        <w:t xml:space="preserve">er </w:t>
      </w:r>
      <w:r>
        <w:rPr>
          <w:rFonts w:ascii="Times New Roman" w:eastAsia="Times New Roman" w:hAnsi="Times New Roman" w:cs="Times New Roman"/>
          <w:color w:val="auto"/>
          <w:sz w:val="24"/>
          <w:szCs w:val="24"/>
          <w:lang w:eastAsia="da-DK"/>
        </w:rPr>
        <w:t xml:space="preserve">er </w:t>
      </w:r>
      <w:r w:rsidRPr="00FC585B">
        <w:rPr>
          <w:rFonts w:ascii="Times New Roman" w:eastAsia="Times New Roman" w:hAnsi="Times New Roman" w:cs="Times New Roman"/>
          <w:color w:val="auto"/>
          <w:sz w:val="24"/>
          <w:szCs w:val="24"/>
          <w:lang w:eastAsia="da-DK"/>
        </w:rPr>
        <w:t>på køre- og</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hviletidsområdet</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fast retspraksis for, at der ikke udstedes en dobbeltbøde i tilfælde, hvor vognmandsvirksomheden</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 xml:space="preserve">er en enkeltmandsejet virksomhed, og hvor </w:t>
      </w:r>
      <w:r>
        <w:rPr>
          <w:rFonts w:ascii="Times New Roman" w:eastAsia="Times New Roman" w:hAnsi="Times New Roman" w:cs="Times New Roman"/>
          <w:color w:val="auto"/>
          <w:sz w:val="24"/>
          <w:szCs w:val="24"/>
          <w:lang w:eastAsia="da-DK"/>
        </w:rPr>
        <w:t>føreren</w:t>
      </w:r>
      <w:r w:rsidRPr="00FC585B">
        <w:rPr>
          <w:rFonts w:ascii="Times New Roman" w:eastAsia="Times New Roman" w:hAnsi="Times New Roman" w:cs="Times New Roman"/>
          <w:color w:val="auto"/>
          <w:sz w:val="24"/>
          <w:szCs w:val="24"/>
          <w:lang w:eastAsia="da-DK"/>
        </w:rPr>
        <w:t xml:space="preserve"> derfor også er ejer af køretøjet. I disse</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tilfælde udmåles en bøde svarende til den bøde, der tilfalder virksomheden, d</w:t>
      </w:r>
      <w:r>
        <w:rPr>
          <w:rFonts w:ascii="Times New Roman" w:eastAsia="Times New Roman" w:hAnsi="Times New Roman" w:cs="Times New Roman"/>
          <w:color w:val="auto"/>
          <w:sz w:val="24"/>
          <w:szCs w:val="24"/>
          <w:lang w:eastAsia="da-DK"/>
        </w:rPr>
        <w:t xml:space="preserve">et </w:t>
      </w:r>
      <w:r w:rsidRPr="00FC585B">
        <w:rPr>
          <w:rFonts w:ascii="Times New Roman" w:eastAsia="Times New Roman" w:hAnsi="Times New Roman" w:cs="Times New Roman"/>
          <w:color w:val="auto"/>
          <w:sz w:val="24"/>
          <w:szCs w:val="24"/>
          <w:lang w:eastAsia="da-DK"/>
        </w:rPr>
        <w:t>v</w:t>
      </w:r>
      <w:r>
        <w:rPr>
          <w:rFonts w:ascii="Times New Roman" w:eastAsia="Times New Roman" w:hAnsi="Times New Roman" w:cs="Times New Roman"/>
          <w:color w:val="auto"/>
          <w:sz w:val="24"/>
          <w:szCs w:val="24"/>
          <w:lang w:eastAsia="da-DK"/>
        </w:rPr>
        <w:t>il sige</w:t>
      </w:r>
      <w:r w:rsidRPr="00FC585B">
        <w:rPr>
          <w:rFonts w:ascii="Times New Roman" w:eastAsia="Times New Roman" w:hAnsi="Times New Roman" w:cs="Times New Roman"/>
          <w:color w:val="auto"/>
          <w:sz w:val="24"/>
          <w:szCs w:val="24"/>
          <w:lang w:eastAsia="da-DK"/>
        </w:rPr>
        <w:t xml:space="preserve"> køretøjets ejer. </w:t>
      </w:r>
      <w:r>
        <w:rPr>
          <w:rFonts w:ascii="Times New Roman" w:eastAsia="Times New Roman" w:hAnsi="Times New Roman" w:cs="Times New Roman"/>
          <w:color w:val="auto"/>
          <w:sz w:val="24"/>
          <w:szCs w:val="24"/>
          <w:lang w:eastAsia="da-DK"/>
        </w:rPr>
        <w:t xml:space="preserve">Dette bør efter </w:t>
      </w:r>
      <w:r w:rsidRPr="00FC585B">
        <w:rPr>
          <w:rFonts w:ascii="Times New Roman" w:eastAsia="Times New Roman" w:hAnsi="Times New Roman" w:cs="Times New Roman"/>
          <w:color w:val="auto"/>
          <w:sz w:val="24"/>
          <w:szCs w:val="24"/>
          <w:lang w:eastAsia="da-DK"/>
        </w:rPr>
        <w:t>Transport-, Bygnings- og Boligministeriet</w:t>
      </w:r>
      <w:r>
        <w:rPr>
          <w:rFonts w:ascii="Times New Roman" w:eastAsia="Times New Roman" w:hAnsi="Times New Roman" w:cs="Times New Roman"/>
          <w:color w:val="auto"/>
          <w:sz w:val="24"/>
          <w:szCs w:val="24"/>
          <w:lang w:eastAsia="da-DK"/>
        </w:rPr>
        <w:t>s vurdering også være tilfældet, når det drejer sig om tunge køretøjers alvorlige sikkerhedskritiske fejl og mangler.</w:t>
      </w:r>
      <w:r w:rsidRPr="00FC585B">
        <w:rPr>
          <w:rFonts w:ascii="Times New Roman" w:eastAsia="Times New Roman" w:hAnsi="Times New Roman" w:cs="Times New Roman"/>
          <w:color w:val="auto"/>
          <w:sz w:val="24"/>
          <w:szCs w:val="24"/>
          <w:lang w:eastAsia="da-DK"/>
        </w:rPr>
        <w:t xml:space="preserve"> I tilfælde af </w:t>
      </w:r>
      <w:r>
        <w:rPr>
          <w:rFonts w:ascii="Times New Roman" w:eastAsia="Times New Roman" w:hAnsi="Times New Roman" w:cs="Times New Roman"/>
          <w:color w:val="auto"/>
          <w:sz w:val="24"/>
          <w:szCs w:val="24"/>
          <w:lang w:eastAsia="da-DK"/>
        </w:rPr>
        <w:t>sikkerhedskritiske fejl og mangler på tunge køretøjer</w:t>
      </w:r>
      <w:r w:rsidRPr="00FC585B">
        <w:rPr>
          <w:rFonts w:ascii="Times New Roman" w:eastAsia="Times New Roman" w:hAnsi="Times New Roman" w:cs="Times New Roman"/>
          <w:color w:val="auto"/>
          <w:sz w:val="24"/>
          <w:szCs w:val="24"/>
          <w:lang w:eastAsia="da-DK"/>
        </w:rPr>
        <w:t xml:space="preserve"> vil der således</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efter lovforslagets retningslinjer skulle udmåles én bøde, der svarer til den bøde, der tilfalder køretøjets</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ejer, hvis en fører også er ejer af køretøjet.</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pStyle w:val="stk"/>
        <w:ind w:firstLine="0"/>
        <w:rPr>
          <w:rFonts w:ascii="Times New Roman" w:hAnsi="Times New Roman" w:cs="Times New Roman"/>
          <w:color w:val="auto"/>
        </w:rPr>
      </w:pPr>
      <w:r>
        <w:rPr>
          <w:rFonts w:ascii="Times New Roman" w:hAnsi="Times New Roman" w:cs="Times New Roman"/>
          <w:color w:val="auto"/>
        </w:rPr>
        <w:t>De foreslåede retningslinjer for bødestørrelser</w:t>
      </w:r>
      <w:r w:rsidRPr="001C02B7">
        <w:rPr>
          <w:rFonts w:ascii="Times New Roman" w:hAnsi="Times New Roman" w:cs="Times New Roman"/>
          <w:color w:val="auto"/>
        </w:rPr>
        <w:t xml:space="preserve"> </w:t>
      </w:r>
      <w:r>
        <w:rPr>
          <w:rFonts w:ascii="Times New Roman" w:hAnsi="Times New Roman" w:cs="Times New Roman"/>
          <w:color w:val="auto"/>
        </w:rPr>
        <w:t xml:space="preserve">er gældende for kørsel på færdselslovens område både for danske køretøjer og udenlandske køretøjer, der er hjemmehørende i en EU-medlemsstat </w:t>
      </w:r>
      <w:r w:rsidRPr="001328A9">
        <w:rPr>
          <w:rFonts w:ascii="Times New Roman" w:hAnsi="Times New Roman" w:cs="Times New Roman"/>
          <w:color w:val="auto"/>
        </w:rPr>
        <w:t>eller et EØS-land</w:t>
      </w:r>
      <w:r>
        <w:rPr>
          <w:rFonts w:ascii="Times New Roman" w:hAnsi="Times New Roman" w:cs="Times New Roman"/>
          <w:color w:val="auto"/>
        </w:rPr>
        <w:t xml:space="preserve"> (Norge, Island og Liechtenstein). </w:t>
      </w:r>
    </w:p>
    <w:p w:rsidR="00EC5BE4" w:rsidRDefault="00EC5BE4" w:rsidP="00EC5BE4">
      <w:pPr>
        <w:pStyle w:val="stk"/>
        <w:ind w:firstLine="0"/>
        <w:rPr>
          <w:rFonts w:ascii="Times New Roman" w:hAnsi="Times New Roman" w:cs="Times New Roman"/>
          <w:color w:val="auto"/>
        </w:rPr>
      </w:pPr>
    </w:p>
    <w:p w:rsidR="00EC5BE4" w:rsidRDefault="00EC5BE4" w:rsidP="00EC5BE4">
      <w:pPr>
        <w:pStyle w:val="stk"/>
        <w:ind w:firstLine="0"/>
        <w:rPr>
          <w:rFonts w:ascii="Times New Roman" w:hAnsi="Times New Roman" w:cs="Times New Roman"/>
          <w:color w:val="auto"/>
        </w:rPr>
      </w:pPr>
      <w:r>
        <w:rPr>
          <w:rFonts w:ascii="Times New Roman" w:hAnsi="Times New Roman" w:cs="Times New Roman"/>
          <w:color w:val="auto"/>
        </w:rPr>
        <w:t>Fejl og mangler på udenlandske køretøjer, der ikke er hjemmehørende i en EU-medlemsstat eller et EØS-land</w:t>
      </w:r>
      <w:r>
        <w:rPr>
          <w:rFonts w:ascii="Times New Roman" w:hAnsi="Times New Roman" w:cs="Times New Roman"/>
          <w:b/>
          <w:color w:val="auto"/>
        </w:rPr>
        <w:t xml:space="preserve">, </w:t>
      </w:r>
      <w:r w:rsidRPr="00581929">
        <w:rPr>
          <w:rFonts w:ascii="Times New Roman" w:hAnsi="Times New Roman" w:cs="Times New Roman"/>
          <w:color w:val="auto"/>
        </w:rPr>
        <w:t>og som</w:t>
      </w:r>
      <w:r>
        <w:rPr>
          <w:rFonts w:ascii="Times New Roman" w:hAnsi="Times New Roman" w:cs="Times New Roman"/>
          <w:b/>
          <w:color w:val="auto"/>
        </w:rPr>
        <w:t xml:space="preserve"> </w:t>
      </w:r>
      <w:r>
        <w:rPr>
          <w:rFonts w:ascii="Times New Roman" w:hAnsi="Times New Roman" w:cs="Times New Roman"/>
          <w:color w:val="auto"/>
        </w:rPr>
        <w:t xml:space="preserve">i øvrigt ikke er undergivet andre regler om køretøjstekniske krav, sanktioneres derimod efter registreringsbekendtgørelsens regler. Den del af transportarbejdet på færdselslovens område, der udføres af udenlandske køretøjer, som ikke er hjemmehørende i en EU-medlemsstat eller EØS-lande, vurderes dog at udgøre en mindre del af det samlede transportarbejde. Det må samtidig forventes, at de foreslåede </w:t>
      </w:r>
      <w:r w:rsidRPr="00FC585B">
        <w:rPr>
          <w:rFonts w:ascii="Times New Roman" w:hAnsi="Times New Roman" w:cs="Times New Roman"/>
          <w:color w:val="auto"/>
        </w:rPr>
        <w:t>retningslinjer</w:t>
      </w:r>
      <w:r>
        <w:rPr>
          <w:rFonts w:ascii="Times New Roman" w:hAnsi="Times New Roman" w:cs="Times New Roman"/>
          <w:color w:val="auto"/>
        </w:rPr>
        <w:t xml:space="preserve"> for bødestørrelser efter færdselsloven for kørsel med alvorlige sikkerhedskritiske fejl og mangler vil have en afsmittende effekt på tiltale- og retspraksis på registreringsbekendtgørelsens område.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sidRPr="00FC585B">
        <w:rPr>
          <w:rFonts w:ascii="Times New Roman" w:eastAsia="Times New Roman" w:hAnsi="Times New Roman" w:cs="Times New Roman"/>
          <w:color w:val="auto"/>
          <w:sz w:val="24"/>
          <w:szCs w:val="24"/>
          <w:lang w:eastAsia="da-DK"/>
        </w:rPr>
        <w:t>Transport-, Bygnings- og Boligministeriet bemærker i relation til de foreslåede retningslinjer</w:t>
      </w:r>
      <w:r>
        <w:rPr>
          <w:rFonts w:ascii="Times New Roman" w:eastAsia="Times New Roman" w:hAnsi="Times New Roman" w:cs="Times New Roman"/>
          <w:color w:val="auto"/>
          <w:sz w:val="24"/>
          <w:szCs w:val="24"/>
          <w:lang w:eastAsia="da-DK"/>
        </w:rPr>
        <w:t xml:space="preserve"> for bødestørrelse for kørsel med alvorlige sikkerhedskritiske fejl og mangler på tunge køretøjer</w:t>
      </w:r>
      <w:r w:rsidRPr="00FC585B">
        <w:rPr>
          <w:rFonts w:ascii="Times New Roman" w:eastAsia="Times New Roman" w:hAnsi="Times New Roman" w:cs="Times New Roman"/>
          <w:color w:val="auto"/>
          <w:sz w:val="24"/>
          <w:szCs w:val="24"/>
          <w:lang w:eastAsia="da-DK"/>
        </w:rPr>
        <w:t xml:space="preserve">, at </w:t>
      </w:r>
      <w:r w:rsidRPr="00FC585B">
        <w:rPr>
          <w:rFonts w:ascii="Times New Roman" w:eastAsia="Times New Roman" w:hAnsi="Times New Roman" w:cs="Times New Roman"/>
          <w:color w:val="auto"/>
          <w:sz w:val="24"/>
          <w:szCs w:val="24"/>
          <w:lang w:eastAsia="da-DK"/>
        </w:rPr>
        <w:lastRenderedPageBreak/>
        <w:t>vedtagelse</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af lovforslaget ikke afskærer domstolene fra efter en konkret vurdering i det enkelte tilfælde af samtlige</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omstændigheder i sagen at fravige det angivne strafniveau i op- eller nedadgående retning, hvis der i</w:t>
      </w:r>
      <w:r>
        <w:rPr>
          <w:rFonts w:ascii="Times New Roman" w:eastAsia="Times New Roman" w:hAnsi="Times New Roman" w:cs="Times New Roman"/>
          <w:color w:val="auto"/>
          <w:sz w:val="24"/>
          <w:szCs w:val="24"/>
          <w:lang w:eastAsia="da-DK"/>
        </w:rPr>
        <w:t xml:space="preserve"> </w:t>
      </w:r>
      <w:r w:rsidRPr="00FC585B">
        <w:rPr>
          <w:rFonts w:ascii="Times New Roman" w:eastAsia="Times New Roman" w:hAnsi="Times New Roman" w:cs="Times New Roman"/>
          <w:color w:val="auto"/>
          <w:sz w:val="24"/>
          <w:szCs w:val="24"/>
          <w:lang w:eastAsia="da-DK"/>
        </w:rPr>
        <w:t>den konkrete sag foreligger skærpende eller formildende omstændigheder.</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For så vidt angår den nærmere forståelse af, hvornår der foreligger alvorlige sikkerhedskritiske fejl og mangler, henvises til bemærkningerne til lovforslagets § 1, nr. </w:t>
      </w:r>
      <w:r w:rsidR="00F50CB7">
        <w:rPr>
          <w:rFonts w:ascii="Times New Roman" w:eastAsia="Times New Roman" w:hAnsi="Times New Roman" w:cs="Times New Roman"/>
          <w:color w:val="auto"/>
          <w:sz w:val="24"/>
          <w:szCs w:val="24"/>
          <w:lang w:eastAsia="da-DK"/>
        </w:rPr>
        <w:t>3</w:t>
      </w:r>
      <w:r>
        <w:rPr>
          <w:rFonts w:ascii="Times New Roman" w:eastAsia="Times New Roman" w:hAnsi="Times New Roman" w:cs="Times New Roman"/>
          <w:color w:val="auto"/>
          <w:sz w:val="24"/>
          <w:szCs w:val="24"/>
          <w:lang w:eastAsia="da-DK"/>
        </w:rPr>
        <w:t>.</w:t>
      </w:r>
    </w:p>
    <w:p w:rsidR="00565BB2" w:rsidRDefault="00565BB2" w:rsidP="00EC5BE4">
      <w:pPr>
        <w:spacing w:line="240" w:lineRule="auto"/>
        <w:rPr>
          <w:rFonts w:ascii="Times New Roman" w:eastAsia="Times New Roman" w:hAnsi="Times New Roman" w:cs="Times New Roman"/>
          <w:color w:val="auto"/>
          <w:sz w:val="24"/>
          <w:szCs w:val="24"/>
          <w:lang w:eastAsia="da-DK"/>
        </w:rPr>
      </w:pPr>
    </w:p>
    <w:p w:rsidR="00E51A0B" w:rsidRPr="00894519" w:rsidRDefault="00E51A0B" w:rsidP="00E51A0B">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 Forhøjelse af bødeniveauet for ulovlig støj fra motordrevne køretøjer</w:t>
      </w:r>
    </w:p>
    <w:p w:rsidR="00E51A0B" w:rsidRPr="00894519" w:rsidRDefault="00E51A0B" w:rsidP="00E51A0B">
      <w:pPr>
        <w:spacing w:line="240" w:lineRule="auto"/>
        <w:rPr>
          <w:rFonts w:ascii="Times New Roman" w:eastAsia="Times New Roman" w:hAnsi="Times New Roman" w:cs="Times New Roman"/>
          <w:i/>
          <w:color w:val="auto"/>
          <w:sz w:val="24"/>
          <w:szCs w:val="24"/>
          <w:lang w:eastAsia="da-DK"/>
        </w:rPr>
      </w:pPr>
    </w:p>
    <w:p w:rsidR="00E51A0B" w:rsidRPr="00894519" w:rsidRDefault="00E51A0B" w:rsidP="00E51A0B">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.1</w:t>
      </w:r>
      <w:r>
        <w:rPr>
          <w:rFonts w:ascii="Times New Roman" w:eastAsia="Times New Roman" w:hAnsi="Times New Roman" w:cs="Times New Roman"/>
          <w:i/>
          <w:color w:val="auto"/>
          <w:sz w:val="24"/>
          <w:szCs w:val="24"/>
          <w:lang w:eastAsia="da-DK"/>
        </w:rPr>
        <w:t>.</w:t>
      </w:r>
      <w:r w:rsidRPr="00894519">
        <w:rPr>
          <w:rFonts w:ascii="Times New Roman" w:eastAsia="Times New Roman" w:hAnsi="Times New Roman" w:cs="Times New Roman"/>
          <w:i/>
          <w:color w:val="auto"/>
          <w:sz w:val="24"/>
          <w:szCs w:val="24"/>
          <w:lang w:eastAsia="da-DK"/>
        </w:rPr>
        <w:t xml:space="preserve"> Gældende ret</w:t>
      </w:r>
    </w:p>
    <w:p w:rsidR="00E51A0B" w:rsidRDefault="00E51A0B" w:rsidP="00E51A0B">
      <w:pPr>
        <w:spacing w:line="240" w:lineRule="auto"/>
        <w:rPr>
          <w:rFonts w:ascii="Times New Roman" w:hAnsi="Times New Roman" w:cs="Times New Roman"/>
          <w:sz w:val="24"/>
          <w:szCs w:val="24"/>
        </w:rPr>
      </w:pPr>
    </w:p>
    <w:p w:rsidR="00E51A0B" w:rsidRPr="006F4584" w:rsidRDefault="00E51A0B" w:rsidP="00E51A0B">
      <w:pPr>
        <w:spacing w:line="240" w:lineRule="auto"/>
        <w:rPr>
          <w:rFonts w:ascii="Times New Roman" w:hAnsi="Times New Roman" w:cs="Times New Roman"/>
          <w:sz w:val="24"/>
          <w:szCs w:val="24"/>
        </w:rPr>
      </w:pPr>
      <w:r w:rsidRPr="006F4584">
        <w:rPr>
          <w:rFonts w:ascii="Times New Roman" w:hAnsi="Times New Roman" w:cs="Times New Roman"/>
          <w:sz w:val="24"/>
          <w:szCs w:val="24"/>
        </w:rPr>
        <w:t>Det følger af færdselslovens § 38,</w:t>
      </w:r>
      <w:r>
        <w:rPr>
          <w:rFonts w:ascii="Times New Roman" w:hAnsi="Times New Roman" w:cs="Times New Roman"/>
          <w:sz w:val="24"/>
          <w:szCs w:val="24"/>
        </w:rPr>
        <w:t xml:space="preserve"> stk. 1,</w:t>
      </w:r>
      <w:r w:rsidRPr="006F4584">
        <w:rPr>
          <w:rFonts w:ascii="Times New Roman" w:hAnsi="Times New Roman" w:cs="Times New Roman"/>
          <w:sz w:val="24"/>
          <w:szCs w:val="24"/>
        </w:rPr>
        <w:t xml:space="preserve"> at en fører af et motordrevet køretøj skal betjene køretøjet således, at det ikke afgiver unødig støj eller unødigt udvikler røg eller gasarter. Bestemmelsen finder anvendelse for motordrevne køretøjer, hvilket vil sige køretøjer, der er forsynet med motor som drivkraft, undtagen kørestol, som er konstrueret til en hastighed af højst 15 km i timen og kun med væsentlig konstruktiv forandring kan ændres til større hastighed.</w:t>
      </w:r>
      <w:r w:rsidRPr="006F4584">
        <w:rPr>
          <w:rFonts w:ascii="Times New Roman" w:hAnsi="Times New Roman" w:cs="Times New Roman"/>
          <w:color w:val="FF0000"/>
          <w:sz w:val="24"/>
          <w:szCs w:val="24"/>
        </w:rPr>
        <w:t xml:space="preserve"> </w:t>
      </w:r>
      <w:r w:rsidRPr="006F4584">
        <w:rPr>
          <w:rFonts w:ascii="Times New Roman" w:hAnsi="Times New Roman" w:cs="Times New Roman"/>
          <w:sz w:val="24"/>
          <w:szCs w:val="24"/>
        </w:rPr>
        <w:t>Motordrevne køretøjer inddeles i motorkøretøj, traktor, motorredskab og knallert, jf. definitionsbestemmelsen i færdselslovens § 2, nr. 14.</w:t>
      </w:r>
      <w:r>
        <w:rPr>
          <w:rFonts w:ascii="Times New Roman" w:hAnsi="Times New Roman" w:cs="Times New Roman"/>
          <w:sz w:val="24"/>
          <w:szCs w:val="24"/>
        </w:rPr>
        <w:t xml:space="preserve"> Færdselslovens § 38, stk. 1,</w:t>
      </w:r>
      <w:r w:rsidRPr="006F4584">
        <w:rPr>
          <w:rFonts w:ascii="Times New Roman" w:hAnsi="Times New Roman" w:cs="Times New Roman"/>
          <w:sz w:val="24"/>
          <w:szCs w:val="24"/>
        </w:rPr>
        <w:t xml:space="preserve"> forpligter føreren af det motordrevne køretøj.</w:t>
      </w:r>
    </w:p>
    <w:p w:rsidR="00E51A0B"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51A0B" w:rsidRPr="007836D3" w:rsidRDefault="00E51A0B" w:rsidP="00E51A0B">
      <w:pPr>
        <w:spacing w:line="240" w:lineRule="auto"/>
        <w:rPr>
          <w:rFonts w:ascii="Times New Roman" w:hAnsi="Times New Roman" w:cs="Times New Roman"/>
          <w:sz w:val="24"/>
          <w:szCs w:val="24"/>
        </w:rPr>
      </w:pPr>
      <w:r w:rsidRPr="006F4584">
        <w:rPr>
          <w:rFonts w:ascii="Times New Roman" w:hAnsi="Times New Roman" w:cs="Times New Roman"/>
          <w:sz w:val="24"/>
          <w:szCs w:val="24"/>
        </w:rPr>
        <w:t xml:space="preserve">Bestemmelsen </w:t>
      </w:r>
      <w:r>
        <w:rPr>
          <w:rFonts w:ascii="Times New Roman" w:hAnsi="Times New Roman" w:cs="Times New Roman"/>
          <w:sz w:val="24"/>
          <w:szCs w:val="24"/>
        </w:rPr>
        <w:t>i § 38, stk. 1, omfatter anvendelsen af det motordrevne køretøj. Det vil sige, hvor køretøjet betjenes på en måde, som ikke er nødvendig for kørslen eller d</w:t>
      </w:r>
      <w:r w:rsidR="00ED7F0E">
        <w:rPr>
          <w:rFonts w:ascii="Times New Roman" w:hAnsi="Times New Roman" w:cs="Times New Roman"/>
          <w:sz w:val="24"/>
          <w:szCs w:val="24"/>
        </w:rPr>
        <w:t>en trafikale situation i øvrigt. Det kan f.eks. være</w:t>
      </w:r>
      <w:r>
        <w:rPr>
          <w:rFonts w:ascii="Times New Roman" w:hAnsi="Times New Roman" w:cs="Times New Roman"/>
          <w:sz w:val="24"/>
          <w:szCs w:val="24"/>
        </w:rPr>
        <w:t xml:space="preserve"> unødvendig hjulspin og acceleration af køretøjet, hvis det forårsager udvikling af unødig støj eller røg, eller unødvendig anvendelse af køretøjets horn. Det er således ikke køretøjet, herunder om det er i lovlig stand eller ej, der reguleres i § 38, stk. 1, men alene betjeningen af køretøjet.</w:t>
      </w:r>
    </w:p>
    <w:p w:rsidR="00E51A0B" w:rsidRDefault="00E51A0B" w:rsidP="00E51A0B">
      <w:pPr>
        <w:spacing w:line="240" w:lineRule="auto"/>
        <w:rPr>
          <w:rFonts w:ascii="Times New Roman" w:hAnsi="Times New Roman" w:cs="Times New Roman"/>
          <w:sz w:val="24"/>
          <w:szCs w:val="24"/>
        </w:rPr>
      </w:pPr>
    </w:p>
    <w:p w:rsidR="00E51A0B" w:rsidRPr="006F4584" w:rsidRDefault="00E51A0B" w:rsidP="00E51A0B">
      <w:pPr>
        <w:spacing w:line="240" w:lineRule="auto"/>
        <w:rPr>
          <w:rFonts w:ascii="Times New Roman" w:hAnsi="Times New Roman" w:cs="Times New Roman"/>
          <w:sz w:val="24"/>
          <w:szCs w:val="24"/>
        </w:rPr>
      </w:pPr>
      <w:r w:rsidRPr="006F4584">
        <w:rPr>
          <w:rFonts w:ascii="Times New Roman" w:hAnsi="Times New Roman" w:cs="Times New Roman"/>
          <w:sz w:val="24"/>
          <w:szCs w:val="24"/>
        </w:rPr>
        <w:t>Overtrædelse af § 38, stk. 1, straffes i medfør af færdselslovens § 118, stk. 1, nr. 1, jf. § 118 a, stk. 1, med en bøde på 1.000 kr.</w:t>
      </w:r>
    </w:p>
    <w:p w:rsidR="00E51A0B"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A13F5" w:rsidRDefault="00AA13F5" w:rsidP="00AA13F5">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Færdselslovens § 67, stk. 1-3, indeholder bestemmelser om, hvem der er ansvarlig for forskellige forhold ved et køretøj og efter hvilket ansvarsgrundlag. De specifikke tekniske krav til køretøjer fastlægges imidlertid ikke i § 67, stk.1-3, men afgøres efter en række andre forskellige regelsæt, jf. nærmere nedenfor.</w:t>
      </w:r>
    </w:p>
    <w:p w:rsidR="00AA13F5" w:rsidRDefault="00AA13F5" w:rsidP="00E51A0B">
      <w:pPr>
        <w:spacing w:line="240" w:lineRule="auto"/>
        <w:rPr>
          <w:rFonts w:ascii="Times New Roman" w:hAnsi="Times New Roman" w:cs="Times New Roman"/>
          <w:sz w:val="24"/>
          <w:szCs w:val="24"/>
        </w:rPr>
      </w:pPr>
    </w:p>
    <w:p w:rsidR="00E10F03"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 xml:space="preserve">Ifølge </w:t>
      </w:r>
      <w:r w:rsidRPr="006F4584">
        <w:rPr>
          <w:rFonts w:ascii="Times New Roman" w:hAnsi="Times New Roman" w:cs="Times New Roman"/>
          <w:sz w:val="24"/>
          <w:szCs w:val="24"/>
        </w:rPr>
        <w:t>færdselslovens § 67, stk. 2</w:t>
      </w:r>
      <w:r>
        <w:rPr>
          <w:rFonts w:ascii="Times New Roman" w:hAnsi="Times New Roman" w:cs="Times New Roman"/>
          <w:sz w:val="24"/>
          <w:szCs w:val="24"/>
        </w:rPr>
        <w:t>, er</w:t>
      </w:r>
      <w:r w:rsidRPr="006F4584">
        <w:rPr>
          <w:rFonts w:ascii="Times New Roman" w:hAnsi="Times New Roman" w:cs="Times New Roman"/>
          <w:sz w:val="24"/>
          <w:szCs w:val="24"/>
        </w:rPr>
        <w:t xml:space="preserve"> ejeren eller den person (brugeren), som har va</w:t>
      </w:r>
      <w:r>
        <w:rPr>
          <w:rFonts w:ascii="Times New Roman" w:hAnsi="Times New Roman" w:cs="Times New Roman"/>
          <w:sz w:val="24"/>
          <w:szCs w:val="24"/>
        </w:rPr>
        <w:t xml:space="preserve">rig rådighed over køretøjet, </w:t>
      </w:r>
      <w:r w:rsidRPr="006F4584">
        <w:rPr>
          <w:rFonts w:ascii="Times New Roman" w:hAnsi="Times New Roman" w:cs="Times New Roman"/>
          <w:sz w:val="24"/>
          <w:szCs w:val="24"/>
        </w:rPr>
        <w:t xml:space="preserve">ansvarlig for, at køretøjet er i lovlig stand. </w:t>
      </w:r>
      <w:r w:rsidRPr="006F4584">
        <w:rPr>
          <w:rFonts w:ascii="Times New Roman" w:hAnsi="Times New Roman" w:cs="Times New Roman"/>
          <w:color w:val="auto"/>
          <w:sz w:val="24"/>
          <w:szCs w:val="24"/>
        </w:rPr>
        <w:t>Be</w:t>
      </w:r>
      <w:r>
        <w:rPr>
          <w:rFonts w:ascii="Times New Roman" w:hAnsi="Times New Roman" w:cs="Times New Roman"/>
          <w:color w:val="auto"/>
          <w:sz w:val="24"/>
          <w:szCs w:val="24"/>
        </w:rPr>
        <w:t>stemmelsen finder anvendelse i tilfælde,</w:t>
      </w:r>
      <w:r w:rsidRPr="006F4584">
        <w:rPr>
          <w:rFonts w:ascii="Times New Roman" w:hAnsi="Times New Roman" w:cs="Times New Roman"/>
          <w:color w:val="auto"/>
          <w:sz w:val="24"/>
          <w:szCs w:val="24"/>
        </w:rPr>
        <w:t xml:space="preserve"> hvor et k</w:t>
      </w:r>
      <w:r>
        <w:rPr>
          <w:rFonts w:ascii="Times New Roman" w:hAnsi="Times New Roman" w:cs="Times New Roman"/>
          <w:color w:val="auto"/>
          <w:sz w:val="24"/>
          <w:szCs w:val="24"/>
        </w:rPr>
        <w:t>øretøj på grund af manglende vedligeholdelse</w:t>
      </w:r>
      <w:r w:rsidRPr="006F4584">
        <w:rPr>
          <w:rFonts w:ascii="Times New Roman" w:hAnsi="Times New Roman" w:cs="Times New Roman"/>
          <w:color w:val="auto"/>
          <w:sz w:val="24"/>
          <w:szCs w:val="24"/>
        </w:rPr>
        <w:t xml:space="preserve"> eller ulovlige konstruktive ændringer </w:t>
      </w:r>
      <w:r>
        <w:rPr>
          <w:rFonts w:ascii="Times New Roman" w:hAnsi="Times New Roman" w:cs="Times New Roman"/>
          <w:color w:val="auto"/>
          <w:sz w:val="24"/>
          <w:szCs w:val="24"/>
        </w:rPr>
        <w:t>afgiver</w:t>
      </w:r>
      <w:r w:rsidRPr="006F4584">
        <w:rPr>
          <w:rFonts w:ascii="Times New Roman" w:hAnsi="Times New Roman" w:cs="Times New Roman"/>
          <w:color w:val="auto"/>
          <w:sz w:val="24"/>
          <w:szCs w:val="24"/>
        </w:rPr>
        <w:t xml:space="preserve"> støj, der overstiger de gældende støjgrænser</w:t>
      </w:r>
      <w:r>
        <w:rPr>
          <w:rFonts w:ascii="Times New Roman" w:hAnsi="Times New Roman" w:cs="Times New Roman"/>
          <w:color w:val="auto"/>
          <w:sz w:val="24"/>
          <w:szCs w:val="24"/>
        </w:rPr>
        <w:t xml:space="preserve"> for det pågældende køretøj</w:t>
      </w:r>
      <w:r w:rsidRPr="006F4584">
        <w:rPr>
          <w:rFonts w:ascii="Times New Roman" w:hAnsi="Times New Roman" w:cs="Times New Roman"/>
          <w:color w:val="auto"/>
          <w:sz w:val="24"/>
          <w:szCs w:val="24"/>
        </w:rPr>
        <w:t>.</w:t>
      </w:r>
      <w:r w:rsidRPr="006F4584">
        <w:rPr>
          <w:rFonts w:ascii="Times New Roman" w:hAnsi="Times New Roman" w:cs="Times New Roman"/>
          <w:sz w:val="24"/>
          <w:szCs w:val="24"/>
        </w:rPr>
        <w:t xml:space="preserve"> Ansvaret </w:t>
      </w:r>
      <w:r>
        <w:rPr>
          <w:rFonts w:ascii="Times New Roman" w:hAnsi="Times New Roman" w:cs="Times New Roman"/>
          <w:sz w:val="24"/>
          <w:szCs w:val="24"/>
        </w:rPr>
        <w:t>efter § 67, stk. 2, er</w:t>
      </w:r>
      <w:r w:rsidRPr="006F4584">
        <w:rPr>
          <w:rFonts w:ascii="Times New Roman" w:hAnsi="Times New Roman" w:cs="Times New Roman"/>
          <w:sz w:val="24"/>
          <w:szCs w:val="24"/>
        </w:rPr>
        <w:t xml:space="preserve"> ikke et objektivt ansvar</w:t>
      </w:r>
      <w:r>
        <w:rPr>
          <w:rFonts w:ascii="Times New Roman" w:hAnsi="Times New Roman" w:cs="Times New Roman"/>
          <w:sz w:val="24"/>
          <w:szCs w:val="24"/>
        </w:rPr>
        <w:t>, men der er i retspraksis fastlagt en meget streng ansvarsvurdering af ejeren (brugeren) efter bestemmelsen.</w:t>
      </w:r>
    </w:p>
    <w:p w:rsidR="00E10F03" w:rsidRDefault="00E10F03" w:rsidP="00E51A0B">
      <w:pPr>
        <w:spacing w:line="240" w:lineRule="auto"/>
        <w:rPr>
          <w:rFonts w:ascii="Times New Roman" w:hAnsi="Times New Roman" w:cs="Times New Roman"/>
          <w:sz w:val="24"/>
          <w:szCs w:val="24"/>
        </w:rPr>
      </w:pPr>
    </w:p>
    <w:p w:rsidR="00E10F03" w:rsidRDefault="00E10F03" w:rsidP="00E10F0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Som nævnt ovenfor giver </w:t>
      </w:r>
      <w:r w:rsidR="00130BE8">
        <w:rPr>
          <w:rFonts w:ascii="Times New Roman" w:eastAsia="Times New Roman" w:hAnsi="Times New Roman" w:cs="Times New Roman"/>
          <w:color w:val="auto"/>
          <w:sz w:val="24"/>
          <w:szCs w:val="24"/>
          <w:lang w:eastAsia="da-DK"/>
        </w:rPr>
        <w:t>bl.a.</w:t>
      </w:r>
      <w:r w:rsidR="00CF752A">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færdselslovens </w:t>
      </w:r>
      <w:r w:rsidRPr="000A5139">
        <w:rPr>
          <w:rFonts w:ascii="Times New Roman" w:eastAsia="Times New Roman" w:hAnsi="Times New Roman" w:cs="Times New Roman"/>
          <w:color w:val="auto"/>
          <w:sz w:val="24"/>
          <w:szCs w:val="24"/>
          <w:lang w:eastAsia="da-DK"/>
        </w:rPr>
        <w:t xml:space="preserve">§ 67, stk. </w:t>
      </w:r>
      <w:r w:rsidR="00CF752A">
        <w:rPr>
          <w:rFonts w:ascii="Times New Roman" w:eastAsia="Times New Roman" w:hAnsi="Times New Roman" w:cs="Times New Roman"/>
          <w:color w:val="auto"/>
          <w:sz w:val="24"/>
          <w:szCs w:val="24"/>
          <w:lang w:eastAsia="da-DK"/>
        </w:rPr>
        <w:t>2</w:t>
      </w:r>
      <w:r w:rsidRPr="000A5139">
        <w:rPr>
          <w:rFonts w:ascii="Times New Roman" w:eastAsia="Times New Roman" w:hAnsi="Times New Roman" w:cs="Times New Roman"/>
          <w:color w:val="auto"/>
          <w:sz w:val="24"/>
          <w:szCs w:val="24"/>
          <w:lang w:eastAsia="da-DK"/>
        </w:rPr>
        <w:t>, ingen nærmere anvisninger af, hvilke specifikke krav der gælder for et køretøj med</w:t>
      </w:r>
      <w:r>
        <w:rPr>
          <w:rFonts w:ascii="Times New Roman" w:eastAsia="Times New Roman" w:hAnsi="Times New Roman" w:cs="Times New Roman"/>
          <w:color w:val="auto"/>
          <w:sz w:val="24"/>
          <w:szCs w:val="24"/>
          <w:lang w:eastAsia="da-DK"/>
        </w:rPr>
        <w:t xml:space="preserve"> </w:t>
      </w:r>
      <w:r w:rsidRPr="000A5139">
        <w:rPr>
          <w:rFonts w:ascii="Times New Roman" w:eastAsia="Times New Roman" w:hAnsi="Times New Roman" w:cs="Times New Roman"/>
          <w:color w:val="auto"/>
          <w:sz w:val="24"/>
          <w:szCs w:val="24"/>
          <w:lang w:eastAsia="da-DK"/>
        </w:rPr>
        <w:t xml:space="preserve">hensyn til </w:t>
      </w:r>
      <w:r>
        <w:rPr>
          <w:rFonts w:ascii="Times New Roman" w:eastAsia="Times New Roman" w:hAnsi="Times New Roman" w:cs="Times New Roman"/>
          <w:color w:val="auto"/>
          <w:sz w:val="24"/>
          <w:szCs w:val="24"/>
          <w:lang w:eastAsia="da-DK"/>
        </w:rPr>
        <w:t xml:space="preserve">teknisk </w:t>
      </w:r>
      <w:r w:rsidRPr="000A5139">
        <w:rPr>
          <w:rFonts w:ascii="Times New Roman" w:eastAsia="Times New Roman" w:hAnsi="Times New Roman" w:cs="Times New Roman"/>
          <w:color w:val="auto"/>
          <w:sz w:val="24"/>
          <w:szCs w:val="24"/>
          <w:lang w:eastAsia="da-DK"/>
        </w:rPr>
        <w:t>indretning</w:t>
      </w:r>
      <w:r>
        <w:rPr>
          <w:rFonts w:ascii="Times New Roman" w:eastAsia="Times New Roman" w:hAnsi="Times New Roman" w:cs="Times New Roman"/>
          <w:color w:val="auto"/>
          <w:sz w:val="24"/>
          <w:szCs w:val="24"/>
          <w:lang w:eastAsia="da-DK"/>
        </w:rPr>
        <w:t xml:space="preserve"> og</w:t>
      </w:r>
      <w:r w:rsidRPr="000A5139">
        <w:rPr>
          <w:rFonts w:ascii="Times New Roman" w:eastAsia="Times New Roman" w:hAnsi="Times New Roman" w:cs="Times New Roman"/>
          <w:color w:val="auto"/>
          <w:sz w:val="24"/>
          <w:szCs w:val="24"/>
          <w:lang w:eastAsia="da-DK"/>
        </w:rPr>
        <w:t xml:space="preserve"> udstyr og vedligeholdelsesstand. </w:t>
      </w:r>
      <w:r>
        <w:rPr>
          <w:rFonts w:ascii="Times New Roman" w:eastAsia="Times New Roman" w:hAnsi="Times New Roman" w:cs="Times New Roman"/>
          <w:color w:val="auto"/>
          <w:sz w:val="24"/>
          <w:szCs w:val="24"/>
          <w:lang w:eastAsia="da-DK"/>
        </w:rPr>
        <w:t>For så vidt angår nye motordrevne køretøjer fremgår s</w:t>
      </w:r>
      <w:r w:rsidRPr="000A5139">
        <w:rPr>
          <w:rFonts w:ascii="Times New Roman" w:eastAsia="Times New Roman" w:hAnsi="Times New Roman" w:cs="Times New Roman"/>
          <w:color w:val="auto"/>
          <w:sz w:val="24"/>
          <w:szCs w:val="24"/>
          <w:lang w:eastAsia="da-DK"/>
        </w:rPr>
        <w:t>ådanne specifikke krav</w:t>
      </w:r>
      <w:r>
        <w:rPr>
          <w:rFonts w:ascii="Times New Roman" w:eastAsia="Times New Roman" w:hAnsi="Times New Roman" w:cs="Times New Roman"/>
          <w:color w:val="auto"/>
          <w:sz w:val="24"/>
          <w:szCs w:val="24"/>
          <w:lang w:eastAsia="da-DK"/>
        </w:rPr>
        <w:t xml:space="preserve"> af en række forskellige EU-forordninger og direktiver for så vidt angår køretøjernes typegodkendelse. </w:t>
      </w:r>
    </w:p>
    <w:p w:rsidR="00E10F03" w:rsidRDefault="00E10F03" w:rsidP="00E10F03">
      <w:pPr>
        <w:spacing w:line="240" w:lineRule="auto"/>
        <w:rPr>
          <w:rFonts w:ascii="Times New Roman" w:eastAsia="Times New Roman" w:hAnsi="Times New Roman" w:cs="Times New Roman"/>
          <w:color w:val="auto"/>
          <w:sz w:val="24"/>
          <w:szCs w:val="24"/>
          <w:lang w:eastAsia="da-DK"/>
        </w:rPr>
      </w:pPr>
    </w:p>
    <w:p w:rsidR="00E10F03" w:rsidRDefault="00E10F03" w:rsidP="00E10F03">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 pågældende direktiver er </w:t>
      </w:r>
      <w:r w:rsidR="00130BE8">
        <w:rPr>
          <w:rFonts w:ascii="Times New Roman" w:eastAsia="Times New Roman" w:hAnsi="Times New Roman" w:cs="Times New Roman"/>
          <w:color w:val="auto"/>
          <w:sz w:val="24"/>
          <w:szCs w:val="24"/>
          <w:lang w:eastAsia="da-DK"/>
        </w:rPr>
        <w:t>bl.a.</w:t>
      </w:r>
      <w:r>
        <w:rPr>
          <w:rFonts w:ascii="Times New Roman" w:eastAsia="Times New Roman" w:hAnsi="Times New Roman" w:cs="Times New Roman"/>
          <w:color w:val="auto"/>
          <w:sz w:val="24"/>
          <w:szCs w:val="24"/>
          <w:lang w:eastAsia="da-DK"/>
        </w:rPr>
        <w:t xml:space="preserve"> gennemført i dansk ret i</w:t>
      </w:r>
      <w:r w:rsidRPr="007A69CD">
        <w:rPr>
          <w:rFonts w:ascii="Times New Roman" w:eastAsia="Times New Roman" w:hAnsi="Times New Roman" w:cs="Times New Roman"/>
          <w:color w:val="000000" w:themeColor="text1"/>
          <w:sz w:val="24"/>
          <w:szCs w:val="24"/>
          <w:lang w:eastAsia="da-DK"/>
        </w:rPr>
        <w:t xml:space="preserve"> bekendtgørelse nr. 1595 af 15. december 2016 om forskrifter for køretøjers indretning og udstyr </w:t>
      </w:r>
      <w:r>
        <w:rPr>
          <w:rFonts w:ascii="Times New Roman" w:eastAsia="Times New Roman" w:hAnsi="Times New Roman" w:cs="Times New Roman"/>
          <w:color w:val="000000" w:themeColor="text1"/>
          <w:sz w:val="24"/>
          <w:szCs w:val="24"/>
          <w:lang w:eastAsia="da-DK"/>
        </w:rPr>
        <w:t xml:space="preserve">med senere ændringer </w:t>
      </w:r>
      <w:r w:rsidRPr="007A69CD">
        <w:rPr>
          <w:rFonts w:ascii="Times New Roman" w:eastAsia="Times New Roman" w:hAnsi="Times New Roman" w:cs="Times New Roman"/>
          <w:color w:val="000000" w:themeColor="text1"/>
          <w:sz w:val="24"/>
          <w:szCs w:val="24"/>
          <w:lang w:eastAsia="da-DK"/>
        </w:rPr>
        <w:t>(detailforskrifterne for køretøjer)</w:t>
      </w:r>
      <w:r>
        <w:rPr>
          <w:rFonts w:ascii="Times New Roman" w:eastAsia="Times New Roman" w:hAnsi="Times New Roman" w:cs="Times New Roman"/>
          <w:color w:val="auto"/>
          <w:sz w:val="24"/>
          <w:szCs w:val="24"/>
          <w:lang w:eastAsia="da-DK"/>
        </w:rPr>
        <w:t xml:space="preserve">, der er udstedt med hjemmel i færdselslovens § 68, stk. 1. Færdselslovens § 68, stk. 1, indeholder hjemmel til, at transport-, bygnings- og boligministeren kan fastsætte bestemmelser om </w:t>
      </w:r>
      <w:r w:rsidR="00130BE8">
        <w:rPr>
          <w:rFonts w:ascii="Times New Roman" w:eastAsia="Times New Roman" w:hAnsi="Times New Roman" w:cs="Times New Roman"/>
          <w:color w:val="auto"/>
          <w:sz w:val="24"/>
          <w:szCs w:val="24"/>
          <w:lang w:eastAsia="da-DK"/>
        </w:rPr>
        <w:t>bl.a.</w:t>
      </w:r>
      <w:r>
        <w:rPr>
          <w:rFonts w:ascii="Times New Roman" w:eastAsia="Times New Roman" w:hAnsi="Times New Roman" w:cs="Times New Roman"/>
          <w:color w:val="auto"/>
          <w:sz w:val="24"/>
          <w:szCs w:val="24"/>
          <w:lang w:eastAsia="da-DK"/>
        </w:rPr>
        <w:t xml:space="preserve"> køretøjers indretning, udstyr og tilbehør. De mest relevante direktiver er følgende:</w:t>
      </w:r>
    </w:p>
    <w:p w:rsidR="00E10F03" w:rsidRDefault="00E10F03" w:rsidP="00E10F03">
      <w:pPr>
        <w:spacing w:line="240" w:lineRule="auto"/>
        <w:rPr>
          <w:rFonts w:ascii="Times New Roman" w:eastAsia="Times New Roman" w:hAnsi="Times New Roman" w:cs="Times New Roman"/>
          <w:color w:val="auto"/>
          <w:sz w:val="24"/>
          <w:szCs w:val="24"/>
          <w:lang w:eastAsia="da-DK"/>
        </w:rPr>
      </w:pPr>
    </w:p>
    <w:p w:rsidR="00E10F03" w:rsidRPr="00413FF4" w:rsidRDefault="00E10F03" w:rsidP="00E10F03">
      <w:pPr>
        <w:pStyle w:val="Listeafsnit"/>
        <w:numPr>
          <w:ilvl w:val="0"/>
          <w:numId w:val="7"/>
        </w:num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Direktiv </w:t>
      </w:r>
      <w:r w:rsidRPr="00413FF4">
        <w:rPr>
          <w:rFonts w:ascii="Times New Roman" w:hAnsi="Times New Roman" w:cs="Times New Roman"/>
          <w:color w:val="auto"/>
          <w:sz w:val="24"/>
          <w:szCs w:val="24"/>
        </w:rPr>
        <w:t xml:space="preserve">70/157 om tilnærmelse af medlemsstaternes lovgivning om tilladt støjniveau og udstødningssystemer for motordrevne køretøjer med senere ændringer </w:t>
      </w:r>
    </w:p>
    <w:p w:rsidR="00E10F03" w:rsidRPr="00413FF4" w:rsidRDefault="00E10F03" w:rsidP="00E10F03">
      <w:pPr>
        <w:pStyle w:val="Listeafsnit"/>
        <w:numPr>
          <w:ilvl w:val="0"/>
          <w:numId w:val="7"/>
        </w:numPr>
        <w:spacing w:line="240" w:lineRule="auto"/>
        <w:rPr>
          <w:rFonts w:ascii="Times New Roman" w:hAnsi="Times New Roman" w:cs="Times New Roman"/>
          <w:color w:val="auto"/>
          <w:sz w:val="24"/>
          <w:szCs w:val="24"/>
          <w:u w:val="single"/>
        </w:rPr>
      </w:pPr>
      <w:r w:rsidRPr="00413FF4">
        <w:rPr>
          <w:rFonts w:ascii="Times New Roman" w:hAnsi="Times New Roman" w:cs="Times New Roman"/>
          <w:color w:val="auto"/>
          <w:sz w:val="24"/>
          <w:szCs w:val="24"/>
        </w:rPr>
        <w:t>Direktiv 78/1015/EF om indbyrdes tilnærmelse af medlemsstaternes lovgivning om tilladt støjniveau og udstødningsanlæg for motorcykler med senere ændringer</w:t>
      </w:r>
    </w:p>
    <w:p w:rsidR="00E10F03" w:rsidRPr="00413FF4" w:rsidRDefault="00E10F03" w:rsidP="00E10F03">
      <w:pPr>
        <w:pStyle w:val="Listeafsnit"/>
        <w:numPr>
          <w:ilvl w:val="0"/>
          <w:numId w:val="7"/>
        </w:numPr>
        <w:spacing w:line="240" w:lineRule="auto"/>
        <w:rPr>
          <w:rFonts w:ascii="Times New Roman" w:hAnsi="Times New Roman" w:cs="Times New Roman"/>
          <w:color w:val="auto"/>
          <w:sz w:val="24"/>
          <w:szCs w:val="24"/>
        </w:rPr>
      </w:pPr>
      <w:r w:rsidRPr="00413FF4">
        <w:rPr>
          <w:rFonts w:ascii="Times New Roman" w:hAnsi="Times New Roman" w:cs="Times New Roman"/>
          <w:color w:val="auto"/>
          <w:sz w:val="24"/>
          <w:szCs w:val="24"/>
        </w:rPr>
        <w:t>Direktiv 97/24/EF om dele af og kendetegn ved to- og trehjulede motordrevne køretøjer</w:t>
      </w:r>
    </w:p>
    <w:p w:rsidR="00E10F03" w:rsidRDefault="00E10F03" w:rsidP="00E10F03">
      <w:pPr>
        <w:spacing w:line="240" w:lineRule="auto"/>
        <w:rPr>
          <w:rFonts w:ascii="Times New Roman" w:hAnsi="Times New Roman" w:cs="Times New Roman"/>
          <w:sz w:val="24"/>
          <w:szCs w:val="24"/>
        </w:rPr>
      </w:pPr>
    </w:p>
    <w:p w:rsidR="00E51A0B" w:rsidRDefault="00E10F03" w:rsidP="00E51A0B">
      <w:pPr>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lang w:eastAsia="da-DK"/>
        </w:rPr>
        <w:t>Forordningerne er umiddelbart gældende i dansk ret og bindende i alle enkeltheder. De mest relevante forordninger er følgende:</w:t>
      </w:r>
    </w:p>
    <w:p w:rsidR="00E51A0B" w:rsidRPr="00413FF4" w:rsidRDefault="00E51A0B" w:rsidP="00E51A0B">
      <w:pPr>
        <w:spacing w:line="240" w:lineRule="auto"/>
        <w:rPr>
          <w:rFonts w:ascii="Times New Roman" w:hAnsi="Times New Roman" w:cs="Times New Roman"/>
          <w:color w:val="auto"/>
          <w:sz w:val="24"/>
          <w:szCs w:val="24"/>
        </w:rPr>
      </w:pPr>
    </w:p>
    <w:p w:rsidR="00E51A0B" w:rsidRPr="00413FF4" w:rsidRDefault="00E51A0B" w:rsidP="00E51A0B">
      <w:pPr>
        <w:pStyle w:val="Listeafsnit"/>
        <w:numPr>
          <w:ilvl w:val="0"/>
          <w:numId w:val="7"/>
        </w:numPr>
        <w:spacing w:line="240" w:lineRule="auto"/>
        <w:rPr>
          <w:rFonts w:ascii="Times New Roman" w:hAnsi="Times New Roman" w:cs="Times New Roman"/>
          <w:color w:val="auto"/>
          <w:sz w:val="24"/>
          <w:szCs w:val="24"/>
        </w:rPr>
      </w:pPr>
      <w:r w:rsidRPr="00413FF4">
        <w:rPr>
          <w:rFonts w:ascii="Times New Roman" w:hAnsi="Times New Roman" w:cs="Times New Roman"/>
          <w:color w:val="auto"/>
          <w:sz w:val="24"/>
          <w:szCs w:val="24"/>
        </w:rPr>
        <w:t>Europa-Parlamentets og Rådets forordning (EU) nr. 168/2013 af 15. januar 2013 om godkendelse og markedsovervågning af to- og trehjulede køretøjer samt quadricykler</w:t>
      </w:r>
    </w:p>
    <w:p w:rsidR="00E51A0B" w:rsidRPr="00413FF4" w:rsidRDefault="00E51A0B" w:rsidP="00E51A0B">
      <w:pPr>
        <w:pStyle w:val="Listeafsnit"/>
        <w:numPr>
          <w:ilvl w:val="0"/>
          <w:numId w:val="7"/>
        </w:numPr>
        <w:spacing w:line="240" w:lineRule="auto"/>
        <w:rPr>
          <w:rFonts w:ascii="Times New Roman" w:hAnsi="Times New Roman" w:cs="Times New Roman"/>
          <w:color w:val="auto"/>
          <w:sz w:val="24"/>
          <w:szCs w:val="24"/>
        </w:rPr>
      </w:pPr>
      <w:r w:rsidRPr="00413FF4">
        <w:rPr>
          <w:rFonts w:ascii="Times New Roman" w:hAnsi="Times New Roman" w:cs="Times New Roman"/>
          <w:color w:val="auto"/>
          <w:sz w:val="24"/>
          <w:szCs w:val="24"/>
        </w:rPr>
        <w:t xml:space="preserve">Europa-Parlamentets og Rådets forordning (EU) nr. 540/2014 af 16. april 2014 om motorkøretøjers og </w:t>
      </w:r>
      <w:proofErr w:type="spellStart"/>
      <w:r w:rsidRPr="00413FF4">
        <w:rPr>
          <w:rFonts w:ascii="Times New Roman" w:hAnsi="Times New Roman" w:cs="Times New Roman"/>
          <w:color w:val="auto"/>
          <w:sz w:val="24"/>
          <w:szCs w:val="24"/>
        </w:rPr>
        <w:t>udskiftningslyddæmpningssystemers</w:t>
      </w:r>
      <w:proofErr w:type="spellEnd"/>
      <w:r w:rsidRPr="00413FF4">
        <w:rPr>
          <w:rFonts w:ascii="Times New Roman" w:hAnsi="Times New Roman" w:cs="Times New Roman"/>
          <w:color w:val="auto"/>
          <w:sz w:val="24"/>
          <w:szCs w:val="24"/>
        </w:rPr>
        <w:t xml:space="preserve"> støjniveau</w:t>
      </w:r>
    </w:p>
    <w:p w:rsidR="00E51A0B" w:rsidRDefault="00E51A0B" w:rsidP="00E51A0B">
      <w:pPr>
        <w:spacing w:line="240" w:lineRule="auto"/>
        <w:rPr>
          <w:rFonts w:ascii="Times New Roman" w:hAnsi="Times New Roman" w:cs="Times New Roman"/>
          <w:color w:val="auto"/>
          <w:sz w:val="24"/>
          <w:szCs w:val="24"/>
        </w:rPr>
      </w:pPr>
    </w:p>
    <w:p w:rsidR="00E51A0B" w:rsidRPr="00EC498B" w:rsidRDefault="00E51A0B" w:rsidP="00E51A0B">
      <w:pPr>
        <w:spacing w:line="240" w:lineRule="auto"/>
        <w:rPr>
          <w:rFonts w:ascii="Times New Roman" w:hAnsi="Times New Roman" w:cs="Times New Roman"/>
          <w:color w:val="FF0000"/>
          <w:sz w:val="24"/>
          <w:szCs w:val="24"/>
        </w:rPr>
      </w:pPr>
      <w:r w:rsidRPr="00931FD3">
        <w:rPr>
          <w:rFonts w:ascii="Times New Roman" w:hAnsi="Times New Roman" w:cs="Times New Roman"/>
          <w:color w:val="auto"/>
          <w:sz w:val="24"/>
          <w:szCs w:val="24"/>
        </w:rPr>
        <w:t>Derudover findes en række forskellige ECE-regulativer og øvrige internationale standarder, herunder bl.a. Wienerkonventionen (Færdselskonventionen af 8. november 1968 om vejtrafik) og Færdselskonventionen af 19. december 1949.</w:t>
      </w:r>
    </w:p>
    <w:p w:rsidR="00E51A0B" w:rsidRDefault="00E51A0B" w:rsidP="00E51A0B">
      <w:pPr>
        <w:spacing w:line="240" w:lineRule="auto"/>
        <w:rPr>
          <w:rFonts w:ascii="Times New Roman" w:hAnsi="Times New Roman" w:cs="Times New Roman"/>
          <w:sz w:val="24"/>
          <w:szCs w:val="24"/>
        </w:rPr>
      </w:pPr>
    </w:p>
    <w:p w:rsidR="00D5248B"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Den</w:t>
      </w:r>
      <w:r w:rsidRPr="006F4584">
        <w:rPr>
          <w:rFonts w:ascii="Times New Roman" w:hAnsi="Times New Roman" w:cs="Times New Roman"/>
          <w:sz w:val="24"/>
          <w:szCs w:val="24"/>
        </w:rPr>
        <w:t xml:space="preserve"> EU-retlige reg</w:t>
      </w:r>
      <w:r>
        <w:rPr>
          <w:rFonts w:ascii="Times New Roman" w:hAnsi="Times New Roman" w:cs="Times New Roman"/>
          <w:sz w:val="24"/>
          <w:szCs w:val="24"/>
        </w:rPr>
        <w:t>ulering fastsætter specifikke grænseværdier for støjniveau, som køretøjet skal opfylde ved en kørselsmåling for at blive typeg</w:t>
      </w:r>
      <w:r w:rsidR="00D5248B">
        <w:rPr>
          <w:rFonts w:ascii="Times New Roman" w:hAnsi="Times New Roman" w:cs="Times New Roman"/>
          <w:sz w:val="24"/>
          <w:szCs w:val="24"/>
        </w:rPr>
        <w:t>odkendt eller godkendt ved syn. Ved en k</w:t>
      </w:r>
      <w:r>
        <w:rPr>
          <w:rFonts w:ascii="Times New Roman" w:hAnsi="Times New Roman" w:cs="Times New Roman"/>
          <w:sz w:val="24"/>
          <w:szCs w:val="24"/>
        </w:rPr>
        <w:t xml:space="preserve">ørselsmåling forstås en måling af køretøjets støjniveau, imens køretøjet er i bevægelse. </w:t>
      </w:r>
    </w:p>
    <w:p w:rsidR="00D5248B" w:rsidRDefault="00D5248B" w:rsidP="00E51A0B">
      <w:pPr>
        <w:spacing w:line="240" w:lineRule="auto"/>
        <w:rPr>
          <w:rFonts w:ascii="Times New Roman" w:hAnsi="Times New Roman" w:cs="Times New Roman"/>
          <w:sz w:val="24"/>
          <w:szCs w:val="24"/>
        </w:rPr>
      </w:pPr>
    </w:p>
    <w:p w:rsidR="00E51A0B"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 xml:space="preserve">Kørselsstøj er i praksis vanskeligt at måle i forbindelse med kontrol. Derfor skal der som udgangspunkt foreligge et standstøjstal fra en standstøjsmåling ved køretøjets første registrering. Ved en standstøjsmåling forstås en måling af køretøjets støjniveau ved et højt omdrejningstal, imens køretøjet er stationært. </w:t>
      </w:r>
    </w:p>
    <w:p w:rsidR="00E51A0B" w:rsidRDefault="00E51A0B" w:rsidP="00E51A0B">
      <w:pPr>
        <w:spacing w:line="240" w:lineRule="auto"/>
        <w:rPr>
          <w:rFonts w:ascii="Times New Roman" w:hAnsi="Times New Roman" w:cs="Times New Roman"/>
          <w:sz w:val="24"/>
          <w:szCs w:val="24"/>
        </w:rPr>
      </w:pPr>
    </w:p>
    <w:p w:rsidR="00E51A0B" w:rsidRDefault="00E51A0B" w:rsidP="00E51A0B">
      <w:pPr>
        <w:spacing w:line="240" w:lineRule="auto"/>
        <w:rPr>
          <w:rFonts w:ascii="Times New Roman" w:hAnsi="Times New Roman" w:cs="Times New Roman"/>
          <w:color w:val="auto"/>
          <w:sz w:val="24"/>
          <w:szCs w:val="24"/>
        </w:rPr>
      </w:pPr>
      <w:r>
        <w:rPr>
          <w:rFonts w:ascii="Times New Roman" w:hAnsi="Times New Roman" w:cs="Times New Roman"/>
          <w:sz w:val="24"/>
          <w:szCs w:val="24"/>
        </w:rPr>
        <w:t>Standstøjstallet bruges som referenceværdi ved håndhævelse af støjreglerne, efter køretøjet er taget i brug.</w:t>
      </w:r>
      <w:r w:rsidRPr="00E761AF">
        <w:rPr>
          <w:rFonts w:ascii="Times New Roman" w:hAnsi="Times New Roman" w:cs="Times New Roman"/>
          <w:color w:val="auto"/>
          <w:sz w:val="24"/>
          <w:szCs w:val="24"/>
        </w:rPr>
        <w:t xml:space="preserve"> Der er ikke fastsat en grænseværdi for denne måli</w:t>
      </w:r>
      <w:r>
        <w:rPr>
          <w:rFonts w:ascii="Times New Roman" w:hAnsi="Times New Roman" w:cs="Times New Roman"/>
          <w:color w:val="auto"/>
          <w:sz w:val="24"/>
          <w:szCs w:val="24"/>
        </w:rPr>
        <w:t xml:space="preserve">ng, men </w:t>
      </w:r>
      <w:r w:rsidR="00756917">
        <w:rPr>
          <w:rFonts w:ascii="Times New Roman" w:hAnsi="Times New Roman" w:cs="Times New Roman"/>
          <w:color w:val="auto"/>
          <w:sz w:val="24"/>
          <w:szCs w:val="24"/>
        </w:rPr>
        <w:t>standstøjstallet</w:t>
      </w:r>
      <w:r>
        <w:rPr>
          <w:rFonts w:ascii="Times New Roman" w:hAnsi="Times New Roman" w:cs="Times New Roman"/>
          <w:color w:val="auto"/>
          <w:sz w:val="24"/>
          <w:szCs w:val="24"/>
        </w:rPr>
        <w:t xml:space="preserve"> </w:t>
      </w:r>
      <w:r w:rsidRPr="00E761AF">
        <w:rPr>
          <w:rFonts w:ascii="Times New Roman" w:hAnsi="Times New Roman" w:cs="Times New Roman"/>
          <w:color w:val="auto"/>
          <w:sz w:val="24"/>
          <w:szCs w:val="24"/>
        </w:rPr>
        <w:t xml:space="preserve">bruges </w:t>
      </w:r>
      <w:r>
        <w:rPr>
          <w:rFonts w:ascii="Times New Roman" w:hAnsi="Times New Roman" w:cs="Times New Roman"/>
          <w:color w:val="auto"/>
          <w:sz w:val="24"/>
          <w:szCs w:val="24"/>
        </w:rPr>
        <w:t>til</w:t>
      </w:r>
      <w:r w:rsidRPr="00E761AF">
        <w:rPr>
          <w:rFonts w:ascii="Times New Roman" w:hAnsi="Times New Roman" w:cs="Times New Roman"/>
          <w:color w:val="auto"/>
          <w:sz w:val="24"/>
          <w:szCs w:val="24"/>
        </w:rPr>
        <w:t xml:space="preserve"> kontrol af, om der er sket en ulovlig forhøjelse af køretøjets støjniveau siden køretøjets første registrering.</w:t>
      </w:r>
    </w:p>
    <w:p w:rsidR="00D5248B" w:rsidRDefault="00D5248B" w:rsidP="00E51A0B">
      <w:pPr>
        <w:spacing w:line="240" w:lineRule="auto"/>
        <w:rPr>
          <w:rFonts w:ascii="Times New Roman" w:hAnsi="Times New Roman" w:cs="Times New Roman"/>
          <w:color w:val="auto"/>
          <w:sz w:val="24"/>
          <w:szCs w:val="24"/>
        </w:rPr>
      </w:pPr>
    </w:p>
    <w:p w:rsidR="00D5248B" w:rsidRDefault="00D5248B" w:rsidP="00E51A0B">
      <w:pPr>
        <w:spacing w:line="240" w:lineRule="auto"/>
        <w:rPr>
          <w:rFonts w:ascii="Times New Roman" w:hAnsi="Times New Roman" w:cs="Times New Roman"/>
          <w:color w:val="auto"/>
          <w:sz w:val="24"/>
          <w:szCs w:val="24"/>
        </w:rPr>
      </w:pPr>
      <w:r>
        <w:rPr>
          <w:rFonts w:ascii="Times New Roman" w:hAnsi="Times New Roman" w:cs="Times New Roman"/>
          <w:sz w:val="24"/>
          <w:szCs w:val="24"/>
        </w:rPr>
        <w:t xml:space="preserve">Støjgrænserne for det enkelte køretøj kan således variere alt efter de gældende regler på tidspunktet for første registrering eller ibrugtagning og </w:t>
      </w:r>
      <w:r w:rsidRPr="00E761AF">
        <w:rPr>
          <w:rFonts w:ascii="Times New Roman" w:hAnsi="Times New Roman" w:cs="Times New Roman"/>
          <w:color w:val="auto"/>
          <w:sz w:val="24"/>
          <w:szCs w:val="24"/>
        </w:rPr>
        <w:t>afhænger af d</w:t>
      </w:r>
      <w:r>
        <w:rPr>
          <w:rFonts w:ascii="Times New Roman" w:hAnsi="Times New Roman" w:cs="Times New Roman"/>
          <w:color w:val="auto"/>
          <w:sz w:val="24"/>
          <w:szCs w:val="24"/>
        </w:rPr>
        <w:t>et standstøjstal, der forelå</w:t>
      </w:r>
      <w:r w:rsidRPr="00E761AF">
        <w:rPr>
          <w:rFonts w:ascii="Times New Roman" w:hAnsi="Times New Roman" w:cs="Times New Roman"/>
          <w:color w:val="auto"/>
          <w:sz w:val="24"/>
          <w:szCs w:val="24"/>
        </w:rPr>
        <w:t xml:space="preserve"> ved køretøjets første registrering. </w:t>
      </w:r>
      <w:r>
        <w:rPr>
          <w:rFonts w:ascii="Times New Roman" w:hAnsi="Times New Roman" w:cs="Times New Roman"/>
          <w:sz w:val="24"/>
          <w:szCs w:val="24"/>
        </w:rPr>
        <w:t>For eksempel er det maksimale støjniveau afgive</w:t>
      </w:r>
      <w:r w:rsidR="008B6790">
        <w:rPr>
          <w:rFonts w:ascii="Times New Roman" w:hAnsi="Times New Roman" w:cs="Times New Roman"/>
          <w:sz w:val="24"/>
          <w:szCs w:val="24"/>
        </w:rPr>
        <w:t>t</w:t>
      </w:r>
      <w:r>
        <w:rPr>
          <w:rFonts w:ascii="Times New Roman" w:hAnsi="Times New Roman" w:cs="Times New Roman"/>
          <w:sz w:val="24"/>
          <w:szCs w:val="24"/>
        </w:rPr>
        <w:t xml:space="preserve"> ved en kørselsmåling 75-80 decibel (dB(A))</w:t>
      </w:r>
      <w:r>
        <w:rPr>
          <w:rFonts w:ascii="Times New Roman" w:hAnsi="Times New Roman" w:cs="Times New Roman"/>
          <w:color w:val="auto"/>
          <w:sz w:val="24"/>
          <w:szCs w:val="24"/>
        </w:rPr>
        <w:t xml:space="preserve"> </w:t>
      </w:r>
      <w:r>
        <w:rPr>
          <w:rFonts w:ascii="Times New Roman" w:hAnsi="Times New Roman" w:cs="Times New Roman"/>
          <w:sz w:val="24"/>
          <w:szCs w:val="24"/>
        </w:rPr>
        <w:t>for en motorcykel, der er registreret efter den 1. april 2004, afhængig af motorcyklens slagvolumen.</w:t>
      </w:r>
    </w:p>
    <w:p w:rsidR="00B23F19" w:rsidRDefault="00B23F19" w:rsidP="00E51A0B">
      <w:pPr>
        <w:spacing w:line="240" w:lineRule="auto"/>
        <w:rPr>
          <w:rFonts w:ascii="Times New Roman" w:hAnsi="Times New Roman" w:cs="Times New Roman"/>
          <w:color w:val="auto"/>
          <w:sz w:val="24"/>
          <w:szCs w:val="24"/>
        </w:rPr>
      </w:pPr>
    </w:p>
    <w:p w:rsidR="00D5248B" w:rsidRDefault="00B23F19" w:rsidP="00D5248B">
      <w:pPr>
        <w:spacing w:line="240" w:lineRule="auto"/>
        <w:rPr>
          <w:rFonts w:ascii="Times New Roman" w:hAnsi="Times New Roman" w:cs="Times New Roman"/>
          <w:sz w:val="24"/>
          <w:szCs w:val="24"/>
        </w:rPr>
      </w:pPr>
      <w:r w:rsidRPr="005407F9">
        <w:rPr>
          <w:rFonts w:ascii="Times New Roman" w:eastAsia="Times New Roman" w:hAnsi="Times New Roman" w:cs="Times New Roman"/>
          <w:color w:val="000000" w:themeColor="text1"/>
          <w:sz w:val="24"/>
          <w:szCs w:val="24"/>
          <w:lang w:eastAsia="da-DK"/>
        </w:rPr>
        <w:t>Tekniske krav til ibrugtagne køretøjer</w:t>
      </w:r>
      <w:r>
        <w:rPr>
          <w:rFonts w:ascii="Times New Roman" w:eastAsia="Times New Roman" w:hAnsi="Times New Roman" w:cs="Times New Roman"/>
          <w:color w:val="000000" w:themeColor="text1"/>
          <w:sz w:val="24"/>
          <w:szCs w:val="24"/>
          <w:lang w:eastAsia="da-DK"/>
        </w:rPr>
        <w:t xml:space="preserve"> (det vil sige krav til køretøjernes vedligeholdelsesstand efter ibrugtagning)</w:t>
      </w:r>
      <w:r w:rsidRPr="005407F9">
        <w:rPr>
          <w:rFonts w:ascii="Times New Roman" w:eastAsia="Times New Roman" w:hAnsi="Times New Roman" w:cs="Times New Roman"/>
          <w:color w:val="000000" w:themeColor="text1"/>
          <w:sz w:val="24"/>
          <w:szCs w:val="24"/>
          <w:lang w:eastAsia="da-DK"/>
        </w:rPr>
        <w:t xml:space="preserve"> er ikke </w:t>
      </w:r>
      <w:r>
        <w:rPr>
          <w:rFonts w:ascii="Times New Roman" w:eastAsia="Times New Roman" w:hAnsi="Times New Roman" w:cs="Times New Roman"/>
          <w:color w:val="000000" w:themeColor="text1"/>
          <w:sz w:val="24"/>
          <w:szCs w:val="24"/>
          <w:lang w:eastAsia="da-DK"/>
        </w:rPr>
        <w:t xml:space="preserve">direkte </w:t>
      </w:r>
      <w:r w:rsidRPr="005407F9">
        <w:rPr>
          <w:rFonts w:ascii="Times New Roman" w:eastAsia="Times New Roman" w:hAnsi="Times New Roman" w:cs="Times New Roman"/>
          <w:color w:val="000000" w:themeColor="text1"/>
          <w:sz w:val="24"/>
          <w:szCs w:val="24"/>
          <w:lang w:eastAsia="da-DK"/>
        </w:rPr>
        <w:t>u</w:t>
      </w:r>
      <w:r>
        <w:rPr>
          <w:rFonts w:ascii="Times New Roman" w:eastAsia="Times New Roman" w:hAnsi="Times New Roman" w:cs="Times New Roman"/>
          <w:color w:val="000000" w:themeColor="text1"/>
          <w:sz w:val="24"/>
          <w:szCs w:val="24"/>
          <w:lang w:eastAsia="da-DK"/>
        </w:rPr>
        <w:t xml:space="preserve">nderlagt </w:t>
      </w:r>
      <w:r w:rsidRPr="005407F9">
        <w:rPr>
          <w:rFonts w:ascii="Times New Roman" w:eastAsia="Times New Roman" w:hAnsi="Times New Roman" w:cs="Times New Roman"/>
          <w:color w:val="000000" w:themeColor="text1"/>
          <w:sz w:val="24"/>
          <w:szCs w:val="24"/>
          <w:lang w:eastAsia="da-DK"/>
        </w:rPr>
        <w:t>EU-</w:t>
      </w:r>
      <w:r>
        <w:rPr>
          <w:rFonts w:ascii="Times New Roman" w:eastAsia="Times New Roman" w:hAnsi="Times New Roman" w:cs="Times New Roman"/>
          <w:color w:val="000000" w:themeColor="text1"/>
          <w:sz w:val="24"/>
          <w:szCs w:val="24"/>
          <w:lang w:eastAsia="da-DK"/>
        </w:rPr>
        <w:t xml:space="preserve">retlig </w:t>
      </w:r>
      <w:r w:rsidRPr="005407F9">
        <w:rPr>
          <w:rFonts w:ascii="Times New Roman" w:eastAsia="Times New Roman" w:hAnsi="Times New Roman" w:cs="Times New Roman"/>
          <w:color w:val="000000" w:themeColor="text1"/>
          <w:sz w:val="24"/>
          <w:szCs w:val="24"/>
          <w:lang w:eastAsia="da-DK"/>
        </w:rPr>
        <w:t xml:space="preserve">regulering. </w:t>
      </w:r>
      <w:r w:rsidR="00D5248B">
        <w:rPr>
          <w:rFonts w:ascii="Times New Roman" w:eastAsia="Times New Roman" w:hAnsi="Times New Roman" w:cs="Times New Roman"/>
          <w:color w:val="000000" w:themeColor="text1"/>
          <w:sz w:val="24"/>
          <w:szCs w:val="24"/>
          <w:lang w:eastAsia="da-DK"/>
        </w:rPr>
        <w:t xml:space="preserve">Danmark og de øvrige EU-medlemsstater kan ikke fastsætte egne strengere regler for bl.a. ibrugtagne køretøjers støjafgivelse, </w:t>
      </w:r>
      <w:r w:rsidR="00D5248B">
        <w:rPr>
          <w:rFonts w:ascii="Times New Roman" w:eastAsia="Times New Roman" w:hAnsi="Times New Roman" w:cs="Times New Roman"/>
          <w:color w:val="000000" w:themeColor="text1"/>
          <w:sz w:val="24"/>
          <w:szCs w:val="24"/>
          <w:lang w:eastAsia="da-DK"/>
        </w:rPr>
        <w:lastRenderedPageBreak/>
        <w:t xml:space="preserve">der fraviger den EU-retlige regulering af køretøjernes typegodkendelse, idet dette vil udgøre en handelshindring. Der kan imidlertid fastsættes egne lempeligere krav. </w:t>
      </w:r>
      <w:r w:rsidR="00D5248B">
        <w:rPr>
          <w:rFonts w:ascii="Times New Roman" w:hAnsi="Times New Roman" w:cs="Times New Roman"/>
          <w:sz w:val="24"/>
          <w:szCs w:val="24"/>
        </w:rPr>
        <w:t xml:space="preserve"> </w:t>
      </w:r>
    </w:p>
    <w:p w:rsidR="00D5248B" w:rsidRDefault="00D5248B" w:rsidP="00B23F19">
      <w:pPr>
        <w:spacing w:line="240" w:lineRule="auto"/>
        <w:rPr>
          <w:rFonts w:ascii="Times New Roman" w:eastAsia="Times New Roman" w:hAnsi="Times New Roman" w:cs="Times New Roman"/>
          <w:color w:val="000000" w:themeColor="text1"/>
          <w:sz w:val="24"/>
          <w:szCs w:val="24"/>
          <w:lang w:eastAsia="da-DK"/>
        </w:rPr>
      </w:pPr>
    </w:p>
    <w:p w:rsidR="00B23F19" w:rsidRDefault="00B23F19" w:rsidP="00B23F19">
      <w:pPr>
        <w:spacing w:line="240" w:lineRule="auto"/>
        <w:rPr>
          <w:rFonts w:ascii="Times New Roman" w:eastAsia="Times New Roman" w:hAnsi="Times New Roman" w:cs="Times New Roman"/>
          <w:color w:val="000000" w:themeColor="text1"/>
          <w:sz w:val="24"/>
          <w:szCs w:val="24"/>
          <w:lang w:eastAsia="da-DK"/>
        </w:rPr>
      </w:pPr>
      <w:r w:rsidRPr="005407F9">
        <w:rPr>
          <w:rFonts w:ascii="Times New Roman" w:eastAsia="Times New Roman" w:hAnsi="Times New Roman" w:cs="Times New Roman"/>
          <w:color w:val="000000" w:themeColor="text1"/>
          <w:sz w:val="24"/>
          <w:szCs w:val="24"/>
          <w:lang w:eastAsia="da-DK"/>
        </w:rPr>
        <w:t xml:space="preserve">I Danmark er </w:t>
      </w:r>
      <w:r>
        <w:rPr>
          <w:rFonts w:ascii="Times New Roman" w:eastAsia="Times New Roman" w:hAnsi="Times New Roman" w:cs="Times New Roman"/>
          <w:color w:val="000000" w:themeColor="text1"/>
          <w:sz w:val="24"/>
          <w:szCs w:val="24"/>
          <w:lang w:eastAsia="da-DK"/>
        </w:rPr>
        <w:t xml:space="preserve">de </w:t>
      </w:r>
      <w:r w:rsidRPr="005407F9">
        <w:rPr>
          <w:rFonts w:ascii="Times New Roman" w:eastAsia="Times New Roman" w:hAnsi="Times New Roman" w:cs="Times New Roman"/>
          <w:color w:val="000000" w:themeColor="text1"/>
          <w:sz w:val="24"/>
          <w:szCs w:val="24"/>
          <w:lang w:eastAsia="da-DK"/>
        </w:rPr>
        <w:t xml:space="preserve">tekniske krav </w:t>
      </w:r>
      <w:r w:rsidR="00FB32C0">
        <w:rPr>
          <w:rFonts w:ascii="Times New Roman" w:eastAsia="Times New Roman" w:hAnsi="Times New Roman" w:cs="Times New Roman"/>
          <w:color w:val="000000" w:themeColor="text1"/>
          <w:sz w:val="24"/>
          <w:szCs w:val="24"/>
          <w:lang w:eastAsia="da-DK"/>
        </w:rPr>
        <w:t>v</w:t>
      </w:r>
      <w:r>
        <w:rPr>
          <w:rFonts w:ascii="Times New Roman" w:eastAsia="Times New Roman" w:hAnsi="Times New Roman" w:cs="Times New Roman"/>
          <w:color w:val="000000" w:themeColor="text1"/>
          <w:sz w:val="24"/>
          <w:szCs w:val="24"/>
          <w:lang w:eastAsia="da-DK"/>
        </w:rPr>
        <w:t>edrørende</w:t>
      </w:r>
      <w:r w:rsidRPr="00037A6A">
        <w:rPr>
          <w:rFonts w:ascii="Times New Roman" w:hAnsi="Times New Roman" w:cs="Times New Roman"/>
          <w:sz w:val="24"/>
          <w:szCs w:val="24"/>
        </w:rPr>
        <w:t xml:space="preserve"> køretøjers støjniveau</w:t>
      </w:r>
      <w:r w:rsidRPr="005407F9">
        <w:rPr>
          <w:rFonts w:ascii="Times New Roman" w:eastAsia="Times New Roman" w:hAnsi="Times New Roman" w:cs="Times New Roman"/>
          <w:color w:val="000000" w:themeColor="text1"/>
          <w:sz w:val="24"/>
          <w:szCs w:val="24"/>
          <w:lang w:eastAsia="da-DK"/>
        </w:rPr>
        <w:t xml:space="preserve"> til ibrugtagne køretøjer dels fastsat i </w:t>
      </w:r>
      <w:r w:rsidR="008B6790">
        <w:rPr>
          <w:rFonts w:ascii="Times New Roman" w:eastAsia="Times New Roman" w:hAnsi="Times New Roman" w:cs="Times New Roman"/>
          <w:color w:val="000000" w:themeColor="text1"/>
          <w:sz w:val="24"/>
          <w:szCs w:val="24"/>
          <w:lang w:eastAsia="da-DK"/>
        </w:rPr>
        <w:t>bekendtgørelse nr. 154 af 20.</w:t>
      </w:r>
      <w:r>
        <w:rPr>
          <w:rFonts w:ascii="Times New Roman" w:eastAsia="Times New Roman" w:hAnsi="Times New Roman" w:cs="Times New Roman"/>
          <w:color w:val="000000" w:themeColor="text1"/>
          <w:sz w:val="24"/>
          <w:szCs w:val="24"/>
          <w:lang w:eastAsia="da-DK"/>
        </w:rPr>
        <w:t xml:space="preserve"> april </w:t>
      </w:r>
      <w:r w:rsidRPr="005407F9">
        <w:rPr>
          <w:rFonts w:ascii="Times New Roman" w:eastAsia="Times New Roman" w:hAnsi="Times New Roman" w:cs="Times New Roman"/>
          <w:color w:val="000000" w:themeColor="text1"/>
          <w:sz w:val="24"/>
          <w:szCs w:val="24"/>
          <w:lang w:eastAsia="da-DK"/>
        </w:rPr>
        <w:t xml:space="preserve">1977 om køretøjers indretning og udstyr m.v. </w:t>
      </w:r>
      <w:r>
        <w:rPr>
          <w:rFonts w:ascii="Times New Roman" w:eastAsia="Times New Roman" w:hAnsi="Times New Roman" w:cs="Times New Roman"/>
          <w:color w:val="000000" w:themeColor="text1"/>
          <w:sz w:val="24"/>
          <w:szCs w:val="24"/>
          <w:lang w:eastAsia="da-DK"/>
        </w:rPr>
        <w:t xml:space="preserve">med senere ændringer </w:t>
      </w:r>
      <w:r w:rsidRPr="005407F9">
        <w:rPr>
          <w:rFonts w:ascii="Times New Roman" w:eastAsia="Times New Roman" w:hAnsi="Times New Roman" w:cs="Times New Roman"/>
          <w:color w:val="000000" w:themeColor="text1"/>
          <w:sz w:val="24"/>
          <w:szCs w:val="24"/>
          <w:lang w:eastAsia="da-DK"/>
        </w:rPr>
        <w:t>(</w:t>
      </w:r>
      <w:r>
        <w:rPr>
          <w:rFonts w:ascii="Times New Roman" w:eastAsia="Times New Roman" w:hAnsi="Times New Roman" w:cs="Times New Roman"/>
          <w:color w:val="000000" w:themeColor="text1"/>
          <w:sz w:val="24"/>
          <w:szCs w:val="24"/>
          <w:lang w:eastAsia="da-DK"/>
        </w:rPr>
        <w:t>udstyrsbekendtgørelsen</w:t>
      </w:r>
      <w:r w:rsidRPr="005407F9">
        <w:rPr>
          <w:rFonts w:ascii="Times New Roman" w:eastAsia="Times New Roman" w:hAnsi="Times New Roman" w:cs="Times New Roman"/>
          <w:color w:val="000000" w:themeColor="text1"/>
          <w:sz w:val="24"/>
          <w:szCs w:val="24"/>
          <w:lang w:eastAsia="da-DK"/>
        </w:rPr>
        <w:t>) og dels i mere detaljeret grad</w:t>
      </w:r>
      <w:r>
        <w:rPr>
          <w:rFonts w:ascii="Times New Roman" w:eastAsia="Times New Roman" w:hAnsi="Times New Roman" w:cs="Times New Roman"/>
          <w:color w:val="000000" w:themeColor="text1"/>
          <w:sz w:val="24"/>
          <w:szCs w:val="24"/>
          <w:lang w:eastAsia="da-DK"/>
        </w:rPr>
        <w:t xml:space="preserve"> </w:t>
      </w:r>
      <w:r w:rsidRPr="005407F9">
        <w:rPr>
          <w:rFonts w:ascii="Times New Roman" w:eastAsia="Times New Roman" w:hAnsi="Times New Roman" w:cs="Times New Roman"/>
          <w:color w:val="000000" w:themeColor="text1"/>
          <w:sz w:val="24"/>
          <w:szCs w:val="24"/>
          <w:lang w:eastAsia="da-DK"/>
        </w:rPr>
        <w:t xml:space="preserve">i </w:t>
      </w:r>
      <w:r>
        <w:rPr>
          <w:rFonts w:ascii="Times New Roman" w:eastAsia="Times New Roman" w:hAnsi="Times New Roman" w:cs="Times New Roman"/>
          <w:color w:val="000000" w:themeColor="text1"/>
          <w:sz w:val="24"/>
          <w:szCs w:val="24"/>
          <w:lang w:eastAsia="da-DK"/>
        </w:rPr>
        <w:t>b</w:t>
      </w:r>
      <w:r w:rsidRPr="005407F9">
        <w:rPr>
          <w:rFonts w:ascii="Times New Roman" w:eastAsia="Times New Roman" w:hAnsi="Times New Roman" w:cs="Times New Roman"/>
          <w:color w:val="000000" w:themeColor="text1"/>
          <w:sz w:val="24"/>
          <w:szCs w:val="24"/>
          <w:lang w:eastAsia="da-DK"/>
        </w:rPr>
        <w:t>ekendtgørelse</w:t>
      </w:r>
      <w:r>
        <w:rPr>
          <w:rFonts w:ascii="Times New Roman" w:eastAsia="Times New Roman" w:hAnsi="Times New Roman" w:cs="Times New Roman"/>
          <w:color w:val="000000" w:themeColor="text1"/>
          <w:sz w:val="24"/>
          <w:szCs w:val="24"/>
          <w:lang w:eastAsia="da-DK"/>
        </w:rPr>
        <w:t xml:space="preserve"> nr. 1595 af 15. december 2016 </w:t>
      </w:r>
      <w:r w:rsidRPr="005407F9">
        <w:rPr>
          <w:rFonts w:ascii="Times New Roman" w:eastAsia="Times New Roman" w:hAnsi="Times New Roman" w:cs="Times New Roman"/>
          <w:color w:val="000000" w:themeColor="text1"/>
          <w:sz w:val="24"/>
          <w:szCs w:val="24"/>
          <w:lang w:eastAsia="da-DK"/>
        </w:rPr>
        <w:t>om detailforskrifter for køretøjers indretning og udstyr</w:t>
      </w:r>
      <w:r>
        <w:rPr>
          <w:rFonts w:ascii="Times New Roman" w:eastAsia="Times New Roman" w:hAnsi="Times New Roman" w:cs="Times New Roman"/>
          <w:color w:val="000000" w:themeColor="text1"/>
          <w:sz w:val="24"/>
          <w:szCs w:val="24"/>
          <w:lang w:eastAsia="da-DK"/>
        </w:rPr>
        <w:t xml:space="preserve"> (detailforskrifter for køretøjer)</w:t>
      </w:r>
      <w:r w:rsidRPr="005407F9">
        <w:rPr>
          <w:rFonts w:ascii="Times New Roman" w:eastAsia="Times New Roman" w:hAnsi="Times New Roman" w:cs="Times New Roman"/>
          <w:color w:val="000000" w:themeColor="text1"/>
          <w:sz w:val="24"/>
          <w:szCs w:val="24"/>
          <w:lang w:eastAsia="da-DK"/>
        </w:rPr>
        <w:t xml:space="preserve">. </w:t>
      </w:r>
      <w:r>
        <w:rPr>
          <w:rFonts w:ascii="Times New Roman" w:eastAsia="Times New Roman" w:hAnsi="Times New Roman" w:cs="Times New Roman"/>
          <w:color w:val="000000" w:themeColor="text1"/>
          <w:sz w:val="24"/>
          <w:szCs w:val="24"/>
          <w:lang w:eastAsia="da-DK"/>
        </w:rPr>
        <w:t>Detailforskrifterne for køretøjer ændres og tilpasse</w:t>
      </w:r>
      <w:r w:rsidR="008B6790">
        <w:rPr>
          <w:rFonts w:ascii="Times New Roman" w:eastAsia="Times New Roman" w:hAnsi="Times New Roman" w:cs="Times New Roman"/>
          <w:color w:val="000000" w:themeColor="text1"/>
          <w:sz w:val="24"/>
          <w:szCs w:val="24"/>
          <w:lang w:eastAsia="da-DK"/>
        </w:rPr>
        <w:t>s</w:t>
      </w:r>
      <w:r>
        <w:rPr>
          <w:rFonts w:ascii="Times New Roman" w:eastAsia="Times New Roman" w:hAnsi="Times New Roman" w:cs="Times New Roman"/>
          <w:color w:val="000000" w:themeColor="text1"/>
          <w:sz w:val="24"/>
          <w:szCs w:val="24"/>
          <w:lang w:eastAsia="da-DK"/>
        </w:rPr>
        <w:t xml:space="preserve"> løbende, og h</w:t>
      </w:r>
      <w:r w:rsidRPr="005407F9">
        <w:rPr>
          <w:rFonts w:ascii="Times New Roman" w:eastAsia="Times New Roman" w:hAnsi="Times New Roman" w:cs="Times New Roman"/>
          <w:color w:val="000000" w:themeColor="text1"/>
          <w:sz w:val="24"/>
          <w:szCs w:val="24"/>
          <w:lang w:eastAsia="da-DK"/>
        </w:rPr>
        <w:t xml:space="preserve">ver udgave er gældende for køretøjer som registreres, godkendes eller tages i brug første gang på ikrafttrædelsesdatoen </w:t>
      </w:r>
      <w:r>
        <w:rPr>
          <w:rFonts w:ascii="Times New Roman" w:eastAsia="Times New Roman" w:hAnsi="Times New Roman" w:cs="Times New Roman"/>
          <w:color w:val="000000" w:themeColor="text1"/>
          <w:sz w:val="24"/>
          <w:szCs w:val="24"/>
          <w:lang w:eastAsia="da-DK"/>
        </w:rPr>
        <w:t xml:space="preserve">for de ændrede detailforskrifter </w:t>
      </w:r>
      <w:r w:rsidRPr="005407F9">
        <w:rPr>
          <w:rFonts w:ascii="Times New Roman" w:eastAsia="Times New Roman" w:hAnsi="Times New Roman" w:cs="Times New Roman"/>
          <w:color w:val="000000" w:themeColor="text1"/>
          <w:sz w:val="24"/>
          <w:szCs w:val="24"/>
          <w:lang w:eastAsia="da-DK"/>
        </w:rPr>
        <w:t xml:space="preserve">eller senere, og gælder således også ibrugtagne køretøjer. </w:t>
      </w:r>
    </w:p>
    <w:p w:rsidR="00E51A0B" w:rsidRDefault="00E51A0B" w:rsidP="00E51A0B">
      <w:pPr>
        <w:spacing w:line="240" w:lineRule="auto"/>
        <w:rPr>
          <w:rFonts w:ascii="Times New Roman" w:hAnsi="Times New Roman" w:cs="Times New Roman"/>
          <w:sz w:val="24"/>
          <w:szCs w:val="24"/>
        </w:rPr>
      </w:pPr>
    </w:p>
    <w:p w:rsidR="00E51A0B" w:rsidRDefault="00E51A0B" w:rsidP="00E51A0B">
      <w:pPr>
        <w:spacing w:line="240" w:lineRule="auto"/>
        <w:rPr>
          <w:rFonts w:ascii="Times New Roman" w:hAnsi="Times New Roman" w:cs="Times New Roman"/>
          <w:sz w:val="24"/>
          <w:szCs w:val="24"/>
        </w:rPr>
      </w:pPr>
      <w:r>
        <w:rPr>
          <w:rFonts w:ascii="Times New Roman" w:hAnsi="Times New Roman" w:cs="Times New Roman"/>
          <w:sz w:val="24"/>
          <w:szCs w:val="24"/>
        </w:rPr>
        <w:t xml:space="preserve">Det følger </w:t>
      </w:r>
      <w:r w:rsidR="00FB32C0">
        <w:rPr>
          <w:rFonts w:ascii="Times New Roman" w:hAnsi="Times New Roman" w:cs="Times New Roman"/>
          <w:sz w:val="24"/>
          <w:szCs w:val="24"/>
        </w:rPr>
        <w:t xml:space="preserve">således </w:t>
      </w:r>
      <w:r>
        <w:rPr>
          <w:rFonts w:ascii="Times New Roman" w:hAnsi="Times New Roman" w:cs="Times New Roman"/>
          <w:sz w:val="24"/>
          <w:szCs w:val="24"/>
        </w:rPr>
        <w:t>af udstyrsbekendtgørelsens § 3, at</w:t>
      </w:r>
      <w:r w:rsidRPr="006F4584">
        <w:rPr>
          <w:rFonts w:ascii="Times New Roman" w:hAnsi="Times New Roman" w:cs="Times New Roman"/>
          <w:sz w:val="24"/>
          <w:szCs w:val="24"/>
        </w:rPr>
        <w:t xml:space="preserve"> ethvert køretøj </w:t>
      </w:r>
      <w:r w:rsidR="00E10F03">
        <w:rPr>
          <w:rFonts w:ascii="Times New Roman" w:hAnsi="Times New Roman" w:cs="Times New Roman"/>
          <w:sz w:val="24"/>
          <w:szCs w:val="24"/>
        </w:rPr>
        <w:t xml:space="preserve">skal </w:t>
      </w:r>
      <w:r w:rsidRPr="006F4584">
        <w:rPr>
          <w:rFonts w:ascii="Times New Roman" w:hAnsi="Times New Roman" w:cs="Times New Roman"/>
          <w:sz w:val="24"/>
          <w:szCs w:val="24"/>
        </w:rPr>
        <w:t>være således indrettet, at der ikke</w:t>
      </w:r>
      <w:r>
        <w:rPr>
          <w:rFonts w:ascii="Times New Roman" w:hAnsi="Times New Roman" w:cs="Times New Roman"/>
          <w:sz w:val="24"/>
          <w:szCs w:val="24"/>
        </w:rPr>
        <w:t xml:space="preserve"> udvikles unødig røg eller støj. I bilag 1 til detailforskrifter for køretøjer fremgår, at for </w:t>
      </w:r>
      <w:proofErr w:type="spellStart"/>
      <w:r>
        <w:rPr>
          <w:rFonts w:ascii="Times New Roman" w:hAnsi="Times New Roman" w:cs="Times New Roman"/>
          <w:sz w:val="24"/>
          <w:szCs w:val="24"/>
        </w:rPr>
        <w:t>ibrugværende</w:t>
      </w:r>
      <w:proofErr w:type="spellEnd"/>
      <w:r>
        <w:rPr>
          <w:rFonts w:ascii="Times New Roman" w:hAnsi="Times New Roman" w:cs="Times New Roman"/>
          <w:sz w:val="24"/>
          <w:szCs w:val="24"/>
        </w:rPr>
        <w:t xml:space="preserve"> biler, motorcykler og knallerter må støjniveauet ved en standstøjsmåling ikke overstige det ved første registrering målte standstøjstal med mere end 3 dB(A). Bestemmelse</w:t>
      </w:r>
      <w:r w:rsidR="00FB32C0">
        <w:rPr>
          <w:rFonts w:ascii="Times New Roman" w:hAnsi="Times New Roman" w:cs="Times New Roman"/>
          <w:sz w:val="24"/>
          <w:szCs w:val="24"/>
        </w:rPr>
        <w:t xml:space="preserve">rne er </w:t>
      </w:r>
      <w:r>
        <w:rPr>
          <w:rFonts w:ascii="Times New Roman" w:hAnsi="Times New Roman" w:cs="Times New Roman"/>
          <w:sz w:val="24"/>
          <w:szCs w:val="24"/>
        </w:rPr>
        <w:t>således lempeligere end de grænseværdier, som de EU-retlige typegodkendelsesregler fastsætter for nye køretøjer.</w:t>
      </w:r>
    </w:p>
    <w:p w:rsidR="00E51A0B" w:rsidRDefault="00E51A0B" w:rsidP="00E51A0B">
      <w:pPr>
        <w:spacing w:line="240" w:lineRule="auto"/>
        <w:rPr>
          <w:rFonts w:ascii="Times New Roman" w:hAnsi="Times New Roman" w:cs="Times New Roman"/>
          <w:color w:val="auto"/>
          <w:sz w:val="24"/>
          <w:szCs w:val="24"/>
        </w:rPr>
      </w:pPr>
    </w:p>
    <w:p w:rsidR="00E51A0B" w:rsidRDefault="00E51A0B" w:rsidP="00E51A0B">
      <w:pPr>
        <w:spacing w:line="240" w:lineRule="auto"/>
        <w:rPr>
          <w:rFonts w:ascii="Times New Roman" w:hAnsi="Times New Roman" w:cs="Times New Roman"/>
          <w:color w:val="auto"/>
          <w:sz w:val="24"/>
          <w:szCs w:val="24"/>
        </w:rPr>
      </w:pPr>
      <w:r w:rsidRPr="00941642">
        <w:rPr>
          <w:rFonts w:ascii="Times New Roman" w:hAnsi="Times New Roman" w:cs="Times New Roman"/>
          <w:color w:val="auto"/>
          <w:sz w:val="24"/>
          <w:szCs w:val="24"/>
        </w:rPr>
        <w:t>Hvis et motordrevet køretøj</w:t>
      </w:r>
      <w:r>
        <w:rPr>
          <w:rFonts w:ascii="Times New Roman" w:hAnsi="Times New Roman" w:cs="Times New Roman"/>
          <w:color w:val="auto"/>
          <w:sz w:val="24"/>
          <w:szCs w:val="24"/>
        </w:rPr>
        <w:t xml:space="preserve"> støjer mere end de for det pågældende køretøj gældende normer, </w:t>
      </w:r>
      <w:r w:rsidRPr="00941642">
        <w:rPr>
          <w:rFonts w:ascii="Times New Roman" w:hAnsi="Times New Roman" w:cs="Times New Roman"/>
          <w:color w:val="auto"/>
          <w:sz w:val="24"/>
          <w:szCs w:val="24"/>
        </w:rPr>
        <w:t>er køretøjet ikke i lovlig stand</w:t>
      </w:r>
      <w:r>
        <w:rPr>
          <w:rFonts w:ascii="Times New Roman" w:hAnsi="Times New Roman" w:cs="Times New Roman"/>
          <w:color w:val="auto"/>
          <w:sz w:val="24"/>
          <w:szCs w:val="24"/>
        </w:rPr>
        <w:t xml:space="preserve"> i henhold til færdselslovens § 67, stk. 2</w:t>
      </w:r>
      <w:r w:rsidRPr="00941642">
        <w:rPr>
          <w:rFonts w:ascii="Times New Roman" w:hAnsi="Times New Roman" w:cs="Times New Roman"/>
          <w:color w:val="auto"/>
          <w:sz w:val="24"/>
          <w:szCs w:val="24"/>
        </w:rPr>
        <w:t>. Overtrædelse af færdselslovens § 67, stk. 2, straffes i medfør af færd</w:t>
      </w:r>
      <w:r>
        <w:rPr>
          <w:rFonts w:ascii="Times New Roman" w:hAnsi="Times New Roman" w:cs="Times New Roman"/>
          <w:color w:val="auto"/>
          <w:sz w:val="24"/>
          <w:szCs w:val="24"/>
        </w:rPr>
        <w:t xml:space="preserve">selslovens § 118, stk. 1, nr. 1, jf. § 118 a, stk. 1, 1. pkt., med en </w:t>
      </w:r>
      <w:r w:rsidRPr="00D7234D">
        <w:rPr>
          <w:rFonts w:ascii="Times New Roman" w:hAnsi="Times New Roman" w:cs="Times New Roman"/>
          <w:color w:val="auto"/>
          <w:sz w:val="24"/>
          <w:szCs w:val="24"/>
        </w:rPr>
        <w:t>bøde på 1.000 kr.</w:t>
      </w:r>
    </w:p>
    <w:p w:rsidR="00E51A0B" w:rsidRDefault="00E51A0B" w:rsidP="00E51A0B">
      <w:pPr>
        <w:spacing w:line="240" w:lineRule="auto"/>
        <w:rPr>
          <w:rFonts w:ascii="Times New Roman" w:hAnsi="Times New Roman" w:cs="Times New Roman"/>
          <w:color w:val="auto"/>
          <w:sz w:val="24"/>
          <w:szCs w:val="24"/>
        </w:rPr>
      </w:pPr>
    </w:p>
    <w:p w:rsidR="00E51A0B" w:rsidRPr="00A56E19" w:rsidRDefault="00E51A0B" w:rsidP="00E51A0B">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Tekniske krav til udenlandske køretøjer som betingelse for brug på færdselslovens område er til dels reguleret i bekendtgørelse nr. 818 af 20. juni 2018 om registrering af køretøjer (registreringsbekendtgørelsen). Det følger således af registreringsbekendtgørelsens § 28, stk. 1, at et udenlandsk motorkøretøj</w:t>
      </w:r>
      <w:r w:rsidRPr="00A56E19">
        <w:rPr>
          <w:rFonts w:ascii="Times New Roman" w:eastAsia="Times New Roman" w:hAnsi="Times New Roman" w:cs="Times New Roman"/>
          <w:color w:val="auto"/>
          <w:sz w:val="24"/>
          <w:szCs w:val="24"/>
          <w:lang w:eastAsia="da-DK"/>
        </w:rPr>
        <w:t xml:space="preserve"> eller et udenlandsk påhængskøretøj til et motorkøretøj må bruges på færdselslovens område, hvis køretøjet som minimum opfylder de tekniske krav, der følger af Wienerkonventionen, ann</w:t>
      </w:r>
      <w:r>
        <w:rPr>
          <w:rFonts w:ascii="Times New Roman" w:eastAsia="Times New Roman" w:hAnsi="Times New Roman" w:cs="Times New Roman"/>
          <w:color w:val="auto"/>
          <w:sz w:val="24"/>
          <w:szCs w:val="24"/>
          <w:lang w:eastAsia="da-DK"/>
        </w:rPr>
        <w:t>eks 5, og reglerne i registreringsbekendtgørelsens kapitel 7</w:t>
      </w:r>
      <w:r w:rsidRPr="00A56E19">
        <w:rPr>
          <w:rFonts w:ascii="Times New Roman" w:eastAsia="Times New Roman" w:hAnsi="Times New Roman" w:cs="Times New Roman"/>
          <w:color w:val="auto"/>
          <w:sz w:val="24"/>
          <w:szCs w:val="24"/>
          <w:lang w:eastAsia="da-DK"/>
        </w:rPr>
        <w:t>.</w:t>
      </w:r>
    </w:p>
    <w:p w:rsidR="00E51A0B" w:rsidRPr="00A56E19" w:rsidRDefault="00E51A0B" w:rsidP="00E51A0B">
      <w:pPr>
        <w:spacing w:line="240" w:lineRule="auto"/>
        <w:rPr>
          <w:rFonts w:ascii="Times New Roman" w:eastAsia="Times New Roman" w:hAnsi="Times New Roman" w:cs="Times New Roman"/>
          <w:color w:val="auto"/>
          <w:sz w:val="24"/>
          <w:szCs w:val="24"/>
          <w:lang w:eastAsia="da-DK"/>
        </w:rPr>
      </w:pPr>
    </w:p>
    <w:p w:rsidR="00E51A0B" w:rsidRDefault="00E51A0B" w:rsidP="00E51A0B">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Endvidere følger det af § 28, stk. 2, at hvis </w:t>
      </w:r>
      <w:r w:rsidRPr="00A56E19">
        <w:rPr>
          <w:rFonts w:ascii="Times New Roman" w:eastAsia="Times New Roman" w:hAnsi="Times New Roman" w:cs="Times New Roman"/>
          <w:color w:val="auto"/>
          <w:sz w:val="24"/>
          <w:szCs w:val="24"/>
          <w:lang w:eastAsia="da-DK"/>
        </w:rPr>
        <w:t xml:space="preserve">køretøjets ejer eller bruger </w:t>
      </w:r>
      <w:r>
        <w:rPr>
          <w:rFonts w:ascii="Times New Roman" w:eastAsia="Times New Roman" w:hAnsi="Times New Roman" w:cs="Times New Roman"/>
          <w:color w:val="auto"/>
          <w:sz w:val="24"/>
          <w:szCs w:val="24"/>
          <w:lang w:eastAsia="da-DK"/>
        </w:rPr>
        <w:t xml:space="preserve">har </w:t>
      </w:r>
      <w:r w:rsidRPr="00A56E19">
        <w:rPr>
          <w:rFonts w:ascii="Times New Roman" w:eastAsia="Times New Roman" w:hAnsi="Times New Roman" w:cs="Times New Roman"/>
          <w:color w:val="auto"/>
          <w:sz w:val="24"/>
          <w:szCs w:val="24"/>
          <w:lang w:eastAsia="da-DK"/>
        </w:rPr>
        <w:t xml:space="preserve">bopæl eller hjemsted i en stat, der ikke har ratificeret Wienerkonventionen, skal køretøjet som minimum opfylde de tekniske krav, der følger af den internationale færdselskonvention af 19. december 1949, jf. bekendtgørelse nr. 7 af 2. marts 1956, og </w:t>
      </w:r>
      <w:r>
        <w:rPr>
          <w:rFonts w:ascii="Times New Roman" w:eastAsia="Times New Roman" w:hAnsi="Times New Roman" w:cs="Times New Roman"/>
          <w:color w:val="auto"/>
          <w:sz w:val="24"/>
          <w:szCs w:val="24"/>
          <w:lang w:eastAsia="da-DK"/>
        </w:rPr>
        <w:t>de øvrige regler i registreringsbekendtgørelsens kapitel 7</w:t>
      </w:r>
      <w:r w:rsidRPr="00A56E19">
        <w:rPr>
          <w:rFonts w:ascii="Times New Roman" w:eastAsia="Times New Roman" w:hAnsi="Times New Roman" w:cs="Times New Roman"/>
          <w:color w:val="auto"/>
          <w:sz w:val="24"/>
          <w:szCs w:val="24"/>
          <w:lang w:eastAsia="da-DK"/>
        </w:rPr>
        <w:t>.</w:t>
      </w:r>
    </w:p>
    <w:p w:rsidR="00E51A0B" w:rsidRPr="00A56E19" w:rsidRDefault="00E51A0B" w:rsidP="00E51A0B">
      <w:pPr>
        <w:spacing w:line="240" w:lineRule="auto"/>
        <w:rPr>
          <w:rFonts w:ascii="Times New Roman" w:eastAsia="Times New Roman" w:hAnsi="Times New Roman" w:cs="Times New Roman"/>
          <w:color w:val="auto"/>
          <w:sz w:val="24"/>
          <w:szCs w:val="24"/>
          <w:lang w:eastAsia="da-DK"/>
        </w:rPr>
      </w:pPr>
    </w:p>
    <w:p w:rsidR="00E51A0B" w:rsidRDefault="00E51A0B" w:rsidP="00E51A0B">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Ifølge registreringsbekendtgørelsens § 28, stk.</w:t>
      </w:r>
      <w:r w:rsidRPr="00A56E19">
        <w:rPr>
          <w:rFonts w:ascii="Times New Roman" w:eastAsia="Times New Roman" w:hAnsi="Times New Roman" w:cs="Times New Roman"/>
          <w:color w:val="auto"/>
          <w:sz w:val="24"/>
          <w:szCs w:val="24"/>
          <w:lang w:eastAsia="da-DK"/>
        </w:rPr>
        <w:t xml:space="preserve"> 3</w:t>
      </w:r>
      <w:r>
        <w:rPr>
          <w:rFonts w:ascii="Times New Roman" w:eastAsia="Times New Roman" w:hAnsi="Times New Roman" w:cs="Times New Roman"/>
          <w:color w:val="auto"/>
          <w:sz w:val="24"/>
          <w:szCs w:val="24"/>
          <w:lang w:eastAsia="da-DK"/>
        </w:rPr>
        <w:t>, kan d</w:t>
      </w:r>
      <w:r w:rsidRPr="00A56E19">
        <w:rPr>
          <w:rFonts w:ascii="Times New Roman" w:eastAsia="Times New Roman" w:hAnsi="Times New Roman" w:cs="Times New Roman"/>
          <w:color w:val="auto"/>
          <w:sz w:val="24"/>
          <w:szCs w:val="24"/>
          <w:lang w:eastAsia="da-DK"/>
        </w:rPr>
        <w:t>er i anden lovgivning m.v.</w:t>
      </w:r>
      <w:r>
        <w:rPr>
          <w:rFonts w:ascii="Times New Roman" w:eastAsia="Times New Roman" w:hAnsi="Times New Roman" w:cs="Times New Roman"/>
          <w:color w:val="auto"/>
          <w:sz w:val="24"/>
          <w:szCs w:val="24"/>
          <w:lang w:eastAsia="da-DK"/>
        </w:rPr>
        <w:t xml:space="preserve"> </w:t>
      </w:r>
      <w:r w:rsidRPr="00A56E19">
        <w:rPr>
          <w:rFonts w:ascii="Times New Roman" w:eastAsia="Times New Roman" w:hAnsi="Times New Roman" w:cs="Times New Roman"/>
          <w:color w:val="auto"/>
          <w:sz w:val="24"/>
          <w:szCs w:val="24"/>
          <w:lang w:eastAsia="da-DK"/>
        </w:rPr>
        <w:t>være fastsat tekniske krav, der skal være opfyldt, før et udenlandsk køretøj må tages i brug på færdselslovens område.</w:t>
      </w:r>
      <w:r w:rsidR="00977AE7">
        <w:rPr>
          <w:rFonts w:ascii="Times New Roman" w:eastAsia="Times New Roman" w:hAnsi="Times New Roman" w:cs="Times New Roman"/>
          <w:color w:val="auto"/>
          <w:sz w:val="24"/>
          <w:szCs w:val="24"/>
          <w:lang w:eastAsia="da-DK"/>
        </w:rPr>
        <w:t xml:space="preserve"> </w:t>
      </w:r>
    </w:p>
    <w:p w:rsidR="00E51A0B" w:rsidRDefault="00E51A0B" w:rsidP="00E51A0B">
      <w:pPr>
        <w:spacing w:line="240" w:lineRule="auto"/>
        <w:rPr>
          <w:rFonts w:ascii="Times New Roman" w:eastAsia="Times New Roman" w:hAnsi="Times New Roman" w:cs="Times New Roman"/>
          <w:color w:val="auto"/>
          <w:sz w:val="24"/>
          <w:szCs w:val="24"/>
          <w:lang w:eastAsia="da-DK"/>
        </w:rPr>
      </w:pPr>
    </w:p>
    <w:p w:rsidR="00E51A0B" w:rsidRDefault="00E51A0B" w:rsidP="00E51A0B">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Det betyder, at hvis der i anden lovgivning m.v. er fastsat andre køretøjstekniske krav til udenlandske køretøjer, så er det de krav, som de udenlandske køretøjer skal leve op til, og ikke blot reglerne i Wienerkonventionen, der typisk har en mere overordnet karakter uden specifikke tekniske krav.</w:t>
      </w:r>
    </w:p>
    <w:p w:rsidR="00E51A0B" w:rsidRDefault="00E51A0B" w:rsidP="00E51A0B">
      <w:pPr>
        <w:spacing w:line="240" w:lineRule="auto"/>
        <w:rPr>
          <w:rFonts w:ascii="Times New Roman" w:eastAsia="Times New Roman" w:hAnsi="Times New Roman" w:cs="Times New Roman"/>
          <w:color w:val="auto"/>
          <w:sz w:val="24"/>
          <w:szCs w:val="24"/>
          <w:lang w:eastAsia="da-DK"/>
        </w:rPr>
      </w:pPr>
    </w:p>
    <w:p w:rsidR="00E51A0B" w:rsidRDefault="00D5248B" w:rsidP="00E51A0B">
      <w:pPr>
        <w:pStyle w:val="stk"/>
        <w:ind w:firstLine="0"/>
        <w:rPr>
          <w:rFonts w:ascii="Times New Roman" w:hAnsi="Times New Roman" w:cs="Times New Roman"/>
          <w:color w:val="auto"/>
        </w:rPr>
      </w:pPr>
      <w:r>
        <w:rPr>
          <w:rFonts w:ascii="Times New Roman" w:hAnsi="Times New Roman" w:cs="Times New Roman"/>
          <w:color w:val="auto"/>
        </w:rPr>
        <w:t xml:space="preserve">Reglerne om tekniske krav til udenlandske køretøjer var tidligere fastsat i færdselsloven og regler udstedt i medfør af færdselsloven. Disse blev dog ved en ressortomlægning overført til Skatteministeriet i 2006. </w:t>
      </w:r>
      <w:r w:rsidR="001C3D39">
        <w:rPr>
          <w:rFonts w:ascii="Times New Roman" w:hAnsi="Times New Roman" w:cs="Times New Roman"/>
          <w:color w:val="auto"/>
        </w:rPr>
        <w:t xml:space="preserve">Udtrykket ”anden lovgivning m.v.” kan </w:t>
      </w:r>
      <w:r>
        <w:rPr>
          <w:rFonts w:ascii="Times New Roman" w:hAnsi="Times New Roman" w:cs="Times New Roman"/>
          <w:color w:val="auto"/>
        </w:rPr>
        <w:t>derfor</w:t>
      </w:r>
      <w:r w:rsidR="001C3D39">
        <w:rPr>
          <w:rFonts w:ascii="Times New Roman" w:hAnsi="Times New Roman" w:cs="Times New Roman"/>
          <w:color w:val="auto"/>
        </w:rPr>
        <w:t xml:space="preserve"> ikke forstås som regler i </w:t>
      </w:r>
      <w:r w:rsidR="001C3D39">
        <w:rPr>
          <w:rFonts w:ascii="Times New Roman" w:hAnsi="Times New Roman" w:cs="Times New Roman"/>
          <w:color w:val="auto"/>
        </w:rPr>
        <w:lastRenderedPageBreak/>
        <w:t xml:space="preserve">færdselsloven eller regler fastsat med hjemmel i færdselsloven. </w:t>
      </w:r>
      <w:r w:rsidR="00E51A0B">
        <w:rPr>
          <w:rFonts w:ascii="Times New Roman" w:hAnsi="Times New Roman" w:cs="Times New Roman"/>
          <w:color w:val="auto"/>
        </w:rPr>
        <w:t>Da reglerne for, hvor meget ibrugtagne køretøjer må støje, er fastsat ved særlige nationale regler i</w:t>
      </w:r>
      <w:r w:rsidR="00977AE7">
        <w:rPr>
          <w:rFonts w:ascii="Times New Roman" w:hAnsi="Times New Roman" w:cs="Times New Roman"/>
          <w:color w:val="auto"/>
        </w:rPr>
        <w:t xml:space="preserve"> udstyrsbekendtgørelsen og</w:t>
      </w:r>
      <w:r w:rsidR="00E51A0B">
        <w:rPr>
          <w:rFonts w:ascii="Times New Roman" w:hAnsi="Times New Roman" w:cs="Times New Roman"/>
          <w:color w:val="auto"/>
        </w:rPr>
        <w:t xml:space="preserve"> detailforskrifterne</w:t>
      </w:r>
      <w:r w:rsidR="00B23F19">
        <w:rPr>
          <w:rFonts w:ascii="Times New Roman" w:hAnsi="Times New Roman" w:cs="Times New Roman"/>
          <w:color w:val="auto"/>
        </w:rPr>
        <w:t xml:space="preserve"> for køretøjer</w:t>
      </w:r>
      <w:r w:rsidR="00E51A0B">
        <w:rPr>
          <w:rFonts w:ascii="Times New Roman" w:hAnsi="Times New Roman" w:cs="Times New Roman"/>
          <w:color w:val="auto"/>
        </w:rPr>
        <w:t xml:space="preserve">, </w:t>
      </w:r>
      <w:r w:rsidR="00977AE7">
        <w:rPr>
          <w:rFonts w:ascii="Times New Roman" w:hAnsi="Times New Roman" w:cs="Times New Roman"/>
          <w:color w:val="auto"/>
        </w:rPr>
        <w:t xml:space="preserve">der </w:t>
      </w:r>
      <w:r w:rsidR="00FB32C0">
        <w:rPr>
          <w:rFonts w:ascii="Times New Roman" w:hAnsi="Times New Roman" w:cs="Times New Roman"/>
          <w:color w:val="auto"/>
        </w:rPr>
        <w:t xml:space="preserve">begge </w:t>
      </w:r>
      <w:r w:rsidR="00977AE7">
        <w:rPr>
          <w:rFonts w:ascii="Times New Roman" w:hAnsi="Times New Roman" w:cs="Times New Roman"/>
          <w:color w:val="auto"/>
        </w:rPr>
        <w:t xml:space="preserve">er udstedt med hjemmel i færdselslovens § 68, stk. 1, </w:t>
      </w:r>
      <w:r w:rsidR="00756917">
        <w:rPr>
          <w:rFonts w:ascii="Times New Roman" w:hAnsi="Times New Roman" w:cs="Times New Roman"/>
          <w:color w:val="auto"/>
        </w:rPr>
        <w:t>skal s</w:t>
      </w:r>
      <w:r w:rsidR="00E51A0B">
        <w:rPr>
          <w:rFonts w:ascii="Times New Roman" w:hAnsi="Times New Roman" w:cs="Times New Roman"/>
          <w:color w:val="auto"/>
        </w:rPr>
        <w:t>pørgsmålet om udenlandske køretøjers støj</w:t>
      </w:r>
      <w:r w:rsidR="00756917">
        <w:rPr>
          <w:rFonts w:ascii="Times New Roman" w:hAnsi="Times New Roman" w:cs="Times New Roman"/>
          <w:color w:val="auto"/>
        </w:rPr>
        <w:t>afgivelse</w:t>
      </w:r>
      <w:r w:rsidR="00E51A0B">
        <w:rPr>
          <w:rFonts w:ascii="Times New Roman" w:hAnsi="Times New Roman" w:cs="Times New Roman"/>
          <w:color w:val="auto"/>
        </w:rPr>
        <w:t>, herunder køretøjer hje</w:t>
      </w:r>
      <w:r w:rsidR="00756917">
        <w:rPr>
          <w:rFonts w:ascii="Times New Roman" w:hAnsi="Times New Roman" w:cs="Times New Roman"/>
          <w:color w:val="auto"/>
        </w:rPr>
        <w:t xml:space="preserve">mmehørende i EU eller EØS, </w:t>
      </w:r>
      <w:r w:rsidR="00E51A0B">
        <w:rPr>
          <w:rFonts w:ascii="Times New Roman" w:hAnsi="Times New Roman" w:cs="Times New Roman"/>
          <w:color w:val="auto"/>
        </w:rPr>
        <w:t xml:space="preserve">således afgøres </w:t>
      </w:r>
      <w:r w:rsidR="00FB32C0">
        <w:rPr>
          <w:rFonts w:ascii="Times New Roman" w:hAnsi="Times New Roman" w:cs="Times New Roman"/>
          <w:color w:val="auto"/>
        </w:rPr>
        <w:t xml:space="preserve">og sanktioneres </w:t>
      </w:r>
      <w:r w:rsidR="00E51A0B">
        <w:rPr>
          <w:rFonts w:ascii="Times New Roman" w:hAnsi="Times New Roman" w:cs="Times New Roman"/>
          <w:color w:val="auto"/>
        </w:rPr>
        <w:t xml:space="preserve">efter registreringsbekendtgørelsens regler. Dette indebærer, at </w:t>
      </w:r>
      <w:r w:rsidR="00FA16CC">
        <w:rPr>
          <w:rFonts w:ascii="Times New Roman" w:hAnsi="Times New Roman" w:cs="Times New Roman"/>
          <w:color w:val="auto"/>
        </w:rPr>
        <w:t>udenlandske køretøjer</w:t>
      </w:r>
      <w:r w:rsidR="00E51A0B">
        <w:rPr>
          <w:rFonts w:ascii="Times New Roman" w:hAnsi="Times New Roman" w:cs="Times New Roman"/>
          <w:color w:val="auto"/>
        </w:rPr>
        <w:t xml:space="preserve"> skal overholde Wienerkonventionens støjkrav, der indeholder det mere generelle krav, at køretøjet ikke må udlede unødigt støj.</w:t>
      </w:r>
      <w:r w:rsidR="00756917">
        <w:rPr>
          <w:rFonts w:ascii="Times New Roman" w:hAnsi="Times New Roman" w:cs="Times New Roman"/>
          <w:color w:val="auto"/>
        </w:rPr>
        <w:t xml:space="preserve"> </w:t>
      </w:r>
    </w:p>
    <w:p w:rsidR="00E51A0B" w:rsidRDefault="00E51A0B" w:rsidP="00E51A0B">
      <w:pPr>
        <w:pStyle w:val="stk"/>
        <w:ind w:firstLine="0"/>
        <w:rPr>
          <w:rFonts w:ascii="Times New Roman" w:hAnsi="Times New Roman" w:cs="Times New Roman"/>
          <w:color w:val="auto"/>
        </w:rPr>
      </w:pPr>
    </w:p>
    <w:p w:rsidR="00E51A0B" w:rsidRPr="00A56E19" w:rsidRDefault="00E51A0B" w:rsidP="00E51A0B">
      <w:pPr>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Overtrædelse af registreringsbekendtgørelsens § 28, stk. 1og 2, straffes med bøde, jf. bekendtgørelsens § 111, stk. 3.</w:t>
      </w:r>
    </w:p>
    <w:p w:rsidR="00E51A0B" w:rsidRPr="00894519" w:rsidRDefault="00E51A0B" w:rsidP="00E51A0B">
      <w:pPr>
        <w:spacing w:line="240" w:lineRule="auto"/>
        <w:rPr>
          <w:rFonts w:ascii="Times New Roman" w:eastAsia="Times New Roman" w:hAnsi="Times New Roman" w:cs="Times New Roman"/>
          <w:i/>
          <w:color w:val="auto"/>
          <w:sz w:val="24"/>
          <w:szCs w:val="24"/>
          <w:lang w:eastAsia="da-DK"/>
        </w:rPr>
      </w:pPr>
    </w:p>
    <w:p w:rsidR="00E51A0B" w:rsidRDefault="00E51A0B" w:rsidP="00E51A0B">
      <w:pPr>
        <w:spacing w:line="240" w:lineRule="auto"/>
        <w:rPr>
          <w:rFonts w:ascii="Times New Roman" w:eastAsia="Times New Roman" w:hAnsi="Times New Roman" w:cs="Times New Roman"/>
          <w:i/>
          <w:color w:val="auto"/>
          <w:sz w:val="24"/>
          <w:szCs w:val="24"/>
          <w:lang w:eastAsia="da-DK"/>
        </w:rPr>
      </w:pPr>
      <w:r>
        <w:rPr>
          <w:rFonts w:ascii="Times New Roman" w:eastAsia="Times New Roman" w:hAnsi="Times New Roman" w:cs="Times New Roman"/>
          <w:i/>
          <w:color w:val="auto"/>
          <w:sz w:val="24"/>
          <w:szCs w:val="24"/>
          <w:lang w:eastAsia="da-DK"/>
        </w:rPr>
        <w:t>2.2</w:t>
      </w:r>
      <w:r w:rsidRPr="00894519">
        <w:rPr>
          <w:rFonts w:ascii="Times New Roman" w:eastAsia="Times New Roman" w:hAnsi="Times New Roman" w:cs="Times New Roman"/>
          <w:i/>
          <w:color w:val="auto"/>
          <w:sz w:val="24"/>
          <w:szCs w:val="24"/>
          <w:lang w:eastAsia="da-DK"/>
        </w:rPr>
        <w:t>.2. Transport</w:t>
      </w:r>
      <w:r>
        <w:rPr>
          <w:rFonts w:ascii="Times New Roman" w:eastAsia="Times New Roman" w:hAnsi="Times New Roman" w:cs="Times New Roman"/>
          <w:i/>
          <w:color w:val="auto"/>
          <w:sz w:val="24"/>
          <w:szCs w:val="24"/>
          <w:lang w:eastAsia="da-DK"/>
        </w:rPr>
        <w:t>-, Bygnings- og Bolig</w:t>
      </w:r>
      <w:r w:rsidRPr="00894519">
        <w:rPr>
          <w:rFonts w:ascii="Times New Roman" w:eastAsia="Times New Roman" w:hAnsi="Times New Roman" w:cs="Times New Roman"/>
          <w:i/>
          <w:color w:val="auto"/>
          <w:sz w:val="24"/>
          <w:szCs w:val="24"/>
          <w:lang w:eastAsia="da-DK"/>
        </w:rPr>
        <w:t>ministeriets overvejelser</w:t>
      </w:r>
      <w:r>
        <w:rPr>
          <w:rFonts w:ascii="Times New Roman" w:eastAsia="Times New Roman" w:hAnsi="Times New Roman" w:cs="Times New Roman"/>
          <w:i/>
          <w:color w:val="auto"/>
          <w:sz w:val="24"/>
          <w:szCs w:val="24"/>
          <w:lang w:eastAsia="da-DK"/>
        </w:rPr>
        <w:t xml:space="preserve"> og den foreslåede ordning</w:t>
      </w:r>
    </w:p>
    <w:p w:rsidR="00DF39B1" w:rsidRDefault="00DF39B1" w:rsidP="00E51A0B">
      <w:pPr>
        <w:spacing w:line="240" w:lineRule="auto"/>
        <w:rPr>
          <w:rFonts w:ascii="Times New Roman" w:eastAsia="Times New Roman" w:hAnsi="Times New Roman" w:cs="Times New Roman"/>
          <w:i/>
          <w:color w:val="auto"/>
          <w:sz w:val="24"/>
          <w:szCs w:val="24"/>
          <w:lang w:eastAsia="da-DK"/>
        </w:rPr>
      </w:pPr>
    </w:p>
    <w:p w:rsidR="00DE30DF" w:rsidRDefault="00DE30DF" w:rsidP="00DF39B1">
      <w:pPr>
        <w:pStyle w:val="Normal-medluft"/>
        <w:rPr>
          <w:rFonts w:ascii="Times New Roman" w:hAnsi="Times New Roman"/>
          <w:sz w:val="24"/>
          <w:szCs w:val="24"/>
        </w:rPr>
      </w:pPr>
      <w:r>
        <w:rPr>
          <w:rFonts w:ascii="Times New Roman" w:hAnsi="Times New Roman"/>
          <w:sz w:val="24"/>
          <w:szCs w:val="24"/>
        </w:rPr>
        <w:t xml:space="preserve">Ulovlig støj fra </w:t>
      </w:r>
      <w:r w:rsidR="008F3A8D">
        <w:rPr>
          <w:rFonts w:ascii="Times New Roman" w:hAnsi="Times New Roman"/>
          <w:sz w:val="24"/>
          <w:szCs w:val="24"/>
        </w:rPr>
        <w:t xml:space="preserve">motordrevne køretøjer, herunder navnlig </w:t>
      </w:r>
      <w:r>
        <w:rPr>
          <w:rFonts w:ascii="Times New Roman" w:hAnsi="Times New Roman"/>
          <w:sz w:val="24"/>
          <w:szCs w:val="24"/>
        </w:rPr>
        <w:t>motorcykler</w:t>
      </w:r>
      <w:r w:rsidR="008F3A8D">
        <w:rPr>
          <w:rFonts w:ascii="Times New Roman" w:hAnsi="Times New Roman"/>
          <w:sz w:val="24"/>
          <w:szCs w:val="24"/>
        </w:rPr>
        <w:t>,</w:t>
      </w:r>
      <w:r>
        <w:rPr>
          <w:rFonts w:ascii="Times New Roman" w:hAnsi="Times New Roman"/>
          <w:sz w:val="24"/>
          <w:szCs w:val="24"/>
        </w:rPr>
        <w:t xml:space="preserve"> er et problem, der særligt gør sig gældende i sommerhalvåret. Motorcykler, der er konstruktivt ændrede til at frembringe støj, eller betjenes således, at de støjer unødigt, er til stor gene for omgivelserne.</w:t>
      </w:r>
    </w:p>
    <w:p w:rsidR="00DF39B1" w:rsidRDefault="00DF39B1" w:rsidP="00DF39B1">
      <w:pPr>
        <w:pStyle w:val="Fodnotetekst"/>
        <w:rPr>
          <w:rFonts w:ascii="Times New Roman" w:hAnsi="Times New Roman"/>
          <w:sz w:val="24"/>
          <w:szCs w:val="24"/>
        </w:rPr>
      </w:pPr>
      <w:r>
        <w:rPr>
          <w:rFonts w:ascii="Times New Roman" w:hAnsi="Times New Roman"/>
          <w:sz w:val="24"/>
          <w:szCs w:val="24"/>
        </w:rPr>
        <w:t>Motorcykler er i Danmark ikke underlagt kravet om periodisk syn. Transport-, Bygnings- og Boligministeriet har derfor overvejet, om problemet med ulovlig støj fra motorcykler kan afhjælpes ved at indføre periodisk syn af motorcykler, da der derved vil ske en regelmæssig kontrol af blandt andet udstødningen. Det er dog Transport-, Bygnings- og Boligministeriet vurdering, at indførelse af periodisk syn vil have en meget begrænset effekt, idet de konstruktive ændringer af motorcyklens udstødning er nemme at fjerne og påføre før og efter et syn. Som middel til bekæmpelse af støj som følge af forkert betjening af køretøjet, vil periodisk syn selvsagt ikke have nogen betydning.</w:t>
      </w:r>
      <w:r w:rsidR="008F3A8D" w:rsidRPr="008F3A8D">
        <w:rPr>
          <w:rFonts w:ascii="Times New Roman" w:hAnsi="Times New Roman"/>
          <w:sz w:val="24"/>
          <w:szCs w:val="24"/>
        </w:rPr>
        <w:t xml:space="preserve"> </w:t>
      </w:r>
      <w:r w:rsidR="008F3A8D">
        <w:rPr>
          <w:rFonts w:ascii="Times New Roman" w:hAnsi="Times New Roman"/>
          <w:sz w:val="24"/>
          <w:szCs w:val="24"/>
        </w:rPr>
        <w:t>Transport-, Bygnings- og Boligministeriet finder derfor ikke, at der skal indføres periodisk syn af motorcykler.</w:t>
      </w:r>
    </w:p>
    <w:p w:rsidR="00DF39B1" w:rsidRDefault="00DF39B1" w:rsidP="00DF39B1">
      <w:pPr>
        <w:pStyle w:val="Fodnotetekst"/>
        <w:rPr>
          <w:rFonts w:ascii="Times New Roman" w:hAnsi="Times New Roman"/>
          <w:sz w:val="24"/>
          <w:szCs w:val="24"/>
        </w:rPr>
      </w:pPr>
    </w:p>
    <w:p w:rsid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 xml:space="preserve">Transport-, Bygnings- og Boligministeriet har i overvejelserne om den foreslåede ordning været opmærksom på, at det som oftest er vanskeligt at kontrollere, om køretøjer er i en sådan ulovlig stand, at de afgiver unødig støj. Kontrollen med motorcyklers (og andre køretøjers) støjniveau foretages dels i forbindelse med den almindelige patruljering, hvor køretøjet standses med henblik på kontrol, dels i forbindelse med særlige målrettede kontroller, eksempelvis ved motorcykeltræf. </w:t>
      </w:r>
      <w:r w:rsidR="00A24390">
        <w:rPr>
          <w:rFonts w:ascii="Times New Roman" w:hAnsi="Times New Roman" w:cs="Times New Roman"/>
          <w:sz w:val="24"/>
          <w:szCs w:val="24"/>
        </w:rPr>
        <w:t>I</w:t>
      </w:r>
      <w:r w:rsidR="008F3A8D">
        <w:rPr>
          <w:rFonts w:ascii="Times New Roman" w:hAnsi="Times New Roman" w:cs="Times New Roman"/>
          <w:sz w:val="24"/>
          <w:szCs w:val="24"/>
        </w:rPr>
        <w:t xml:space="preserve"> forbindelse med den almindelige patruljering </w:t>
      </w:r>
      <w:r>
        <w:rPr>
          <w:rFonts w:ascii="Times New Roman" w:hAnsi="Times New Roman" w:cs="Times New Roman"/>
          <w:sz w:val="24"/>
          <w:szCs w:val="24"/>
        </w:rPr>
        <w:t>standser politiet</w:t>
      </w:r>
      <w:r w:rsidR="00A24390">
        <w:rPr>
          <w:rFonts w:ascii="Times New Roman" w:hAnsi="Times New Roman" w:cs="Times New Roman"/>
          <w:sz w:val="24"/>
          <w:szCs w:val="24"/>
        </w:rPr>
        <w:t xml:space="preserve"> endvidere</w:t>
      </w:r>
      <w:r>
        <w:rPr>
          <w:rFonts w:ascii="Times New Roman" w:hAnsi="Times New Roman" w:cs="Times New Roman"/>
          <w:sz w:val="24"/>
          <w:szCs w:val="24"/>
        </w:rPr>
        <w:t xml:space="preserve"> jævnligt køretøjer, der betjenes på en måde</w:t>
      </w:r>
      <w:r w:rsidR="008F3A8D">
        <w:rPr>
          <w:rFonts w:ascii="Times New Roman" w:hAnsi="Times New Roman" w:cs="Times New Roman"/>
          <w:sz w:val="24"/>
          <w:szCs w:val="24"/>
        </w:rPr>
        <w:t>, så de afgiver unødig støj</w:t>
      </w:r>
      <w:r>
        <w:rPr>
          <w:rFonts w:ascii="Times New Roman" w:hAnsi="Times New Roman" w:cs="Times New Roman"/>
          <w:sz w:val="24"/>
          <w:szCs w:val="24"/>
        </w:rPr>
        <w:t xml:space="preserve">, hvilket er en overtrædelse af </w:t>
      </w:r>
      <w:r w:rsidR="00A24390">
        <w:rPr>
          <w:rFonts w:ascii="Times New Roman" w:hAnsi="Times New Roman" w:cs="Times New Roman"/>
          <w:sz w:val="24"/>
          <w:szCs w:val="24"/>
        </w:rPr>
        <w:t xml:space="preserve">færdselslovens </w:t>
      </w:r>
      <w:r>
        <w:rPr>
          <w:rFonts w:ascii="Times New Roman" w:hAnsi="Times New Roman" w:cs="Times New Roman"/>
          <w:sz w:val="24"/>
          <w:szCs w:val="24"/>
        </w:rPr>
        <w:t xml:space="preserve">§ 38, stk. 1. </w:t>
      </w:r>
    </w:p>
    <w:p w:rsid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F</w:t>
      </w:r>
      <w:r w:rsidRPr="00931235">
        <w:rPr>
          <w:rFonts w:ascii="Times New Roman" w:hAnsi="Times New Roman" w:cs="Times New Roman"/>
          <w:sz w:val="24"/>
          <w:szCs w:val="24"/>
        </w:rPr>
        <w:t>or at konstatere e</w:t>
      </w:r>
      <w:r>
        <w:rPr>
          <w:rFonts w:ascii="Times New Roman" w:hAnsi="Times New Roman" w:cs="Times New Roman"/>
          <w:sz w:val="24"/>
          <w:szCs w:val="24"/>
        </w:rPr>
        <w:t>n overtrædelse af § 67, stk. 2, om ulovlig støj</w:t>
      </w:r>
      <w:r w:rsidRPr="006F458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på grund af fejl eller mangler, </w:t>
      </w:r>
      <w:r w:rsidRPr="006F4584">
        <w:rPr>
          <w:rFonts w:ascii="Times New Roman" w:hAnsi="Times New Roman" w:cs="Times New Roman"/>
          <w:color w:val="auto"/>
          <w:sz w:val="24"/>
          <w:szCs w:val="24"/>
        </w:rPr>
        <w:t>ulovlige konstruktive ændringer</w:t>
      </w:r>
      <w:r>
        <w:rPr>
          <w:rFonts w:ascii="Times New Roman" w:hAnsi="Times New Roman" w:cs="Times New Roman"/>
          <w:color w:val="auto"/>
          <w:sz w:val="24"/>
          <w:szCs w:val="24"/>
        </w:rPr>
        <w:t xml:space="preserve"> eller manglende vedligeholdelse, skal der</w:t>
      </w:r>
      <w:r w:rsidRPr="00931235">
        <w:rPr>
          <w:rFonts w:ascii="Times New Roman" w:hAnsi="Times New Roman" w:cs="Times New Roman"/>
          <w:sz w:val="24"/>
          <w:szCs w:val="24"/>
        </w:rPr>
        <w:t xml:space="preserve"> </w:t>
      </w:r>
      <w:r>
        <w:rPr>
          <w:rFonts w:ascii="Times New Roman" w:hAnsi="Times New Roman" w:cs="Times New Roman"/>
          <w:sz w:val="24"/>
          <w:szCs w:val="24"/>
        </w:rPr>
        <w:t xml:space="preserve">som udgangspunkt foretages en kontrolmåling af køretøjets støjudsendelse. Kontrollen udføres med hertil godkendt lydmåleudstyr, og der er krav til den fysiske indretning af kontrolstedet. </w:t>
      </w:r>
      <w:r w:rsidRPr="00931235">
        <w:rPr>
          <w:rFonts w:ascii="Times New Roman" w:hAnsi="Times New Roman" w:cs="Times New Roman"/>
          <w:sz w:val="24"/>
          <w:szCs w:val="24"/>
        </w:rPr>
        <w:t xml:space="preserve">Det </w:t>
      </w:r>
      <w:r>
        <w:rPr>
          <w:rFonts w:ascii="Times New Roman" w:hAnsi="Times New Roman" w:cs="Times New Roman"/>
          <w:sz w:val="24"/>
          <w:szCs w:val="24"/>
        </w:rPr>
        <w:t xml:space="preserve">er sædvanligvis kun </w:t>
      </w:r>
      <w:r w:rsidRPr="00931235">
        <w:rPr>
          <w:rFonts w:ascii="Times New Roman" w:hAnsi="Times New Roman" w:cs="Times New Roman"/>
          <w:sz w:val="24"/>
          <w:szCs w:val="24"/>
        </w:rPr>
        <w:t xml:space="preserve">bilinspektører, der har </w:t>
      </w:r>
      <w:r>
        <w:rPr>
          <w:rFonts w:ascii="Times New Roman" w:hAnsi="Times New Roman" w:cs="Times New Roman"/>
          <w:sz w:val="24"/>
          <w:szCs w:val="24"/>
        </w:rPr>
        <w:t>godkendt måleudstyr</w:t>
      </w:r>
      <w:r w:rsidRPr="00931235">
        <w:rPr>
          <w:rFonts w:ascii="Times New Roman" w:hAnsi="Times New Roman" w:cs="Times New Roman"/>
          <w:sz w:val="24"/>
          <w:szCs w:val="24"/>
        </w:rPr>
        <w:t xml:space="preserve"> </w:t>
      </w:r>
      <w:r>
        <w:rPr>
          <w:rFonts w:ascii="Times New Roman" w:hAnsi="Times New Roman" w:cs="Times New Roman"/>
          <w:sz w:val="24"/>
          <w:szCs w:val="24"/>
        </w:rPr>
        <w:t xml:space="preserve">til at foretage støjmålinger. Dette indebærer, at en bilinspektør enten skal tilkaldes, eller at motorcyklen skal transporteres til en synshal, hvor undersøgelsen kan foregå. Der er dog </w:t>
      </w:r>
      <w:r w:rsidRPr="000800AA">
        <w:rPr>
          <w:rFonts w:ascii="Times New Roman" w:hAnsi="Times New Roman" w:cs="Times New Roman"/>
          <w:sz w:val="24"/>
          <w:szCs w:val="24"/>
        </w:rPr>
        <w:t>visse tilfælde</w:t>
      </w:r>
      <w:r>
        <w:rPr>
          <w:rFonts w:ascii="Times New Roman" w:hAnsi="Times New Roman" w:cs="Times New Roman"/>
          <w:sz w:val="24"/>
          <w:szCs w:val="24"/>
        </w:rPr>
        <w:t xml:space="preserve">, hvor ulovlige konstruktive ændringer, der medfører ekstrem støj, </w:t>
      </w:r>
      <w:r w:rsidRPr="000800AA">
        <w:rPr>
          <w:rFonts w:ascii="Times New Roman" w:hAnsi="Times New Roman" w:cs="Times New Roman"/>
          <w:sz w:val="24"/>
          <w:szCs w:val="24"/>
        </w:rPr>
        <w:t xml:space="preserve">kan </w:t>
      </w:r>
      <w:r>
        <w:rPr>
          <w:rFonts w:ascii="Times New Roman" w:hAnsi="Times New Roman" w:cs="Times New Roman"/>
          <w:sz w:val="24"/>
          <w:szCs w:val="24"/>
        </w:rPr>
        <w:t>konstateres af politiet selv, uden at en kontrolmåling er nødvendig.</w:t>
      </w:r>
    </w:p>
    <w:p w:rsid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Gennemførel</w:t>
      </w:r>
      <w:r w:rsidRPr="00E01BA3">
        <w:rPr>
          <w:rFonts w:ascii="Times New Roman" w:hAnsi="Times New Roman" w:cs="Times New Roman"/>
          <w:sz w:val="24"/>
          <w:szCs w:val="24"/>
        </w:rPr>
        <w:t xml:space="preserve">se af støjmålinger </w:t>
      </w:r>
      <w:r>
        <w:rPr>
          <w:rFonts w:ascii="Times New Roman" w:hAnsi="Times New Roman" w:cs="Times New Roman"/>
          <w:sz w:val="24"/>
          <w:szCs w:val="24"/>
        </w:rPr>
        <w:t>forudsætter</w:t>
      </w:r>
      <w:r w:rsidRPr="00BB3967">
        <w:rPr>
          <w:rFonts w:ascii="Times New Roman" w:hAnsi="Times New Roman" w:cs="Times New Roman"/>
          <w:sz w:val="24"/>
          <w:szCs w:val="24"/>
        </w:rPr>
        <w:t xml:space="preserve"> endvidere,</w:t>
      </w:r>
      <w:r w:rsidRPr="00E01BA3">
        <w:rPr>
          <w:rFonts w:ascii="Times New Roman" w:hAnsi="Times New Roman" w:cs="Times New Roman"/>
          <w:sz w:val="24"/>
          <w:szCs w:val="24"/>
        </w:rPr>
        <w:t xml:space="preserve"> at politiet har adgang til oplysninger om den støjreference-værdi</w:t>
      </w:r>
      <w:r w:rsidRPr="00290D5C">
        <w:rPr>
          <w:rFonts w:ascii="Times New Roman" w:hAnsi="Times New Roman" w:cs="Times New Roman"/>
          <w:sz w:val="24"/>
          <w:szCs w:val="24"/>
        </w:rPr>
        <w:t>, som er gældende for det konkrete køretøj, og som er målt i forbindelse med typegodkendelse af køretøjet eller i forbindelse med første syn af køretøjet</w:t>
      </w:r>
      <w:r>
        <w:rPr>
          <w:rFonts w:ascii="Times New Roman" w:hAnsi="Times New Roman" w:cs="Times New Roman"/>
          <w:sz w:val="24"/>
          <w:szCs w:val="24"/>
        </w:rPr>
        <w:t>. D</w:t>
      </w:r>
      <w:r w:rsidRPr="00290D5C">
        <w:rPr>
          <w:rFonts w:ascii="Times New Roman" w:hAnsi="Times New Roman" w:cs="Times New Roman"/>
          <w:sz w:val="24"/>
          <w:szCs w:val="24"/>
        </w:rPr>
        <w:t xml:space="preserve">isse oplysninger er </w:t>
      </w:r>
      <w:r w:rsidRPr="00290D5C">
        <w:rPr>
          <w:rFonts w:ascii="Times New Roman" w:hAnsi="Times New Roman" w:cs="Times New Roman"/>
          <w:sz w:val="24"/>
          <w:szCs w:val="24"/>
        </w:rPr>
        <w:lastRenderedPageBreak/>
        <w:t xml:space="preserve">tilgængelige for </w:t>
      </w:r>
      <w:r>
        <w:rPr>
          <w:rFonts w:ascii="Times New Roman" w:hAnsi="Times New Roman" w:cs="Times New Roman"/>
          <w:sz w:val="24"/>
          <w:szCs w:val="24"/>
        </w:rPr>
        <w:t xml:space="preserve">langt de fleste </w:t>
      </w:r>
      <w:r w:rsidRPr="00290D5C">
        <w:rPr>
          <w:rFonts w:ascii="Times New Roman" w:hAnsi="Times New Roman" w:cs="Times New Roman"/>
          <w:sz w:val="24"/>
          <w:szCs w:val="24"/>
        </w:rPr>
        <w:t xml:space="preserve">indregistrerede </w:t>
      </w:r>
      <w:r>
        <w:rPr>
          <w:rFonts w:ascii="Times New Roman" w:hAnsi="Times New Roman" w:cs="Times New Roman"/>
          <w:sz w:val="24"/>
          <w:szCs w:val="24"/>
        </w:rPr>
        <w:t>køretøjer</w:t>
      </w:r>
      <w:r w:rsidR="00A24390">
        <w:rPr>
          <w:rFonts w:ascii="Times New Roman" w:hAnsi="Times New Roman" w:cs="Times New Roman"/>
          <w:sz w:val="24"/>
          <w:szCs w:val="24"/>
        </w:rPr>
        <w:t>,</w:t>
      </w:r>
      <w:r w:rsidRPr="00290D5C">
        <w:rPr>
          <w:rFonts w:ascii="Times New Roman" w:hAnsi="Times New Roman" w:cs="Times New Roman"/>
          <w:sz w:val="24"/>
          <w:szCs w:val="24"/>
        </w:rPr>
        <w:t xml:space="preserve"> men ikke for alle</w:t>
      </w:r>
      <w:r>
        <w:rPr>
          <w:rFonts w:ascii="Times New Roman" w:hAnsi="Times New Roman" w:cs="Times New Roman"/>
          <w:sz w:val="24"/>
          <w:szCs w:val="24"/>
        </w:rPr>
        <w:t xml:space="preserve">, eksempelvis </w:t>
      </w:r>
      <w:r w:rsidRPr="00290D5C">
        <w:rPr>
          <w:rFonts w:ascii="Times New Roman" w:hAnsi="Times New Roman" w:cs="Times New Roman"/>
          <w:sz w:val="24"/>
          <w:szCs w:val="24"/>
        </w:rPr>
        <w:t>motorcykler</w:t>
      </w:r>
      <w:r>
        <w:rPr>
          <w:rFonts w:ascii="Times New Roman" w:hAnsi="Times New Roman" w:cs="Times New Roman"/>
          <w:sz w:val="24"/>
          <w:szCs w:val="24"/>
        </w:rPr>
        <w:t xml:space="preserve"> fra før 1. juli 1969, eller visse brugt importerede køretøjer</w:t>
      </w:r>
      <w:r w:rsidRPr="00290D5C">
        <w:rPr>
          <w:rFonts w:ascii="Times New Roman" w:hAnsi="Times New Roman" w:cs="Times New Roman"/>
          <w:sz w:val="24"/>
          <w:szCs w:val="24"/>
        </w:rPr>
        <w:t>.</w:t>
      </w:r>
      <w:r>
        <w:rPr>
          <w:rFonts w:ascii="Times New Roman" w:hAnsi="Times New Roman" w:cs="Times New Roman"/>
          <w:sz w:val="24"/>
          <w:szCs w:val="24"/>
        </w:rPr>
        <w:t xml:space="preserve"> Endelig kræver det mange politiressourcer at udføre målrettede kontroller. </w:t>
      </w:r>
    </w:p>
    <w:p w:rsid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 xml:space="preserve">Det er Transport-, Bygnings- og Boligministeriets vurdering, at de ovennævnte forhold har betydning for graden af håndhævelse. Det vurderes dog samtidig at være vanskeligt at ændre den aktuelle kontrolpraksis, uden at pålægge politiet uforholdsmæssigt store byrder. Samtidig finder Transport-, Bygnings- og Boligministeriet, at en bøde på 1.000 kr. for at overtræde støjreglerne ikke har en tilstrækkelig afskrækkende virkning. </w:t>
      </w:r>
    </w:p>
    <w:p w:rsid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 xml:space="preserve">Transport-, Bygnings- og Boligministeriet foreslår på baggrund af ovenstående, at bødestraffen for at afgive ulovlig støj skærpes. Det foreslås, at der indsættes et nyt stk. 8 i færdselslovens § 118, hvorefter det </w:t>
      </w:r>
      <w:r w:rsidRPr="004B3789">
        <w:rPr>
          <w:rFonts w:ascii="Times New Roman" w:eastAsia="Times New Roman" w:hAnsi="Times New Roman" w:cs="Times New Roman"/>
          <w:iCs/>
          <w:color w:val="auto"/>
          <w:sz w:val="24"/>
          <w:szCs w:val="24"/>
          <w:lang w:eastAsia="da-DK"/>
        </w:rPr>
        <w:t xml:space="preserve">ved fastsættelse af bøder for overtrædelse af </w:t>
      </w:r>
      <w:r>
        <w:rPr>
          <w:rFonts w:ascii="Times New Roman" w:eastAsia="Times New Roman" w:hAnsi="Times New Roman" w:cs="Times New Roman"/>
          <w:iCs/>
          <w:color w:val="auto"/>
          <w:sz w:val="24"/>
          <w:szCs w:val="24"/>
          <w:lang w:eastAsia="da-DK"/>
        </w:rPr>
        <w:t xml:space="preserve">henholdsvis </w:t>
      </w:r>
      <w:r w:rsidRPr="004B3789">
        <w:rPr>
          <w:rFonts w:ascii="Times New Roman" w:eastAsia="Times New Roman" w:hAnsi="Times New Roman" w:cs="Times New Roman"/>
          <w:iCs/>
          <w:color w:val="auto"/>
          <w:sz w:val="24"/>
          <w:szCs w:val="24"/>
          <w:lang w:eastAsia="da-DK"/>
        </w:rPr>
        <w:t xml:space="preserve">§ 38, stk. 1, og </w:t>
      </w:r>
      <w:r>
        <w:rPr>
          <w:rFonts w:ascii="Times New Roman" w:eastAsia="Times New Roman" w:hAnsi="Times New Roman" w:cs="Times New Roman"/>
          <w:iCs/>
          <w:color w:val="auto"/>
          <w:sz w:val="24"/>
          <w:szCs w:val="24"/>
          <w:lang w:eastAsia="da-DK"/>
        </w:rPr>
        <w:t xml:space="preserve">§ </w:t>
      </w:r>
      <w:r w:rsidRPr="004B3789">
        <w:rPr>
          <w:rFonts w:ascii="Times New Roman" w:eastAsia="Times New Roman" w:hAnsi="Times New Roman" w:cs="Times New Roman"/>
          <w:iCs/>
          <w:color w:val="auto"/>
          <w:sz w:val="24"/>
          <w:szCs w:val="24"/>
          <w:lang w:eastAsia="da-DK"/>
        </w:rPr>
        <w:t xml:space="preserve">67, stk. 2, skal indgå som en </w:t>
      </w:r>
      <w:r>
        <w:rPr>
          <w:rFonts w:ascii="Times New Roman" w:eastAsia="Times New Roman" w:hAnsi="Times New Roman" w:cs="Times New Roman"/>
          <w:iCs/>
          <w:color w:val="auto"/>
          <w:sz w:val="24"/>
          <w:szCs w:val="24"/>
          <w:lang w:eastAsia="da-DK"/>
        </w:rPr>
        <w:t xml:space="preserve">særligt </w:t>
      </w:r>
      <w:r w:rsidRPr="004B3789">
        <w:rPr>
          <w:rFonts w:ascii="Times New Roman" w:eastAsia="Times New Roman" w:hAnsi="Times New Roman" w:cs="Times New Roman"/>
          <w:iCs/>
          <w:color w:val="auto"/>
          <w:sz w:val="24"/>
          <w:szCs w:val="24"/>
          <w:lang w:eastAsia="da-DK"/>
        </w:rPr>
        <w:t>skærpende o</w:t>
      </w:r>
      <w:r w:rsidR="008B6790">
        <w:rPr>
          <w:rFonts w:ascii="Times New Roman" w:eastAsia="Times New Roman" w:hAnsi="Times New Roman" w:cs="Times New Roman"/>
          <w:iCs/>
          <w:color w:val="auto"/>
          <w:sz w:val="24"/>
          <w:szCs w:val="24"/>
          <w:lang w:eastAsia="da-DK"/>
        </w:rPr>
        <w:t>mstændighed, hvis et motordreve</w:t>
      </w:r>
      <w:r w:rsidRPr="004B3789">
        <w:rPr>
          <w:rFonts w:ascii="Times New Roman" w:eastAsia="Times New Roman" w:hAnsi="Times New Roman" w:cs="Times New Roman"/>
          <w:iCs/>
          <w:color w:val="auto"/>
          <w:sz w:val="24"/>
          <w:szCs w:val="24"/>
          <w:lang w:eastAsia="da-DK"/>
        </w:rPr>
        <w:t>t køretøj betjenes således</w:t>
      </w:r>
      <w:r>
        <w:rPr>
          <w:rFonts w:ascii="Times New Roman" w:eastAsia="Times New Roman" w:hAnsi="Times New Roman" w:cs="Times New Roman"/>
          <w:iCs/>
          <w:color w:val="auto"/>
          <w:sz w:val="24"/>
          <w:szCs w:val="24"/>
          <w:lang w:eastAsia="da-DK"/>
        </w:rPr>
        <w:t xml:space="preserve"> eller er i en sådan ulovlig stand, at det afgiver unødig støj.</w:t>
      </w:r>
      <w:r w:rsidRPr="00306584">
        <w:rPr>
          <w:rFonts w:ascii="Times New Roman" w:hAnsi="Times New Roman" w:cs="Times New Roman"/>
          <w:sz w:val="24"/>
          <w:szCs w:val="24"/>
        </w:rPr>
        <w:t xml:space="preserve"> </w:t>
      </w:r>
    </w:p>
    <w:p w:rsidR="00E51A0B" w:rsidRPr="00DF39B1" w:rsidRDefault="00DF39B1" w:rsidP="00DF39B1">
      <w:pPr>
        <w:pStyle w:val="Normal-medluft"/>
        <w:rPr>
          <w:rFonts w:ascii="Times New Roman" w:hAnsi="Times New Roman" w:cs="Times New Roman"/>
          <w:sz w:val="24"/>
          <w:szCs w:val="24"/>
        </w:rPr>
      </w:pPr>
      <w:r>
        <w:rPr>
          <w:rFonts w:ascii="Times New Roman" w:hAnsi="Times New Roman" w:cs="Times New Roman"/>
          <w:sz w:val="24"/>
          <w:szCs w:val="24"/>
        </w:rPr>
        <w:t>Samtidig vil Transport-, Bygnings- og Boligministeriet</w:t>
      </w:r>
      <w:r w:rsidR="00411737">
        <w:rPr>
          <w:rFonts w:ascii="Times New Roman" w:hAnsi="Times New Roman" w:cs="Times New Roman"/>
          <w:sz w:val="24"/>
          <w:szCs w:val="24"/>
        </w:rPr>
        <w:t xml:space="preserve"> kontakte</w:t>
      </w:r>
      <w:r>
        <w:rPr>
          <w:rFonts w:ascii="Times New Roman" w:hAnsi="Times New Roman" w:cs="Times New Roman"/>
          <w:sz w:val="24"/>
          <w:szCs w:val="24"/>
        </w:rPr>
        <w:t xml:space="preserve"> Justitsministeriet og Rigspolitiet </w:t>
      </w:r>
      <w:r w:rsidR="00411737">
        <w:rPr>
          <w:rFonts w:ascii="Times New Roman" w:hAnsi="Times New Roman" w:cs="Times New Roman"/>
          <w:sz w:val="24"/>
          <w:szCs w:val="24"/>
        </w:rPr>
        <w:t xml:space="preserve">med henblik på </w:t>
      </w:r>
      <w:r>
        <w:rPr>
          <w:rFonts w:ascii="Times New Roman" w:hAnsi="Times New Roman" w:cs="Times New Roman"/>
          <w:sz w:val="24"/>
          <w:szCs w:val="24"/>
        </w:rPr>
        <w:t xml:space="preserve">se på mulighederne for, at der i forbindelse med </w:t>
      </w:r>
      <w:r w:rsidR="00411737">
        <w:rPr>
          <w:rFonts w:ascii="Times New Roman" w:hAnsi="Times New Roman" w:cs="Times New Roman"/>
          <w:sz w:val="24"/>
          <w:szCs w:val="24"/>
        </w:rPr>
        <w:t xml:space="preserve">implementeringen af </w:t>
      </w:r>
      <w:r>
        <w:rPr>
          <w:rFonts w:ascii="Times New Roman" w:hAnsi="Times New Roman" w:cs="Times New Roman"/>
          <w:sz w:val="24"/>
          <w:szCs w:val="24"/>
        </w:rPr>
        <w:t xml:space="preserve">lovændringen </w:t>
      </w:r>
      <w:r w:rsidR="00411737">
        <w:rPr>
          <w:rFonts w:ascii="Times New Roman" w:hAnsi="Times New Roman" w:cs="Times New Roman"/>
          <w:sz w:val="24"/>
          <w:szCs w:val="24"/>
        </w:rPr>
        <w:t xml:space="preserve">kan komme et fokus på </w:t>
      </w:r>
      <w:r>
        <w:rPr>
          <w:rFonts w:ascii="Times New Roman" w:hAnsi="Times New Roman" w:cs="Times New Roman"/>
          <w:sz w:val="24"/>
          <w:szCs w:val="24"/>
        </w:rPr>
        <w:t xml:space="preserve">punktvise kontrolkampagner mod motorcykelstøj og </w:t>
      </w:r>
      <w:r w:rsidR="00411737">
        <w:rPr>
          <w:rFonts w:ascii="Times New Roman" w:hAnsi="Times New Roman" w:cs="Times New Roman"/>
          <w:sz w:val="24"/>
          <w:szCs w:val="24"/>
        </w:rPr>
        <w:t xml:space="preserve">et fokus på </w:t>
      </w:r>
      <w:r>
        <w:rPr>
          <w:rFonts w:ascii="Times New Roman" w:hAnsi="Times New Roman" w:cs="Times New Roman"/>
          <w:sz w:val="24"/>
          <w:szCs w:val="24"/>
        </w:rPr>
        <w:t>en målrettet kontrol med motorcykelstøj</w:t>
      </w:r>
      <w:r w:rsidR="00411737">
        <w:rPr>
          <w:rFonts w:ascii="Times New Roman" w:hAnsi="Times New Roman" w:cs="Times New Roman"/>
          <w:sz w:val="24"/>
          <w:szCs w:val="24"/>
        </w:rPr>
        <w:t xml:space="preserve"> helt generelt</w:t>
      </w:r>
      <w:r>
        <w:rPr>
          <w:rFonts w:ascii="Times New Roman" w:hAnsi="Times New Roman" w:cs="Times New Roman"/>
          <w:sz w:val="24"/>
          <w:szCs w:val="24"/>
        </w:rPr>
        <w:t>.</w:t>
      </w:r>
    </w:p>
    <w:p w:rsidR="00E51A0B" w:rsidRPr="003D10AE" w:rsidRDefault="00E51A0B" w:rsidP="00DE1023">
      <w:pPr>
        <w:pStyle w:val="Normal-medluft"/>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 xml:space="preserve">Transport-, Bygnings- og Boligministeriets overvejelser, der ligger til grund for lovforslaget, har primært drejet sig om støj fra motorcykler, idet det oftest er støj fra motorcykler, der opleves som et problem.  Unødig støj fra andre køretøjer, herunder almindelige personbiler, er naturligvis lige så generende i det omfang, at det forekommer. Transport-, Bygnings- og Boligministeriet finder derfor, at de i lovforslaget angivne retningslinjer for den skærpede bødefastsættelse skal gælde for alle typer af motordrevne køretøjer, idet der efter ministeriets opfattelse ikke er saglige grunde for, at den foreslåede bestemmelse alene skal gælde for motorcykler. </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Da støj er en miljøpåvirkning, finder Transport-, Bygnings- og Boligministeriet, at bøden skal fastsættes til et niveau, der svarer til bødeniveauet for at foretage ulovlige konstruktive ændringer i motorkøretøjers forureningsbegrænsende udstyr, jf. færdselslovens § 118, stk. 6. Da afgivelse af unødig støj som udgangspunkt ikke er et større problem ved de tunge køretøjer (lastbil og bus), finder Transport-, Bygnings- og Boligministeriet dog, at der ikke er behov for at differentiere mellem bøderne til henholdsvis tunge og lette køretøjer.</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 xml:space="preserve">Da konstruktive ændringer, manglende vedligeholdelse og betjening, der medfører afgivelse af for meget støj, normalt ikke foretages på erhvervskøretøjer med henblik på at opnå en økonomisk besparelse, finder Transport-, Bygnings- og Boligministeriet heller ikke, at der skal differentieres på bødestørrelsen mellem ejer og fører, og at bødeniveauet i videst muligt omfang derfor skal følge niveauet for førerens bøde for foretagelse af konstruktive ændringer af lette køretøjers forureningsbegrænsende udstyr. Bødens niveau for kørsel i et let køretøj, hvis motor eller forureningsbegrænsende udstyr er konstruktivt ændret, er netop fastsat ud fra hensynet til, at kørslen i lette køretøjer typisk alene foretages i privat øjemed, og ikke som led i erhvervsudøvelse.  Dette vil som før nævnt også typisk være de faktiske forhold med hensyn til køretøjers afgivelse af unødig støj. </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lastRenderedPageBreak/>
        <w:t>De</w:t>
      </w:r>
      <w:r w:rsidR="008B6790">
        <w:rPr>
          <w:rFonts w:ascii="Times New Roman" w:hAnsi="Times New Roman" w:cs="Times New Roman"/>
          <w:sz w:val="24"/>
          <w:szCs w:val="24"/>
        </w:rPr>
        <w:t>r</w:t>
      </w:r>
      <w:r>
        <w:rPr>
          <w:rFonts w:ascii="Times New Roman" w:hAnsi="Times New Roman" w:cs="Times New Roman"/>
          <w:sz w:val="24"/>
          <w:szCs w:val="24"/>
        </w:rPr>
        <w:t xml:space="preserve"> foreslås herefter følgende retningslinjer for straffastsættelsen af den foreslåede bestemmelse i § 118, stk. 8, for overtrædelse af § 38, stk. 1, og § 67, stk. 2, for førstegangstilfælde, forhold til samtidig pådømmelse og i gentagelsestilfælde: </w:t>
      </w:r>
    </w:p>
    <w:tbl>
      <w:tblPr>
        <w:tblStyle w:val="Tabel-Gitter"/>
        <w:tblW w:w="0" w:type="auto"/>
        <w:tblLook w:val="04A0" w:firstRow="1" w:lastRow="0" w:firstColumn="1" w:lastColumn="0" w:noHBand="0" w:noVBand="1"/>
      </w:tblPr>
      <w:tblGrid>
        <w:gridCol w:w="3203"/>
        <w:gridCol w:w="2551"/>
      </w:tblGrid>
      <w:tr w:rsidR="00E51A0B" w:rsidTr="00F91FCB">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rPr>
                <w:rFonts w:ascii="Times New Roman" w:hAnsi="Times New Roman" w:cs="Times New Roman"/>
                <w:sz w:val="24"/>
                <w:szCs w:val="24"/>
              </w:rPr>
            </w:pPr>
          </w:p>
        </w:tc>
        <w:tc>
          <w:tcPr>
            <w:tcW w:w="2551" w:type="dxa"/>
          </w:tcPr>
          <w:p w:rsidR="00E51A0B" w:rsidRDefault="00E51A0B" w:rsidP="00F91FCB">
            <w:pPr>
              <w:pStyle w:val="Normal-medlu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Bødestørrelse for ejer og fører</w:t>
            </w:r>
          </w:p>
        </w:tc>
      </w:tr>
      <w:tr w:rsidR="00E51A0B" w:rsidTr="00F91FCB">
        <w:trPr>
          <w:trHeight w:val="264"/>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2.500 kr.</w:t>
            </w:r>
          </w:p>
        </w:tc>
      </w:tr>
      <w:tr w:rsidR="00E51A0B" w:rsidTr="00F91FCB">
        <w:trPr>
          <w:trHeight w:val="264"/>
        </w:trPr>
        <w:tc>
          <w:tcPr>
            <w:cnfStyle w:val="001000000000" w:firstRow="0" w:lastRow="0" w:firstColumn="1" w:lastColumn="0" w:oddVBand="0" w:evenVBand="0" w:oddHBand="0" w:evenHBand="0" w:firstRowFirstColumn="0" w:firstRowLastColumn="0" w:lastRowFirstColumn="0" w:lastRowLastColumn="0"/>
            <w:tcW w:w="1668" w:type="dxa"/>
          </w:tcPr>
          <w:p w:rsidR="00E51A0B" w:rsidRPr="00921EEC"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5.500 kr.</w:t>
            </w:r>
          </w:p>
        </w:tc>
      </w:tr>
      <w:tr w:rsidR="00E51A0B" w:rsidTr="00F91FCB">
        <w:trPr>
          <w:trHeight w:val="264"/>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8.000 kr.</w:t>
            </w:r>
          </w:p>
        </w:tc>
      </w:tr>
      <w:tr w:rsidR="00E51A0B" w:rsidTr="00F91FCB">
        <w:trPr>
          <w:trHeight w:val="264"/>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11.500 kr.</w:t>
            </w:r>
          </w:p>
        </w:tc>
      </w:tr>
      <w:tr w:rsidR="00E51A0B" w:rsidTr="00F91FCB">
        <w:trPr>
          <w:trHeight w:val="56"/>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14.500 kr.</w:t>
            </w:r>
          </w:p>
        </w:tc>
      </w:tr>
      <w:tr w:rsidR="00E51A0B" w:rsidTr="00F91FCB">
        <w:trPr>
          <w:trHeight w:val="56"/>
        </w:trPr>
        <w:tc>
          <w:tcPr>
            <w:cnfStyle w:val="001000000000" w:firstRow="0" w:lastRow="0" w:firstColumn="1" w:lastColumn="0" w:oddVBand="0" w:evenVBand="0" w:oddHBand="0" w:evenHBand="0" w:firstRowFirstColumn="0" w:firstRowLastColumn="0" w:lastRowFirstColumn="0" w:lastRowLastColumn="0"/>
            <w:tcW w:w="1668" w:type="dxa"/>
          </w:tcPr>
          <w:p w:rsidR="00E51A0B" w:rsidRDefault="00E51A0B" w:rsidP="00F91FCB">
            <w:pPr>
              <w:pStyle w:val="Normal-medluft"/>
              <w:numPr>
                <w:ilvl w:val="1"/>
                <w:numId w:val="3"/>
              </w:numPr>
              <w:rPr>
                <w:rFonts w:ascii="Times New Roman" w:hAnsi="Times New Roman" w:cs="Times New Roman"/>
                <w:sz w:val="24"/>
                <w:szCs w:val="24"/>
              </w:rPr>
            </w:pPr>
            <w:r>
              <w:rPr>
                <w:rFonts w:ascii="Times New Roman" w:hAnsi="Times New Roman" w:cs="Times New Roman"/>
                <w:sz w:val="24"/>
                <w:szCs w:val="24"/>
              </w:rPr>
              <w:t>gang</w:t>
            </w:r>
          </w:p>
        </w:tc>
        <w:tc>
          <w:tcPr>
            <w:tcW w:w="2551" w:type="dxa"/>
          </w:tcPr>
          <w:p w:rsidR="00E51A0B" w:rsidRDefault="00E51A0B" w:rsidP="00F91FCB">
            <w:pPr>
              <w:pStyle w:val="Normal-medluf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17.5 00 kr.</w:t>
            </w:r>
          </w:p>
        </w:tc>
      </w:tr>
    </w:tbl>
    <w:p w:rsidR="00E51A0B" w:rsidRDefault="00E51A0B" w:rsidP="00E51A0B">
      <w:pPr>
        <w:pStyle w:val="Normal-medluft"/>
        <w:rPr>
          <w:rFonts w:ascii="Times New Roman" w:hAnsi="Times New Roman" w:cs="Times New Roman"/>
          <w:sz w:val="24"/>
          <w:szCs w:val="24"/>
        </w:rPr>
      </w:pP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Hvis fører og ejer er samme person, skal der ikke udmåles en dobbelt bøde. Der skal således alene udmåles én bøde på 2.500 kr. i et førstegangsgangstilfælde.</w:t>
      </w:r>
    </w:p>
    <w:p w:rsidR="00E51A0B" w:rsidRDefault="00E51A0B" w:rsidP="00E51A0B">
      <w:pPr>
        <w:pStyle w:val="Normal-medluft"/>
        <w:rPr>
          <w:rFonts w:ascii="Times New Roman" w:hAnsi="Times New Roman"/>
          <w:sz w:val="24"/>
          <w:szCs w:val="24"/>
        </w:rPr>
      </w:pPr>
      <w:r>
        <w:rPr>
          <w:rFonts w:ascii="Times New Roman" w:hAnsi="Times New Roman"/>
          <w:sz w:val="24"/>
          <w:szCs w:val="24"/>
        </w:rPr>
        <w:t>Hvis den samme konstruktive ændring ved køretøjet både medfører, at køretøjet udleder flere luftforurenende stoffer end tilladt og afgiver mere støj end tilladt, er det ikke hensigten med den foreslåede nye bestemmelse i § 118 stk. 8, at der skal udstedes to bøder. I sådanne tilfælde skal bøden udmåles efter færdselslovens § 118, stk. 6, om konstruktive ændringer, der har betydning for det motordrevne køretøjs udledning af luftforurenende stoffer.</w:t>
      </w:r>
    </w:p>
    <w:p w:rsidR="00B05DCF" w:rsidRDefault="00B05DCF" w:rsidP="00E51A0B">
      <w:pPr>
        <w:pStyle w:val="Normal-medluft"/>
        <w:rPr>
          <w:rFonts w:ascii="Times New Roman" w:hAnsi="Times New Roman"/>
          <w:sz w:val="24"/>
          <w:szCs w:val="24"/>
        </w:rPr>
      </w:pPr>
      <w:r>
        <w:rPr>
          <w:rFonts w:ascii="Times New Roman" w:hAnsi="Times New Roman"/>
          <w:sz w:val="24"/>
          <w:szCs w:val="24"/>
        </w:rPr>
        <w:t>U</w:t>
      </w:r>
      <w:r w:rsidRPr="00B05DCF">
        <w:rPr>
          <w:rFonts w:ascii="Times New Roman" w:hAnsi="Times New Roman"/>
          <w:sz w:val="24"/>
          <w:szCs w:val="24"/>
        </w:rPr>
        <w:t>denlandske køretøjer</w:t>
      </w:r>
      <w:r>
        <w:rPr>
          <w:rFonts w:ascii="Times New Roman" w:hAnsi="Times New Roman"/>
          <w:sz w:val="24"/>
          <w:szCs w:val="24"/>
        </w:rPr>
        <w:t>s ulovlige støjafgivelse</w:t>
      </w:r>
      <w:r w:rsidRPr="00B05DCF">
        <w:rPr>
          <w:rFonts w:ascii="Times New Roman" w:hAnsi="Times New Roman"/>
          <w:sz w:val="24"/>
          <w:szCs w:val="24"/>
        </w:rPr>
        <w:t xml:space="preserve"> sanktioneres efter registreringsbekendtgørelsens regler</w:t>
      </w:r>
      <w:r>
        <w:rPr>
          <w:rFonts w:ascii="Times New Roman" w:hAnsi="Times New Roman"/>
          <w:sz w:val="24"/>
          <w:szCs w:val="24"/>
        </w:rPr>
        <w:t>, og ikke efter færdselslovens regler</w:t>
      </w:r>
      <w:r w:rsidRPr="00B05DCF">
        <w:rPr>
          <w:rFonts w:ascii="Times New Roman" w:hAnsi="Times New Roman"/>
          <w:sz w:val="24"/>
          <w:szCs w:val="24"/>
        </w:rPr>
        <w:t xml:space="preserve">. Det må </w:t>
      </w:r>
      <w:r>
        <w:rPr>
          <w:rFonts w:ascii="Times New Roman" w:hAnsi="Times New Roman"/>
          <w:sz w:val="24"/>
          <w:szCs w:val="24"/>
        </w:rPr>
        <w:t>dog</w:t>
      </w:r>
      <w:r w:rsidRPr="00B05DCF">
        <w:rPr>
          <w:rFonts w:ascii="Times New Roman" w:hAnsi="Times New Roman"/>
          <w:sz w:val="24"/>
          <w:szCs w:val="24"/>
        </w:rPr>
        <w:t xml:space="preserve"> forventes, at de foreslåede retningslinjer for bødestørrelser efter færdselsloven for </w:t>
      </w:r>
      <w:r>
        <w:rPr>
          <w:rFonts w:ascii="Times New Roman" w:hAnsi="Times New Roman"/>
          <w:sz w:val="24"/>
          <w:szCs w:val="24"/>
        </w:rPr>
        <w:t>ulovlig støjafgivelse</w:t>
      </w:r>
      <w:r w:rsidRPr="00B05DCF">
        <w:rPr>
          <w:rFonts w:ascii="Times New Roman" w:hAnsi="Times New Roman"/>
          <w:sz w:val="24"/>
          <w:szCs w:val="24"/>
        </w:rPr>
        <w:t xml:space="preserve"> vil have en afsmittende effekt på tiltale- og retspraksis på registreringsbekendtgørelsens område.</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Transport-, Bygnings- og Boligministeriet bemærker i relation til de foreslåede retningslinjer, at vedtagelse af lovforslaget ikke afskærer domstolene fra efter en konkret vurdering i det enkelte tilfælde at fravige det angivne strafniveau i opad- eller nedadgående retning, hvis der i den konkrete sag foreligger skærpende eller formildende omstændigheder.</w:t>
      </w:r>
    </w:p>
    <w:p w:rsidR="00E51A0B" w:rsidRPr="005914F9" w:rsidRDefault="00E51A0B" w:rsidP="00E51A0B">
      <w:pPr>
        <w:pStyle w:val="Normal-medluft"/>
        <w:rPr>
          <w:rFonts w:ascii="Times New Roman" w:hAnsi="Times New Roman" w:cs="Times New Roman"/>
          <w:i/>
          <w:sz w:val="24"/>
          <w:szCs w:val="24"/>
        </w:rPr>
      </w:pPr>
      <w:r w:rsidRPr="005914F9">
        <w:rPr>
          <w:rFonts w:ascii="Times New Roman" w:hAnsi="Times New Roman" w:cs="Times New Roman"/>
          <w:i/>
          <w:sz w:val="24"/>
          <w:szCs w:val="24"/>
        </w:rPr>
        <w:t>2.3. Indførelse af strafansvar for føreren af køretøjer, der støjer ulovligt</w:t>
      </w:r>
    </w:p>
    <w:p w:rsidR="00E51A0B" w:rsidRPr="005914F9" w:rsidRDefault="00E51A0B" w:rsidP="00E51A0B">
      <w:pPr>
        <w:pStyle w:val="Normal-medluft"/>
        <w:rPr>
          <w:rFonts w:ascii="Times New Roman" w:hAnsi="Times New Roman" w:cs="Times New Roman"/>
          <w:i/>
          <w:sz w:val="24"/>
          <w:szCs w:val="24"/>
        </w:rPr>
      </w:pPr>
      <w:r w:rsidRPr="005914F9">
        <w:rPr>
          <w:rFonts w:ascii="Times New Roman" w:hAnsi="Times New Roman" w:cs="Times New Roman"/>
          <w:i/>
          <w:sz w:val="24"/>
          <w:szCs w:val="24"/>
        </w:rPr>
        <w:t>2.3.1. Gældende ret</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Det følger af færdselslovens § 67, stk. 1, at et køretøj skal være således indrettet og holdes i en sådan stand, at det kan benyttes uden fare og ulempe for andre samt uden skade for vejene. Bestemmelsen finder anvendelse for alle køretøjer, hvilket vil sige alle indretninger på hjul, bælter, </w:t>
      </w:r>
      <w:r w:rsidRPr="003A4494">
        <w:rPr>
          <w:rFonts w:ascii="Times New Roman" w:hAnsi="Times New Roman" w:cs="Times New Roman"/>
          <w:sz w:val="24"/>
          <w:szCs w:val="24"/>
        </w:rPr>
        <w:lastRenderedPageBreak/>
        <w:t>valser, meder eller andet, som er indrettet til kørsel på vej, og som ikke løber på skinner, jf. definitionsbestemmelsen i færdselslovens § 2, nr. 10.</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Ifølge færdselslovens § 67, stk. 2, er ejeren eller den person (brugeren), som har varig rådighed over køretøjet, ansvarlig for, at køretøjet er i lovlig stand.</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Bestemmelsen omhandler alene ejers og brugers ansvar. Bestemmelsen omfatter imidlertid ikke en fører, der ikke har varig rådighed over køretøjet</w:t>
      </w:r>
      <w:r>
        <w:rPr>
          <w:rFonts w:ascii="Times New Roman" w:hAnsi="Times New Roman" w:cs="Times New Roman"/>
          <w:sz w:val="24"/>
          <w:szCs w:val="24"/>
        </w:rPr>
        <w:t>, f.eks. en person, der har lånt et køretøj</w:t>
      </w:r>
      <w:r w:rsidRPr="003A4494">
        <w:rPr>
          <w:rFonts w:ascii="Times New Roman" w:hAnsi="Times New Roman" w:cs="Times New Roman"/>
          <w:sz w:val="24"/>
          <w:szCs w:val="24"/>
        </w:rPr>
        <w:t>.</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Efter færdselslovens § 67, stk. 3, skal føreren af et køretøj til enhver tid være opmærksom på, at køretøjet og eventuelt påhængskøretøj er i forsvarlig stand, særligt at styre-, bremse-, signal- og tegngivningsapparater samt lygter virker forskriftsmæssigt og sikkert, og at tilkoblingen til eventuelt påhængskøretøj er forsvarlig. Overtrædelse af § 67, stk. 3, straffes i medfør af færdselslovens § 118, stk. 1, nr. 1, med bøde.</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Bestemmelsen i § 67, stk. 3, omfatter alene forhold og tekniske indretninger, som har betydning for køretøjets forsvarlige stand, det vil sige forhold og tekniske indretninger, der har betydning for trafiksikkerheden. Føreren har således efter bestemmelsen ikke en pligt til at være opmærksom på de dele af køretøjets tekniske indretninger og udstyr, der alene har betydning for </w:t>
      </w:r>
      <w:r>
        <w:rPr>
          <w:rFonts w:ascii="Times New Roman" w:hAnsi="Times New Roman" w:cs="Times New Roman"/>
          <w:sz w:val="24"/>
          <w:szCs w:val="24"/>
        </w:rPr>
        <w:t>køretøjets støjniveau</w:t>
      </w:r>
      <w:r w:rsidRPr="003A4494">
        <w:rPr>
          <w:rFonts w:ascii="Times New Roman" w:hAnsi="Times New Roman" w:cs="Times New Roman"/>
          <w:sz w:val="24"/>
          <w:szCs w:val="24"/>
        </w:rPr>
        <w:t xml:space="preserve">. Det forhold, at en fører betjener et køretøj, selvom denne vidste eller burde vide, at </w:t>
      </w:r>
      <w:r>
        <w:rPr>
          <w:rFonts w:ascii="Times New Roman" w:hAnsi="Times New Roman" w:cs="Times New Roman"/>
          <w:sz w:val="24"/>
          <w:szCs w:val="24"/>
        </w:rPr>
        <w:t>køretøjet er i ulovlig stand for så vidt angår køretøjets afgivelse af støj</w:t>
      </w:r>
      <w:r w:rsidRPr="003A4494">
        <w:rPr>
          <w:rFonts w:ascii="Times New Roman" w:hAnsi="Times New Roman" w:cs="Times New Roman"/>
          <w:sz w:val="24"/>
          <w:szCs w:val="24"/>
        </w:rPr>
        <w:t>, vil derfor ikke udgøre en overtrædelse af § 67, stk. 3.</w:t>
      </w:r>
    </w:p>
    <w:p w:rsidR="00E51A0B"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Endelig vil det forhold, at føreren betjener køretøjet, selvom denne vidste eller burde vide, at </w:t>
      </w:r>
      <w:r>
        <w:rPr>
          <w:rFonts w:ascii="Times New Roman" w:hAnsi="Times New Roman" w:cs="Times New Roman"/>
          <w:sz w:val="24"/>
          <w:szCs w:val="24"/>
        </w:rPr>
        <w:t>køretøjet er i ulovlig stand for så vidt angår køretøjets afgivelse af støj</w:t>
      </w:r>
      <w:r w:rsidRPr="003A4494">
        <w:rPr>
          <w:rFonts w:ascii="Times New Roman" w:hAnsi="Times New Roman" w:cs="Times New Roman"/>
          <w:sz w:val="24"/>
          <w:szCs w:val="24"/>
        </w:rPr>
        <w:t xml:space="preserve">, heller ikke i sig selv medføre, at føreren ifalder et </w:t>
      </w:r>
      <w:proofErr w:type="spellStart"/>
      <w:r w:rsidRPr="003A4494">
        <w:rPr>
          <w:rFonts w:ascii="Times New Roman" w:hAnsi="Times New Roman" w:cs="Times New Roman"/>
          <w:sz w:val="24"/>
          <w:szCs w:val="24"/>
        </w:rPr>
        <w:t>medvirkensansvar</w:t>
      </w:r>
      <w:proofErr w:type="spellEnd"/>
      <w:r w:rsidRPr="003A4494">
        <w:rPr>
          <w:rFonts w:ascii="Times New Roman" w:hAnsi="Times New Roman" w:cs="Times New Roman"/>
          <w:sz w:val="24"/>
          <w:szCs w:val="24"/>
        </w:rPr>
        <w:t xml:space="preserve"> for ejerens overtrædelse af § 67, stk. 2, efter de almindelige strafferetlige regler om medvirken i straffelovens § 23.</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 xml:space="preserve">Det fremgår af færdselslovens § 67, stk. 4, at føreren af et motordrevet køretøj til enhver tid skal være opmærksom på, at køretøjet er i lovlig stand for så vidt angår forhold ved køretøjets motor og køretøjets forureningsbegrænsende udstyr, der har betydning for det motordrevne køretøjs udledning af luftforurenende stoffer. </w:t>
      </w:r>
    </w:p>
    <w:p w:rsidR="00E51A0B" w:rsidRDefault="00E51A0B" w:rsidP="00E51A0B">
      <w:pPr>
        <w:pStyle w:val="Normal-medluft"/>
        <w:rPr>
          <w:rFonts w:ascii="Times New Roman" w:hAnsi="Times New Roman" w:cs="Times New Roman"/>
          <w:sz w:val="24"/>
          <w:szCs w:val="24"/>
        </w:rPr>
      </w:pPr>
      <w:r>
        <w:rPr>
          <w:rFonts w:ascii="Times New Roman" w:hAnsi="Times New Roman" w:cs="Times New Roman"/>
          <w:sz w:val="24"/>
          <w:szCs w:val="24"/>
        </w:rPr>
        <w:t>Bestemmelsen i stk. 4 omfatter alene</w:t>
      </w:r>
      <w:r w:rsidRPr="003A4494">
        <w:rPr>
          <w:rFonts w:ascii="Times New Roman" w:hAnsi="Times New Roman" w:cs="Times New Roman"/>
          <w:sz w:val="24"/>
          <w:szCs w:val="24"/>
        </w:rPr>
        <w:t xml:space="preserve"> </w:t>
      </w:r>
      <w:r>
        <w:rPr>
          <w:rFonts w:ascii="Times New Roman" w:hAnsi="Times New Roman" w:cs="Times New Roman"/>
          <w:sz w:val="24"/>
          <w:szCs w:val="24"/>
        </w:rPr>
        <w:t xml:space="preserve">forhold ved køretøjets motor og køretøjets forureningsbegrænsende udstyr, der har betydning for det motordrevne køretøjs udledning af luftforurenende stoffer. Førerens ansvar efter stk. 4 kan således ikke udstrækkes til at omfatte et køretøjs afgivelse af støj. </w:t>
      </w:r>
    </w:p>
    <w:p w:rsidR="00E51A0B" w:rsidRPr="005914F9" w:rsidRDefault="00E51A0B" w:rsidP="00E51A0B">
      <w:pPr>
        <w:spacing w:line="240" w:lineRule="auto"/>
        <w:rPr>
          <w:rFonts w:ascii="Times New Roman" w:hAnsi="Times New Roman" w:cs="Times New Roman"/>
          <w:i/>
          <w:sz w:val="24"/>
          <w:szCs w:val="24"/>
        </w:rPr>
      </w:pPr>
      <w:r w:rsidRPr="005914F9">
        <w:rPr>
          <w:rFonts w:ascii="Times New Roman" w:hAnsi="Times New Roman" w:cs="Times New Roman"/>
          <w:i/>
          <w:sz w:val="24"/>
          <w:szCs w:val="24"/>
        </w:rPr>
        <w:t>2.3.2. Transport-, Bygnings- og Boligministeriets overvejelser og den foreslåede ordning</w:t>
      </w:r>
    </w:p>
    <w:p w:rsidR="00E51A0B" w:rsidRDefault="00E51A0B" w:rsidP="00E51A0B">
      <w:pPr>
        <w:spacing w:line="240" w:lineRule="auto"/>
        <w:rPr>
          <w:rFonts w:ascii="Times New Roman" w:hAnsi="Times New Roman" w:cs="Times New Roman"/>
          <w:sz w:val="24"/>
          <w:szCs w:val="24"/>
        </w:rPr>
      </w:pPr>
    </w:p>
    <w:p w:rsidR="00E51A0B"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I nogle tilfælde vil en fører af et motordrevet køretøj ikke være vidende om, at </w:t>
      </w:r>
      <w:r>
        <w:rPr>
          <w:rFonts w:ascii="Times New Roman" w:hAnsi="Times New Roman" w:cs="Times New Roman"/>
          <w:sz w:val="24"/>
          <w:szCs w:val="24"/>
        </w:rPr>
        <w:t>køretøjet på grund af manglende vedligeholdelse eller ulovlige konstruktive ændringer støjer mere end tilladt</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I de tilfælde, hvor føreren imidlertid er vidende</w:t>
      </w:r>
      <w:r>
        <w:rPr>
          <w:rFonts w:ascii="Times New Roman" w:hAnsi="Times New Roman" w:cs="Times New Roman"/>
          <w:sz w:val="24"/>
          <w:szCs w:val="24"/>
        </w:rPr>
        <w:t xml:space="preserve"> om dette</w:t>
      </w:r>
      <w:r w:rsidRPr="003A4494">
        <w:rPr>
          <w:rFonts w:ascii="Times New Roman" w:hAnsi="Times New Roman" w:cs="Times New Roman"/>
          <w:sz w:val="24"/>
          <w:szCs w:val="24"/>
        </w:rPr>
        <w:t xml:space="preserve"> eller </w:t>
      </w:r>
      <w:r>
        <w:rPr>
          <w:rFonts w:ascii="Times New Roman" w:hAnsi="Times New Roman" w:cs="Times New Roman"/>
          <w:sz w:val="24"/>
          <w:szCs w:val="24"/>
        </w:rPr>
        <w:t>på grund af konkrete omstændigheder</w:t>
      </w:r>
      <w:r w:rsidRPr="00D6470E">
        <w:rPr>
          <w:rFonts w:ascii="Times New Roman" w:hAnsi="Times New Roman" w:cs="Times New Roman"/>
          <w:sz w:val="24"/>
          <w:szCs w:val="24"/>
        </w:rPr>
        <w:t xml:space="preserve"> </w:t>
      </w:r>
      <w:r w:rsidRPr="003A4494">
        <w:rPr>
          <w:rFonts w:ascii="Times New Roman" w:hAnsi="Times New Roman" w:cs="Times New Roman"/>
          <w:sz w:val="24"/>
          <w:szCs w:val="24"/>
        </w:rPr>
        <w:t xml:space="preserve">burde være vidende </w:t>
      </w:r>
      <w:r>
        <w:rPr>
          <w:rFonts w:ascii="Times New Roman" w:hAnsi="Times New Roman" w:cs="Times New Roman"/>
          <w:sz w:val="24"/>
          <w:szCs w:val="24"/>
        </w:rPr>
        <w:t xml:space="preserve">herom, f.eks. fordi køretøjet støjer ekstraordinært meget, </w:t>
      </w:r>
      <w:r w:rsidRPr="003A4494">
        <w:rPr>
          <w:rFonts w:ascii="Times New Roman" w:hAnsi="Times New Roman" w:cs="Times New Roman"/>
          <w:sz w:val="24"/>
          <w:szCs w:val="24"/>
        </w:rPr>
        <w:t>men på trods heraf fører køretøjet, er det Transport-, Bygnings- og Boligministeriets opfattelse, at føreren skal kunne straffes.</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lastRenderedPageBreak/>
        <w:t>Da det føreransvar, der følger af færdselslovens § 67, stk. 3</w:t>
      </w:r>
      <w:r>
        <w:rPr>
          <w:rFonts w:ascii="Times New Roman" w:hAnsi="Times New Roman" w:cs="Times New Roman"/>
          <w:sz w:val="24"/>
          <w:szCs w:val="24"/>
        </w:rPr>
        <w:t xml:space="preserve"> og 4</w:t>
      </w:r>
      <w:r w:rsidRPr="003A4494">
        <w:rPr>
          <w:rFonts w:ascii="Times New Roman" w:hAnsi="Times New Roman" w:cs="Times New Roman"/>
          <w:sz w:val="24"/>
          <w:szCs w:val="24"/>
        </w:rPr>
        <w:t xml:space="preserve">, ikke omfatter tekniske indretninger og udstyr, der alene har betydning for </w:t>
      </w:r>
      <w:r>
        <w:rPr>
          <w:rFonts w:ascii="Times New Roman" w:hAnsi="Times New Roman" w:cs="Times New Roman"/>
          <w:sz w:val="24"/>
          <w:szCs w:val="24"/>
        </w:rPr>
        <w:t>køretøjets støjniveau,</w:t>
      </w:r>
      <w:r w:rsidRPr="003A4494">
        <w:rPr>
          <w:rFonts w:ascii="Times New Roman" w:hAnsi="Times New Roman" w:cs="Times New Roman"/>
          <w:sz w:val="24"/>
          <w:szCs w:val="24"/>
        </w:rPr>
        <w:t xml:space="preserve"> foreslås det, at </w:t>
      </w:r>
      <w:r>
        <w:rPr>
          <w:rFonts w:ascii="Times New Roman" w:hAnsi="Times New Roman" w:cs="Times New Roman"/>
          <w:sz w:val="24"/>
          <w:szCs w:val="24"/>
        </w:rPr>
        <w:t>færdselslovens § 67, stk. 4, ændres således, at det føreransvar, der omfatter udledning af luftforurenende stoffer, også vil omfatte køretøjets afgivelse af støj</w:t>
      </w:r>
      <w:r w:rsidRPr="003A4494">
        <w:rPr>
          <w:rFonts w:ascii="Times New Roman" w:hAnsi="Times New Roman" w:cs="Times New Roman"/>
          <w:sz w:val="24"/>
          <w:szCs w:val="24"/>
        </w:rPr>
        <w:t>.</w:t>
      </w:r>
    </w:p>
    <w:p w:rsidR="00E51A0B" w:rsidRPr="003A4494"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Overtrædelse af § 67, stk. 4, </w:t>
      </w:r>
      <w:r>
        <w:rPr>
          <w:rFonts w:ascii="Times New Roman" w:hAnsi="Times New Roman" w:cs="Times New Roman"/>
          <w:sz w:val="24"/>
          <w:szCs w:val="24"/>
        </w:rPr>
        <w:t>straffes</w:t>
      </w:r>
      <w:r w:rsidRPr="003A4494">
        <w:rPr>
          <w:rFonts w:ascii="Times New Roman" w:hAnsi="Times New Roman" w:cs="Times New Roman"/>
          <w:sz w:val="24"/>
          <w:szCs w:val="24"/>
        </w:rPr>
        <w:t xml:space="preserve"> med bøde i medfør af den gældende bestemmelse i færdselslovens § 118, stk. 1, nr. 1. Det vil samtidig skulle betragtes som en særlig skærpende omstændighed, </w:t>
      </w:r>
      <w:r>
        <w:rPr>
          <w:rFonts w:ascii="Times New Roman" w:hAnsi="Times New Roman" w:cs="Times New Roman"/>
          <w:sz w:val="24"/>
          <w:szCs w:val="24"/>
        </w:rPr>
        <w:t>hvis</w:t>
      </w:r>
      <w:r w:rsidRPr="003A4494">
        <w:rPr>
          <w:rFonts w:ascii="Times New Roman" w:hAnsi="Times New Roman" w:cs="Times New Roman"/>
          <w:sz w:val="24"/>
          <w:szCs w:val="24"/>
        </w:rPr>
        <w:t xml:space="preserve"> </w:t>
      </w:r>
      <w:r>
        <w:rPr>
          <w:rFonts w:ascii="Times New Roman" w:hAnsi="Times New Roman" w:cs="Times New Roman"/>
          <w:sz w:val="24"/>
          <w:szCs w:val="24"/>
        </w:rPr>
        <w:t>køretøjet er i en sådan ulovlig stand, at det afgiver unødig støj</w:t>
      </w:r>
      <w:r w:rsidRPr="003A4494">
        <w:rPr>
          <w:rFonts w:ascii="Times New Roman" w:hAnsi="Times New Roman" w:cs="Times New Roman"/>
          <w:sz w:val="24"/>
          <w:szCs w:val="24"/>
        </w:rPr>
        <w:t xml:space="preserve">, jf. den foreslåede bestemmelse i lovforslagets § 1, nr. </w:t>
      </w:r>
      <w:r w:rsidR="00F50CB7">
        <w:rPr>
          <w:rFonts w:ascii="Times New Roman" w:hAnsi="Times New Roman" w:cs="Times New Roman"/>
          <w:sz w:val="24"/>
          <w:szCs w:val="24"/>
        </w:rPr>
        <w:t>3</w:t>
      </w:r>
      <w:r w:rsidRPr="003A4494">
        <w:rPr>
          <w:rFonts w:ascii="Times New Roman" w:hAnsi="Times New Roman" w:cs="Times New Roman"/>
          <w:sz w:val="24"/>
          <w:szCs w:val="24"/>
        </w:rPr>
        <w:t xml:space="preserve"> (§ 118, stk. </w:t>
      </w:r>
      <w:r>
        <w:rPr>
          <w:rFonts w:ascii="Times New Roman" w:hAnsi="Times New Roman" w:cs="Times New Roman"/>
          <w:sz w:val="24"/>
          <w:szCs w:val="24"/>
        </w:rPr>
        <w:t>8</w:t>
      </w:r>
      <w:r w:rsidRPr="003A4494">
        <w:rPr>
          <w:rFonts w:ascii="Times New Roman" w:hAnsi="Times New Roman" w:cs="Times New Roman"/>
          <w:sz w:val="24"/>
          <w:szCs w:val="24"/>
        </w:rPr>
        <w:t>).</w:t>
      </w:r>
    </w:p>
    <w:p w:rsidR="00E51A0B" w:rsidRDefault="00E51A0B" w:rsidP="00E51A0B">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For så vidt angår den nærmere forståelse af, hvornår </w:t>
      </w:r>
      <w:r>
        <w:rPr>
          <w:rFonts w:ascii="Times New Roman" w:hAnsi="Times New Roman" w:cs="Times New Roman"/>
          <w:sz w:val="24"/>
          <w:szCs w:val="24"/>
        </w:rPr>
        <w:t>et køretøj afgiver unødig støj</w:t>
      </w:r>
      <w:r w:rsidRPr="003A4494">
        <w:rPr>
          <w:rFonts w:ascii="Times New Roman" w:hAnsi="Times New Roman" w:cs="Times New Roman"/>
          <w:sz w:val="24"/>
          <w:szCs w:val="24"/>
        </w:rPr>
        <w:t xml:space="preserve">, henvises til bemærkningerne til lovforslagets § 1, nr. </w:t>
      </w:r>
      <w:r w:rsidR="00F50CB7">
        <w:rPr>
          <w:rFonts w:ascii="Times New Roman" w:hAnsi="Times New Roman" w:cs="Times New Roman"/>
          <w:sz w:val="24"/>
          <w:szCs w:val="24"/>
        </w:rPr>
        <w:t>3 (§ 118, stk. 8)</w:t>
      </w:r>
      <w:r w:rsidRPr="003A4494">
        <w:rPr>
          <w:rFonts w:ascii="Times New Roman" w:hAnsi="Times New Roman" w:cs="Times New Roman"/>
          <w:sz w:val="24"/>
          <w:szCs w:val="24"/>
        </w:rPr>
        <w:t>.</w:t>
      </w:r>
    </w:p>
    <w:p w:rsidR="00EC5BE4" w:rsidRPr="00894519" w:rsidRDefault="00E51A0B" w:rsidP="005914F9">
      <w:pPr>
        <w:pStyle w:val="Normal-medluft"/>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For så vidt angår retningslinjerne for bødeudmålingen henvises til pkt. 2.1.2 i lovforslagets almindelige bemærkninger.</w:t>
      </w:r>
    </w:p>
    <w:p w:rsidR="00EC5BE4" w:rsidRPr="00957B2B" w:rsidRDefault="00EC5BE4" w:rsidP="00EC5BE4">
      <w:pPr>
        <w:spacing w:line="240" w:lineRule="auto"/>
        <w:rPr>
          <w:rFonts w:ascii="Times New Roman" w:eastAsia="Times New Roman" w:hAnsi="Times New Roman" w:cs="Times New Roman"/>
          <w:b/>
          <w:color w:val="000000"/>
          <w:sz w:val="24"/>
          <w:szCs w:val="24"/>
          <w:lang w:eastAsia="da-DK"/>
        </w:rPr>
      </w:pPr>
      <w:r w:rsidRPr="00957B2B">
        <w:rPr>
          <w:rFonts w:ascii="Times New Roman" w:eastAsia="Times New Roman" w:hAnsi="Times New Roman" w:cs="Times New Roman"/>
          <w:b/>
          <w:color w:val="auto"/>
          <w:sz w:val="24"/>
          <w:szCs w:val="24"/>
          <w:lang w:eastAsia="da-DK"/>
        </w:rPr>
        <w:t xml:space="preserve">3. </w:t>
      </w:r>
      <w:r w:rsidRPr="00957B2B">
        <w:rPr>
          <w:rFonts w:ascii="Times New Roman" w:eastAsia="Times New Roman" w:hAnsi="Times New Roman" w:cs="Times New Roman"/>
          <w:b/>
          <w:color w:val="000000"/>
          <w:sz w:val="24"/>
          <w:szCs w:val="24"/>
          <w:lang w:eastAsia="da-DK"/>
        </w:rPr>
        <w:t>Økonomiske konsekvenser og implementeringskonsekvenser for det offentlige</w:t>
      </w:r>
    </w:p>
    <w:p w:rsidR="005914F9" w:rsidRDefault="005914F9" w:rsidP="00EC5BE4">
      <w:pPr>
        <w:spacing w:line="240" w:lineRule="auto"/>
        <w:rPr>
          <w:sz w:val="22"/>
          <w:szCs w:val="22"/>
        </w:rPr>
      </w:pPr>
    </w:p>
    <w:p w:rsidR="00EC5BE4" w:rsidRPr="00A85E98" w:rsidRDefault="00EC5BE4" w:rsidP="00957B2B">
      <w:pPr>
        <w:rPr>
          <w:rFonts w:ascii="Times New Roman" w:hAnsi="Times New Roman" w:cs="Times New Roman"/>
          <w:sz w:val="24"/>
          <w:szCs w:val="24"/>
        </w:rPr>
      </w:pPr>
      <w:r w:rsidRPr="00A85E98">
        <w:rPr>
          <w:rFonts w:ascii="Times New Roman" w:hAnsi="Times New Roman" w:cs="Times New Roman"/>
          <w:sz w:val="24"/>
          <w:szCs w:val="24"/>
        </w:rPr>
        <w:t xml:space="preserve">Lovforslaget vurderes ikke at have økonomiske konsekvenser for </w:t>
      </w:r>
      <w:r>
        <w:rPr>
          <w:rFonts w:ascii="Times New Roman" w:hAnsi="Times New Roman" w:cs="Times New Roman"/>
          <w:sz w:val="24"/>
          <w:szCs w:val="24"/>
        </w:rPr>
        <w:t xml:space="preserve">stat, </w:t>
      </w:r>
      <w:r w:rsidRPr="00A85E98">
        <w:rPr>
          <w:rFonts w:ascii="Times New Roman" w:hAnsi="Times New Roman" w:cs="Times New Roman"/>
          <w:sz w:val="24"/>
          <w:szCs w:val="24"/>
        </w:rPr>
        <w:t xml:space="preserve">regioner og kommuner. </w:t>
      </w:r>
      <w:r>
        <w:rPr>
          <w:rFonts w:ascii="Times New Roman" w:hAnsi="Times New Roman" w:cs="Times New Roman"/>
          <w:sz w:val="24"/>
          <w:szCs w:val="24"/>
        </w:rPr>
        <w:t>Lovforslaget indebærer ikke IT-</w:t>
      </w:r>
      <w:proofErr w:type="spellStart"/>
      <w:r>
        <w:rPr>
          <w:rFonts w:ascii="Times New Roman" w:hAnsi="Times New Roman" w:cs="Times New Roman"/>
          <w:sz w:val="24"/>
          <w:szCs w:val="24"/>
        </w:rPr>
        <w:t>mæssige</w:t>
      </w:r>
      <w:proofErr w:type="spellEnd"/>
      <w:r>
        <w:rPr>
          <w:rFonts w:ascii="Times New Roman" w:hAnsi="Times New Roman" w:cs="Times New Roman"/>
          <w:sz w:val="24"/>
          <w:szCs w:val="24"/>
        </w:rPr>
        <w:t xml:space="preserve"> implikationer for det offentlige.</w:t>
      </w:r>
    </w:p>
    <w:p w:rsidR="00EC5BE4" w:rsidRPr="00894519" w:rsidRDefault="00EC5BE4" w:rsidP="00EC5BE4">
      <w:pPr>
        <w:spacing w:line="240" w:lineRule="auto"/>
        <w:rPr>
          <w:rFonts w:ascii="Times New Roman" w:eastAsia="Times New Roman" w:hAnsi="Times New Roman" w:cs="Times New Roman"/>
          <w:color w:val="auto"/>
          <w:sz w:val="24"/>
          <w:szCs w:val="24"/>
          <w:lang w:eastAsia="da-DK"/>
        </w:rPr>
      </w:pPr>
    </w:p>
    <w:p w:rsidR="00EC5BE4" w:rsidRPr="00957B2B" w:rsidRDefault="00EC5BE4" w:rsidP="00EC5BE4">
      <w:pPr>
        <w:spacing w:line="240" w:lineRule="auto"/>
        <w:rPr>
          <w:rFonts w:ascii="Times New Roman" w:eastAsia="Times New Roman" w:hAnsi="Times New Roman" w:cs="Times New Roman"/>
          <w:b/>
          <w:color w:val="auto"/>
          <w:sz w:val="24"/>
          <w:szCs w:val="24"/>
          <w:lang w:eastAsia="da-DK"/>
        </w:rPr>
      </w:pPr>
      <w:r w:rsidRPr="00957B2B">
        <w:rPr>
          <w:rFonts w:ascii="Times New Roman" w:eastAsia="Times New Roman" w:hAnsi="Times New Roman" w:cs="Times New Roman"/>
          <w:b/>
          <w:color w:val="auto"/>
          <w:sz w:val="24"/>
          <w:szCs w:val="24"/>
          <w:lang w:eastAsia="da-DK"/>
        </w:rPr>
        <w:t xml:space="preserve">4. </w:t>
      </w:r>
      <w:r w:rsidRPr="00957B2B">
        <w:rPr>
          <w:rFonts w:ascii="Times New Roman" w:eastAsia="Times New Roman" w:hAnsi="Times New Roman" w:cs="Times New Roman"/>
          <w:b/>
          <w:color w:val="000000"/>
          <w:sz w:val="24"/>
          <w:szCs w:val="24"/>
          <w:lang w:eastAsia="da-DK"/>
        </w:rPr>
        <w:t>Administrative konsekvenser for erhvervslivet m.v.</w:t>
      </w:r>
    </w:p>
    <w:p w:rsidR="00EC5BE4" w:rsidRDefault="00EC5BE4" w:rsidP="00957B2B">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vurderes ikke at have økonomiske eller administrative konsekvenser for erhvervslivet. Principperne for agil lovgivning er ikke relevante for lovforslaget, da lovforslaget ikke omhandler forretningsmodeller</w:t>
      </w:r>
      <w:r w:rsidR="00D5248B">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 xml:space="preserve"> innovation </w:t>
      </w:r>
      <w:r w:rsidR="00D5248B">
        <w:rPr>
          <w:rFonts w:ascii="Times New Roman" w:eastAsia="Times New Roman" w:hAnsi="Times New Roman" w:cs="Times New Roman"/>
          <w:color w:val="auto"/>
          <w:sz w:val="24"/>
          <w:szCs w:val="24"/>
          <w:lang w:eastAsia="da-DK"/>
        </w:rPr>
        <w:t>eller</w:t>
      </w:r>
      <w:r>
        <w:rPr>
          <w:rFonts w:ascii="Times New Roman" w:eastAsia="Times New Roman" w:hAnsi="Times New Roman" w:cs="Times New Roman"/>
          <w:color w:val="auto"/>
          <w:sz w:val="24"/>
          <w:szCs w:val="24"/>
          <w:lang w:eastAsia="da-DK"/>
        </w:rPr>
        <w:t xml:space="preserve"> særlige teknologier.</w:t>
      </w:r>
    </w:p>
    <w:p w:rsidR="00EC5BE4" w:rsidRPr="00957B2B" w:rsidRDefault="00EC5BE4" w:rsidP="00EC5BE4">
      <w:pPr>
        <w:spacing w:before="100" w:beforeAutospacing="1" w:line="240" w:lineRule="auto"/>
        <w:rPr>
          <w:rFonts w:ascii="Times New Roman" w:eastAsia="Times New Roman" w:hAnsi="Times New Roman" w:cs="Times New Roman"/>
          <w:b/>
          <w:color w:val="auto"/>
          <w:sz w:val="24"/>
          <w:szCs w:val="24"/>
          <w:lang w:eastAsia="da-DK"/>
        </w:rPr>
      </w:pPr>
      <w:r w:rsidRPr="00957B2B">
        <w:rPr>
          <w:rFonts w:ascii="Times New Roman" w:eastAsia="Times New Roman" w:hAnsi="Times New Roman" w:cs="Times New Roman"/>
          <w:b/>
          <w:iCs/>
          <w:color w:val="auto"/>
          <w:sz w:val="24"/>
          <w:szCs w:val="24"/>
          <w:lang w:eastAsia="da-DK"/>
        </w:rPr>
        <w:t>5.</w:t>
      </w:r>
      <w:r w:rsidRPr="00957B2B">
        <w:rPr>
          <w:rFonts w:ascii="Times New Roman" w:eastAsia="Times New Roman" w:hAnsi="Times New Roman" w:cs="Times New Roman"/>
          <w:b/>
          <w:color w:val="auto"/>
          <w:sz w:val="24"/>
          <w:szCs w:val="24"/>
          <w:lang w:eastAsia="da-DK"/>
        </w:rPr>
        <w:t xml:space="preserve"> </w:t>
      </w:r>
      <w:r w:rsidRPr="00957B2B">
        <w:rPr>
          <w:rFonts w:ascii="Times New Roman" w:eastAsia="Times New Roman" w:hAnsi="Times New Roman" w:cs="Times New Roman"/>
          <w:b/>
          <w:color w:val="000000"/>
          <w:sz w:val="24"/>
          <w:szCs w:val="24"/>
          <w:lang w:eastAsia="da-DK"/>
        </w:rPr>
        <w:t>Administrative konsekvenser for borgerne</w:t>
      </w:r>
    </w:p>
    <w:p w:rsidR="00EC5BE4" w:rsidRPr="00894519" w:rsidRDefault="00EC5BE4" w:rsidP="00EC5BE4">
      <w:pPr>
        <w:spacing w:before="100" w:beforeAutospacing="1" w:line="240" w:lineRule="auto"/>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color w:val="000000"/>
          <w:sz w:val="24"/>
          <w:szCs w:val="24"/>
          <w:lang w:eastAsia="da-DK"/>
        </w:rPr>
        <w:t xml:space="preserve">Lovforslaget har ikke </w:t>
      </w:r>
      <w:r>
        <w:rPr>
          <w:rFonts w:ascii="Times New Roman" w:eastAsia="Times New Roman" w:hAnsi="Times New Roman" w:cs="Times New Roman"/>
          <w:color w:val="000000"/>
          <w:sz w:val="24"/>
          <w:szCs w:val="24"/>
          <w:lang w:eastAsia="da-DK"/>
        </w:rPr>
        <w:t>administrative</w:t>
      </w:r>
      <w:r w:rsidRPr="00894519">
        <w:rPr>
          <w:rFonts w:ascii="Times New Roman" w:eastAsia="Times New Roman" w:hAnsi="Times New Roman" w:cs="Times New Roman"/>
          <w:color w:val="000000"/>
          <w:sz w:val="24"/>
          <w:szCs w:val="24"/>
          <w:lang w:eastAsia="da-DK"/>
        </w:rPr>
        <w:t xml:space="preserve"> konsekvenser</w:t>
      </w:r>
      <w:r>
        <w:rPr>
          <w:rFonts w:ascii="Times New Roman" w:eastAsia="Times New Roman" w:hAnsi="Times New Roman" w:cs="Times New Roman"/>
          <w:color w:val="000000"/>
          <w:sz w:val="24"/>
          <w:szCs w:val="24"/>
          <w:lang w:eastAsia="da-DK"/>
        </w:rPr>
        <w:t xml:space="preserve"> for borgerne</w:t>
      </w:r>
      <w:r w:rsidRPr="00894519">
        <w:rPr>
          <w:rFonts w:ascii="Times New Roman" w:eastAsia="Times New Roman" w:hAnsi="Times New Roman" w:cs="Times New Roman"/>
          <w:color w:val="000000"/>
          <w:sz w:val="24"/>
          <w:szCs w:val="24"/>
          <w:lang w:eastAsia="da-DK"/>
        </w:rPr>
        <w:t>.</w:t>
      </w:r>
    </w:p>
    <w:p w:rsidR="00EC5BE4" w:rsidRPr="00957B2B" w:rsidRDefault="00EC5BE4" w:rsidP="00EC5BE4">
      <w:pPr>
        <w:spacing w:before="100" w:beforeAutospacing="1" w:line="240" w:lineRule="auto"/>
        <w:rPr>
          <w:rFonts w:ascii="Times New Roman" w:eastAsia="Times New Roman" w:hAnsi="Times New Roman" w:cs="Times New Roman"/>
          <w:b/>
          <w:iCs/>
          <w:color w:val="auto"/>
          <w:sz w:val="24"/>
          <w:szCs w:val="24"/>
          <w:lang w:eastAsia="da-DK"/>
        </w:rPr>
      </w:pPr>
      <w:r w:rsidRPr="00957B2B">
        <w:rPr>
          <w:rFonts w:ascii="Times New Roman" w:eastAsia="Times New Roman" w:hAnsi="Times New Roman" w:cs="Times New Roman"/>
          <w:b/>
          <w:iCs/>
          <w:color w:val="auto"/>
          <w:sz w:val="24"/>
          <w:szCs w:val="24"/>
          <w:lang w:eastAsia="da-DK"/>
        </w:rPr>
        <w:t>6. Miljømæssige konsekvenser</w:t>
      </w:r>
    </w:p>
    <w:p w:rsidR="00EC5BE4" w:rsidRDefault="00EC5BE4" w:rsidP="00957B2B">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vurderes ikke at have miljømæssige konsekvenser</w:t>
      </w:r>
      <w:r w:rsidR="002D60F4">
        <w:rPr>
          <w:rFonts w:ascii="Times New Roman" w:eastAsia="Times New Roman" w:hAnsi="Times New Roman" w:cs="Times New Roman"/>
          <w:color w:val="auto"/>
          <w:sz w:val="24"/>
          <w:szCs w:val="24"/>
          <w:lang w:eastAsia="da-DK"/>
        </w:rPr>
        <w:t xml:space="preserve"> for så vidt angår lovforslagets forhøjelse af bødeniveauet for alvorlig</w:t>
      </w:r>
      <w:r w:rsidR="008464FC">
        <w:rPr>
          <w:rFonts w:ascii="Times New Roman" w:eastAsia="Times New Roman" w:hAnsi="Times New Roman" w:cs="Times New Roman"/>
          <w:color w:val="auto"/>
          <w:sz w:val="24"/>
          <w:szCs w:val="24"/>
          <w:lang w:eastAsia="da-DK"/>
        </w:rPr>
        <w:t>e</w:t>
      </w:r>
      <w:r w:rsidR="002D60F4">
        <w:rPr>
          <w:rFonts w:ascii="Times New Roman" w:eastAsia="Times New Roman" w:hAnsi="Times New Roman" w:cs="Times New Roman"/>
          <w:color w:val="auto"/>
          <w:sz w:val="24"/>
          <w:szCs w:val="24"/>
          <w:lang w:eastAsia="da-DK"/>
        </w:rPr>
        <w:t xml:space="preserve"> sikkerhedskritiske fejl og mangler på tunge køretøjer.</w:t>
      </w:r>
    </w:p>
    <w:p w:rsidR="002D60F4" w:rsidRDefault="002D60F4" w:rsidP="00957B2B">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For så vidt angår lovforslagets forhøjelse af bødeniveauet for motordrevne køretøjers afgivelse af ulovlig støj, vurderes lovfor</w:t>
      </w:r>
      <w:r w:rsidR="008B6790">
        <w:rPr>
          <w:rFonts w:ascii="Times New Roman" w:eastAsia="Times New Roman" w:hAnsi="Times New Roman" w:cs="Times New Roman"/>
          <w:color w:val="auto"/>
          <w:sz w:val="24"/>
          <w:szCs w:val="24"/>
          <w:lang w:eastAsia="da-DK"/>
        </w:rPr>
        <w:t xml:space="preserve">slaget </w:t>
      </w:r>
      <w:r>
        <w:rPr>
          <w:rFonts w:ascii="Times New Roman" w:eastAsia="Times New Roman" w:hAnsi="Times New Roman" w:cs="Times New Roman"/>
          <w:color w:val="auto"/>
          <w:sz w:val="24"/>
          <w:szCs w:val="24"/>
          <w:lang w:eastAsia="da-DK"/>
        </w:rPr>
        <w:t xml:space="preserve">ikke at have væsentlige miljømæssige konsekvenser. Det forventes imidlertid at medføre mindsket støj fra særligt motorcykler. Denne positive miljømæssige konsekvens vurderes dog ikke at være af væsentligt omfang, da det alene er den ulovlige støj, der ventes at blive mindsket, og da denne alene optræder punktvist i trafikken og ikke er en konstant påvirkning. </w:t>
      </w:r>
    </w:p>
    <w:p w:rsidR="00EC5BE4" w:rsidRPr="00957B2B" w:rsidRDefault="00957B2B" w:rsidP="00EC5BE4">
      <w:pPr>
        <w:spacing w:before="100" w:beforeAutospacing="1" w:line="240" w:lineRule="auto"/>
        <w:rPr>
          <w:rFonts w:ascii="Times New Roman" w:eastAsia="Times New Roman" w:hAnsi="Times New Roman" w:cs="Times New Roman"/>
          <w:b/>
          <w:iCs/>
          <w:color w:val="auto"/>
          <w:sz w:val="24"/>
          <w:szCs w:val="24"/>
          <w:lang w:eastAsia="da-DK"/>
        </w:rPr>
      </w:pPr>
      <w:r>
        <w:rPr>
          <w:rFonts w:ascii="Times New Roman" w:eastAsia="Times New Roman" w:hAnsi="Times New Roman" w:cs="Times New Roman"/>
          <w:b/>
          <w:iCs/>
          <w:color w:val="auto"/>
          <w:sz w:val="24"/>
          <w:szCs w:val="24"/>
          <w:lang w:eastAsia="da-DK"/>
        </w:rPr>
        <w:t>7</w:t>
      </w:r>
      <w:r w:rsidR="00EC5BE4" w:rsidRPr="00957B2B">
        <w:rPr>
          <w:rFonts w:ascii="Times New Roman" w:eastAsia="Times New Roman" w:hAnsi="Times New Roman" w:cs="Times New Roman"/>
          <w:b/>
          <w:iCs/>
          <w:color w:val="auto"/>
          <w:sz w:val="24"/>
          <w:szCs w:val="24"/>
          <w:lang w:eastAsia="da-DK"/>
        </w:rPr>
        <w:t>. Forholdet til EU-retten</w:t>
      </w:r>
    </w:p>
    <w:p w:rsidR="00EC5BE4" w:rsidRPr="00033BD4" w:rsidRDefault="00957B2B" w:rsidP="00EC5BE4">
      <w:pPr>
        <w:rPr>
          <w:rFonts w:ascii="Times New Roman" w:hAnsi="Times New Roman" w:cs="Times New Roman"/>
          <w:sz w:val="24"/>
          <w:szCs w:val="24"/>
        </w:rPr>
      </w:pPr>
      <w:r>
        <w:rPr>
          <w:rFonts w:ascii="Times New Roman" w:hAnsi="Times New Roman" w:cs="Times New Roman"/>
          <w:sz w:val="24"/>
          <w:szCs w:val="24"/>
        </w:rPr>
        <w:br/>
      </w:r>
      <w:r w:rsidR="00EC5BE4" w:rsidRPr="00033BD4">
        <w:rPr>
          <w:rFonts w:ascii="Times New Roman" w:hAnsi="Times New Roman" w:cs="Times New Roman"/>
          <w:sz w:val="24"/>
          <w:szCs w:val="24"/>
        </w:rPr>
        <w:t>Lovforslaget vurderes ikke at indeholde EU-retlige aspekter.</w:t>
      </w:r>
    </w:p>
    <w:p w:rsidR="00EC5BE4" w:rsidRPr="00957B2B" w:rsidRDefault="00957B2B" w:rsidP="00EC5BE4">
      <w:pPr>
        <w:spacing w:before="100" w:beforeAutospacing="1" w:line="240"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b/>
          <w:iCs/>
          <w:color w:val="auto"/>
          <w:sz w:val="24"/>
          <w:szCs w:val="24"/>
          <w:lang w:eastAsia="da-DK"/>
        </w:rPr>
        <w:t>8</w:t>
      </w:r>
      <w:r w:rsidR="00EC5BE4" w:rsidRPr="00957B2B">
        <w:rPr>
          <w:rFonts w:ascii="Times New Roman" w:eastAsia="Times New Roman" w:hAnsi="Times New Roman" w:cs="Times New Roman"/>
          <w:b/>
          <w:iCs/>
          <w:color w:val="auto"/>
          <w:sz w:val="24"/>
          <w:szCs w:val="24"/>
          <w:lang w:eastAsia="da-DK"/>
        </w:rPr>
        <w:t xml:space="preserve">. </w:t>
      </w:r>
      <w:r w:rsidR="00EC5BE4" w:rsidRPr="00957B2B">
        <w:rPr>
          <w:rFonts w:ascii="Times New Roman" w:eastAsia="Times New Roman" w:hAnsi="Times New Roman" w:cs="Times New Roman"/>
          <w:b/>
          <w:color w:val="auto"/>
          <w:sz w:val="24"/>
          <w:szCs w:val="24"/>
          <w:lang w:eastAsia="da-DK"/>
        </w:rPr>
        <w:t>Hørte myndigheder og organisationer</w:t>
      </w:r>
    </w:p>
    <w:p w:rsidR="00EB268E" w:rsidRDefault="00EC5BE4" w:rsidP="00EC5BE4">
      <w:pPr>
        <w:spacing w:before="100" w:beforeAutospacing="1"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000000"/>
          <w:sz w:val="24"/>
          <w:szCs w:val="24"/>
        </w:rPr>
        <w:lastRenderedPageBreak/>
        <w:t>Et udkast til lovforslag har i perioden fra</w:t>
      </w:r>
      <w:r w:rsidRPr="00E77FF9">
        <w:rPr>
          <w:rFonts w:ascii="Times New Roman" w:eastAsia="Times New Roman" w:hAnsi="Times New Roman" w:cs="Times New Roman"/>
          <w:color w:val="000000"/>
          <w:sz w:val="24"/>
          <w:szCs w:val="24"/>
        </w:rPr>
        <w:t xml:space="preserve"> den </w:t>
      </w:r>
      <w:r w:rsidR="007F78BA">
        <w:rPr>
          <w:rFonts w:ascii="Times New Roman" w:eastAsia="Times New Roman" w:hAnsi="Times New Roman" w:cs="Times New Roman"/>
          <w:color w:val="000000"/>
          <w:sz w:val="24"/>
          <w:szCs w:val="24"/>
        </w:rPr>
        <w:t>19. december 2018</w:t>
      </w:r>
      <w:r w:rsidRPr="00E77FF9">
        <w:rPr>
          <w:rFonts w:ascii="Times New Roman" w:eastAsia="Times New Roman" w:hAnsi="Times New Roman" w:cs="Times New Roman"/>
          <w:color w:val="auto"/>
          <w:sz w:val="24"/>
          <w:szCs w:val="24"/>
          <w:lang w:eastAsia="da-DK"/>
        </w:rPr>
        <w:t xml:space="preserve"> til den </w:t>
      </w:r>
      <w:r w:rsidR="007F78BA">
        <w:rPr>
          <w:rFonts w:ascii="Times New Roman" w:eastAsia="Times New Roman" w:hAnsi="Times New Roman" w:cs="Times New Roman"/>
          <w:color w:val="auto"/>
          <w:sz w:val="24"/>
          <w:szCs w:val="24"/>
          <w:lang w:eastAsia="da-DK"/>
        </w:rPr>
        <w:t>22. januar 2019</w:t>
      </w:r>
      <w:r>
        <w:rPr>
          <w:rFonts w:ascii="Times New Roman" w:eastAsia="Times New Roman" w:hAnsi="Times New Roman" w:cs="Times New Roman"/>
          <w:color w:val="auto"/>
          <w:sz w:val="24"/>
          <w:szCs w:val="24"/>
          <w:lang w:eastAsia="da-DK"/>
        </w:rPr>
        <w:t xml:space="preserve"> været sendt i høring hos følgende organisationer m.v</w:t>
      </w:r>
      <w:r w:rsidRPr="00E77FF9">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w:t>
      </w:r>
      <w:bookmarkStart w:id="0" w:name="_GoBack"/>
      <w:bookmarkEnd w:id="0"/>
    </w:p>
    <w:p w:rsidR="00EB268E" w:rsidRPr="00EB268E" w:rsidRDefault="00EB268E" w:rsidP="00EB268E">
      <w:pPr>
        <w:spacing w:before="100" w:beforeAutospacing="1" w:line="240" w:lineRule="auto"/>
        <w:rPr>
          <w:rFonts w:ascii="Times New Roman" w:eastAsia="Times New Roman" w:hAnsi="Times New Roman" w:cs="Times New Roman"/>
          <w:color w:val="auto"/>
          <w:sz w:val="24"/>
          <w:szCs w:val="24"/>
          <w:lang w:eastAsia="da-DK"/>
        </w:rPr>
      </w:pPr>
      <w:r w:rsidRPr="00EB268E">
        <w:rPr>
          <w:rFonts w:ascii="Times New Roman" w:eastAsia="Times New Roman" w:hAnsi="Times New Roman" w:cs="Times New Roman"/>
          <w:color w:val="auto"/>
          <w:sz w:val="24"/>
          <w:szCs w:val="24"/>
          <w:lang w:eastAsia="da-DK"/>
        </w:rPr>
        <w:t>Østre og Vestre Landsret, samtlige byretter, Advokatrådet, Autobranchen Danmark, Automobilbranchens Handels- og Industriforening, Beredskabsstyrelsen, Campingbranchen, Cyklistforbundet, Danmarks Tekniske Universitet – Institut for Transport (DTU Transport), Danmarks Motor Union, Dansk Bilbrancheråd, Dansk Bilforhandler Union, Dansk Byggeri, Dansk Metal, Dansk Erhverv, Dansk Industri (DI), Dansk Kørelærer-Union, Dansk Køreskole Forening, Dansk Standard, Dansk Transport &amp; Logistik (DTL), Danske Advokater, Danske Biludlejere, Danske Kørelæreres Landsforbund, Danske Motorcyklister, Danske Regioner, De Danske Bilimportører, Den Danske Dommerforening, Dommerfuldmægtigforeningen, Domstolsstyrelsen, Erhvervsstyrelsen, Falck Danmark A/S, Forbrugerombudsmanden, Forbrugerrådet Tænk, Forenede Danske Motorejere (FDM), Foreningen af Frie Kørelærere, Foreningen af offentlige anklagere, Forsikring &amp; Pension, Forsvarets Køreskole, Frie Danske Lastbilvognmænd (FDL), Håndværksrådet, Institut for Menneskerettigheder, International Transport Danmark (ITD), KL, Køreprøvesagkyndiges Landsforening, Landsforeningen for Forsvarsadvokater, Landdistrikternes Fællesråd, Landsforeningen Landsbyerne i Danmark, Landsforeningen af Polio Trafik- og Ulykkesskadede, Miljøstyrelsen, NOAH-Trafik, Politiforbundet i Danmark, Rigsadvokaten, Rigspolitiet, Rådet for Bæredygtig Trafik, Rådet for Sikker Trafik, Trafikforskningsgruppen ved Aalborg Universitet, Trafiksikkerheds Venner i Danmark, Transporterhvervets Uddannelser og Veteranknallertklubben Aktiv.</w:t>
      </w:r>
    </w:p>
    <w:p w:rsidR="00EC5BE4" w:rsidRPr="00957B2B" w:rsidRDefault="00957B2B" w:rsidP="00EC5BE4">
      <w:pPr>
        <w:spacing w:before="100" w:beforeAutospacing="1" w:line="240" w:lineRule="auto"/>
        <w:rPr>
          <w:rFonts w:ascii="Times New Roman" w:eastAsia="Times New Roman" w:hAnsi="Times New Roman" w:cs="Times New Roman"/>
          <w:b/>
          <w:iCs/>
          <w:color w:val="000000"/>
          <w:sz w:val="24"/>
          <w:szCs w:val="24"/>
          <w:lang w:eastAsia="da-DK"/>
        </w:rPr>
      </w:pPr>
      <w:r>
        <w:rPr>
          <w:rFonts w:ascii="Times New Roman" w:eastAsia="Times New Roman" w:hAnsi="Times New Roman" w:cs="Times New Roman"/>
          <w:b/>
          <w:iCs/>
          <w:color w:val="000000"/>
          <w:sz w:val="24"/>
          <w:szCs w:val="24"/>
          <w:lang w:eastAsia="da-DK"/>
        </w:rPr>
        <w:t>9</w:t>
      </w:r>
      <w:r w:rsidR="00EC5BE4" w:rsidRPr="00957B2B">
        <w:rPr>
          <w:rFonts w:ascii="Times New Roman" w:eastAsia="Times New Roman" w:hAnsi="Times New Roman" w:cs="Times New Roman"/>
          <w:b/>
          <w:iCs/>
          <w:color w:val="000000"/>
          <w:sz w:val="24"/>
          <w:szCs w:val="24"/>
          <w:lang w:eastAsia="da-DK"/>
        </w:rPr>
        <w:t>. Sammenfattende skema</w:t>
      </w:r>
    </w:p>
    <w:p w:rsidR="00EC5BE4" w:rsidRDefault="00EC5BE4" w:rsidP="00EC5BE4">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894519">
        <w:rPr>
          <w:rFonts w:ascii="Times New Roman" w:eastAsia="Times New Roman" w:hAnsi="Times New Roman" w:cs="Times New Roman"/>
          <w:b/>
          <w:color w:val="auto"/>
          <w:sz w:val="24"/>
          <w:szCs w:val="24"/>
          <w:lang w:eastAsia="da-DK"/>
        </w:rPr>
        <w:t>Samlet vurdering af konsekvenser af lovforslaget</w:t>
      </w:r>
    </w:p>
    <w:tbl>
      <w:tblPr>
        <w:tblStyle w:val="Tabel-Gitter"/>
        <w:tblpPr w:leftFromText="141" w:rightFromText="141" w:vertAnchor="text" w:horzAnchor="margin" w:tblpY="411"/>
        <w:tblW w:w="9780" w:type="dxa"/>
        <w:tblLook w:val="04A0" w:firstRow="1" w:lastRow="0" w:firstColumn="1" w:lastColumn="0" w:noHBand="0" w:noVBand="1"/>
      </w:tblPr>
      <w:tblGrid>
        <w:gridCol w:w="3085"/>
        <w:gridCol w:w="3119"/>
        <w:gridCol w:w="3576"/>
      </w:tblGrid>
      <w:tr w:rsidR="00EC5BE4" w:rsidRPr="00E77FF9" w:rsidTr="00F9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hideMark/>
          </w:tcPr>
          <w:p w:rsidR="00EC5BE4" w:rsidRPr="00E77FF9" w:rsidRDefault="00EC5BE4" w:rsidP="00F91FCB">
            <w:pPr>
              <w:spacing w:before="100" w:beforeAutospacing="1" w:after="119" w:line="240" w:lineRule="auto"/>
              <w:ind w:firstLine="170"/>
              <w:rPr>
                <w:rFonts w:ascii="Times New Roman" w:eastAsia="Times New Roman" w:hAnsi="Times New Roman" w:cs="Times New Roman"/>
                <w:color w:val="auto"/>
                <w:sz w:val="24"/>
                <w:szCs w:val="24"/>
              </w:rPr>
            </w:pPr>
          </w:p>
        </w:tc>
        <w:tc>
          <w:tcPr>
            <w:tcW w:w="3119" w:type="dxa"/>
            <w:hideMark/>
          </w:tcPr>
          <w:p w:rsidR="00EC5BE4" w:rsidRPr="00E77FF9" w:rsidRDefault="00EC5BE4" w:rsidP="00F91FCB">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77FF9">
              <w:rPr>
                <w:rFonts w:eastAsia="Times New Roman"/>
              </w:rPr>
              <w:t>Positive konsekvenser/mindre udgifter</w:t>
            </w:r>
            <w:r>
              <w:rPr>
                <w:rFonts w:eastAsia="Times New Roman"/>
              </w:rPr>
              <w:t xml:space="preserve"> (hvis ja, angiv omfang)</w:t>
            </w:r>
          </w:p>
        </w:tc>
        <w:tc>
          <w:tcPr>
            <w:tcW w:w="3576" w:type="dxa"/>
            <w:hideMark/>
          </w:tcPr>
          <w:p w:rsidR="00EC5BE4" w:rsidRPr="00E77FF9" w:rsidRDefault="00EC5BE4" w:rsidP="00F91FCB">
            <w:pP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rPr>
              <w:t xml:space="preserve">Negative </w:t>
            </w:r>
            <w:r w:rsidRPr="00E77FF9">
              <w:rPr>
                <w:rFonts w:eastAsia="Times New Roman"/>
              </w:rPr>
              <w:t>konsekvenser/merudgifter</w:t>
            </w:r>
            <w:r>
              <w:rPr>
                <w:rFonts w:eastAsia="Times New Roman"/>
              </w:rPr>
              <w:t xml:space="preserve"> (hvis ja, angiv omfang)</w:t>
            </w:r>
          </w:p>
        </w:tc>
      </w:tr>
      <w:tr w:rsidR="00EC5BE4" w:rsidRPr="00E77FF9" w:rsidTr="00F91FCB">
        <w:tc>
          <w:tcPr>
            <w:cnfStyle w:val="001000000000" w:firstRow="0" w:lastRow="0" w:firstColumn="1" w:lastColumn="0" w:oddVBand="0" w:evenVBand="0" w:oddHBand="0" w:evenHBand="0" w:firstRowFirstColumn="0" w:firstRowLastColumn="0" w:lastRowFirstColumn="0" w:lastRowLastColumn="0"/>
            <w:tcW w:w="3085" w:type="dxa"/>
            <w:hideMark/>
          </w:tcPr>
          <w:p w:rsidR="00EC5BE4" w:rsidRPr="00E77FF9" w:rsidRDefault="00EC5BE4" w:rsidP="00F91FCB">
            <w:pPr>
              <w:rPr>
                <w:rFonts w:eastAsia="Times New Roman"/>
              </w:rPr>
            </w:pPr>
            <w:r w:rsidRPr="00E77FF9">
              <w:rPr>
                <w:rFonts w:eastAsia="Times New Roman"/>
              </w:rPr>
              <w:t>Økonomiske konsekvenser for stat, kommuner og regioner</w:t>
            </w:r>
          </w:p>
        </w:tc>
        <w:tc>
          <w:tcPr>
            <w:tcW w:w="3119" w:type="dxa"/>
            <w:hideMark/>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hideMark/>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EC5BE4" w:rsidRPr="00E77FF9" w:rsidTr="00F91FCB">
        <w:tc>
          <w:tcPr>
            <w:cnfStyle w:val="001000000000" w:firstRow="0" w:lastRow="0" w:firstColumn="1" w:lastColumn="0" w:oddVBand="0" w:evenVBand="0" w:oddHBand="0" w:evenHBand="0" w:firstRowFirstColumn="0" w:firstRowLastColumn="0" w:lastRowFirstColumn="0" w:lastRowLastColumn="0"/>
            <w:tcW w:w="3085" w:type="dxa"/>
          </w:tcPr>
          <w:p w:rsidR="00EC5BE4" w:rsidRPr="00E77FF9" w:rsidRDefault="00EC5BE4" w:rsidP="00F91FCB">
            <w:pPr>
              <w:rPr>
                <w:rFonts w:eastAsia="Times New Roman"/>
              </w:rPr>
            </w:pPr>
            <w:r>
              <w:rPr>
                <w:rFonts w:eastAsia="Times New Roman"/>
              </w:rPr>
              <w:t>Implementeringskonsekvenser</w:t>
            </w:r>
            <w:r w:rsidRPr="00E77FF9">
              <w:rPr>
                <w:rFonts w:eastAsia="Times New Roman"/>
              </w:rPr>
              <w:t xml:space="preserve"> for stat, kommuner og regioner</w:t>
            </w:r>
          </w:p>
        </w:tc>
        <w:tc>
          <w:tcPr>
            <w:tcW w:w="3119"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Ingen</w:t>
            </w:r>
          </w:p>
        </w:tc>
        <w:tc>
          <w:tcPr>
            <w:tcW w:w="3576"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EC5BE4" w:rsidRPr="00E77FF9" w:rsidTr="00F91FCB">
        <w:tc>
          <w:tcPr>
            <w:cnfStyle w:val="001000000000" w:firstRow="0" w:lastRow="0" w:firstColumn="1" w:lastColumn="0" w:oddVBand="0" w:evenVBand="0" w:oddHBand="0" w:evenHBand="0" w:firstRowFirstColumn="0" w:firstRowLastColumn="0" w:lastRowFirstColumn="0" w:lastRowLastColumn="0"/>
            <w:tcW w:w="3085" w:type="dxa"/>
            <w:hideMark/>
          </w:tcPr>
          <w:p w:rsidR="00EC5BE4" w:rsidRPr="00E77FF9" w:rsidRDefault="00EC5BE4" w:rsidP="00F91FCB">
            <w:pPr>
              <w:rPr>
                <w:rFonts w:eastAsia="Times New Roman"/>
                <w:color w:val="auto"/>
              </w:rPr>
            </w:pPr>
            <w:r w:rsidRPr="00E77FF9">
              <w:rPr>
                <w:rFonts w:eastAsia="Times New Roman"/>
              </w:rPr>
              <w:t>Økonomiske konsekvenser for erhvervslivet</w:t>
            </w:r>
          </w:p>
        </w:tc>
        <w:tc>
          <w:tcPr>
            <w:tcW w:w="3119" w:type="dxa"/>
            <w:hideMark/>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hideMark/>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EC5BE4" w:rsidRPr="00E77FF9" w:rsidTr="00F91FCB">
        <w:tc>
          <w:tcPr>
            <w:cnfStyle w:val="001000000000" w:firstRow="0" w:lastRow="0" w:firstColumn="1" w:lastColumn="0" w:oddVBand="0" w:evenVBand="0" w:oddHBand="0" w:evenHBand="0" w:firstRowFirstColumn="0" w:firstRowLastColumn="0" w:lastRowFirstColumn="0" w:lastRowLastColumn="0"/>
            <w:tcW w:w="3085" w:type="dxa"/>
          </w:tcPr>
          <w:p w:rsidR="00EC5BE4" w:rsidRPr="00E77FF9" w:rsidRDefault="00EC5BE4" w:rsidP="00F91FCB">
            <w:pPr>
              <w:rPr>
                <w:rFonts w:eastAsia="Times New Roman"/>
              </w:rPr>
            </w:pPr>
            <w:r w:rsidRPr="00E77FF9">
              <w:rPr>
                <w:rFonts w:eastAsia="Times New Roman"/>
              </w:rPr>
              <w:t>Administrative konsekvenser for erhvervslivet</w:t>
            </w:r>
          </w:p>
        </w:tc>
        <w:tc>
          <w:tcPr>
            <w:tcW w:w="3119"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EC5BE4" w:rsidRPr="00E77FF9" w:rsidTr="00F91FCB">
        <w:tc>
          <w:tcPr>
            <w:cnfStyle w:val="001000000000" w:firstRow="0" w:lastRow="0" w:firstColumn="1" w:lastColumn="0" w:oddVBand="0" w:evenVBand="0" w:oddHBand="0" w:evenHBand="0" w:firstRowFirstColumn="0" w:firstRowLastColumn="0" w:lastRowFirstColumn="0" w:lastRowLastColumn="0"/>
            <w:tcW w:w="3085" w:type="dxa"/>
          </w:tcPr>
          <w:p w:rsidR="00EC5BE4" w:rsidRPr="00E77FF9" w:rsidRDefault="00EC5BE4" w:rsidP="00F91FCB">
            <w:pPr>
              <w:rPr>
                <w:rFonts w:eastAsia="Times New Roman"/>
              </w:rPr>
            </w:pPr>
            <w:r w:rsidRPr="00E77FF9">
              <w:rPr>
                <w:rFonts w:eastAsia="Times New Roman"/>
              </w:rPr>
              <w:t>Administrative konsekvenser for borgerne</w:t>
            </w:r>
          </w:p>
        </w:tc>
        <w:tc>
          <w:tcPr>
            <w:tcW w:w="3119"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c>
          <w:tcPr>
            <w:tcW w:w="3576" w:type="dxa"/>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Ingen</w:t>
            </w:r>
          </w:p>
        </w:tc>
      </w:tr>
      <w:tr w:rsidR="00EC5BE4" w:rsidRPr="00E77FF9" w:rsidTr="00F91FCB">
        <w:trPr>
          <w:trHeight w:val="728"/>
        </w:trPr>
        <w:tc>
          <w:tcPr>
            <w:cnfStyle w:val="001000000000" w:firstRow="0" w:lastRow="0" w:firstColumn="1" w:lastColumn="0" w:oddVBand="0" w:evenVBand="0" w:oddHBand="0" w:evenHBand="0" w:firstRowFirstColumn="0" w:firstRowLastColumn="0" w:lastRowFirstColumn="0" w:lastRowLastColumn="0"/>
            <w:tcW w:w="3085" w:type="dxa"/>
            <w:tcBorders>
              <w:bottom w:val="single" w:sz="12" w:space="0" w:color="auto"/>
            </w:tcBorders>
          </w:tcPr>
          <w:p w:rsidR="00EC5BE4" w:rsidRPr="00C367C5" w:rsidRDefault="00EC5BE4" w:rsidP="00F91FCB">
            <w:pPr>
              <w:rPr>
                <w:rFonts w:eastAsia="Times New Roman"/>
              </w:rPr>
            </w:pPr>
            <w:r>
              <w:rPr>
                <w:rFonts w:eastAsia="Times New Roman"/>
              </w:rPr>
              <w:t>Miljømæssige konsekvenser</w:t>
            </w:r>
          </w:p>
        </w:tc>
        <w:tc>
          <w:tcPr>
            <w:tcW w:w="3119" w:type="dxa"/>
            <w:tcBorders>
              <w:bottom w:val="single" w:sz="12" w:space="0" w:color="auto"/>
            </w:tcBorders>
          </w:tcPr>
          <w:p w:rsidR="00EC5BE4" w:rsidRPr="00E77FF9" w:rsidRDefault="00C466F9"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Lovforslaget vurderes ikke at have væsentlige miljømæssige konsekvenser. Det forventes, at lovforslaget vil medføre mindsket støj fra særligt motorcykler. Denne positive miljømæssige </w:t>
            </w:r>
            <w:r>
              <w:rPr>
                <w:rFonts w:ascii="Times New Roman" w:eastAsia="Times New Roman" w:hAnsi="Times New Roman" w:cs="Times New Roman"/>
                <w:color w:val="auto"/>
                <w:sz w:val="24"/>
                <w:szCs w:val="24"/>
              </w:rPr>
              <w:lastRenderedPageBreak/>
              <w:t>konsekvens vurderes dog ikke at være af væsentligt omfang, da det alene er den ulovlige støj, der ventes at blive mindsket, og da denne alene optræder punktvist i trafikken og ikke er en konstant påvirkning.</w:t>
            </w:r>
          </w:p>
        </w:tc>
        <w:tc>
          <w:tcPr>
            <w:tcW w:w="3576" w:type="dxa"/>
            <w:tcBorders>
              <w:bottom w:val="single" w:sz="12" w:space="0" w:color="auto"/>
            </w:tcBorders>
          </w:tcPr>
          <w:p w:rsidR="00EC5BE4" w:rsidRPr="00E77FF9" w:rsidRDefault="00EC5BE4" w:rsidP="00F91FCB">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Ingen</w:t>
            </w:r>
          </w:p>
        </w:tc>
      </w:tr>
      <w:tr w:rsidR="00EC5BE4" w:rsidRPr="00E77FF9" w:rsidTr="00F91FCB">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bottom w:val="single" w:sz="4" w:space="0" w:color="auto"/>
            </w:tcBorders>
          </w:tcPr>
          <w:p w:rsidR="00EC5BE4" w:rsidRPr="00E77FF9" w:rsidRDefault="00EC5BE4" w:rsidP="00F91FCB">
            <w:pPr>
              <w:rPr>
                <w:rFonts w:eastAsia="Times New Roman"/>
              </w:rPr>
            </w:pPr>
            <w:r w:rsidRPr="00E77FF9">
              <w:rPr>
                <w:rFonts w:eastAsia="Times New Roman"/>
              </w:rPr>
              <w:lastRenderedPageBreak/>
              <w:t>Forholdet til EU-retten</w:t>
            </w:r>
          </w:p>
        </w:tc>
        <w:tc>
          <w:tcPr>
            <w:tcW w:w="6695" w:type="dxa"/>
            <w:gridSpan w:val="2"/>
            <w:tcBorders>
              <w:top w:val="single" w:sz="12" w:space="0" w:color="auto"/>
            </w:tcBorders>
          </w:tcPr>
          <w:p w:rsidR="00EC5BE4" w:rsidRPr="00E77FF9" w:rsidRDefault="00EC5BE4" w:rsidP="00F91FCB">
            <w:pPr>
              <w:tabs>
                <w:tab w:val="left" w:pos="472"/>
              </w:tabs>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Lovforslaget indeholder ingen EU-retlige aspekter.</w:t>
            </w:r>
          </w:p>
        </w:tc>
      </w:tr>
      <w:tr w:rsidR="00EC5BE4" w:rsidRPr="00E77FF9" w:rsidTr="00F91FCB">
        <w:trPr>
          <w:trHeight w:val="728"/>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tcPr>
          <w:p w:rsidR="00EC5BE4" w:rsidRPr="00E77FF9" w:rsidRDefault="008B6790" w:rsidP="00F91FCB">
            <w:pPr>
              <w:rPr>
                <w:rFonts w:eastAsia="Times New Roman"/>
              </w:rPr>
            </w:pPr>
            <w:r>
              <w:rPr>
                <w:rFonts w:eastAsia="Times New Roman"/>
              </w:rPr>
              <w:t>Er i strid med de f</w:t>
            </w:r>
            <w:r w:rsidR="00EC5BE4">
              <w:rPr>
                <w:rFonts w:eastAsia="Times New Roman"/>
              </w:rPr>
              <w:t>em principper for implementering af erhvervsrettet EU-lovgivning/</w:t>
            </w:r>
            <w:r w:rsidR="00EC5BE4" w:rsidRPr="005B0B86">
              <w:rPr>
                <w:rFonts w:eastAsia="Times New Roman"/>
              </w:rPr>
              <w:t>Går videre end minimumskrav i EU-</w:t>
            </w:r>
            <w:r w:rsidR="00EC5BE4" w:rsidRPr="006E28F0">
              <w:rPr>
                <w:rFonts w:eastAsia="Times New Roman"/>
              </w:rPr>
              <w:t>regulering</w:t>
            </w:r>
            <w:r w:rsidR="00EC5BE4" w:rsidRPr="005B0B86">
              <w:rPr>
                <w:rFonts w:eastAsia="Times New Roman"/>
              </w:rPr>
              <w:t xml:space="preserve"> (sæt X)</w:t>
            </w:r>
          </w:p>
        </w:tc>
        <w:tc>
          <w:tcPr>
            <w:tcW w:w="3119" w:type="dxa"/>
            <w:tcBorders>
              <w:right w:val="nil"/>
            </w:tcBorders>
          </w:tcPr>
          <w:p w:rsidR="00EC5BE4" w:rsidRPr="00E77FF9" w:rsidRDefault="00EC5BE4" w:rsidP="00F91FCB">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w:t>
            </w:r>
          </w:p>
        </w:tc>
        <w:tc>
          <w:tcPr>
            <w:tcW w:w="3576" w:type="dxa"/>
            <w:tcBorders>
              <w:left w:val="nil"/>
            </w:tcBorders>
          </w:tcPr>
          <w:p w:rsidR="00EC5BE4" w:rsidRDefault="00EC5BE4" w:rsidP="00F91FCB">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NEJ</w:t>
            </w:r>
          </w:p>
          <w:p w:rsidR="00EC5BE4" w:rsidRPr="00E77FF9" w:rsidRDefault="00EC5BE4" w:rsidP="00F91FCB">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w:t>
            </w:r>
          </w:p>
        </w:tc>
      </w:tr>
    </w:tbl>
    <w:p w:rsidR="00EC5BE4" w:rsidRPr="00894519" w:rsidRDefault="00EC5BE4" w:rsidP="00EC5BE4">
      <w:pPr>
        <w:spacing w:before="100" w:beforeAutospacing="1" w:line="240" w:lineRule="auto"/>
        <w:ind w:firstLine="170"/>
        <w:jc w:val="center"/>
        <w:rPr>
          <w:rFonts w:ascii="Times New Roman" w:eastAsia="Times New Roman" w:hAnsi="Times New Roman" w:cs="Times New Roman"/>
          <w:b/>
          <w:color w:val="auto"/>
          <w:sz w:val="24"/>
          <w:szCs w:val="24"/>
          <w:lang w:eastAsia="da-DK"/>
        </w:rPr>
      </w:pPr>
    </w:p>
    <w:p w:rsidR="00EC5BE4" w:rsidRPr="00072CFA" w:rsidRDefault="00EC5BE4" w:rsidP="00EC5BE4">
      <w:pPr>
        <w:spacing w:before="100" w:beforeAutospacing="1" w:line="240" w:lineRule="auto"/>
        <w:rPr>
          <w:rFonts w:ascii="Times New Roman" w:hAnsi="Times New Roman"/>
          <w:i/>
          <w:color w:val="000000"/>
          <w:sz w:val="28"/>
        </w:rPr>
      </w:pPr>
    </w:p>
    <w:p w:rsidR="00EC5BE4" w:rsidRPr="008E4AC2" w:rsidRDefault="00EC5BE4" w:rsidP="00EC5BE4">
      <w:pPr>
        <w:spacing w:before="100" w:beforeAutospacing="1" w:line="240" w:lineRule="auto"/>
        <w:jc w:val="center"/>
        <w:rPr>
          <w:rFonts w:ascii="Times New Roman" w:eastAsia="Times New Roman" w:hAnsi="Times New Roman" w:cs="Times New Roman"/>
          <w:i/>
          <w:iCs/>
          <w:color w:val="000000"/>
          <w:sz w:val="24"/>
          <w:szCs w:val="24"/>
          <w:lang w:eastAsia="da-DK"/>
        </w:rPr>
      </w:pPr>
      <w:r w:rsidRPr="008E4AC2">
        <w:rPr>
          <w:rFonts w:ascii="Times New Roman" w:eastAsia="Times New Roman" w:hAnsi="Times New Roman" w:cs="Times New Roman"/>
          <w:i/>
          <w:iCs/>
          <w:color w:val="000000"/>
          <w:sz w:val="24"/>
          <w:szCs w:val="24"/>
          <w:lang w:eastAsia="da-DK"/>
        </w:rPr>
        <w:t xml:space="preserve">Bemærkninger til lovforslagets enkelte bestemmelser </w:t>
      </w:r>
    </w:p>
    <w:p w:rsidR="00EC5BE4" w:rsidRPr="008E4AC2" w:rsidRDefault="00EC5BE4" w:rsidP="00EC5BE4">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8E4AC2">
        <w:rPr>
          <w:rFonts w:ascii="Times New Roman" w:eastAsia="Times New Roman" w:hAnsi="Times New Roman" w:cs="Times New Roman"/>
          <w:i/>
          <w:iCs/>
          <w:color w:val="000000"/>
          <w:sz w:val="24"/>
          <w:szCs w:val="24"/>
          <w:lang w:eastAsia="da-DK"/>
        </w:rPr>
        <w:t>Til § 1</w:t>
      </w:r>
    </w:p>
    <w:p w:rsidR="00EC5BE4" w:rsidRPr="00894519" w:rsidRDefault="00EC5BE4" w:rsidP="00EC5BE4">
      <w:pPr>
        <w:spacing w:line="240" w:lineRule="auto"/>
        <w:ind w:firstLine="170"/>
        <w:rPr>
          <w:rFonts w:ascii="Times New Roman" w:eastAsia="Times New Roman" w:hAnsi="Times New Roman" w:cs="Times New Roman"/>
          <w:color w:val="000000"/>
          <w:sz w:val="24"/>
          <w:szCs w:val="24"/>
          <w:lang w:eastAsia="da-DK"/>
        </w:rPr>
      </w:pPr>
    </w:p>
    <w:p w:rsidR="00EC5BE4" w:rsidRDefault="00EC5BE4" w:rsidP="00EC5BE4">
      <w:pPr>
        <w:spacing w:line="240" w:lineRule="auto"/>
        <w:ind w:firstLine="170"/>
        <w:rPr>
          <w:rFonts w:ascii="Times New Roman" w:eastAsia="Times New Roman" w:hAnsi="Times New Roman" w:cs="Times New Roman"/>
          <w:color w:val="000000"/>
          <w:sz w:val="24"/>
          <w:szCs w:val="24"/>
          <w:lang w:eastAsia="da-DK"/>
        </w:rPr>
      </w:pPr>
    </w:p>
    <w:p w:rsidR="00EC5BE4" w:rsidRDefault="00957B2B" w:rsidP="00957B2B">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Til nr. 1</w:t>
      </w:r>
    </w:p>
    <w:p w:rsidR="00957B2B" w:rsidRDefault="00957B2B" w:rsidP="00957B2B">
      <w:pPr>
        <w:spacing w:line="240" w:lineRule="auto"/>
        <w:rPr>
          <w:rFonts w:ascii="Times New Roman" w:eastAsia="Times New Roman" w:hAnsi="Times New Roman" w:cs="Times New Roman"/>
          <w:color w:val="000000"/>
          <w:sz w:val="24"/>
          <w:szCs w:val="24"/>
          <w:lang w:eastAsia="da-DK"/>
        </w:rPr>
      </w:pPr>
    </w:p>
    <w:p w:rsidR="002D60F4" w:rsidRPr="003A4494" w:rsidRDefault="002D60F4" w:rsidP="002D60F4">
      <w:pPr>
        <w:pStyle w:val="Normal-medluft"/>
        <w:rPr>
          <w:rFonts w:ascii="Times New Roman" w:hAnsi="Times New Roman" w:cs="Times New Roman"/>
          <w:sz w:val="24"/>
          <w:szCs w:val="24"/>
        </w:rPr>
      </w:pPr>
      <w:r w:rsidRPr="003A4494">
        <w:rPr>
          <w:rFonts w:ascii="Times New Roman" w:hAnsi="Times New Roman" w:cs="Times New Roman"/>
          <w:sz w:val="24"/>
          <w:szCs w:val="24"/>
        </w:rPr>
        <w:t>Ifølge færdselslovens § 67, stk. 2, er ejeren eller den person (brugeren), som har varig rådighed over køretøjet, ansvarlig for, at køretøjet er i lovlig stand.</w:t>
      </w:r>
    </w:p>
    <w:p w:rsidR="002D60F4" w:rsidRPr="003A4494" w:rsidRDefault="002D60F4" w:rsidP="002D60F4">
      <w:pPr>
        <w:pStyle w:val="Normal-medluft"/>
        <w:rPr>
          <w:rFonts w:ascii="Times New Roman" w:hAnsi="Times New Roman" w:cs="Times New Roman"/>
          <w:sz w:val="24"/>
          <w:szCs w:val="24"/>
        </w:rPr>
      </w:pPr>
      <w:r w:rsidRPr="003A4494">
        <w:rPr>
          <w:rFonts w:ascii="Times New Roman" w:hAnsi="Times New Roman" w:cs="Times New Roman"/>
          <w:sz w:val="24"/>
          <w:szCs w:val="24"/>
        </w:rPr>
        <w:t>Bestemmelsen omhandler alene ejers og brugers ansvar. Bestemmelsen omfatter imidlertid ikke en fører, der ikke har varig rådighed over køretøjet</w:t>
      </w:r>
      <w:r>
        <w:rPr>
          <w:rFonts w:ascii="Times New Roman" w:hAnsi="Times New Roman" w:cs="Times New Roman"/>
          <w:sz w:val="24"/>
          <w:szCs w:val="24"/>
        </w:rPr>
        <w:t>, f.eks. en person, der har lånt et køretøj</w:t>
      </w:r>
      <w:r w:rsidRPr="003A4494">
        <w:rPr>
          <w:rFonts w:ascii="Times New Roman" w:hAnsi="Times New Roman" w:cs="Times New Roman"/>
          <w:sz w:val="24"/>
          <w:szCs w:val="24"/>
        </w:rPr>
        <w:t>.</w:t>
      </w:r>
    </w:p>
    <w:p w:rsidR="002D60F4" w:rsidRPr="003A4494" w:rsidRDefault="00D5248B" w:rsidP="002D60F4">
      <w:pPr>
        <w:pStyle w:val="Normal-medluft"/>
        <w:rPr>
          <w:rFonts w:ascii="Times New Roman" w:hAnsi="Times New Roman" w:cs="Times New Roman"/>
          <w:sz w:val="24"/>
          <w:szCs w:val="24"/>
        </w:rPr>
      </w:pPr>
      <w:r>
        <w:rPr>
          <w:rFonts w:ascii="Times New Roman" w:hAnsi="Times New Roman" w:cs="Times New Roman"/>
          <w:sz w:val="24"/>
          <w:szCs w:val="24"/>
        </w:rPr>
        <w:t>F</w:t>
      </w:r>
      <w:r w:rsidR="002D60F4" w:rsidRPr="003A4494">
        <w:rPr>
          <w:rFonts w:ascii="Times New Roman" w:hAnsi="Times New Roman" w:cs="Times New Roman"/>
          <w:sz w:val="24"/>
          <w:szCs w:val="24"/>
        </w:rPr>
        <w:t xml:space="preserve">ærdselslovens § 67, stk. 3, </w:t>
      </w:r>
      <w:r>
        <w:rPr>
          <w:rFonts w:ascii="Times New Roman" w:hAnsi="Times New Roman" w:cs="Times New Roman"/>
          <w:sz w:val="24"/>
          <w:szCs w:val="24"/>
        </w:rPr>
        <w:t xml:space="preserve">omhandler førerens ansvar. Efter bestemmelsen </w:t>
      </w:r>
      <w:r w:rsidR="002D60F4" w:rsidRPr="003A4494">
        <w:rPr>
          <w:rFonts w:ascii="Times New Roman" w:hAnsi="Times New Roman" w:cs="Times New Roman"/>
          <w:sz w:val="24"/>
          <w:szCs w:val="24"/>
        </w:rPr>
        <w:t>skal føreren af et køretøj til enhver tid være opmærksom på, at køretøjet og eventuelt påhængskøretøj er i forsvarlig stand, særligt at styre-, bremse-, signal- og tegngivningsapparater samt lygter virker forskriftsmæssigt og sikkert, og at tilkoblingen til eventuelt påhængskøretøj er forsvarlig. Overtrædelse af § 67, stk. 3, straffes i medfør af færdselslovens § 118, stk. 1, nr. 1, med bøde.</w:t>
      </w:r>
    </w:p>
    <w:p w:rsidR="002D60F4" w:rsidRPr="003A4494" w:rsidRDefault="002D60F4" w:rsidP="002D60F4">
      <w:pPr>
        <w:pStyle w:val="Normal-medluft"/>
        <w:rPr>
          <w:rFonts w:ascii="Times New Roman" w:hAnsi="Times New Roman" w:cs="Times New Roman"/>
          <w:sz w:val="24"/>
          <w:szCs w:val="24"/>
        </w:rPr>
      </w:pPr>
      <w:r w:rsidRPr="003A4494">
        <w:rPr>
          <w:rFonts w:ascii="Times New Roman" w:hAnsi="Times New Roman" w:cs="Times New Roman"/>
          <w:sz w:val="24"/>
          <w:szCs w:val="24"/>
        </w:rPr>
        <w:t xml:space="preserve">Bestemmelsen i § 67, stk. 3, omfatter alene forhold og tekniske indretninger, som har betydning for køretøjets forsvarlige stand, det vil sige forhold og tekniske indretninger, der har betydning for trafiksikkerheden. Føreren har således efter bestemmelsen ikke en pligt til at være opmærksom på de dele af køretøjets tekniske indretninger og udstyr, der alene har betydning for </w:t>
      </w:r>
      <w:r>
        <w:rPr>
          <w:rFonts w:ascii="Times New Roman" w:hAnsi="Times New Roman" w:cs="Times New Roman"/>
          <w:sz w:val="24"/>
          <w:szCs w:val="24"/>
        </w:rPr>
        <w:t>køretøjets støjniveau</w:t>
      </w:r>
      <w:r w:rsidRPr="003A4494">
        <w:rPr>
          <w:rFonts w:ascii="Times New Roman" w:hAnsi="Times New Roman" w:cs="Times New Roman"/>
          <w:sz w:val="24"/>
          <w:szCs w:val="24"/>
        </w:rPr>
        <w:t xml:space="preserve">. Det forhold, at en fører betjener et køretøj, selvom denne vidste eller burde vide, at </w:t>
      </w:r>
      <w:r>
        <w:rPr>
          <w:rFonts w:ascii="Times New Roman" w:hAnsi="Times New Roman" w:cs="Times New Roman"/>
          <w:sz w:val="24"/>
          <w:szCs w:val="24"/>
        </w:rPr>
        <w:t>køretøjet er i ulovlig stand for så vidt angår køretøjets afgivelse af støj</w:t>
      </w:r>
      <w:r w:rsidRPr="003A4494">
        <w:rPr>
          <w:rFonts w:ascii="Times New Roman" w:hAnsi="Times New Roman" w:cs="Times New Roman"/>
          <w:sz w:val="24"/>
          <w:szCs w:val="24"/>
        </w:rPr>
        <w:t>, vil derfor ikke udgøre en overtrædelse af § 67, stk. 3.</w:t>
      </w:r>
    </w:p>
    <w:p w:rsidR="002D60F4" w:rsidRDefault="002D60F4" w:rsidP="002D60F4">
      <w:pPr>
        <w:pStyle w:val="Normal-medluft"/>
        <w:rPr>
          <w:rFonts w:ascii="Times New Roman" w:hAnsi="Times New Roman" w:cs="Times New Roman"/>
          <w:sz w:val="24"/>
          <w:szCs w:val="24"/>
        </w:rPr>
      </w:pPr>
      <w:r>
        <w:rPr>
          <w:rFonts w:ascii="Times New Roman" w:hAnsi="Times New Roman" w:cs="Times New Roman"/>
          <w:sz w:val="24"/>
          <w:szCs w:val="24"/>
        </w:rPr>
        <w:lastRenderedPageBreak/>
        <w:t xml:space="preserve">Det fremgår af færdselslovens § 67, stk. 4, at føreren af et motordrevet køretøj til enhver tid skal være opmærksom på, at køretøjet er i lovlig stand for så vidt angår forhold ved køretøjets motor og køretøjets forureningsbegrænsende udstyr, der har betydning for det motordrevne køretøjs udledning af luftforurenende stoffer. </w:t>
      </w:r>
    </w:p>
    <w:p w:rsidR="002D60F4" w:rsidRDefault="002D60F4" w:rsidP="002D60F4">
      <w:pPr>
        <w:pStyle w:val="Normal-medluft"/>
        <w:rPr>
          <w:rFonts w:ascii="Times New Roman" w:hAnsi="Times New Roman" w:cs="Times New Roman"/>
          <w:sz w:val="24"/>
          <w:szCs w:val="24"/>
        </w:rPr>
      </w:pPr>
      <w:r>
        <w:rPr>
          <w:rFonts w:ascii="Times New Roman" w:hAnsi="Times New Roman" w:cs="Times New Roman"/>
          <w:sz w:val="24"/>
          <w:szCs w:val="24"/>
        </w:rPr>
        <w:t>Bestemmelsen i stk. 4 omfatter alene</w:t>
      </w:r>
      <w:r w:rsidRPr="003A4494">
        <w:rPr>
          <w:rFonts w:ascii="Times New Roman" w:hAnsi="Times New Roman" w:cs="Times New Roman"/>
          <w:sz w:val="24"/>
          <w:szCs w:val="24"/>
        </w:rPr>
        <w:t xml:space="preserve"> </w:t>
      </w:r>
      <w:r>
        <w:rPr>
          <w:rFonts w:ascii="Times New Roman" w:hAnsi="Times New Roman" w:cs="Times New Roman"/>
          <w:sz w:val="24"/>
          <w:szCs w:val="24"/>
        </w:rPr>
        <w:t xml:space="preserve">forhold ved køretøjets motor og køretøjets forureningsbegrænsende udstyr, der har betydning for det motordrevne køretøjs udledning af luftforurenende stoffer. Førerens ansvar efter stk. 4 kan således ikke udstrækkes til at omfatte et køretøjs afgivelse af støj. </w:t>
      </w:r>
    </w:p>
    <w:p w:rsidR="002D60F4" w:rsidRDefault="002D60F4" w:rsidP="002D60F4">
      <w:pPr>
        <w:pStyle w:val="Normal-medluft"/>
        <w:rPr>
          <w:rFonts w:ascii="Times New Roman" w:hAnsi="Times New Roman" w:cs="Times New Roman"/>
          <w:sz w:val="24"/>
          <w:szCs w:val="24"/>
        </w:rPr>
      </w:pPr>
      <w:r>
        <w:rPr>
          <w:rFonts w:ascii="Times New Roman" w:hAnsi="Times New Roman" w:cs="Times New Roman"/>
          <w:sz w:val="24"/>
          <w:szCs w:val="24"/>
        </w:rPr>
        <w:t>Der henvises i øvrigt til pkt. 2.3.1 i lovforslagets almindelige bemærkninger.</w:t>
      </w:r>
    </w:p>
    <w:p w:rsidR="002D60F4" w:rsidRDefault="002D60F4" w:rsidP="002D60F4">
      <w:pPr>
        <w:pStyle w:val="Normal-medluft"/>
        <w:rPr>
          <w:rFonts w:ascii="Times New Roman" w:hAnsi="Times New Roman" w:cs="Times New Roman"/>
          <w:sz w:val="24"/>
          <w:szCs w:val="24"/>
        </w:rPr>
      </w:pPr>
      <w:r w:rsidRPr="0011246E">
        <w:rPr>
          <w:rFonts w:ascii="Times New Roman" w:hAnsi="Times New Roman" w:cs="Times New Roman"/>
          <w:sz w:val="24"/>
          <w:szCs w:val="24"/>
        </w:rPr>
        <w:t xml:space="preserve">Med den foreslåede </w:t>
      </w:r>
      <w:r>
        <w:rPr>
          <w:rFonts w:ascii="Times New Roman" w:hAnsi="Times New Roman" w:cs="Times New Roman"/>
          <w:sz w:val="24"/>
          <w:szCs w:val="24"/>
        </w:rPr>
        <w:t xml:space="preserve">bestemmelse ændres </w:t>
      </w:r>
      <w:r w:rsidRPr="0011246E">
        <w:rPr>
          <w:rFonts w:ascii="Times New Roman" w:hAnsi="Times New Roman" w:cs="Times New Roman"/>
          <w:sz w:val="24"/>
          <w:szCs w:val="24"/>
        </w:rPr>
        <w:t xml:space="preserve">færdselslovens § 67, stk. 4, </w:t>
      </w:r>
      <w:r>
        <w:rPr>
          <w:rFonts w:ascii="Times New Roman" w:hAnsi="Times New Roman" w:cs="Times New Roman"/>
          <w:sz w:val="24"/>
          <w:szCs w:val="24"/>
        </w:rPr>
        <w:t>således, at en fører også skal være opmærksom på</w:t>
      </w:r>
      <w:r w:rsidRPr="0011246E">
        <w:rPr>
          <w:rFonts w:ascii="Times New Roman" w:hAnsi="Times New Roman" w:cs="Times New Roman"/>
          <w:sz w:val="24"/>
          <w:szCs w:val="24"/>
        </w:rPr>
        <w:t>, at køretøjet</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er i lovlig stand for så vidt angår </w:t>
      </w:r>
      <w:r>
        <w:rPr>
          <w:rFonts w:ascii="Times New Roman" w:hAnsi="Times New Roman" w:cs="Times New Roman"/>
          <w:sz w:val="24"/>
          <w:szCs w:val="24"/>
        </w:rPr>
        <w:t>køretøjets afgivelse af støj.</w:t>
      </w:r>
    </w:p>
    <w:p w:rsidR="002D60F4" w:rsidRDefault="002D60F4" w:rsidP="002D60F4">
      <w:pPr>
        <w:pStyle w:val="Normal-medluft"/>
        <w:rPr>
          <w:rFonts w:ascii="Times New Roman" w:hAnsi="Times New Roman" w:cs="Times New Roman"/>
          <w:sz w:val="24"/>
          <w:szCs w:val="24"/>
        </w:rPr>
      </w:pPr>
      <w:r w:rsidRPr="0011246E">
        <w:rPr>
          <w:rFonts w:ascii="Times New Roman" w:hAnsi="Times New Roman" w:cs="Times New Roman"/>
          <w:sz w:val="24"/>
          <w:szCs w:val="24"/>
        </w:rPr>
        <w:t>Betingelsen om, at føreren ”skal være opmærksom på”,</w:t>
      </w:r>
      <w:r>
        <w:rPr>
          <w:rFonts w:ascii="Times New Roman" w:hAnsi="Times New Roman" w:cs="Times New Roman"/>
          <w:sz w:val="24"/>
          <w:szCs w:val="24"/>
        </w:rPr>
        <w:t xml:space="preserve"> </w:t>
      </w:r>
      <w:r w:rsidRPr="0011246E">
        <w:rPr>
          <w:rFonts w:ascii="Times New Roman" w:hAnsi="Times New Roman" w:cs="Times New Roman"/>
          <w:sz w:val="24"/>
          <w:szCs w:val="24"/>
        </w:rPr>
        <w:t>medfører – i lighed med formuleringen i den gældende bestemmelse</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i § 67, stk. </w:t>
      </w:r>
      <w:r>
        <w:rPr>
          <w:rFonts w:ascii="Times New Roman" w:hAnsi="Times New Roman" w:cs="Times New Roman"/>
          <w:sz w:val="24"/>
          <w:szCs w:val="24"/>
        </w:rPr>
        <w:t>4</w:t>
      </w:r>
      <w:r w:rsidRPr="0011246E">
        <w:rPr>
          <w:rFonts w:ascii="Times New Roman" w:hAnsi="Times New Roman" w:cs="Times New Roman"/>
          <w:sz w:val="24"/>
          <w:szCs w:val="24"/>
        </w:rPr>
        <w:t xml:space="preserve"> – ikke en direkte pligt for føreren til</w:t>
      </w:r>
      <w:r>
        <w:rPr>
          <w:rFonts w:ascii="Times New Roman" w:hAnsi="Times New Roman" w:cs="Times New Roman"/>
          <w:sz w:val="24"/>
          <w:szCs w:val="24"/>
        </w:rPr>
        <w:t xml:space="preserve"> </w:t>
      </w:r>
      <w:r w:rsidRPr="0011246E">
        <w:rPr>
          <w:rFonts w:ascii="Times New Roman" w:hAnsi="Times New Roman" w:cs="Times New Roman"/>
          <w:sz w:val="24"/>
          <w:szCs w:val="24"/>
        </w:rPr>
        <w:t>at foretage en mere tilbundsgående teknisk undersøgelse af</w:t>
      </w:r>
      <w:r>
        <w:rPr>
          <w:rFonts w:ascii="Times New Roman" w:hAnsi="Times New Roman" w:cs="Times New Roman"/>
          <w:sz w:val="24"/>
          <w:szCs w:val="24"/>
        </w:rPr>
        <w:t xml:space="preserve"> </w:t>
      </w:r>
      <w:r w:rsidRPr="0011246E">
        <w:rPr>
          <w:rFonts w:ascii="Times New Roman" w:hAnsi="Times New Roman" w:cs="Times New Roman"/>
          <w:sz w:val="24"/>
          <w:szCs w:val="24"/>
        </w:rPr>
        <w:t>køretøjet, som normalt alene kan udføres af en synsvirksomhed</w:t>
      </w:r>
      <w:r>
        <w:rPr>
          <w:rFonts w:ascii="Times New Roman" w:hAnsi="Times New Roman" w:cs="Times New Roman"/>
          <w:sz w:val="24"/>
          <w:szCs w:val="24"/>
        </w:rPr>
        <w:t xml:space="preserve"> </w:t>
      </w:r>
      <w:r w:rsidRPr="0011246E">
        <w:rPr>
          <w:rFonts w:ascii="Times New Roman" w:hAnsi="Times New Roman" w:cs="Times New Roman"/>
          <w:sz w:val="24"/>
          <w:szCs w:val="24"/>
        </w:rPr>
        <w:t>eller mekaniker, inden føreren sætter sig ind i køretøjet</w:t>
      </w:r>
      <w:r>
        <w:rPr>
          <w:rFonts w:ascii="Times New Roman" w:hAnsi="Times New Roman" w:cs="Times New Roman"/>
          <w:sz w:val="24"/>
          <w:szCs w:val="24"/>
        </w:rPr>
        <w:t xml:space="preserve"> og betjener det. </w:t>
      </w:r>
      <w:r w:rsidRPr="0011246E">
        <w:rPr>
          <w:rFonts w:ascii="Times New Roman" w:hAnsi="Times New Roman" w:cs="Times New Roman"/>
          <w:sz w:val="24"/>
          <w:szCs w:val="24"/>
        </w:rPr>
        <w:t>Betingelsen medfører derimod, at føreren</w:t>
      </w:r>
      <w:r>
        <w:rPr>
          <w:rFonts w:ascii="Times New Roman" w:hAnsi="Times New Roman" w:cs="Times New Roman"/>
          <w:sz w:val="24"/>
          <w:szCs w:val="24"/>
        </w:rPr>
        <w:t xml:space="preserve"> </w:t>
      </w:r>
      <w:r w:rsidRPr="0011246E">
        <w:rPr>
          <w:rFonts w:ascii="Times New Roman" w:hAnsi="Times New Roman" w:cs="Times New Roman"/>
          <w:sz w:val="24"/>
          <w:szCs w:val="24"/>
        </w:rPr>
        <w:t>ikke må benytte det pågældende køretøj, hvis føreren er vidende</w:t>
      </w:r>
      <w:r>
        <w:rPr>
          <w:rFonts w:ascii="Times New Roman" w:hAnsi="Times New Roman" w:cs="Times New Roman"/>
          <w:sz w:val="24"/>
          <w:szCs w:val="24"/>
        </w:rPr>
        <w:t xml:space="preserve"> </w:t>
      </w:r>
      <w:r w:rsidRPr="0011246E">
        <w:rPr>
          <w:rFonts w:ascii="Times New Roman" w:hAnsi="Times New Roman" w:cs="Times New Roman"/>
          <w:sz w:val="24"/>
          <w:szCs w:val="24"/>
        </w:rPr>
        <w:t>om, eller på grund af konkrete omstændigheder burde</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være vidende om, at </w:t>
      </w:r>
      <w:r>
        <w:rPr>
          <w:rFonts w:ascii="Times New Roman" w:hAnsi="Times New Roman" w:cs="Times New Roman"/>
          <w:sz w:val="24"/>
          <w:szCs w:val="24"/>
        </w:rPr>
        <w:t>køretøjet afgiver mere støj end tilladt.</w:t>
      </w:r>
      <w:r w:rsidRPr="0011246E">
        <w:rPr>
          <w:rFonts w:ascii="Times New Roman" w:hAnsi="Times New Roman" w:cs="Times New Roman"/>
          <w:sz w:val="24"/>
          <w:szCs w:val="24"/>
        </w:rPr>
        <w:t xml:space="preserve"> Dette</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vil </w:t>
      </w:r>
      <w:r>
        <w:rPr>
          <w:rFonts w:ascii="Times New Roman" w:hAnsi="Times New Roman" w:cs="Times New Roman"/>
          <w:sz w:val="24"/>
          <w:szCs w:val="24"/>
        </w:rPr>
        <w:t xml:space="preserve">navnligt </w:t>
      </w:r>
      <w:r w:rsidRPr="0011246E">
        <w:rPr>
          <w:rFonts w:ascii="Times New Roman" w:hAnsi="Times New Roman" w:cs="Times New Roman"/>
          <w:sz w:val="24"/>
          <w:szCs w:val="24"/>
        </w:rPr>
        <w:t xml:space="preserve">være tilfældet, hvis </w:t>
      </w:r>
      <w:r>
        <w:rPr>
          <w:rFonts w:ascii="Times New Roman" w:hAnsi="Times New Roman" w:cs="Times New Roman"/>
          <w:sz w:val="24"/>
          <w:szCs w:val="24"/>
        </w:rPr>
        <w:t>køretøjet støjer ekstraordinært meget, hvilket føreren normalt vil blive opmærksom på, når køretøjet igangsættes.</w:t>
      </w:r>
    </w:p>
    <w:p w:rsidR="002D60F4" w:rsidRPr="0011246E" w:rsidRDefault="002D60F4" w:rsidP="002D60F4">
      <w:pPr>
        <w:pStyle w:val="Normal-medluft"/>
        <w:rPr>
          <w:rFonts w:ascii="Times New Roman" w:hAnsi="Times New Roman" w:cs="Times New Roman"/>
          <w:sz w:val="24"/>
          <w:szCs w:val="24"/>
        </w:rPr>
      </w:pPr>
      <w:r w:rsidRPr="0011246E">
        <w:rPr>
          <w:rFonts w:ascii="Times New Roman" w:hAnsi="Times New Roman" w:cs="Times New Roman"/>
          <w:sz w:val="24"/>
          <w:szCs w:val="24"/>
        </w:rPr>
        <w:t xml:space="preserve">For så vidt angår en nærmere uddybning af, hvornår </w:t>
      </w:r>
      <w:r>
        <w:rPr>
          <w:rFonts w:ascii="Times New Roman" w:hAnsi="Times New Roman" w:cs="Times New Roman"/>
          <w:sz w:val="24"/>
          <w:szCs w:val="24"/>
        </w:rPr>
        <w:t>køretøjet støjer mere end tilladt</w:t>
      </w:r>
      <w:r w:rsidRPr="0011246E">
        <w:rPr>
          <w:rFonts w:ascii="Times New Roman" w:hAnsi="Times New Roman" w:cs="Times New Roman"/>
          <w:sz w:val="24"/>
          <w:szCs w:val="24"/>
        </w:rPr>
        <w:t xml:space="preserve"> henvises til bemærkningerne til</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lovforslagets § 1, nr. </w:t>
      </w:r>
      <w:r w:rsidR="00F50CB7">
        <w:rPr>
          <w:rFonts w:ascii="Times New Roman" w:hAnsi="Times New Roman" w:cs="Times New Roman"/>
          <w:sz w:val="24"/>
          <w:szCs w:val="24"/>
        </w:rPr>
        <w:t>3</w:t>
      </w:r>
      <w:r>
        <w:rPr>
          <w:rFonts w:ascii="Times New Roman" w:hAnsi="Times New Roman" w:cs="Times New Roman"/>
          <w:sz w:val="24"/>
          <w:szCs w:val="24"/>
        </w:rPr>
        <w:t>, vedrørende den foreslåede § 118, stk. 8</w:t>
      </w:r>
      <w:r w:rsidRPr="0011246E">
        <w:rPr>
          <w:rFonts w:ascii="Times New Roman" w:hAnsi="Times New Roman" w:cs="Times New Roman"/>
          <w:sz w:val="24"/>
          <w:szCs w:val="24"/>
        </w:rPr>
        <w:t>.</w:t>
      </w:r>
    </w:p>
    <w:p w:rsidR="002D60F4" w:rsidRPr="0011246E" w:rsidRDefault="002D60F4" w:rsidP="002D60F4">
      <w:pPr>
        <w:pStyle w:val="Normal-medluft"/>
        <w:rPr>
          <w:rFonts w:ascii="Times New Roman" w:hAnsi="Times New Roman" w:cs="Times New Roman"/>
          <w:sz w:val="24"/>
          <w:szCs w:val="24"/>
        </w:rPr>
      </w:pPr>
      <w:r w:rsidRPr="0011246E">
        <w:rPr>
          <w:rFonts w:ascii="Times New Roman" w:hAnsi="Times New Roman" w:cs="Times New Roman"/>
          <w:sz w:val="24"/>
          <w:szCs w:val="24"/>
        </w:rPr>
        <w:t xml:space="preserve">Overtrædelse af </w:t>
      </w:r>
      <w:r>
        <w:rPr>
          <w:rFonts w:ascii="Times New Roman" w:hAnsi="Times New Roman" w:cs="Times New Roman"/>
          <w:sz w:val="24"/>
          <w:szCs w:val="24"/>
        </w:rPr>
        <w:t xml:space="preserve">færdselslovens </w:t>
      </w:r>
      <w:r w:rsidRPr="0011246E">
        <w:rPr>
          <w:rFonts w:ascii="Times New Roman" w:hAnsi="Times New Roman" w:cs="Times New Roman"/>
          <w:sz w:val="24"/>
          <w:szCs w:val="24"/>
        </w:rPr>
        <w:t>§ 67, stk. 4,</w:t>
      </w:r>
      <w:r>
        <w:rPr>
          <w:rFonts w:ascii="Times New Roman" w:hAnsi="Times New Roman" w:cs="Times New Roman"/>
          <w:sz w:val="24"/>
          <w:szCs w:val="24"/>
        </w:rPr>
        <w:t xml:space="preserve"> </w:t>
      </w:r>
      <w:r w:rsidRPr="0011246E">
        <w:rPr>
          <w:rFonts w:ascii="Times New Roman" w:hAnsi="Times New Roman" w:cs="Times New Roman"/>
          <w:sz w:val="24"/>
          <w:szCs w:val="24"/>
        </w:rPr>
        <w:t>vil blive straffet med bøde i medfør af den gældende bestemmelse</w:t>
      </w:r>
      <w:r>
        <w:rPr>
          <w:rFonts w:ascii="Times New Roman" w:hAnsi="Times New Roman" w:cs="Times New Roman"/>
          <w:sz w:val="24"/>
          <w:szCs w:val="24"/>
        </w:rPr>
        <w:t xml:space="preserve"> </w:t>
      </w:r>
      <w:r w:rsidRPr="0011246E">
        <w:rPr>
          <w:rFonts w:ascii="Times New Roman" w:hAnsi="Times New Roman" w:cs="Times New Roman"/>
          <w:sz w:val="24"/>
          <w:szCs w:val="24"/>
        </w:rPr>
        <w:t>i færdselslovens § 118, stk. 1, nr. 1. Det vil</w:t>
      </w:r>
      <w:r>
        <w:rPr>
          <w:rFonts w:ascii="Times New Roman" w:hAnsi="Times New Roman" w:cs="Times New Roman"/>
          <w:sz w:val="24"/>
          <w:szCs w:val="24"/>
        </w:rPr>
        <w:t xml:space="preserve"> </w:t>
      </w:r>
      <w:r w:rsidRPr="0011246E">
        <w:rPr>
          <w:rFonts w:ascii="Times New Roman" w:hAnsi="Times New Roman" w:cs="Times New Roman"/>
          <w:sz w:val="24"/>
          <w:szCs w:val="24"/>
        </w:rPr>
        <w:t>samtidig skulle betragtes som en særlig skærpende omstændighed,</w:t>
      </w:r>
      <w:r>
        <w:rPr>
          <w:rFonts w:ascii="Times New Roman" w:hAnsi="Times New Roman" w:cs="Times New Roman"/>
          <w:sz w:val="24"/>
          <w:szCs w:val="24"/>
        </w:rPr>
        <w:t xml:space="preserve"> hvis køretøjet er i en sådan ulovlig stand, at det afgiver unødig støj</w:t>
      </w:r>
      <w:r w:rsidRPr="0011246E">
        <w:rPr>
          <w:rFonts w:ascii="Times New Roman" w:hAnsi="Times New Roman" w:cs="Times New Roman"/>
          <w:sz w:val="24"/>
          <w:szCs w:val="24"/>
        </w:rPr>
        <w:t>, jf. den foreslåede bestemmelse i lovforslagets</w:t>
      </w:r>
      <w:r>
        <w:rPr>
          <w:rFonts w:ascii="Times New Roman" w:hAnsi="Times New Roman" w:cs="Times New Roman"/>
          <w:sz w:val="24"/>
          <w:szCs w:val="24"/>
        </w:rPr>
        <w:t xml:space="preserve"> </w:t>
      </w:r>
      <w:r w:rsidRPr="0011246E">
        <w:rPr>
          <w:rFonts w:ascii="Times New Roman" w:hAnsi="Times New Roman" w:cs="Times New Roman"/>
          <w:sz w:val="24"/>
          <w:szCs w:val="24"/>
        </w:rPr>
        <w:t xml:space="preserve">§ 1, nr. </w:t>
      </w:r>
      <w:r w:rsidR="00F50CB7">
        <w:rPr>
          <w:rFonts w:ascii="Times New Roman" w:hAnsi="Times New Roman" w:cs="Times New Roman"/>
          <w:sz w:val="24"/>
          <w:szCs w:val="24"/>
        </w:rPr>
        <w:t>3</w:t>
      </w:r>
      <w:r w:rsidRPr="0011246E">
        <w:rPr>
          <w:rFonts w:ascii="Times New Roman" w:hAnsi="Times New Roman" w:cs="Times New Roman"/>
          <w:sz w:val="24"/>
          <w:szCs w:val="24"/>
        </w:rPr>
        <w:t xml:space="preserve"> (§ 118, stk. </w:t>
      </w:r>
      <w:r>
        <w:rPr>
          <w:rFonts w:ascii="Times New Roman" w:hAnsi="Times New Roman" w:cs="Times New Roman"/>
          <w:sz w:val="24"/>
          <w:szCs w:val="24"/>
        </w:rPr>
        <w:t>8</w:t>
      </w:r>
      <w:r w:rsidRPr="0011246E">
        <w:rPr>
          <w:rFonts w:ascii="Times New Roman" w:hAnsi="Times New Roman" w:cs="Times New Roman"/>
          <w:sz w:val="24"/>
          <w:szCs w:val="24"/>
        </w:rPr>
        <w:t>).</w:t>
      </w:r>
    </w:p>
    <w:p w:rsidR="00957B2B" w:rsidRDefault="002D60F4" w:rsidP="00C466F9">
      <w:pPr>
        <w:pStyle w:val="Normal-medluft"/>
        <w:rPr>
          <w:rFonts w:ascii="Times New Roman" w:hAnsi="Times New Roman" w:cs="Times New Roman"/>
          <w:sz w:val="24"/>
          <w:szCs w:val="24"/>
        </w:rPr>
      </w:pPr>
      <w:r w:rsidRPr="0011246E">
        <w:rPr>
          <w:rFonts w:ascii="Times New Roman" w:hAnsi="Times New Roman" w:cs="Times New Roman"/>
          <w:sz w:val="24"/>
          <w:szCs w:val="24"/>
        </w:rPr>
        <w:t>Der henvises i øvrigt til punkt 2.</w:t>
      </w:r>
      <w:r>
        <w:rPr>
          <w:rFonts w:ascii="Times New Roman" w:hAnsi="Times New Roman" w:cs="Times New Roman"/>
          <w:sz w:val="24"/>
          <w:szCs w:val="24"/>
        </w:rPr>
        <w:t>3.2</w:t>
      </w:r>
      <w:r w:rsidRPr="0011246E">
        <w:rPr>
          <w:rFonts w:ascii="Times New Roman" w:hAnsi="Times New Roman" w:cs="Times New Roman"/>
          <w:sz w:val="24"/>
          <w:szCs w:val="24"/>
        </w:rPr>
        <w:t xml:space="preserve"> i lovforslagets almindelige</w:t>
      </w:r>
      <w:r>
        <w:rPr>
          <w:rFonts w:ascii="Times New Roman" w:hAnsi="Times New Roman" w:cs="Times New Roman"/>
          <w:sz w:val="24"/>
          <w:szCs w:val="24"/>
        </w:rPr>
        <w:t xml:space="preserve"> </w:t>
      </w:r>
      <w:r w:rsidRPr="0011246E">
        <w:rPr>
          <w:rFonts w:ascii="Times New Roman" w:hAnsi="Times New Roman" w:cs="Times New Roman"/>
          <w:sz w:val="24"/>
          <w:szCs w:val="24"/>
        </w:rPr>
        <w:t>bemærkninger.</w:t>
      </w:r>
    </w:p>
    <w:p w:rsidR="00246D92" w:rsidRDefault="00246D92" w:rsidP="00C466F9">
      <w:pPr>
        <w:pStyle w:val="Normal-medluft"/>
        <w:rPr>
          <w:rFonts w:ascii="Times New Roman" w:hAnsi="Times New Roman" w:cs="Times New Roman"/>
          <w:sz w:val="24"/>
          <w:szCs w:val="24"/>
        </w:rPr>
      </w:pPr>
      <w:r>
        <w:rPr>
          <w:rFonts w:ascii="Times New Roman" w:hAnsi="Times New Roman" w:cs="Times New Roman"/>
          <w:sz w:val="24"/>
          <w:szCs w:val="24"/>
        </w:rPr>
        <w:t>Til nr. 2</w:t>
      </w:r>
    </w:p>
    <w:p w:rsidR="00246D92" w:rsidRDefault="00246D92" w:rsidP="00246D92">
      <w:pPr>
        <w:spacing w:line="240" w:lineRule="auto"/>
        <w:rPr>
          <w:rFonts w:ascii="Times New Roman" w:eastAsia="Times New Roman" w:hAnsi="Times New Roman" w:cs="Times New Roman"/>
          <w:color w:val="000000"/>
          <w:sz w:val="24"/>
          <w:szCs w:val="24"/>
          <w:lang w:eastAsia="da-DK"/>
        </w:rPr>
      </w:pPr>
      <w:r w:rsidRPr="0043255C">
        <w:rPr>
          <w:rFonts w:ascii="Times New Roman" w:eastAsia="Times New Roman" w:hAnsi="Times New Roman" w:cs="Times New Roman"/>
          <w:color w:val="000000"/>
          <w:sz w:val="24"/>
          <w:szCs w:val="24"/>
          <w:lang w:eastAsia="da-DK"/>
        </w:rPr>
        <w:t xml:space="preserve">Med lovforslagets § 1, nr. </w:t>
      </w:r>
      <w:r>
        <w:rPr>
          <w:rFonts w:ascii="Times New Roman" w:eastAsia="Times New Roman" w:hAnsi="Times New Roman" w:cs="Times New Roman"/>
          <w:color w:val="000000"/>
          <w:sz w:val="24"/>
          <w:szCs w:val="24"/>
          <w:lang w:eastAsia="da-DK"/>
        </w:rPr>
        <w:t>3</w:t>
      </w:r>
      <w:r w:rsidRPr="0043255C">
        <w:rPr>
          <w:rFonts w:ascii="Times New Roman" w:eastAsia="Times New Roman" w:hAnsi="Times New Roman" w:cs="Times New Roman"/>
          <w:color w:val="000000"/>
          <w:sz w:val="24"/>
          <w:szCs w:val="24"/>
          <w:lang w:eastAsia="da-DK"/>
        </w:rPr>
        <w:t xml:space="preserve">, indsættes et nyt stk. </w:t>
      </w:r>
      <w:r>
        <w:rPr>
          <w:rFonts w:ascii="Times New Roman" w:eastAsia="Times New Roman" w:hAnsi="Times New Roman" w:cs="Times New Roman"/>
          <w:color w:val="000000"/>
          <w:sz w:val="24"/>
          <w:szCs w:val="24"/>
          <w:lang w:eastAsia="da-DK"/>
        </w:rPr>
        <w:t>7 og et nyt stk. 8</w:t>
      </w:r>
      <w:r w:rsidRPr="0043255C">
        <w:rPr>
          <w:rFonts w:ascii="Times New Roman" w:eastAsia="Times New Roman" w:hAnsi="Times New Roman" w:cs="Times New Roman"/>
          <w:color w:val="000000"/>
          <w:sz w:val="24"/>
          <w:szCs w:val="24"/>
          <w:lang w:eastAsia="da-DK"/>
        </w:rPr>
        <w:t xml:space="preserve"> i § 118. Ændringen i § 1</w:t>
      </w:r>
      <w:r>
        <w:rPr>
          <w:rFonts w:ascii="Times New Roman" w:eastAsia="Times New Roman" w:hAnsi="Times New Roman" w:cs="Times New Roman"/>
          <w:color w:val="000000"/>
          <w:sz w:val="24"/>
          <w:szCs w:val="24"/>
          <w:lang w:eastAsia="da-DK"/>
        </w:rPr>
        <w:t>18, stk. 1</w:t>
      </w:r>
      <w:r w:rsidRPr="0043255C">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1. pkt., </w:t>
      </w:r>
      <w:r w:rsidRPr="0043255C">
        <w:rPr>
          <w:rFonts w:ascii="Times New Roman" w:eastAsia="Times New Roman" w:hAnsi="Times New Roman" w:cs="Times New Roman"/>
          <w:color w:val="000000"/>
          <w:sz w:val="24"/>
          <w:szCs w:val="24"/>
          <w:lang w:eastAsia="da-DK"/>
        </w:rPr>
        <w:t xml:space="preserve">er en redaktionel konsekvensændring, der skyldes, at styknummeringen i § 118 ændres som følge </w:t>
      </w:r>
      <w:r>
        <w:rPr>
          <w:rFonts w:ascii="Times New Roman" w:eastAsia="Times New Roman" w:hAnsi="Times New Roman" w:cs="Times New Roman"/>
          <w:color w:val="000000"/>
          <w:sz w:val="24"/>
          <w:szCs w:val="24"/>
          <w:lang w:eastAsia="da-DK"/>
        </w:rPr>
        <w:t>af indsættelsen af et nyt stk.</w:t>
      </w:r>
      <w:r w:rsidRPr="0043255C">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7</w:t>
      </w:r>
      <w:r w:rsidRPr="0043255C">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 xml:space="preserve">og et nyt stk. 8 </w:t>
      </w:r>
      <w:r w:rsidRPr="0043255C">
        <w:rPr>
          <w:rFonts w:ascii="Times New Roman" w:eastAsia="Times New Roman" w:hAnsi="Times New Roman" w:cs="Times New Roman"/>
          <w:color w:val="000000"/>
          <w:sz w:val="24"/>
          <w:szCs w:val="24"/>
          <w:lang w:eastAsia="da-DK"/>
        </w:rPr>
        <w:t>i § 118. Bestemm</w:t>
      </w:r>
      <w:r>
        <w:rPr>
          <w:rFonts w:ascii="Times New Roman" w:eastAsia="Times New Roman" w:hAnsi="Times New Roman" w:cs="Times New Roman"/>
          <w:color w:val="000000"/>
          <w:sz w:val="24"/>
          <w:szCs w:val="24"/>
          <w:lang w:eastAsia="da-DK"/>
        </w:rPr>
        <w:t>elsen i lovforslagets § 1, nr. 2</w:t>
      </w:r>
      <w:r w:rsidRPr="0043255C">
        <w:rPr>
          <w:rFonts w:ascii="Times New Roman" w:eastAsia="Times New Roman" w:hAnsi="Times New Roman" w:cs="Times New Roman"/>
          <w:color w:val="000000"/>
          <w:sz w:val="24"/>
          <w:szCs w:val="24"/>
          <w:lang w:eastAsia="da-DK"/>
        </w:rPr>
        <w:t>, indebærer ikke materielle ændringer.</w:t>
      </w:r>
    </w:p>
    <w:p w:rsidR="00246D92" w:rsidRDefault="00246D92" w:rsidP="00246D92">
      <w:pPr>
        <w:spacing w:line="240" w:lineRule="auto"/>
        <w:rPr>
          <w:rFonts w:ascii="Times New Roman" w:eastAsia="Times New Roman" w:hAnsi="Times New Roman" w:cs="Times New Roman"/>
          <w:color w:val="000000"/>
          <w:sz w:val="24"/>
          <w:szCs w:val="24"/>
          <w:lang w:eastAsia="da-DK"/>
        </w:rPr>
      </w:pPr>
    </w:p>
    <w:p w:rsidR="00EC5BE4" w:rsidRDefault="00957B2B" w:rsidP="00246D92">
      <w:pPr>
        <w:spacing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Til nr. </w:t>
      </w:r>
      <w:r w:rsidR="00246D92">
        <w:rPr>
          <w:rFonts w:ascii="Times New Roman" w:eastAsia="Times New Roman" w:hAnsi="Times New Roman" w:cs="Times New Roman"/>
          <w:color w:val="000000"/>
          <w:sz w:val="24"/>
          <w:szCs w:val="24"/>
          <w:lang w:eastAsia="da-DK"/>
        </w:rPr>
        <w:t>3</w:t>
      </w:r>
    </w:p>
    <w:p w:rsidR="006450C2" w:rsidRDefault="006450C2" w:rsidP="00EC5BE4">
      <w:pPr>
        <w:spacing w:line="240" w:lineRule="auto"/>
        <w:rPr>
          <w:rFonts w:ascii="Times New Roman" w:eastAsia="Times New Roman" w:hAnsi="Times New Roman" w:cs="Times New Roman"/>
          <w:color w:val="000000"/>
          <w:sz w:val="24"/>
          <w:szCs w:val="24"/>
          <w:lang w:eastAsia="da-DK"/>
        </w:rPr>
      </w:pPr>
    </w:p>
    <w:p w:rsidR="006450C2" w:rsidRPr="00941642" w:rsidRDefault="006450C2" w:rsidP="006450C2">
      <w:pPr>
        <w:spacing w:line="240" w:lineRule="auto"/>
        <w:rPr>
          <w:rFonts w:ascii="Times New Roman" w:hAnsi="Times New Roman" w:cs="Times New Roman"/>
          <w:sz w:val="24"/>
          <w:szCs w:val="24"/>
        </w:rPr>
      </w:pPr>
      <w:r w:rsidRPr="00941642">
        <w:rPr>
          <w:rFonts w:ascii="Times New Roman" w:hAnsi="Times New Roman" w:cs="Times New Roman"/>
          <w:sz w:val="24"/>
          <w:szCs w:val="24"/>
        </w:rPr>
        <w:t xml:space="preserve">Det følger af færdselslovens § 38, stk. 1, at en fører af et motordrevet køretøj skal betjene køretøjet således, at det ikke afgiver unødig støj eller unødigt udvikler røg eller gasarter. Bestemmelsen omfatter førerens anvendelse af det motordrevne køretøj. Det vil sige tilfælde, hvor selve betjeningen af køretøjet medfører, at der afgives unødig støj eller unødigt udvikles røg eller gasarter. </w:t>
      </w:r>
      <w:r>
        <w:rPr>
          <w:rFonts w:ascii="Times New Roman" w:hAnsi="Times New Roman" w:cs="Times New Roman"/>
          <w:sz w:val="24"/>
          <w:szCs w:val="24"/>
        </w:rPr>
        <w:t>U</w:t>
      </w:r>
      <w:r w:rsidRPr="00941642">
        <w:rPr>
          <w:rFonts w:ascii="Times New Roman" w:hAnsi="Times New Roman" w:cs="Times New Roman"/>
          <w:sz w:val="24"/>
          <w:szCs w:val="24"/>
        </w:rPr>
        <w:t>dviklingen af røg eller støj fra køretøjer, der er i lovlig stand,</w:t>
      </w:r>
      <w:r>
        <w:rPr>
          <w:rFonts w:ascii="Times New Roman" w:hAnsi="Times New Roman" w:cs="Times New Roman"/>
          <w:sz w:val="24"/>
          <w:szCs w:val="24"/>
        </w:rPr>
        <w:t xml:space="preserve"> </w:t>
      </w:r>
      <w:r w:rsidRPr="00941642">
        <w:rPr>
          <w:rFonts w:ascii="Times New Roman" w:hAnsi="Times New Roman" w:cs="Times New Roman"/>
          <w:sz w:val="24"/>
          <w:szCs w:val="24"/>
        </w:rPr>
        <w:t xml:space="preserve">omfattes </w:t>
      </w:r>
      <w:r>
        <w:rPr>
          <w:rFonts w:ascii="Times New Roman" w:hAnsi="Times New Roman" w:cs="Times New Roman"/>
          <w:sz w:val="24"/>
          <w:szCs w:val="24"/>
        </w:rPr>
        <w:t xml:space="preserve">også </w:t>
      </w:r>
      <w:r w:rsidRPr="00941642">
        <w:rPr>
          <w:rFonts w:ascii="Times New Roman" w:hAnsi="Times New Roman" w:cs="Times New Roman"/>
          <w:sz w:val="24"/>
          <w:szCs w:val="24"/>
        </w:rPr>
        <w:t xml:space="preserve">af § 38, stk. </w:t>
      </w:r>
      <w:r w:rsidRPr="00941642">
        <w:rPr>
          <w:rFonts w:ascii="Times New Roman" w:hAnsi="Times New Roman" w:cs="Times New Roman"/>
          <w:sz w:val="24"/>
          <w:szCs w:val="24"/>
        </w:rPr>
        <w:lastRenderedPageBreak/>
        <w:t xml:space="preserve">1, hvis køretøjet betjenes på en sådan måde, at der afgives unødig støj eller </w:t>
      </w:r>
      <w:r>
        <w:rPr>
          <w:rFonts w:ascii="Times New Roman" w:hAnsi="Times New Roman" w:cs="Times New Roman"/>
          <w:sz w:val="24"/>
          <w:szCs w:val="24"/>
        </w:rPr>
        <w:t>unødigt udvikles</w:t>
      </w:r>
      <w:r w:rsidRPr="00941642">
        <w:rPr>
          <w:rFonts w:ascii="Times New Roman" w:hAnsi="Times New Roman" w:cs="Times New Roman"/>
          <w:sz w:val="24"/>
          <w:szCs w:val="24"/>
        </w:rPr>
        <w:t xml:space="preserve"> røg eller gasarter.</w:t>
      </w:r>
    </w:p>
    <w:p w:rsidR="006450C2" w:rsidRPr="00941642" w:rsidRDefault="006450C2" w:rsidP="006450C2">
      <w:pPr>
        <w:spacing w:line="240" w:lineRule="auto"/>
        <w:rPr>
          <w:rFonts w:ascii="Times New Roman" w:hAnsi="Times New Roman" w:cs="Times New Roman"/>
          <w:sz w:val="24"/>
          <w:szCs w:val="24"/>
        </w:rPr>
      </w:pPr>
    </w:p>
    <w:p w:rsidR="006450C2" w:rsidRDefault="006450C2" w:rsidP="00EC5BE4">
      <w:pPr>
        <w:spacing w:line="240" w:lineRule="auto"/>
        <w:rPr>
          <w:rFonts w:ascii="Times New Roman" w:eastAsia="Times New Roman" w:hAnsi="Times New Roman" w:cs="Times New Roman"/>
          <w:color w:val="000000"/>
          <w:sz w:val="24"/>
          <w:szCs w:val="24"/>
          <w:lang w:eastAsia="da-DK"/>
        </w:rPr>
      </w:pPr>
      <w:r w:rsidRPr="00941642">
        <w:rPr>
          <w:rFonts w:ascii="Times New Roman" w:hAnsi="Times New Roman" w:cs="Times New Roman"/>
          <w:sz w:val="24"/>
          <w:szCs w:val="24"/>
        </w:rPr>
        <w:t xml:space="preserve">Overtrædelser af færdselslovens § 38, stk. 1, straffes i medfør af færdselslovens § 118, stk. 1, nr. 1, jf. § 118 a, stk. 1, </w:t>
      </w:r>
      <w:r>
        <w:rPr>
          <w:rFonts w:ascii="Times New Roman" w:hAnsi="Times New Roman" w:cs="Times New Roman"/>
          <w:sz w:val="24"/>
          <w:szCs w:val="24"/>
        </w:rPr>
        <w:t>med en bøde på 1.000 kr.</w:t>
      </w:r>
    </w:p>
    <w:p w:rsidR="00EC5BE4" w:rsidRDefault="00EC5BE4" w:rsidP="00EC5BE4">
      <w:pPr>
        <w:spacing w:line="240" w:lineRule="auto"/>
        <w:rPr>
          <w:rFonts w:ascii="Times New Roman" w:hAnsi="Times New Roman" w:cs="Times New Roman"/>
          <w:sz w:val="24"/>
          <w:szCs w:val="24"/>
        </w:rPr>
      </w:pPr>
      <w:r w:rsidRPr="00894519">
        <w:rPr>
          <w:rFonts w:ascii="Times New Roman" w:eastAsia="Times New Roman" w:hAnsi="Times New Roman" w:cs="Times New Roman"/>
          <w:color w:val="000000"/>
          <w:sz w:val="24"/>
          <w:szCs w:val="24"/>
          <w:lang w:eastAsia="da-DK"/>
        </w:rPr>
        <w:t xml:space="preserve"> </w:t>
      </w:r>
      <w:r w:rsidRPr="00894519">
        <w:rPr>
          <w:rFonts w:ascii="Times New Roman" w:eastAsia="Times New Roman" w:hAnsi="Times New Roman" w:cs="Times New Roman"/>
          <w:color w:val="000000"/>
          <w:sz w:val="24"/>
          <w:szCs w:val="24"/>
          <w:lang w:eastAsia="da-DK"/>
        </w:rPr>
        <w:br/>
      </w:r>
      <w:r w:rsidRPr="000A5139">
        <w:rPr>
          <w:rFonts w:ascii="Times New Roman" w:eastAsia="Times New Roman" w:hAnsi="Times New Roman" w:cs="Times New Roman"/>
          <w:color w:val="auto"/>
          <w:sz w:val="24"/>
          <w:szCs w:val="24"/>
          <w:lang w:eastAsia="da-DK"/>
        </w:rPr>
        <w:t>Det følger af færdselslovens § 67, stk. 1, at et køretøj skal være således indrettet og holdes i en sådan</w:t>
      </w:r>
      <w:r>
        <w:rPr>
          <w:rFonts w:ascii="Times New Roman" w:eastAsia="Times New Roman" w:hAnsi="Times New Roman" w:cs="Times New Roman"/>
          <w:color w:val="auto"/>
          <w:sz w:val="24"/>
          <w:szCs w:val="24"/>
          <w:lang w:eastAsia="da-DK"/>
        </w:rPr>
        <w:t xml:space="preserve"> </w:t>
      </w:r>
      <w:r w:rsidRPr="000A5139">
        <w:rPr>
          <w:rFonts w:ascii="Times New Roman" w:eastAsia="Times New Roman" w:hAnsi="Times New Roman" w:cs="Times New Roman"/>
          <w:color w:val="auto"/>
          <w:sz w:val="24"/>
          <w:szCs w:val="24"/>
          <w:lang w:eastAsia="da-DK"/>
        </w:rPr>
        <w:t>stand, at det kan benyttes uden fare og ulempe for andre samt uden skade for vejene. Bestemmelsen finder</w:t>
      </w:r>
      <w:r>
        <w:rPr>
          <w:rFonts w:ascii="Times New Roman" w:eastAsia="Times New Roman" w:hAnsi="Times New Roman" w:cs="Times New Roman"/>
          <w:color w:val="auto"/>
          <w:sz w:val="24"/>
          <w:szCs w:val="24"/>
          <w:lang w:eastAsia="da-DK"/>
        </w:rPr>
        <w:t xml:space="preserve"> anvendelse for alle køretøjer og kan betegnes som en generalklausul, der stiller et grundlæggende krav om, at køretøjer skal være indrettet forsvarligt. De specifikke tekniske krav til køretøjer fastlægges ikke i § 67, stk.1, jf. nærmere nedenfor. § 67, stk. 1, har navnlig et selvstændigt indhold i forhold til fejl og mangler, der ikke udgør en teknisk mangel ved køretøjet, som f.eks. manglende udsyn på grund af tilisede ruder eller andre udsynsbegrænsende forhold. </w:t>
      </w:r>
    </w:p>
    <w:p w:rsidR="00EC5BE4" w:rsidRDefault="00EC5BE4" w:rsidP="00EC5BE4">
      <w:pPr>
        <w:spacing w:line="240" w:lineRule="auto"/>
        <w:rPr>
          <w:rFonts w:ascii="Times New Roman" w:hAnsi="Times New Roman" w:cs="Times New Roman"/>
          <w:sz w:val="24"/>
          <w:szCs w:val="24"/>
        </w:rPr>
      </w:pPr>
    </w:p>
    <w:p w:rsidR="00AE77F0" w:rsidRDefault="00EC5BE4" w:rsidP="00EC5BE4">
      <w:pPr>
        <w:spacing w:line="240" w:lineRule="auto"/>
        <w:rPr>
          <w:rFonts w:ascii="Times New Roman" w:hAnsi="Times New Roman" w:cs="Times New Roman"/>
          <w:sz w:val="24"/>
          <w:szCs w:val="24"/>
        </w:rPr>
      </w:pPr>
      <w:r w:rsidRPr="00CC27E7">
        <w:rPr>
          <w:rFonts w:ascii="Times New Roman" w:hAnsi="Times New Roman" w:cs="Times New Roman"/>
          <w:sz w:val="24"/>
          <w:szCs w:val="24"/>
        </w:rPr>
        <w:t xml:space="preserve">Ifølge færdselslovens § 67, stk. 2, er ejeren eller den person (brugeren), som har varig rådighed over køretøjet, ansvarlig for, at køretøjet er i lovlig stand. </w:t>
      </w:r>
      <w:r w:rsidR="00AE77F0">
        <w:rPr>
          <w:rFonts w:ascii="Times New Roman" w:hAnsi="Times New Roman" w:cs="Times New Roman"/>
          <w:sz w:val="24"/>
          <w:szCs w:val="24"/>
        </w:rPr>
        <w:t xml:space="preserve">Bestemmelsen omfatter </w:t>
      </w:r>
      <w:r w:rsidR="00130BE8">
        <w:rPr>
          <w:rFonts w:ascii="Times New Roman" w:hAnsi="Times New Roman" w:cs="Times New Roman"/>
          <w:sz w:val="24"/>
          <w:szCs w:val="24"/>
        </w:rPr>
        <w:t>bl.a.</w:t>
      </w:r>
      <w:r w:rsidR="00AE77F0">
        <w:rPr>
          <w:rFonts w:ascii="Times New Roman" w:hAnsi="Times New Roman" w:cs="Times New Roman"/>
          <w:sz w:val="24"/>
          <w:szCs w:val="24"/>
        </w:rPr>
        <w:t xml:space="preserve"> tilfælde, hvor et køretøj på grund af manglende vedligeholdelse eller ulovlige konstruktive ændringer ikke opfylder de tekniske krav til køretøjet, herunder krav til køretøjers støjafgivelse.</w:t>
      </w:r>
    </w:p>
    <w:p w:rsidR="00AE77F0" w:rsidRDefault="00AE77F0"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Bestemmelsen omfatter alene ejerens eller den varige brugers ansvar. Bestemmelsen omfatter ikke en fører, der ikke har varig rådighed over køretøjet, som f.eks. en chauffør i en vognmandsvirksomhed</w:t>
      </w:r>
      <w:r w:rsidR="00AE77F0">
        <w:rPr>
          <w:rFonts w:ascii="Times New Roman" w:hAnsi="Times New Roman" w:cs="Times New Roman"/>
          <w:sz w:val="24"/>
          <w:szCs w:val="24"/>
        </w:rPr>
        <w:t>,</w:t>
      </w:r>
      <w:r w:rsidR="00F91FCB">
        <w:rPr>
          <w:rFonts w:ascii="Times New Roman" w:hAnsi="Times New Roman" w:cs="Times New Roman"/>
          <w:sz w:val="24"/>
          <w:szCs w:val="24"/>
        </w:rPr>
        <w:t xml:space="preserve"> eller en person, der har lånt køretøjet</w:t>
      </w:r>
      <w:r>
        <w:rPr>
          <w:rFonts w:ascii="Times New Roman" w:hAnsi="Times New Roman" w:cs="Times New Roman"/>
          <w:sz w:val="24"/>
          <w:szCs w:val="24"/>
        </w:rPr>
        <w:t xml:space="preserve">. </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sidRPr="00CC27E7">
        <w:rPr>
          <w:rFonts w:ascii="Times New Roman" w:hAnsi="Times New Roman" w:cs="Times New Roman"/>
          <w:sz w:val="24"/>
          <w:szCs w:val="24"/>
        </w:rPr>
        <w:t xml:space="preserve">Ansvaret efter § 67, stk. 2, er ikke et objektivt ansvar, men der er i retspraksis fastlagt en meget streng ansvarsvurdering for ejeren </w:t>
      </w:r>
      <w:r>
        <w:rPr>
          <w:rFonts w:ascii="Times New Roman" w:hAnsi="Times New Roman" w:cs="Times New Roman"/>
          <w:sz w:val="24"/>
          <w:szCs w:val="24"/>
        </w:rPr>
        <w:t>og den varige bruger</w:t>
      </w:r>
      <w:r w:rsidRPr="00CC27E7">
        <w:rPr>
          <w:rFonts w:ascii="Times New Roman" w:hAnsi="Times New Roman" w:cs="Times New Roman"/>
          <w:sz w:val="24"/>
          <w:szCs w:val="24"/>
        </w:rPr>
        <w:t xml:space="preserve"> efter bestemmelsen.</w:t>
      </w:r>
    </w:p>
    <w:p w:rsidR="00EC5BE4" w:rsidRDefault="00EC5BE4" w:rsidP="00EC5BE4">
      <w:pPr>
        <w:spacing w:line="240" w:lineRule="auto"/>
        <w:rPr>
          <w:rFonts w:ascii="Times New Roman" w:hAnsi="Times New Roman" w:cs="Times New Roman"/>
          <w:sz w:val="24"/>
          <w:szCs w:val="24"/>
        </w:rPr>
      </w:pPr>
    </w:p>
    <w:p w:rsidR="00EC5BE4" w:rsidRDefault="00D5248B" w:rsidP="00EC5BE4">
      <w:pPr>
        <w:spacing w:line="240" w:lineRule="auto"/>
        <w:rPr>
          <w:rFonts w:ascii="Times New Roman" w:hAnsi="Times New Roman" w:cs="Times New Roman"/>
          <w:sz w:val="24"/>
          <w:szCs w:val="24"/>
        </w:rPr>
      </w:pPr>
      <w:r>
        <w:rPr>
          <w:rFonts w:ascii="Times New Roman" w:hAnsi="Times New Roman" w:cs="Times New Roman"/>
          <w:sz w:val="24"/>
          <w:szCs w:val="24"/>
        </w:rPr>
        <w:t>F</w:t>
      </w:r>
      <w:r w:rsidR="00EC5BE4" w:rsidRPr="00AD59CB">
        <w:rPr>
          <w:rFonts w:ascii="Times New Roman" w:hAnsi="Times New Roman" w:cs="Times New Roman"/>
          <w:sz w:val="24"/>
          <w:szCs w:val="24"/>
        </w:rPr>
        <w:t xml:space="preserve">ærdselslovens § 67, stk. 3, </w:t>
      </w:r>
      <w:r>
        <w:rPr>
          <w:rFonts w:ascii="Times New Roman" w:hAnsi="Times New Roman" w:cs="Times New Roman"/>
          <w:sz w:val="24"/>
          <w:szCs w:val="24"/>
        </w:rPr>
        <w:t xml:space="preserve">omhandler førerens ansvar. Efter bestemmelsen </w:t>
      </w:r>
      <w:r w:rsidR="00EC5BE4" w:rsidRPr="00AD59CB">
        <w:rPr>
          <w:rFonts w:ascii="Times New Roman" w:hAnsi="Times New Roman" w:cs="Times New Roman"/>
          <w:sz w:val="24"/>
          <w:szCs w:val="24"/>
        </w:rPr>
        <w:t xml:space="preserve">skal føreren af et køretøj til enhver tid være opmærksom på, at køretøjet og eventuelt påhængskøretøj er i forsvarlig stand, særligt at styre-, bremse-, signal- og tegngivningsapparater samt lygter virker forskriftsmæssigt og sikkert, og at tilkoblingen til eventuelt påhængskøretøj er forsvarlig. </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Førerens ansvar efter stk. 3 omfatter, at køretøjet er i </w:t>
      </w:r>
      <w:r w:rsidRPr="008C5A1E">
        <w:rPr>
          <w:rFonts w:ascii="Times New Roman" w:hAnsi="Times New Roman" w:cs="Times New Roman"/>
          <w:sz w:val="24"/>
          <w:szCs w:val="24"/>
        </w:rPr>
        <w:t>forsvarlig stand</w:t>
      </w:r>
      <w:r>
        <w:rPr>
          <w:rFonts w:ascii="Times New Roman" w:hAnsi="Times New Roman" w:cs="Times New Roman"/>
          <w:sz w:val="24"/>
          <w:szCs w:val="24"/>
        </w:rPr>
        <w:t xml:space="preserve">, hvilket betyder, at føreren alene er forpligtet til at sikre sig, at køretøjet er trafiksikkert. Førerens ansvar er således ikke det samme som ejerens og den varige brugers, hvis ansvar på grund af kravet om køretøjets lovlige stand også omfatter mere formelle krav til køretøjet. </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sidRPr="005F0CAA">
        <w:rPr>
          <w:rFonts w:ascii="Times New Roman" w:hAnsi="Times New Roman" w:cs="Times New Roman"/>
          <w:sz w:val="24"/>
          <w:szCs w:val="24"/>
        </w:rPr>
        <w:t xml:space="preserve">Betingelsen </w:t>
      </w:r>
      <w:r>
        <w:rPr>
          <w:rFonts w:ascii="Times New Roman" w:hAnsi="Times New Roman" w:cs="Times New Roman"/>
          <w:sz w:val="24"/>
          <w:szCs w:val="24"/>
        </w:rPr>
        <w:t xml:space="preserve">i § 67, stk. 3, </w:t>
      </w:r>
      <w:r w:rsidRPr="005F0CAA">
        <w:rPr>
          <w:rFonts w:ascii="Times New Roman" w:hAnsi="Times New Roman" w:cs="Times New Roman"/>
          <w:sz w:val="24"/>
          <w:szCs w:val="24"/>
        </w:rPr>
        <w:t xml:space="preserve">om, at føreren ”skal være opmærksom på”, medfører ikke en direkte pligt for føreren til at foretage en mere tilbundsgående teknisk undersøgelse af køretøjet, som normalt alene kan udføres af en synsvirksomhed eller mekaniker, inden føreren sætter sig ind i køretøjet og betjener det. Betingelsen medfører derimod, at føreren ikke må benytte det pågældende køretøj, hvis føreren er vidende om, eller på grund af konkrete omstændigheder burde være vidende om, at </w:t>
      </w:r>
      <w:r>
        <w:rPr>
          <w:rFonts w:ascii="Times New Roman" w:hAnsi="Times New Roman" w:cs="Times New Roman"/>
          <w:sz w:val="24"/>
          <w:szCs w:val="24"/>
        </w:rPr>
        <w:t>køretøjet ikke er trafiksikkert. Førerens ansvar er derfor lempeligere end ejerens og den varige brugers.</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 specifikke tekniske krav til motordrevne køretøjer fremgår af en række forskellige EU-forordninger og direktiver. </w:t>
      </w:r>
    </w:p>
    <w:p w:rsidR="00EC5BE4" w:rsidRDefault="00EC5BE4" w:rsidP="00EC5BE4">
      <w:pPr>
        <w:spacing w:line="240" w:lineRule="auto"/>
        <w:rPr>
          <w:rFonts w:ascii="Times New Roman" w:eastAsia="Times New Roman" w:hAnsi="Times New Roman" w:cs="Times New Roman"/>
          <w:color w:val="auto"/>
          <w:sz w:val="24"/>
          <w:szCs w:val="24"/>
          <w:lang w:eastAsia="da-DK"/>
        </w:rPr>
      </w:pPr>
    </w:p>
    <w:p w:rsidR="00EC5BE4" w:rsidRPr="00E04471" w:rsidRDefault="00EC5BE4" w:rsidP="00EC5BE4">
      <w:pPr>
        <w:spacing w:line="240" w:lineRule="auto"/>
        <w:rPr>
          <w:rFonts w:ascii="Times New Roman" w:eastAsia="Times New Roman" w:hAnsi="Times New Roman" w:cs="Times New Roman"/>
          <w:color w:val="000000" w:themeColor="text1"/>
          <w:sz w:val="24"/>
          <w:szCs w:val="24"/>
          <w:lang w:eastAsia="da-DK"/>
        </w:rPr>
      </w:pPr>
      <w:r>
        <w:rPr>
          <w:rFonts w:ascii="Times New Roman" w:eastAsia="Times New Roman" w:hAnsi="Times New Roman" w:cs="Times New Roman"/>
          <w:color w:val="auto"/>
          <w:sz w:val="24"/>
          <w:szCs w:val="24"/>
          <w:lang w:eastAsia="da-DK"/>
        </w:rPr>
        <w:lastRenderedPageBreak/>
        <w:t>Forordningerne er umiddelbart gældende i dansk ret og bindende i alle enkeltheder. De pågældende direktiver er bl.a. gennemført i dansk ret i</w:t>
      </w:r>
      <w:r w:rsidRPr="007A69CD">
        <w:rPr>
          <w:rFonts w:ascii="Times New Roman" w:eastAsia="Times New Roman" w:hAnsi="Times New Roman" w:cs="Times New Roman"/>
          <w:color w:val="000000" w:themeColor="text1"/>
          <w:sz w:val="24"/>
          <w:szCs w:val="24"/>
          <w:lang w:eastAsia="da-DK"/>
        </w:rPr>
        <w:t xml:space="preserve"> bekendtgørelse nr. 1595 af 15. december 2016 om </w:t>
      </w:r>
      <w:r w:rsidR="008B6790">
        <w:rPr>
          <w:rFonts w:ascii="Times New Roman" w:eastAsia="Times New Roman" w:hAnsi="Times New Roman" w:cs="Times New Roman"/>
          <w:color w:val="000000" w:themeColor="text1"/>
          <w:sz w:val="24"/>
          <w:szCs w:val="24"/>
          <w:lang w:eastAsia="da-DK"/>
        </w:rPr>
        <w:t>detail</w:t>
      </w:r>
      <w:r w:rsidRPr="007A69CD">
        <w:rPr>
          <w:rFonts w:ascii="Times New Roman" w:eastAsia="Times New Roman" w:hAnsi="Times New Roman" w:cs="Times New Roman"/>
          <w:color w:val="000000" w:themeColor="text1"/>
          <w:sz w:val="24"/>
          <w:szCs w:val="24"/>
          <w:lang w:eastAsia="da-DK"/>
        </w:rPr>
        <w:t>forskrifter for køretøjers indretning og udstyr (detailforskrifterne for køretøjer)</w:t>
      </w:r>
      <w:r>
        <w:rPr>
          <w:rFonts w:ascii="Times New Roman" w:eastAsia="Times New Roman" w:hAnsi="Times New Roman" w:cs="Times New Roman"/>
          <w:color w:val="auto"/>
          <w:sz w:val="24"/>
          <w:szCs w:val="24"/>
          <w:lang w:eastAsia="da-DK"/>
        </w:rPr>
        <w:t xml:space="preserve">, ligesom detailforskrifterne for køretøjer indeholder en opdateret gengivelse af de forskellige relevante EU-forordninger. </w:t>
      </w:r>
    </w:p>
    <w:p w:rsidR="00EC5BE4" w:rsidRDefault="00EC5BE4" w:rsidP="00EC5BE4">
      <w:pPr>
        <w:spacing w:line="240" w:lineRule="auto"/>
        <w:rPr>
          <w:rFonts w:ascii="Times New Roman" w:eastAsia="Times New Roman" w:hAnsi="Times New Roman" w:cs="Times New Roman"/>
          <w:color w:val="000000" w:themeColor="text1"/>
          <w:sz w:val="24"/>
          <w:szCs w:val="24"/>
          <w:lang w:eastAsia="da-DK"/>
        </w:rPr>
      </w:pPr>
    </w:p>
    <w:p w:rsidR="00EC5BE4" w:rsidRDefault="00EC5BE4" w:rsidP="00EC5BE4">
      <w:pPr>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Derudover findes en række forskellige ECE-regulativer og øvrige internationale standarder, herunder bl.a. Wienerkonventionen (Færdselskonventionen af 8. november 1968 om vejtrafik) og Færdselskonventionen af 19. december 1949. </w:t>
      </w:r>
    </w:p>
    <w:p w:rsidR="00AE77F0" w:rsidRDefault="00AE77F0" w:rsidP="00EC5BE4">
      <w:pPr>
        <w:spacing w:line="240" w:lineRule="auto"/>
        <w:rPr>
          <w:rFonts w:ascii="Times New Roman" w:eastAsia="Times New Roman" w:hAnsi="Times New Roman" w:cs="Times New Roman"/>
          <w:color w:val="auto"/>
          <w:sz w:val="24"/>
          <w:szCs w:val="24"/>
          <w:lang w:eastAsia="da-DK"/>
        </w:rPr>
      </w:pPr>
    </w:p>
    <w:p w:rsidR="00AE77F0" w:rsidRDefault="00AE77F0" w:rsidP="00EC5BE4">
      <w:pPr>
        <w:spacing w:line="240" w:lineRule="auto"/>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 xml:space="preserve">Kravene til </w:t>
      </w:r>
      <w:proofErr w:type="spellStart"/>
      <w:r>
        <w:rPr>
          <w:rFonts w:ascii="Times New Roman" w:hAnsi="Times New Roman" w:cs="Times New Roman"/>
          <w:sz w:val="24"/>
          <w:szCs w:val="24"/>
        </w:rPr>
        <w:t>ibrugværende</w:t>
      </w:r>
      <w:proofErr w:type="spellEnd"/>
      <w:r>
        <w:rPr>
          <w:rFonts w:ascii="Times New Roman" w:hAnsi="Times New Roman" w:cs="Times New Roman"/>
          <w:sz w:val="24"/>
          <w:szCs w:val="24"/>
        </w:rPr>
        <w:t xml:space="preserve"> motordrevne køretøjers afgivelse af støj er fastsat i national ret på bekendtgørelsesniveau. </w:t>
      </w:r>
      <w:r w:rsidRPr="00037A6A">
        <w:rPr>
          <w:rFonts w:ascii="Times New Roman" w:hAnsi="Times New Roman" w:cs="Times New Roman"/>
          <w:sz w:val="24"/>
          <w:szCs w:val="24"/>
        </w:rPr>
        <w:t>De mest relevante bekendtgørelser for så vidt angår kravene til køretøjers støjniveau er bekendtgørelse nr. 154 af 20. april 1977 om køretøjers indretning og udstyr mv. med senere ændringer (udstyrsbekendtgørelsen) og bekendtgørelse</w:t>
      </w:r>
      <w:r>
        <w:rPr>
          <w:rFonts w:ascii="Times New Roman" w:hAnsi="Times New Roman" w:cs="Times New Roman"/>
          <w:sz w:val="24"/>
          <w:szCs w:val="24"/>
        </w:rPr>
        <w:t xml:space="preserve">n om </w:t>
      </w:r>
      <w:r w:rsidRPr="00037A6A">
        <w:rPr>
          <w:rFonts w:ascii="Times New Roman" w:hAnsi="Times New Roman" w:cs="Times New Roman"/>
          <w:sz w:val="24"/>
          <w:szCs w:val="24"/>
        </w:rPr>
        <w:t>detailforskrifter for køretøjer.</w:t>
      </w:r>
    </w:p>
    <w:p w:rsidR="00AE77F0" w:rsidRDefault="00AE77F0" w:rsidP="00EC5BE4">
      <w:pPr>
        <w:spacing w:line="240" w:lineRule="auto"/>
        <w:rPr>
          <w:rFonts w:ascii="Times New Roman" w:eastAsia="Times New Roman" w:hAnsi="Times New Roman" w:cs="Times New Roman"/>
          <w:color w:val="000000" w:themeColor="text1"/>
          <w:sz w:val="24"/>
          <w:szCs w:val="24"/>
          <w:lang w:eastAsia="da-DK"/>
        </w:rPr>
      </w:pPr>
    </w:p>
    <w:p w:rsidR="00EC5BE4" w:rsidRDefault="006450C2" w:rsidP="00EC5BE4">
      <w:pPr>
        <w:spacing w:line="240" w:lineRule="auto"/>
        <w:rPr>
          <w:rFonts w:ascii="Times New Roman" w:hAnsi="Times New Roman" w:cs="Times New Roman"/>
          <w:sz w:val="24"/>
          <w:szCs w:val="24"/>
        </w:rPr>
      </w:pPr>
      <w:r>
        <w:rPr>
          <w:rFonts w:ascii="Times New Roman" w:hAnsi="Times New Roman" w:cs="Times New Roman"/>
          <w:sz w:val="24"/>
          <w:szCs w:val="24"/>
        </w:rPr>
        <w:t>Hvis et motordrevet køretøj ikke opfylder de færdselssikkerhedsmæssige krav, der stilles til køretøjet, er der tale om en overtrædelse af</w:t>
      </w:r>
      <w:r w:rsidR="00EC5BE4" w:rsidRPr="00CC27E7">
        <w:rPr>
          <w:rFonts w:ascii="Times New Roman" w:hAnsi="Times New Roman" w:cs="Times New Roman"/>
          <w:sz w:val="24"/>
          <w:szCs w:val="24"/>
        </w:rPr>
        <w:t xml:space="preserve"> færdselslovens § 67, stk. </w:t>
      </w:r>
      <w:r>
        <w:rPr>
          <w:rFonts w:ascii="Times New Roman" w:hAnsi="Times New Roman" w:cs="Times New Roman"/>
          <w:sz w:val="24"/>
          <w:szCs w:val="24"/>
        </w:rPr>
        <w:t>1-3</w:t>
      </w:r>
      <w:r w:rsidR="00EC5BE4" w:rsidRPr="00CC27E7">
        <w:rPr>
          <w:rFonts w:ascii="Times New Roman" w:hAnsi="Times New Roman" w:cs="Times New Roman"/>
          <w:sz w:val="24"/>
          <w:szCs w:val="24"/>
        </w:rPr>
        <w:t xml:space="preserve">, </w:t>
      </w:r>
      <w:r>
        <w:rPr>
          <w:rFonts w:ascii="Times New Roman" w:hAnsi="Times New Roman" w:cs="Times New Roman"/>
          <w:sz w:val="24"/>
          <w:szCs w:val="24"/>
        </w:rPr>
        <w:t xml:space="preserve">hvilket </w:t>
      </w:r>
      <w:r w:rsidR="00EC5BE4" w:rsidRPr="00CC27E7">
        <w:rPr>
          <w:rFonts w:ascii="Times New Roman" w:hAnsi="Times New Roman" w:cs="Times New Roman"/>
          <w:sz w:val="24"/>
          <w:szCs w:val="24"/>
        </w:rPr>
        <w:t xml:space="preserve">straffes med en bøde på </w:t>
      </w:r>
      <w:r w:rsidR="00EC5BE4">
        <w:rPr>
          <w:rFonts w:ascii="Times New Roman" w:hAnsi="Times New Roman" w:cs="Times New Roman"/>
          <w:sz w:val="24"/>
          <w:szCs w:val="24"/>
        </w:rPr>
        <w:t>mellem 1.000 – 3.000</w:t>
      </w:r>
      <w:r w:rsidR="00EC5BE4" w:rsidRPr="00CC27E7">
        <w:rPr>
          <w:rFonts w:ascii="Times New Roman" w:hAnsi="Times New Roman" w:cs="Times New Roman"/>
          <w:sz w:val="24"/>
          <w:szCs w:val="24"/>
        </w:rPr>
        <w:t xml:space="preserve"> kr.</w:t>
      </w:r>
      <w:r>
        <w:rPr>
          <w:rFonts w:ascii="Times New Roman" w:hAnsi="Times New Roman" w:cs="Times New Roman"/>
          <w:sz w:val="24"/>
          <w:szCs w:val="24"/>
        </w:rPr>
        <w:t xml:space="preserve">, jf. </w:t>
      </w:r>
      <w:r w:rsidRPr="00CC27E7">
        <w:rPr>
          <w:rFonts w:ascii="Times New Roman" w:hAnsi="Times New Roman" w:cs="Times New Roman"/>
          <w:sz w:val="24"/>
          <w:szCs w:val="24"/>
        </w:rPr>
        <w:t>færdselslovens § 118, st</w:t>
      </w:r>
      <w:r>
        <w:rPr>
          <w:rFonts w:ascii="Times New Roman" w:hAnsi="Times New Roman" w:cs="Times New Roman"/>
          <w:sz w:val="24"/>
          <w:szCs w:val="24"/>
        </w:rPr>
        <w:t>k. 1, nr. 1, jf. § 118 a, stk. 1.</w:t>
      </w:r>
      <w:r w:rsidRPr="006450C2">
        <w:rPr>
          <w:rFonts w:ascii="Times New Roman" w:hAnsi="Times New Roman" w:cs="Times New Roman"/>
          <w:color w:val="auto"/>
          <w:sz w:val="24"/>
          <w:szCs w:val="24"/>
        </w:rPr>
        <w:t xml:space="preserve"> </w:t>
      </w:r>
      <w:r w:rsidRPr="00941642">
        <w:rPr>
          <w:rFonts w:ascii="Times New Roman" w:hAnsi="Times New Roman" w:cs="Times New Roman"/>
          <w:color w:val="auto"/>
          <w:sz w:val="24"/>
          <w:szCs w:val="24"/>
        </w:rPr>
        <w:t>Hvis et motordrevet køretøj</w:t>
      </w:r>
      <w:r>
        <w:rPr>
          <w:rFonts w:ascii="Times New Roman" w:hAnsi="Times New Roman" w:cs="Times New Roman"/>
          <w:color w:val="auto"/>
          <w:sz w:val="24"/>
          <w:szCs w:val="24"/>
        </w:rPr>
        <w:t xml:space="preserve"> støjer mere end de for det pågældende køretøj gældende normer, </w:t>
      </w:r>
      <w:r w:rsidRPr="00941642">
        <w:rPr>
          <w:rFonts w:ascii="Times New Roman" w:hAnsi="Times New Roman" w:cs="Times New Roman"/>
          <w:color w:val="auto"/>
          <w:sz w:val="24"/>
          <w:szCs w:val="24"/>
        </w:rPr>
        <w:t>er køretøjet ikke i lovlig stand</w:t>
      </w:r>
      <w:r>
        <w:rPr>
          <w:rFonts w:ascii="Times New Roman" w:hAnsi="Times New Roman" w:cs="Times New Roman"/>
          <w:color w:val="auto"/>
          <w:sz w:val="24"/>
          <w:szCs w:val="24"/>
        </w:rPr>
        <w:t xml:space="preserve"> i henhold til færdselslovens § 67, stk. 2</w:t>
      </w:r>
      <w:r w:rsidRPr="00941642">
        <w:rPr>
          <w:rFonts w:ascii="Times New Roman" w:hAnsi="Times New Roman" w:cs="Times New Roman"/>
          <w:color w:val="auto"/>
          <w:sz w:val="24"/>
          <w:szCs w:val="24"/>
        </w:rPr>
        <w:t>. Overtrædelse af færdselslovens § 67, stk. 2, straffes i medfør af færd</w:t>
      </w:r>
      <w:r>
        <w:rPr>
          <w:rFonts w:ascii="Times New Roman" w:hAnsi="Times New Roman" w:cs="Times New Roman"/>
          <w:color w:val="auto"/>
          <w:sz w:val="24"/>
          <w:szCs w:val="24"/>
        </w:rPr>
        <w:t>selslovens § 118, stk. 1, nr. 1, jf. § 118 a, stk. 1, 1. pkt., med en bøde på 1.000 kr.</w:t>
      </w:r>
    </w:p>
    <w:p w:rsidR="00EC5BE4" w:rsidRPr="00CC27E7"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sidRPr="00CC27E7">
        <w:rPr>
          <w:rFonts w:ascii="Times New Roman" w:hAnsi="Times New Roman" w:cs="Times New Roman"/>
          <w:sz w:val="24"/>
          <w:szCs w:val="24"/>
        </w:rPr>
        <w:t xml:space="preserve">Der henvises i øvrigt til punkt 2.1.1 </w:t>
      </w:r>
      <w:r w:rsidR="006450C2">
        <w:rPr>
          <w:rFonts w:ascii="Times New Roman" w:hAnsi="Times New Roman" w:cs="Times New Roman"/>
          <w:sz w:val="24"/>
          <w:szCs w:val="24"/>
        </w:rPr>
        <w:t xml:space="preserve">og 2.2.1 </w:t>
      </w:r>
      <w:r w:rsidRPr="00CC27E7">
        <w:rPr>
          <w:rFonts w:ascii="Times New Roman" w:hAnsi="Times New Roman" w:cs="Times New Roman"/>
          <w:sz w:val="24"/>
          <w:szCs w:val="24"/>
        </w:rPr>
        <w:t>i lovforslagets almindelige bemærkninger.</w:t>
      </w:r>
    </w:p>
    <w:p w:rsidR="00EC5BE4" w:rsidRPr="00CC27E7"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sidRPr="00CC27E7">
        <w:rPr>
          <w:rFonts w:ascii="Times New Roman" w:hAnsi="Times New Roman" w:cs="Times New Roman"/>
          <w:sz w:val="24"/>
          <w:szCs w:val="24"/>
        </w:rPr>
        <w:t>Med den foreslåede ændrin</w:t>
      </w:r>
      <w:r>
        <w:rPr>
          <w:rFonts w:ascii="Times New Roman" w:hAnsi="Times New Roman" w:cs="Times New Roman"/>
          <w:sz w:val="24"/>
          <w:szCs w:val="24"/>
        </w:rPr>
        <w:t xml:space="preserve">g indsættes et </w:t>
      </w:r>
      <w:r w:rsidRPr="00722EFC">
        <w:rPr>
          <w:rFonts w:ascii="Times New Roman" w:hAnsi="Times New Roman" w:cs="Times New Roman"/>
          <w:i/>
          <w:sz w:val="24"/>
          <w:szCs w:val="24"/>
        </w:rPr>
        <w:t>nyt stk. 7,</w:t>
      </w:r>
      <w:r w:rsidRPr="00CC27E7">
        <w:rPr>
          <w:rFonts w:ascii="Times New Roman" w:hAnsi="Times New Roman" w:cs="Times New Roman"/>
          <w:sz w:val="24"/>
          <w:szCs w:val="24"/>
        </w:rPr>
        <w:t xml:space="preserve"> i færdselslovens § 118, hvorefter det </w:t>
      </w:r>
      <w:r>
        <w:rPr>
          <w:rFonts w:ascii="Times New Roman" w:eastAsia="Times New Roman" w:hAnsi="Times New Roman" w:cs="Times New Roman"/>
          <w:iCs/>
          <w:color w:val="auto"/>
          <w:sz w:val="24"/>
          <w:szCs w:val="24"/>
          <w:lang w:eastAsia="da-DK"/>
        </w:rPr>
        <w:t xml:space="preserve">for motordrevne køretøjer, hvis tilladte totalvægt overstiger 3.500 kg, og for vogntog bestående af køretøj, hvis tilladte totalvægt overstiger 3.500 kg og et registreringspligtigt påhængskøretøj, vil skulle indgå som en særligt skærpende omstændighed, hvis køretøjet eller vogntoget har alvorlige </w:t>
      </w:r>
      <w:r w:rsidRPr="00CB7098">
        <w:rPr>
          <w:rFonts w:ascii="Times New Roman" w:eastAsia="Times New Roman" w:hAnsi="Times New Roman" w:cs="Times New Roman"/>
          <w:iCs/>
          <w:color w:val="auto"/>
          <w:sz w:val="24"/>
          <w:szCs w:val="24"/>
          <w:lang w:eastAsia="da-DK"/>
        </w:rPr>
        <w:t>sikkerhedskritiske fejl og mangler.</w:t>
      </w:r>
    </w:p>
    <w:p w:rsidR="00EC5BE4" w:rsidRPr="00CC27E7"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sidRPr="00CC27E7">
        <w:rPr>
          <w:rFonts w:ascii="Times New Roman" w:hAnsi="Times New Roman" w:cs="Times New Roman"/>
          <w:sz w:val="24"/>
          <w:szCs w:val="24"/>
        </w:rPr>
        <w:t>For så vidt angår de foreslåede retningslinjer for bødeudmålingen henvises til punkt 2.1.2 i lovforslagets almindelige bemærkninger.</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Bestemmelsen i det nye stk. 7 vil ikke omfatte enhver fejl og mangel på tunge køretøjer. Bestemmelsen vil alene omfatte alvorlig</w:t>
      </w:r>
      <w:r w:rsidR="008B6790">
        <w:rPr>
          <w:rFonts w:ascii="Times New Roman" w:hAnsi="Times New Roman" w:cs="Times New Roman"/>
          <w:sz w:val="24"/>
          <w:szCs w:val="24"/>
        </w:rPr>
        <w:t>e</w:t>
      </w:r>
      <w:r>
        <w:rPr>
          <w:rFonts w:ascii="Times New Roman" w:hAnsi="Times New Roman" w:cs="Times New Roman"/>
          <w:sz w:val="24"/>
          <w:szCs w:val="24"/>
        </w:rPr>
        <w:t xml:space="preserve"> sikkerhedskritisk</w:t>
      </w:r>
      <w:r w:rsidR="008B6790">
        <w:rPr>
          <w:rFonts w:ascii="Times New Roman" w:hAnsi="Times New Roman" w:cs="Times New Roman"/>
          <w:sz w:val="24"/>
          <w:szCs w:val="24"/>
        </w:rPr>
        <w:t>e</w:t>
      </w:r>
      <w:r>
        <w:rPr>
          <w:rFonts w:ascii="Times New Roman" w:hAnsi="Times New Roman" w:cs="Times New Roman"/>
          <w:sz w:val="24"/>
          <w:szCs w:val="24"/>
        </w:rPr>
        <w:t xml:space="preserve"> fejl og mangler. Alvorlige sikkerhedskritiske fejl og mangler vil i medfør af den foreslåede bestemmelse i § 118, stk. 7, foreligge, hvis fejlen eller manglen er af en sådan karakter, at den i sig selv udgør en nærliggende risiko for, at uheld opstår, enten ved at køretøjet forulykker eller ved, at der sker påkørsel af andre trafikanter. </w:t>
      </w:r>
      <w:r w:rsidRPr="00FA5DB4">
        <w:rPr>
          <w:rFonts w:ascii="Times New Roman" w:hAnsi="Times New Roman" w:cs="Times New Roman"/>
          <w:sz w:val="24"/>
          <w:szCs w:val="24"/>
        </w:rPr>
        <w:t>Fejl og mangler ved indretning og udstyr, der alene har til formål at sikre førerens eller passagerernes sikkerhed, som f.eks. sikkerhedsseler, nødudgange og sikkerhedsforanstaltninger ved indretning af sovebusser,</w:t>
      </w:r>
      <w:r>
        <w:rPr>
          <w:rFonts w:ascii="Times New Roman" w:hAnsi="Times New Roman" w:cs="Times New Roman"/>
          <w:sz w:val="24"/>
          <w:szCs w:val="24"/>
        </w:rPr>
        <w:t xml:space="preserve"> vil derimod ikke være omfattet af den foreslåede bestemmelse i § 118, stk. 7.</w:t>
      </w:r>
    </w:p>
    <w:p w:rsidR="00EC5BE4" w:rsidRDefault="00EC5BE4" w:rsidP="00EC5BE4">
      <w:pPr>
        <w:spacing w:line="240" w:lineRule="auto"/>
        <w:rPr>
          <w:rFonts w:ascii="Times New Roman" w:hAnsi="Times New Roman" w:cs="Times New Roman"/>
          <w:sz w:val="24"/>
          <w:szCs w:val="24"/>
        </w:rPr>
      </w:pPr>
    </w:p>
    <w:p w:rsidR="00EC5BE4" w:rsidRDefault="008464FC" w:rsidP="00EC5BE4">
      <w:pPr>
        <w:spacing w:line="240" w:lineRule="auto"/>
        <w:rPr>
          <w:rFonts w:ascii="Times New Roman" w:hAnsi="Times New Roman" w:cs="Times New Roman"/>
          <w:sz w:val="24"/>
          <w:szCs w:val="24"/>
        </w:rPr>
      </w:pPr>
      <w:r>
        <w:rPr>
          <w:rFonts w:ascii="Times New Roman" w:hAnsi="Times New Roman" w:cs="Times New Roman"/>
          <w:sz w:val="24"/>
          <w:szCs w:val="24"/>
        </w:rPr>
        <w:t>Som eksempel på alvorlige</w:t>
      </w:r>
      <w:r w:rsidR="00EC5BE4">
        <w:rPr>
          <w:rFonts w:ascii="Times New Roman" w:hAnsi="Times New Roman" w:cs="Times New Roman"/>
          <w:sz w:val="24"/>
          <w:szCs w:val="24"/>
        </w:rPr>
        <w:t xml:space="preserve"> sikkerhedskritiske fejl og mangler kan nævnes fejl og mangler på køretøjets bremser, som medfører, at køretøjets bremseevne er forringet i ikke ubetydelig grad. Dette vil eksempelvis være tilfældet, hvis køretøjet </w:t>
      </w:r>
      <w:r w:rsidR="008B6790">
        <w:rPr>
          <w:rFonts w:ascii="Times New Roman" w:hAnsi="Times New Roman" w:cs="Times New Roman"/>
          <w:sz w:val="24"/>
          <w:szCs w:val="24"/>
        </w:rPr>
        <w:t>under nedbremsning afviger kraftigt fra sin kurs</w:t>
      </w:r>
      <w:r w:rsidR="00EC5BE4">
        <w:rPr>
          <w:rFonts w:ascii="Times New Roman" w:hAnsi="Times New Roman" w:cs="Times New Roman"/>
          <w:sz w:val="24"/>
          <w:szCs w:val="24"/>
        </w:rPr>
        <w:t xml:space="preserve">. Ligeledes vil beskadigede bremsekomponenter, som f.eks. beskadigede bremseventile, </w:t>
      </w:r>
      <w:r w:rsidR="00F47C9B">
        <w:rPr>
          <w:rFonts w:ascii="Times New Roman" w:hAnsi="Times New Roman" w:cs="Times New Roman"/>
          <w:sz w:val="24"/>
          <w:szCs w:val="24"/>
        </w:rPr>
        <w:lastRenderedPageBreak/>
        <w:t xml:space="preserve">defekte/revnede bremseskiver og bremsetromler, opslidt bremsebelægning (jern mod jern) </w:t>
      </w:r>
      <w:r w:rsidR="00EC5BE4">
        <w:rPr>
          <w:rFonts w:ascii="Times New Roman" w:hAnsi="Times New Roman" w:cs="Times New Roman"/>
          <w:sz w:val="24"/>
          <w:szCs w:val="24"/>
        </w:rPr>
        <w:t xml:space="preserve">m.v., være at anse for alvorlige sikkerhedskritiske fejl, hvis fejlene indebærer en ikke ubetydelig påvirkning af køretøjets bremseevne. Fejl og mangler ved koblinger til bremser på påhængskøretøj vil f.eks. også kunne anses for en alvorlig sikkerhedskritisk fejl eller mangel, hvis funktionsduelighed eller bremseaktivering af påhængskøretøjets bremse påvirkes i ikke ubetydelig grad.  </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Fejl og mangel ved et køretøjs styreapparat vil også kunne være omfattet af den foreslåede bestemmelse i § 118, stk. 7, hvis sådanne fejl og mangler medfører, at styreapparatets funktionsduelighed er påvirket i ikke ubetydelig grad. Dette kan f.eks. være tilfældet ved </w:t>
      </w:r>
      <w:r w:rsidR="00F47C9B">
        <w:rPr>
          <w:rFonts w:ascii="Times New Roman" w:hAnsi="Times New Roman" w:cs="Times New Roman"/>
          <w:sz w:val="24"/>
          <w:szCs w:val="24"/>
        </w:rPr>
        <w:t>defekte styreforbindelser</w:t>
      </w:r>
      <w:r>
        <w:rPr>
          <w:rFonts w:ascii="Times New Roman" w:hAnsi="Times New Roman" w:cs="Times New Roman"/>
          <w:sz w:val="24"/>
          <w:szCs w:val="24"/>
        </w:rPr>
        <w:t xml:space="preserve">, ukorrekt fastgørelse af styrehus, slid på styreapparatets enkelte dele eller ikke fungerende servostyring. Ligeledes vil fejl ved rattets tilstand, der bevirker alvorlig risiko for, at rattet løsnes, eller kraftig </w:t>
      </w:r>
      <w:r w:rsidR="00F47C9B">
        <w:rPr>
          <w:rFonts w:ascii="Times New Roman" w:hAnsi="Times New Roman" w:cs="Times New Roman"/>
          <w:sz w:val="24"/>
          <w:szCs w:val="24"/>
        </w:rPr>
        <w:t>slør</w:t>
      </w:r>
      <w:r>
        <w:rPr>
          <w:rFonts w:ascii="Times New Roman" w:hAnsi="Times New Roman" w:cs="Times New Roman"/>
          <w:sz w:val="24"/>
          <w:szCs w:val="24"/>
        </w:rPr>
        <w:t xml:space="preserve"> i rattet, der påvirker styreevnen i ikke ubetydeligt omfang, være omfattet af bestemmelsen.</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Fejl og mangler på køretøjets aksler, som medfører fare for sammenbru</w:t>
      </w:r>
      <w:r w:rsidR="00F47C9B">
        <w:rPr>
          <w:rFonts w:ascii="Times New Roman" w:hAnsi="Times New Roman" w:cs="Times New Roman"/>
          <w:sz w:val="24"/>
          <w:szCs w:val="24"/>
        </w:rPr>
        <w:t>d, som f.eks. brud på eller deform</w:t>
      </w:r>
      <w:r>
        <w:rPr>
          <w:rFonts w:ascii="Times New Roman" w:hAnsi="Times New Roman" w:cs="Times New Roman"/>
          <w:sz w:val="24"/>
          <w:szCs w:val="24"/>
        </w:rPr>
        <w:t xml:space="preserve"> aksel, vil også være at anse for en alvorlig sikkerhedskritisk fejl. På samme måde vil fejl og mangler ved hjul, herunder hjulnav, der påvirker en forsvarlig fas</w:t>
      </w:r>
      <w:r w:rsidR="008464FC">
        <w:rPr>
          <w:rFonts w:ascii="Times New Roman" w:hAnsi="Times New Roman" w:cs="Times New Roman"/>
          <w:sz w:val="24"/>
          <w:szCs w:val="24"/>
        </w:rPr>
        <w:t>tgørelse af hjulet, og alvorlig</w:t>
      </w:r>
      <w:r>
        <w:rPr>
          <w:rFonts w:ascii="Times New Roman" w:hAnsi="Times New Roman" w:cs="Times New Roman"/>
          <w:sz w:val="24"/>
          <w:szCs w:val="24"/>
        </w:rPr>
        <w:t xml:space="preserve"> beskadigelse eller </w:t>
      </w:r>
      <w:r w:rsidR="00957B2B">
        <w:rPr>
          <w:rFonts w:ascii="Times New Roman" w:hAnsi="Times New Roman" w:cs="Times New Roman"/>
          <w:sz w:val="24"/>
          <w:szCs w:val="24"/>
        </w:rPr>
        <w:t xml:space="preserve">alvorlig </w:t>
      </w:r>
      <w:r>
        <w:rPr>
          <w:rFonts w:ascii="Times New Roman" w:hAnsi="Times New Roman" w:cs="Times New Roman"/>
          <w:sz w:val="24"/>
          <w:szCs w:val="24"/>
        </w:rPr>
        <w:t>nedslidning af dæk samt utilstrækkelig belastningsevne kunne anses som en alvorlig sikkerhedskritisk mangel.</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Manglende funktion af </w:t>
      </w:r>
      <w:r w:rsidR="00F47C9B">
        <w:rPr>
          <w:rFonts w:ascii="Times New Roman" w:hAnsi="Times New Roman" w:cs="Times New Roman"/>
          <w:sz w:val="24"/>
          <w:szCs w:val="24"/>
        </w:rPr>
        <w:t xml:space="preserve">alle </w:t>
      </w:r>
      <w:r>
        <w:rPr>
          <w:rFonts w:ascii="Times New Roman" w:hAnsi="Times New Roman" w:cs="Times New Roman"/>
          <w:sz w:val="24"/>
          <w:szCs w:val="24"/>
        </w:rPr>
        <w:t>køretøjets stoplygter eller stoplyset på køretøjets påhængskøretøj vil også være at anse som en alvorlig sikkerhedskritisk fejl.</w:t>
      </w:r>
    </w:p>
    <w:p w:rsidR="00EC5BE4" w:rsidRDefault="00EC5BE4" w:rsidP="00EC5BE4">
      <w:pPr>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Endvidere kan også forhold som begrænser udsyn udgøre en alvorlig sikkerhedskritisk fejl, hvis udsynet inden for det område, der rengøres af forrudeviskerne, er begrænset i et sådan omfang, at førerens udsyn i høj grad er hæmmet. Det kan f.eks. være tilfældet ved stærkt tilisede ruder eller ved placering af genstande inden for området, der rengøres af forrudeviskerne. </w:t>
      </w:r>
    </w:p>
    <w:p w:rsidR="00EC5BE4" w:rsidRDefault="00EC5BE4" w:rsidP="00EC5BE4">
      <w:pPr>
        <w:autoSpaceDE w:val="0"/>
        <w:autoSpaceDN w:val="0"/>
        <w:adjustRightInd w:val="0"/>
        <w:spacing w:line="240" w:lineRule="auto"/>
        <w:rPr>
          <w:rFonts w:ascii="Times New Roman" w:hAnsi="Times New Roman" w:cs="Times New Roman"/>
          <w:sz w:val="24"/>
          <w:szCs w:val="24"/>
        </w:rPr>
      </w:pPr>
    </w:p>
    <w:p w:rsidR="00EC5BE4" w:rsidRDefault="00EC5BE4" w:rsidP="00EC5BE4">
      <w:pPr>
        <w:spacing w:line="240" w:lineRule="auto"/>
        <w:rPr>
          <w:rFonts w:ascii="Times New Roman" w:hAnsi="Times New Roman" w:cs="Times New Roman"/>
          <w:sz w:val="24"/>
          <w:szCs w:val="24"/>
        </w:rPr>
      </w:pPr>
      <w:r>
        <w:rPr>
          <w:rFonts w:ascii="Times New Roman" w:hAnsi="Times New Roman" w:cs="Times New Roman"/>
          <w:sz w:val="24"/>
          <w:szCs w:val="24"/>
        </w:rPr>
        <w:t xml:space="preserve">Ovenstående er alene eksempler på alvorlige sikkerhedskritiske fejl og mangler og er ikke udtryk for en udtømmende opregning. Det afgørende er, at fejlen eller manglen er af en sådan karakter, at den i sig selv udgør en nærliggende risiko for, at uheld opstår, enten ved at køretøjet forulykker eller ved, at der sker påkørsel af andre trafikanter. </w:t>
      </w:r>
    </w:p>
    <w:p w:rsidR="00EC5BE4" w:rsidRDefault="00EC5BE4" w:rsidP="00EC5BE4">
      <w:pPr>
        <w:spacing w:line="240" w:lineRule="auto"/>
        <w:rPr>
          <w:rFonts w:ascii="Times New Roman" w:hAnsi="Times New Roman" w:cs="Times New Roman"/>
          <w:sz w:val="24"/>
          <w:szCs w:val="24"/>
        </w:rPr>
      </w:pPr>
    </w:p>
    <w:p w:rsidR="00A5341C" w:rsidRDefault="00EC5BE4" w:rsidP="00EC5BE4">
      <w:pPr>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da-DK"/>
        </w:rPr>
        <w:t>Hvis et køretøj har flere fejl og mangler, der hver især ikke i sig selv har en alvorlig sikkerhedskritisk karakter</w:t>
      </w:r>
      <w:r w:rsidR="00FB1BAC">
        <w:rPr>
          <w:rFonts w:ascii="Times New Roman" w:eastAsia="Times New Roman" w:hAnsi="Times New Roman" w:cs="Times New Roman"/>
          <w:color w:val="000000"/>
          <w:sz w:val="24"/>
          <w:szCs w:val="24"/>
          <w:lang w:eastAsia="da-DK"/>
        </w:rPr>
        <w:t xml:space="preserve"> (almindelige fejl og mangler)</w:t>
      </w:r>
      <w:r>
        <w:rPr>
          <w:rFonts w:ascii="Times New Roman" w:eastAsia="Times New Roman" w:hAnsi="Times New Roman" w:cs="Times New Roman"/>
          <w:color w:val="000000"/>
          <w:sz w:val="24"/>
          <w:szCs w:val="24"/>
          <w:lang w:eastAsia="da-DK"/>
        </w:rPr>
        <w:t xml:space="preserve">, kan tilstedeværelsen af sådanne flere samtidige fejl og mangler dog betyde, at køretøjet </w:t>
      </w:r>
      <w:r>
        <w:rPr>
          <w:rFonts w:ascii="Times New Roman" w:hAnsi="Times New Roman" w:cs="Times New Roman"/>
          <w:sz w:val="24"/>
          <w:szCs w:val="24"/>
        </w:rPr>
        <w:t xml:space="preserve">reelt udgør samme færdselssikkerhedsmæssige risiko i trafikken som et køretøj med én alvorlig sikkerhedskritisk mangel. </w:t>
      </w:r>
      <w:r>
        <w:rPr>
          <w:rFonts w:ascii="Times New Roman" w:eastAsia="Times New Roman" w:hAnsi="Times New Roman" w:cs="Times New Roman"/>
          <w:color w:val="000000"/>
          <w:sz w:val="24"/>
          <w:szCs w:val="24"/>
          <w:lang w:eastAsia="da-DK"/>
        </w:rPr>
        <w:t xml:space="preserve">Afhængig af de konkrete omstændigheder og de konkrete fejl vil tilstedeværelse af flere samtidige fejl således kunne anses for </w:t>
      </w:r>
      <w:r w:rsidR="00722EFC">
        <w:rPr>
          <w:rFonts w:ascii="Times New Roman" w:eastAsia="Times New Roman" w:hAnsi="Times New Roman" w:cs="Times New Roman"/>
          <w:color w:val="000000"/>
          <w:sz w:val="24"/>
          <w:szCs w:val="24"/>
          <w:lang w:eastAsia="da-DK"/>
        </w:rPr>
        <w:t>e</w:t>
      </w:r>
      <w:r>
        <w:rPr>
          <w:rFonts w:ascii="Times New Roman" w:eastAsia="Times New Roman" w:hAnsi="Times New Roman" w:cs="Times New Roman"/>
          <w:color w:val="000000"/>
          <w:sz w:val="24"/>
          <w:szCs w:val="24"/>
          <w:lang w:eastAsia="da-DK"/>
        </w:rPr>
        <w:t>n alvorlig sikkerhedskritisk fejl, selvom de enkelte f</w:t>
      </w:r>
      <w:r w:rsidR="008464FC">
        <w:rPr>
          <w:rFonts w:ascii="Times New Roman" w:eastAsia="Times New Roman" w:hAnsi="Times New Roman" w:cs="Times New Roman"/>
          <w:color w:val="000000"/>
          <w:sz w:val="24"/>
          <w:szCs w:val="24"/>
          <w:lang w:eastAsia="da-DK"/>
        </w:rPr>
        <w:t>ejl ikke i sig selv er alvorlige</w:t>
      </w:r>
      <w:r>
        <w:rPr>
          <w:rFonts w:ascii="Times New Roman" w:eastAsia="Times New Roman" w:hAnsi="Times New Roman" w:cs="Times New Roman"/>
          <w:color w:val="000000"/>
          <w:sz w:val="24"/>
          <w:szCs w:val="24"/>
          <w:lang w:eastAsia="da-DK"/>
        </w:rPr>
        <w:t xml:space="preserve"> sikkerhedskritiske. </w:t>
      </w:r>
      <w:r>
        <w:rPr>
          <w:rFonts w:ascii="Times New Roman" w:hAnsi="Times New Roman" w:cs="Times New Roman"/>
          <w:sz w:val="24"/>
          <w:szCs w:val="24"/>
        </w:rPr>
        <w:t xml:space="preserve">I en sådan situation vil forholdet skulle sanktioneres med én bøde efter den foreslåede bestemmelse i § 118, stk. 7, og ikke som flere selvstændige fejl og mangler efter § 118, stk. 1. </w:t>
      </w:r>
    </w:p>
    <w:p w:rsidR="00EC5BE4" w:rsidRDefault="00EC5BE4" w:rsidP="00EC5BE4">
      <w:pPr>
        <w:autoSpaceDE w:val="0"/>
        <w:autoSpaceDN w:val="0"/>
        <w:adjustRightInd w:val="0"/>
        <w:spacing w:line="240" w:lineRule="auto"/>
        <w:rPr>
          <w:rFonts w:ascii="Times New Roman" w:hAnsi="Times New Roman" w:cs="Times New Roman"/>
          <w:sz w:val="24"/>
          <w:szCs w:val="24"/>
        </w:rPr>
      </w:pPr>
    </w:p>
    <w:p w:rsidR="00EC5BE4" w:rsidRDefault="00EC5BE4"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r>
        <w:rPr>
          <w:rFonts w:ascii="Times New Roman" w:hAnsi="Times New Roman" w:cs="Times New Roman"/>
          <w:sz w:val="24"/>
          <w:szCs w:val="24"/>
        </w:rPr>
        <w:t xml:space="preserve">Hvis der foreligger flere alvorlige sikkerhedskritiske fejl og mangler, </w:t>
      </w:r>
      <w:r w:rsidR="00A5341C">
        <w:rPr>
          <w:rFonts w:ascii="Times New Roman" w:hAnsi="Times New Roman" w:cs="Times New Roman"/>
          <w:sz w:val="24"/>
          <w:szCs w:val="24"/>
        </w:rPr>
        <w:t>vil</w:t>
      </w:r>
      <w:r>
        <w:rPr>
          <w:rFonts w:ascii="Times New Roman" w:hAnsi="Times New Roman" w:cs="Times New Roman"/>
          <w:sz w:val="24"/>
          <w:szCs w:val="24"/>
        </w:rPr>
        <w:t xml:space="preserve"> </w:t>
      </w:r>
      <w:r>
        <w:rPr>
          <w:rFonts w:ascii="Times New Roman" w:eastAsia="Times New Roman" w:hAnsi="Times New Roman" w:cs="Times New Roman"/>
          <w:color w:val="auto"/>
          <w:sz w:val="24"/>
          <w:szCs w:val="24"/>
          <w:lang w:eastAsia="da-DK"/>
        </w:rPr>
        <w:t>der som udgangspunkt</w:t>
      </w:r>
      <w:r w:rsidR="00FB1BAC">
        <w:rPr>
          <w:rFonts w:ascii="Times New Roman" w:eastAsia="Times New Roman" w:hAnsi="Times New Roman" w:cs="Times New Roman"/>
          <w:color w:val="auto"/>
          <w:sz w:val="24"/>
          <w:szCs w:val="24"/>
          <w:lang w:eastAsia="da-DK"/>
        </w:rPr>
        <w:t xml:space="preserve"> </w:t>
      </w:r>
      <w:proofErr w:type="gramStart"/>
      <w:r w:rsidR="00FB1BAC">
        <w:rPr>
          <w:rFonts w:ascii="Times New Roman" w:eastAsia="Times New Roman" w:hAnsi="Times New Roman" w:cs="Times New Roman"/>
          <w:color w:val="auto"/>
          <w:sz w:val="24"/>
          <w:szCs w:val="24"/>
          <w:lang w:eastAsia="da-DK"/>
        </w:rPr>
        <w:t>skulle</w:t>
      </w:r>
      <w:proofErr w:type="gramEnd"/>
      <w:r w:rsidR="00FB1BAC">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ske en sammenlægning af bøderne for de enkelte mangler, jf. færdselslovens § 118 a, stk. 3. </w:t>
      </w:r>
    </w:p>
    <w:p w:rsidR="00A5341C" w:rsidRDefault="00A5341C"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p>
    <w:p w:rsidR="00A5341C" w:rsidRDefault="00A5341C"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lastRenderedPageBreak/>
        <w:t xml:space="preserve">Hvis et køretøj har én eller flere </w:t>
      </w:r>
      <w:r>
        <w:rPr>
          <w:rFonts w:ascii="Times New Roman" w:hAnsi="Times New Roman" w:cs="Times New Roman"/>
          <w:sz w:val="24"/>
          <w:szCs w:val="24"/>
        </w:rPr>
        <w:t>alvorlige sikkerhedskritiske fejl og mangler og samtidig én eller flere fejl og mangler, der ikke i sig selv eller t</w:t>
      </w:r>
      <w:r w:rsidR="008464FC">
        <w:rPr>
          <w:rFonts w:ascii="Times New Roman" w:hAnsi="Times New Roman" w:cs="Times New Roman"/>
          <w:sz w:val="24"/>
          <w:szCs w:val="24"/>
        </w:rPr>
        <w:t>ilsammen kan anses for alvorlige</w:t>
      </w:r>
      <w:r>
        <w:rPr>
          <w:rFonts w:ascii="Times New Roman" w:hAnsi="Times New Roman" w:cs="Times New Roman"/>
          <w:sz w:val="24"/>
          <w:szCs w:val="24"/>
        </w:rPr>
        <w:t xml:space="preserve"> sikkerhedskritiske</w:t>
      </w:r>
      <w:r w:rsidR="00FB1BAC">
        <w:rPr>
          <w:rFonts w:ascii="Times New Roman" w:hAnsi="Times New Roman" w:cs="Times New Roman"/>
          <w:sz w:val="24"/>
          <w:szCs w:val="24"/>
        </w:rPr>
        <w:t xml:space="preserve"> (almindelige fejl og mangler)</w:t>
      </w:r>
      <w:r>
        <w:rPr>
          <w:rFonts w:ascii="Times New Roman" w:hAnsi="Times New Roman" w:cs="Times New Roman"/>
          <w:sz w:val="24"/>
          <w:szCs w:val="24"/>
        </w:rPr>
        <w:t xml:space="preserve">, </w:t>
      </w:r>
      <w:r w:rsidR="008464FC">
        <w:rPr>
          <w:rFonts w:ascii="Times New Roman" w:hAnsi="Times New Roman" w:cs="Times New Roman"/>
          <w:sz w:val="24"/>
          <w:szCs w:val="24"/>
        </w:rPr>
        <w:t>vil de alvorlige</w:t>
      </w:r>
      <w:r w:rsidR="00FB1BAC">
        <w:rPr>
          <w:rFonts w:ascii="Times New Roman" w:hAnsi="Times New Roman" w:cs="Times New Roman"/>
          <w:sz w:val="24"/>
          <w:szCs w:val="24"/>
        </w:rPr>
        <w:t xml:space="preserve"> sikkerhedskritiske fejl og mangler skulle sanktioneres efter den foreslåede bestemmelse i § 118, stk. 7, og de almindelige fejl og mangler vil skulle sanktionere</w:t>
      </w:r>
      <w:r w:rsidR="00F47C9B">
        <w:rPr>
          <w:rFonts w:ascii="Times New Roman" w:hAnsi="Times New Roman" w:cs="Times New Roman"/>
          <w:sz w:val="24"/>
          <w:szCs w:val="24"/>
        </w:rPr>
        <w:t>s</w:t>
      </w:r>
      <w:r w:rsidR="00FB1BAC">
        <w:rPr>
          <w:rFonts w:ascii="Times New Roman" w:hAnsi="Times New Roman" w:cs="Times New Roman"/>
          <w:sz w:val="24"/>
          <w:szCs w:val="24"/>
        </w:rPr>
        <w:t xml:space="preserve"> efter den gældende bestemmelse i § 118, stk. 1. Der vil herefter som udgangspunkt skulle ske en sammenlægning</w:t>
      </w:r>
      <w:r>
        <w:rPr>
          <w:rFonts w:ascii="Times New Roman" w:hAnsi="Times New Roman" w:cs="Times New Roman"/>
          <w:sz w:val="24"/>
          <w:szCs w:val="24"/>
        </w:rPr>
        <w:t xml:space="preserve"> </w:t>
      </w:r>
      <w:r w:rsidR="00FB1BAC">
        <w:rPr>
          <w:rFonts w:ascii="Times New Roman" w:eastAsia="Times New Roman" w:hAnsi="Times New Roman" w:cs="Times New Roman"/>
          <w:color w:val="auto"/>
          <w:sz w:val="24"/>
          <w:szCs w:val="24"/>
          <w:lang w:eastAsia="da-DK"/>
        </w:rPr>
        <w:t>af bøderne, jf. færdselslovens § 118 a, stk. 3.</w:t>
      </w:r>
    </w:p>
    <w:p w:rsidR="00EC5BE4" w:rsidRDefault="00EC5BE4"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p>
    <w:p w:rsidR="00EC5BE4" w:rsidRDefault="00EC5BE4"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Den foreslåede bestemmelse i § 118, stk. 7, har i øvrigt ingen betydning for spørgsmålet om frakendelse af førerretten efter færdselslovens § 125, stk. 1, nr. 1, og § 126, stk. 1, nr. 6, eller politiets mulighed for at inddrage et køretøjs nummerplader. </w:t>
      </w:r>
    </w:p>
    <w:p w:rsidR="00722EFC" w:rsidRDefault="00722EFC" w:rsidP="00EC5BE4">
      <w:pPr>
        <w:autoSpaceDE w:val="0"/>
        <w:autoSpaceDN w:val="0"/>
        <w:adjustRightInd w:val="0"/>
        <w:spacing w:line="240" w:lineRule="auto"/>
        <w:rPr>
          <w:rFonts w:ascii="Times New Roman" w:eastAsia="Times New Roman" w:hAnsi="Times New Roman" w:cs="Times New Roman"/>
          <w:color w:val="auto"/>
          <w:sz w:val="24"/>
          <w:szCs w:val="24"/>
          <w:lang w:eastAsia="da-DK"/>
        </w:rPr>
      </w:pPr>
    </w:p>
    <w:p w:rsidR="00722EFC" w:rsidRPr="00941642" w:rsidRDefault="00722EFC" w:rsidP="00722EFC">
      <w:pPr>
        <w:spacing w:line="240" w:lineRule="auto"/>
        <w:rPr>
          <w:rFonts w:ascii="Times New Roman" w:hAnsi="Times New Roman" w:cs="Times New Roman"/>
          <w:sz w:val="24"/>
          <w:szCs w:val="24"/>
        </w:rPr>
      </w:pPr>
      <w:r w:rsidRPr="00941642">
        <w:rPr>
          <w:rFonts w:ascii="Times New Roman" w:hAnsi="Times New Roman" w:cs="Times New Roman"/>
          <w:sz w:val="24"/>
          <w:szCs w:val="24"/>
        </w:rPr>
        <w:t xml:space="preserve">Med den foreslåede ændring indsættes </w:t>
      </w:r>
      <w:r>
        <w:rPr>
          <w:rFonts w:ascii="Times New Roman" w:hAnsi="Times New Roman" w:cs="Times New Roman"/>
          <w:sz w:val="24"/>
          <w:szCs w:val="24"/>
        </w:rPr>
        <w:t xml:space="preserve">endvidere </w:t>
      </w:r>
      <w:r w:rsidRPr="00941642">
        <w:rPr>
          <w:rFonts w:ascii="Times New Roman" w:hAnsi="Times New Roman" w:cs="Times New Roman"/>
          <w:sz w:val="24"/>
          <w:szCs w:val="24"/>
        </w:rPr>
        <w:t>et</w:t>
      </w:r>
      <w:r w:rsidRPr="00722EFC">
        <w:rPr>
          <w:rFonts w:ascii="Times New Roman" w:hAnsi="Times New Roman" w:cs="Times New Roman"/>
          <w:i/>
          <w:sz w:val="24"/>
          <w:szCs w:val="24"/>
        </w:rPr>
        <w:t xml:space="preserve"> nyt stk. 8</w:t>
      </w:r>
      <w:r w:rsidRPr="00941642">
        <w:rPr>
          <w:rFonts w:ascii="Times New Roman" w:hAnsi="Times New Roman" w:cs="Times New Roman"/>
          <w:sz w:val="24"/>
          <w:szCs w:val="24"/>
        </w:rPr>
        <w:t xml:space="preserve"> i § 118, hvorefter det skal </w:t>
      </w:r>
      <w:r>
        <w:rPr>
          <w:rFonts w:ascii="Times New Roman" w:hAnsi="Times New Roman" w:cs="Times New Roman"/>
          <w:sz w:val="24"/>
          <w:szCs w:val="24"/>
        </w:rPr>
        <w:t>anses for</w:t>
      </w:r>
      <w:r w:rsidRPr="00941642">
        <w:rPr>
          <w:rFonts w:ascii="Times New Roman" w:hAnsi="Times New Roman" w:cs="Times New Roman"/>
          <w:sz w:val="24"/>
          <w:szCs w:val="24"/>
        </w:rPr>
        <w:t xml:space="preserve"> en særligt skærpende o</w:t>
      </w:r>
      <w:r>
        <w:rPr>
          <w:rFonts w:ascii="Times New Roman" w:hAnsi="Times New Roman" w:cs="Times New Roman"/>
          <w:sz w:val="24"/>
          <w:szCs w:val="24"/>
        </w:rPr>
        <w:t>mstændighed, hvis et motordrevet</w:t>
      </w:r>
      <w:r w:rsidRPr="00941642">
        <w:rPr>
          <w:rFonts w:ascii="Times New Roman" w:hAnsi="Times New Roman" w:cs="Times New Roman"/>
          <w:sz w:val="24"/>
          <w:szCs w:val="24"/>
        </w:rPr>
        <w:t xml:space="preserve"> køretøj betjenes således</w:t>
      </w:r>
      <w:r>
        <w:rPr>
          <w:rFonts w:ascii="Times New Roman" w:hAnsi="Times New Roman" w:cs="Times New Roman"/>
          <w:sz w:val="24"/>
          <w:szCs w:val="24"/>
        </w:rPr>
        <w:t xml:space="preserve"> eller er i en sådan ulovlig stand, at køretøjet afgiver unødig støj.</w:t>
      </w:r>
    </w:p>
    <w:p w:rsidR="00722EFC" w:rsidRPr="00941642" w:rsidRDefault="00722EFC" w:rsidP="00722EFC">
      <w:pPr>
        <w:spacing w:line="240" w:lineRule="auto"/>
        <w:rPr>
          <w:rFonts w:ascii="Times New Roman" w:hAnsi="Times New Roman" w:cs="Times New Roman"/>
          <w:sz w:val="24"/>
          <w:szCs w:val="24"/>
        </w:rPr>
      </w:pPr>
    </w:p>
    <w:p w:rsidR="00722EFC" w:rsidRPr="00941642" w:rsidRDefault="00722EFC" w:rsidP="00722EFC">
      <w:pPr>
        <w:spacing w:line="240" w:lineRule="auto"/>
        <w:rPr>
          <w:rFonts w:ascii="Times New Roman" w:hAnsi="Times New Roman" w:cs="Times New Roman"/>
          <w:sz w:val="24"/>
          <w:szCs w:val="24"/>
        </w:rPr>
      </w:pPr>
      <w:r w:rsidRPr="00941642">
        <w:rPr>
          <w:rFonts w:ascii="Times New Roman" w:hAnsi="Times New Roman" w:cs="Times New Roman"/>
          <w:sz w:val="24"/>
          <w:szCs w:val="24"/>
        </w:rPr>
        <w:t>For så vidt angår de foreslåede retningslinjer for bødeniveauet henvises til</w:t>
      </w:r>
      <w:r>
        <w:rPr>
          <w:rFonts w:ascii="Times New Roman" w:hAnsi="Times New Roman" w:cs="Times New Roman"/>
          <w:sz w:val="24"/>
          <w:szCs w:val="24"/>
        </w:rPr>
        <w:t xml:space="preserve"> </w:t>
      </w:r>
      <w:r w:rsidRPr="00941642">
        <w:rPr>
          <w:rFonts w:ascii="Times New Roman" w:hAnsi="Times New Roman" w:cs="Times New Roman"/>
          <w:sz w:val="24"/>
          <w:szCs w:val="24"/>
        </w:rPr>
        <w:t>punkt</w:t>
      </w:r>
      <w:r>
        <w:rPr>
          <w:rFonts w:ascii="Times New Roman" w:hAnsi="Times New Roman" w:cs="Times New Roman"/>
          <w:sz w:val="24"/>
          <w:szCs w:val="24"/>
        </w:rPr>
        <w:t xml:space="preserve"> 2.2.2.</w:t>
      </w:r>
      <w:r w:rsidRPr="00941642">
        <w:rPr>
          <w:rFonts w:ascii="Times New Roman" w:hAnsi="Times New Roman" w:cs="Times New Roman"/>
          <w:sz w:val="24"/>
          <w:szCs w:val="24"/>
        </w:rPr>
        <w:t xml:space="preserve"> i lovforslagets almindelige bemærkninger.</w:t>
      </w:r>
    </w:p>
    <w:p w:rsidR="00722EFC" w:rsidRPr="00941642" w:rsidRDefault="00722EFC" w:rsidP="00722EFC">
      <w:pPr>
        <w:spacing w:line="240" w:lineRule="auto"/>
        <w:rPr>
          <w:rFonts w:ascii="Times New Roman" w:hAnsi="Times New Roman" w:cs="Times New Roman"/>
          <w:sz w:val="24"/>
          <w:szCs w:val="24"/>
        </w:rPr>
      </w:pPr>
    </w:p>
    <w:p w:rsidR="00722EFC" w:rsidRDefault="00722EFC" w:rsidP="00722EFC">
      <w:pPr>
        <w:spacing w:line="240" w:lineRule="auto"/>
        <w:rPr>
          <w:rFonts w:ascii="Times New Roman" w:hAnsi="Times New Roman" w:cs="Times New Roman"/>
          <w:sz w:val="24"/>
          <w:szCs w:val="24"/>
        </w:rPr>
      </w:pPr>
      <w:r w:rsidRPr="00941642">
        <w:rPr>
          <w:rFonts w:ascii="Times New Roman" w:hAnsi="Times New Roman" w:cs="Times New Roman"/>
          <w:sz w:val="24"/>
          <w:szCs w:val="24"/>
        </w:rPr>
        <w:t>Bestemmelsen i det nye stk. 8 finder anvendelse for alle typer af motordrevne køretøjer, det vil sige bil, lastbil, motorcykel, knallert, traktor og motorredskab.</w:t>
      </w:r>
    </w:p>
    <w:p w:rsidR="00722EFC" w:rsidRDefault="00722EFC" w:rsidP="00722EFC">
      <w:pPr>
        <w:spacing w:line="240" w:lineRule="auto"/>
        <w:rPr>
          <w:rFonts w:ascii="Times New Roman" w:hAnsi="Times New Roman" w:cs="Times New Roman"/>
          <w:sz w:val="24"/>
          <w:szCs w:val="24"/>
        </w:rPr>
      </w:pPr>
    </w:p>
    <w:p w:rsidR="00722EFC" w:rsidRDefault="00722EFC" w:rsidP="00722EFC">
      <w:pPr>
        <w:spacing w:line="240" w:lineRule="auto"/>
        <w:rPr>
          <w:rFonts w:ascii="Times New Roman" w:hAnsi="Times New Roman" w:cs="Times New Roman"/>
          <w:sz w:val="24"/>
          <w:szCs w:val="24"/>
        </w:rPr>
      </w:pPr>
      <w:r>
        <w:rPr>
          <w:rFonts w:ascii="Times New Roman" w:hAnsi="Times New Roman" w:cs="Times New Roman"/>
          <w:sz w:val="24"/>
          <w:szCs w:val="24"/>
        </w:rPr>
        <w:t>Det nye stk. 8 omfatter tilfælde, hvor føreren overtræder færdselslovens § 38, stk. 1. § 38, stk. 1, omhandler betjening af køretøjet, og unødig støj vil i relation til § 38, stk. 1, skulle forstås som støj, der ikke er nødvendiggjort af den trafikale situation. Som eksempel kan nævnes hjulspin og kraftig acceleration, der ikke er nødvendiggjort af den konkrete trafikale situation eller brug af horn, hvor det ikke er påkrævet.</w:t>
      </w:r>
    </w:p>
    <w:p w:rsidR="00722EFC" w:rsidRDefault="00722EFC" w:rsidP="00722EFC">
      <w:pPr>
        <w:spacing w:line="240" w:lineRule="auto"/>
        <w:rPr>
          <w:rFonts w:ascii="Times New Roman" w:hAnsi="Times New Roman" w:cs="Times New Roman"/>
          <w:sz w:val="24"/>
          <w:szCs w:val="24"/>
        </w:rPr>
      </w:pPr>
    </w:p>
    <w:p w:rsidR="00722EFC" w:rsidRDefault="00722EFC" w:rsidP="00722EFC">
      <w:pPr>
        <w:spacing w:line="240" w:lineRule="auto"/>
        <w:rPr>
          <w:rFonts w:ascii="Times New Roman" w:hAnsi="Times New Roman" w:cs="Times New Roman"/>
          <w:sz w:val="24"/>
          <w:szCs w:val="24"/>
        </w:rPr>
      </w:pPr>
      <w:r>
        <w:rPr>
          <w:rFonts w:ascii="Times New Roman" w:hAnsi="Times New Roman" w:cs="Times New Roman"/>
          <w:sz w:val="24"/>
          <w:szCs w:val="24"/>
        </w:rPr>
        <w:t xml:space="preserve">Bestemmelsen finder i relation til overtrædelse af § 38, stk. 1, </w:t>
      </w:r>
      <w:r w:rsidRPr="00C00D88">
        <w:rPr>
          <w:rFonts w:ascii="Times New Roman" w:hAnsi="Times New Roman" w:cs="Times New Roman"/>
          <w:sz w:val="24"/>
          <w:szCs w:val="24"/>
        </w:rPr>
        <w:t xml:space="preserve">ikke anvendelse, hvis føreren betjener køretøjet således, at det alene udvikler unødig røg eller gasarter. I praksis vil udvikling af unødig røg og gasarter som følge af førerens betjening i de fleste tilfælde </w:t>
      </w:r>
      <w:r>
        <w:rPr>
          <w:rFonts w:ascii="Times New Roman" w:hAnsi="Times New Roman" w:cs="Times New Roman"/>
          <w:sz w:val="24"/>
          <w:szCs w:val="24"/>
        </w:rPr>
        <w:t xml:space="preserve">dog </w:t>
      </w:r>
      <w:r w:rsidRPr="00C00D88">
        <w:rPr>
          <w:rFonts w:ascii="Times New Roman" w:hAnsi="Times New Roman" w:cs="Times New Roman"/>
          <w:sz w:val="24"/>
          <w:szCs w:val="24"/>
        </w:rPr>
        <w:t xml:space="preserve">også </w:t>
      </w:r>
      <w:r>
        <w:rPr>
          <w:rFonts w:ascii="Times New Roman" w:hAnsi="Times New Roman" w:cs="Times New Roman"/>
          <w:sz w:val="24"/>
          <w:szCs w:val="24"/>
        </w:rPr>
        <w:t>indebære afgivelse af unødig støj.</w:t>
      </w:r>
      <w:r w:rsidR="00D336F6">
        <w:rPr>
          <w:rFonts w:ascii="Times New Roman" w:hAnsi="Times New Roman" w:cs="Times New Roman"/>
          <w:sz w:val="24"/>
          <w:szCs w:val="24"/>
        </w:rPr>
        <w:t xml:space="preserve"> T</w:t>
      </w:r>
      <w:r>
        <w:rPr>
          <w:rFonts w:ascii="Times New Roman" w:hAnsi="Times New Roman" w:cs="Times New Roman"/>
          <w:sz w:val="24"/>
          <w:szCs w:val="24"/>
        </w:rPr>
        <w:t xml:space="preserve">ilfælde, hvor betjening af et motordrevet køretøj </w:t>
      </w:r>
      <w:r w:rsidR="00D336F6">
        <w:rPr>
          <w:rFonts w:ascii="Times New Roman" w:hAnsi="Times New Roman" w:cs="Times New Roman"/>
          <w:sz w:val="24"/>
          <w:szCs w:val="24"/>
        </w:rPr>
        <w:t xml:space="preserve">både </w:t>
      </w:r>
      <w:r>
        <w:rPr>
          <w:rFonts w:ascii="Times New Roman" w:hAnsi="Times New Roman" w:cs="Times New Roman"/>
          <w:sz w:val="24"/>
          <w:szCs w:val="24"/>
        </w:rPr>
        <w:t>medfører</w:t>
      </w:r>
      <w:r w:rsidR="00D336F6">
        <w:rPr>
          <w:rFonts w:ascii="Times New Roman" w:hAnsi="Times New Roman" w:cs="Times New Roman"/>
          <w:sz w:val="24"/>
          <w:szCs w:val="24"/>
        </w:rPr>
        <w:t>, at køretøjet unødigt udvikler røg og gasarter og afgiver unødig støj, vil være omfattet af den foreslåede bestemmelse i § 118, stk. 8.</w:t>
      </w:r>
      <w:r>
        <w:rPr>
          <w:rFonts w:ascii="Times New Roman" w:hAnsi="Times New Roman" w:cs="Times New Roman"/>
          <w:sz w:val="24"/>
          <w:szCs w:val="24"/>
        </w:rPr>
        <w:t xml:space="preserve">   </w:t>
      </w:r>
    </w:p>
    <w:p w:rsidR="00722EFC" w:rsidRDefault="00722EFC" w:rsidP="00722EFC">
      <w:pPr>
        <w:spacing w:line="240" w:lineRule="auto"/>
        <w:rPr>
          <w:rFonts w:ascii="Times New Roman" w:hAnsi="Times New Roman" w:cs="Times New Roman"/>
          <w:sz w:val="24"/>
          <w:szCs w:val="24"/>
        </w:rPr>
      </w:pPr>
    </w:p>
    <w:p w:rsidR="00722EFC" w:rsidRDefault="00722EFC" w:rsidP="00722EFC">
      <w:pPr>
        <w:spacing w:line="240" w:lineRule="auto"/>
        <w:rPr>
          <w:rFonts w:ascii="Times New Roman" w:hAnsi="Times New Roman" w:cs="Times New Roman"/>
          <w:sz w:val="24"/>
          <w:szCs w:val="24"/>
        </w:rPr>
      </w:pPr>
      <w:r w:rsidRPr="00520AF4">
        <w:rPr>
          <w:rFonts w:ascii="Times New Roman" w:hAnsi="Times New Roman" w:cs="Times New Roman"/>
          <w:sz w:val="24"/>
          <w:szCs w:val="24"/>
        </w:rPr>
        <w:t>Det foreslåede stk. 8 omfatter også overtrædelse § 67</w:t>
      </w:r>
      <w:r w:rsidR="00D336F6">
        <w:rPr>
          <w:rFonts w:ascii="Times New Roman" w:hAnsi="Times New Roman" w:cs="Times New Roman"/>
          <w:sz w:val="24"/>
          <w:szCs w:val="24"/>
        </w:rPr>
        <w:t xml:space="preserve">, stk. 2 og 4. Det vil sige </w:t>
      </w:r>
      <w:r w:rsidRPr="00520AF4">
        <w:rPr>
          <w:rFonts w:ascii="Times New Roman" w:hAnsi="Times New Roman" w:cs="Times New Roman"/>
          <w:sz w:val="24"/>
          <w:szCs w:val="24"/>
        </w:rPr>
        <w:t xml:space="preserve">ejerens (brugerens) og førerens ansvar for, at det motordrevne køretøj er i </w:t>
      </w:r>
      <w:r w:rsidR="00D336F6">
        <w:rPr>
          <w:rFonts w:ascii="Times New Roman" w:hAnsi="Times New Roman" w:cs="Times New Roman"/>
          <w:sz w:val="24"/>
          <w:szCs w:val="24"/>
        </w:rPr>
        <w:t>l</w:t>
      </w:r>
      <w:r w:rsidRPr="00520AF4">
        <w:rPr>
          <w:rFonts w:ascii="Times New Roman" w:hAnsi="Times New Roman" w:cs="Times New Roman"/>
          <w:sz w:val="24"/>
          <w:szCs w:val="24"/>
        </w:rPr>
        <w:t xml:space="preserve">ovlig stand med hensyn til køretøjets støjafgivelse. Unødig støj skal i relation til § 67, stk. 2 og 4, forstås som støj, der overstiger de for det pågældende køretøj gældende støjgrænser. Det betyder, at køretøjet skal være indrettet således, at det ikke udvikler unødig støj, jf. udstyrsbekendtgørelsens § 3, og at støjniveauet for køretøjet ikke må overstige det standstøjstal, der foreligger fra første registrering, med mere end 3 dB(A). </w:t>
      </w:r>
    </w:p>
    <w:p w:rsidR="00722EFC" w:rsidRDefault="00722EFC" w:rsidP="00722EFC">
      <w:pPr>
        <w:spacing w:line="240" w:lineRule="auto"/>
        <w:rPr>
          <w:rFonts w:ascii="Times New Roman" w:hAnsi="Times New Roman" w:cs="Times New Roman"/>
          <w:sz w:val="24"/>
          <w:szCs w:val="24"/>
        </w:rPr>
      </w:pPr>
    </w:p>
    <w:p w:rsidR="00722EFC" w:rsidRDefault="00722EFC" w:rsidP="00D336F6">
      <w:pPr>
        <w:spacing w:line="240" w:lineRule="auto"/>
        <w:rPr>
          <w:rFonts w:ascii="Times New Roman" w:eastAsia="Times New Roman" w:hAnsi="Times New Roman" w:cs="Times New Roman"/>
          <w:color w:val="auto"/>
          <w:sz w:val="24"/>
          <w:szCs w:val="24"/>
          <w:lang w:eastAsia="da-DK"/>
        </w:rPr>
      </w:pPr>
      <w:r w:rsidRPr="00520AF4">
        <w:rPr>
          <w:rFonts w:ascii="Times New Roman" w:hAnsi="Times New Roman" w:cs="Times New Roman"/>
          <w:sz w:val="24"/>
          <w:szCs w:val="24"/>
        </w:rPr>
        <w:t xml:space="preserve">Som eksempler på manglende vedligeholdelse, der kan medføre afgivelse af unødig støj kan nævnes defekt lyddæmper eller udstødningssystem som følge af slid, rustdannelser eller tæring. Endvidere vil </w:t>
      </w:r>
      <w:r>
        <w:rPr>
          <w:rFonts w:ascii="Times New Roman" w:hAnsi="Times New Roman" w:cs="Times New Roman"/>
          <w:sz w:val="24"/>
          <w:szCs w:val="24"/>
        </w:rPr>
        <w:t>m</w:t>
      </w:r>
      <w:r w:rsidRPr="00520AF4">
        <w:rPr>
          <w:rFonts w:ascii="Times New Roman" w:hAnsi="Times New Roman" w:cs="Times New Roman"/>
          <w:sz w:val="24"/>
          <w:szCs w:val="24"/>
        </w:rPr>
        <w:t>ontering af uoriginal lyddæmper med ringere støjdæmpning (”sportsudstødning”)</w:t>
      </w:r>
      <w:r>
        <w:rPr>
          <w:rFonts w:ascii="Times New Roman" w:hAnsi="Times New Roman" w:cs="Times New Roman"/>
          <w:sz w:val="24"/>
          <w:szCs w:val="24"/>
        </w:rPr>
        <w:t xml:space="preserve"> og a</w:t>
      </w:r>
      <w:r w:rsidRPr="00520AF4">
        <w:rPr>
          <w:rFonts w:ascii="Times New Roman" w:hAnsi="Times New Roman" w:cs="Times New Roman"/>
          <w:sz w:val="24"/>
          <w:szCs w:val="24"/>
        </w:rPr>
        <w:t>fmontering af køretøjets lyddæmper (”fri udblæsning”)</w:t>
      </w:r>
      <w:r w:rsidR="00D336F6">
        <w:rPr>
          <w:rFonts w:ascii="Times New Roman" w:hAnsi="Times New Roman" w:cs="Times New Roman"/>
          <w:sz w:val="24"/>
          <w:szCs w:val="24"/>
        </w:rPr>
        <w:t xml:space="preserve"> </w:t>
      </w:r>
      <w:r>
        <w:rPr>
          <w:rFonts w:ascii="Times New Roman" w:hAnsi="Times New Roman" w:cs="Times New Roman"/>
          <w:sz w:val="24"/>
          <w:szCs w:val="24"/>
        </w:rPr>
        <w:t>være eksempler på konstruktive ændringer, der</w:t>
      </w:r>
      <w:r w:rsidR="00D336F6">
        <w:rPr>
          <w:rFonts w:ascii="Times New Roman" w:hAnsi="Times New Roman" w:cs="Times New Roman"/>
          <w:sz w:val="24"/>
          <w:szCs w:val="24"/>
        </w:rPr>
        <w:t xml:space="preserve"> kan</w:t>
      </w:r>
      <w:r>
        <w:rPr>
          <w:rFonts w:ascii="Times New Roman" w:hAnsi="Times New Roman" w:cs="Times New Roman"/>
          <w:sz w:val="24"/>
          <w:szCs w:val="24"/>
        </w:rPr>
        <w:t xml:space="preserve"> medføre afgivelse af unødig støj</w:t>
      </w:r>
      <w:r w:rsidRPr="00520AF4">
        <w:rPr>
          <w:rFonts w:ascii="Times New Roman" w:hAnsi="Times New Roman" w:cs="Times New Roman"/>
          <w:sz w:val="24"/>
          <w:szCs w:val="24"/>
        </w:rPr>
        <w:t>.</w:t>
      </w:r>
    </w:p>
    <w:p w:rsidR="00EC5BE4"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894519">
        <w:rPr>
          <w:rFonts w:ascii="Times New Roman" w:eastAsia="Times New Roman" w:hAnsi="Times New Roman" w:cs="Times New Roman"/>
          <w:color w:val="000000"/>
          <w:sz w:val="24"/>
          <w:szCs w:val="24"/>
          <w:lang w:eastAsia="da-DK"/>
        </w:rPr>
        <w:t>Til</w:t>
      </w:r>
      <w:r w:rsidR="00F106D6">
        <w:rPr>
          <w:rFonts w:ascii="Times New Roman" w:eastAsia="Times New Roman" w:hAnsi="Times New Roman" w:cs="Times New Roman"/>
          <w:color w:val="000000"/>
          <w:sz w:val="24"/>
          <w:szCs w:val="24"/>
          <w:lang w:eastAsia="da-DK"/>
        </w:rPr>
        <w:t xml:space="preserve"> nr. </w:t>
      </w:r>
      <w:r w:rsidR="00246D92">
        <w:rPr>
          <w:rFonts w:ascii="Times New Roman" w:eastAsia="Times New Roman" w:hAnsi="Times New Roman" w:cs="Times New Roman"/>
          <w:color w:val="000000"/>
          <w:sz w:val="24"/>
          <w:szCs w:val="24"/>
          <w:lang w:eastAsia="da-DK"/>
        </w:rPr>
        <w:t>4</w:t>
      </w:r>
    </w:p>
    <w:p w:rsidR="00EC5BE4"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43255C">
        <w:rPr>
          <w:rFonts w:ascii="Times New Roman" w:eastAsia="Times New Roman" w:hAnsi="Times New Roman" w:cs="Times New Roman"/>
          <w:color w:val="000000"/>
          <w:sz w:val="24"/>
          <w:szCs w:val="24"/>
          <w:lang w:eastAsia="da-DK"/>
        </w:rPr>
        <w:lastRenderedPageBreak/>
        <w:t xml:space="preserve">Med lovforslagets § 1, nr. </w:t>
      </w:r>
      <w:r w:rsidR="00246D92">
        <w:rPr>
          <w:rFonts w:ascii="Times New Roman" w:eastAsia="Times New Roman" w:hAnsi="Times New Roman" w:cs="Times New Roman"/>
          <w:color w:val="000000"/>
          <w:sz w:val="24"/>
          <w:szCs w:val="24"/>
          <w:lang w:eastAsia="da-DK"/>
        </w:rPr>
        <w:t>3</w:t>
      </w:r>
      <w:r w:rsidRPr="0043255C">
        <w:rPr>
          <w:rFonts w:ascii="Times New Roman" w:eastAsia="Times New Roman" w:hAnsi="Times New Roman" w:cs="Times New Roman"/>
          <w:color w:val="000000"/>
          <w:sz w:val="24"/>
          <w:szCs w:val="24"/>
          <w:lang w:eastAsia="da-DK"/>
        </w:rPr>
        <w:t xml:space="preserve">, indsættes et nyt stk. </w:t>
      </w:r>
      <w:r>
        <w:rPr>
          <w:rFonts w:ascii="Times New Roman" w:eastAsia="Times New Roman" w:hAnsi="Times New Roman" w:cs="Times New Roman"/>
          <w:color w:val="000000"/>
          <w:sz w:val="24"/>
          <w:szCs w:val="24"/>
          <w:lang w:eastAsia="da-DK"/>
        </w:rPr>
        <w:t>7</w:t>
      </w:r>
      <w:r w:rsidR="00F106D6">
        <w:rPr>
          <w:rFonts w:ascii="Times New Roman" w:eastAsia="Times New Roman" w:hAnsi="Times New Roman" w:cs="Times New Roman"/>
          <w:color w:val="000000"/>
          <w:sz w:val="24"/>
          <w:szCs w:val="24"/>
          <w:lang w:eastAsia="da-DK"/>
        </w:rPr>
        <w:t xml:space="preserve"> og et nyt stk. 8</w:t>
      </w:r>
      <w:r w:rsidRPr="0043255C">
        <w:rPr>
          <w:rFonts w:ascii="Times New Roman" w:eastAsia="Times New Roman" w:hAnsi="Times New Roman" w:cs="Times New Roman"/>
          <w:color w:val="000000"/>
          <w:sz w:val="24"/>
          <w:szCs w:val="24"/>
          <w:lang w:eastAsia="da-DK"/>
        </w:rPr>
        <w:t xml:space="preserve"> i § 118. Ændringen i § 1</w:t>
      </w:r>
      <w:r>
        <w:rPr>
          <w:rFonts w:ascii="Times New Roman" w:eastAsia="Times New Roman" w:hAnsi="Times New Roman" w:cs="Times New Roman"/>
          <w:color w:val="000000"/>
          <w:sz w:val="24"/>
          <w:szCs w:val="24"/>
          <w:lang w:eastAsia="da-DK"/>
        </w:rPr>
        <w:t>34, stk. 4</w:t>
      </w:r>
      <w:r w:rsidRPr="0043255C">
        <w:rPr>
          <w:rFonts w:ascii="Times New Roman" w:eastAsia="Times New Roman" w:hAnsi="Times New Roman" w:cs="Times New Roman"/>
          <w:color w:val="000000"/>
          <w:sz w:val="24"/>
          <w:szCs w:val="24"/>
          <w:lang w:eastAsia="da-DK"/>
        </w:rPr>
        <w:t xml:space="preserve">, er en redaktionel konsekvensændring, der skyldes, at styknummeringen i § 118 ændres som følge </w:t>
      </w:r>
      <w:r>
        <w:rPr>
          <w:rFonts w:ascii="Times New Roman" w:eastAsia="Times New Roman" w:hAnsi="Times New Roman" w:cs="Times New Roman"/>
          <w:color w:val="000000"/>
          <w:sz w:val="24"/>
          <w:szCs w:val="24"/>
          <w:lang w:eastAsia="da-DK"/>
        </w:rPr>
        <w:t>af indsættelsen af et nyt stk.</w:t>
      </w:r>
      <w:r w:rsidRPr="0043255C">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7</w:t>
      </w:r>
      <w:r w:rsidRPr="0043255C">
        <w:rPr>
          <w:rFonts w:ascii="Times New Roman" w:eastAsia="Times New Roman" w:hAnsi="Times New Roman" w:cs="Times New Roman"/>
          <w:color w:val="000000"/>
          <w:sz w:val="24"/>
          <w:szCs w:val="24"/>
          <w:lang w:eastAsia="da-DK"/>
        </w:rPr>
        <w:t xml:space="preserve"> </w:t>
      </w:r>
      <w:r w:rsidR="00F106D6">
        <w:rPr>
          <w:rFonts w:ascii="Times New Roman" w:eastAsia="Times New Roman" w:hAnsi="Times New Roman" w:cs="Times New Roman"/>
          <w:color w:val="000000"/>
          <w:sz w:val="24"/>
          <w:szCs w:val="24"/>
          <w:lang w:eastAsia="da-DK"/>
        </w:rPr>
        <w:t xml:space="preserve">og et nyt stk. 8 </w:t>
      </w:r>
      <w:r w:rsidRPr="0043255C">
        <w:rPr>
          <w:rFonts w:ascii="Times New Roman" w:eastAsia="Times New Roman" w:hAnsi="Times New Roman" w:cs="Times New Roman"/>
          <w:color w:val="000000"/>
          <w:sz w:val="24"/>
          <w:szCs w:val="24"/>
          <w:lang w:eastAsia="da-DK"/>
        </w:rPr>
        <w:t>i § 118. Bestemm</w:t>
      </w:r>
      <w:r>
        <w:rPr>
          <w:rFonts w:ascii="Times New Roman" w:eastAsia="Times New Roman" w:hAnsi="Times New Roman" w:cs="Times New Roman"/>
          <w:color w:val="000000"/>
          <w:sz w:val="24"/>
          <w:szCs w:val="24"/>
          <w:lang w:eastAsia="da-DK"/>
        </w:rPr>
        <w:t xml:space="preserve">elsen i </w:t>
      </w:r>
      <w:r w:rsidR="00F106D6">
        <w:rPr>
          <w:rFonts w:ascii="Times New Roman" w:eastAsia="Times New Roman" w:hAnsi="Times New Roman" w:cs="Times New Roman"/>
          <w:color w:val="000000"/>
          <w:sz w:val="24"/>
          <w:szCs w:val="24"/>
          <w:lang w:eastAsia="da-DK"/>
        </w:rPr>
        <w:t xml:space="preserve">lovforslagets § 1, nr. </w:t>
      </w:r>
      <w:r w:rsidR="00246D92">
        <w:rPr>
          <w:rFonts w:ascii="Times New Roman" w:eastAsia="Times New Roman" w:hAnsi="Times New Roman" w:cs="Times New Roman"/>
          <w:color w:val="000000"/>
          <w:sz w:val="24"/>
          <w:szCs w:val="24"/>
          <w:lang w:eastAsia="da-DK"/>
        </w:rPr>
        <w:t>4</w:t>
      </w:r>
      <w:r w:rsidRPr="0043255C">
        <w:rPr>
          <w:rFonts w:ascii="Times New Roman" w:eastAsia="Times New Roman" w:hAnsi="Times New Roman" w:cs="Times New Roman"/>
          <w:color w:val="000000"/>
          <w:sz w:val="24"/>
          <w:szCs w:val="24"/>
          <w:lang w:eastAsia="da-DK"/>
        </w:rPr>
        <w:t>, indebærer ikke materielle ændringer.</w:t>
      </w:r>
    </w:p>
    <w:p w:rsidR="00EC5BE4" w:rsidRDefault="00F106D6" w:rsidP="00EC5BE4">
      <w:pPr>
        <w:spacing w:before="100" w:before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Til nr. </w:t>
      </w:r>
      <w:r w:rsidR="00246D92">
        <w:rPr>
          <w:rFonts w:ascii="Times New Roman" w:eastAsia="Times New Roman" w:hAnsi="Times New Roman" w:cs="Times New Roman"/>
          <w:color w:val="000000"/>
          <w:sz w:val="24"/>
          <w:szCs w:val="24"/>
          <w:lang w:eastAsia="da-DK"/>
        </w:rPr>
        <w:t>5</w:t>
      </w:r>
      <w:r w:rsidR="00EC5BE4" w:rsidRPr="00894519">
        <w:rPr>
          <w:rFonts w:ascii="Times New Roman" w:eastAsia="Times New Roman" w:hAnsi="Times New Roman" w:cs="Times New Roman"/>
          <w:color w:val="000000"/>
          <w:sz w:val="24"/>
          <w:szCs w:val="24"/>
          <w:lang w:eastAsia="da-DK"/>
        </w:rPr>
        <w:t xml:space="preserve"> </w:t>
      </w:r>
    </w:p>
    <w:p w:rsidR="00EC5BE4" w:rsidRPr="00894519"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43255C">
        <w:rPr>
          <w:rFonts w:ascii="Times New Roman" w:eastAsia="Times New Roman" w:hAnsi="Times New Roman" w:cs="Times New Roman"/>
          <w:color w:val="000000"/>
          <w:sz w:val="24"/>
          <w:szCs w:val="24"/>
          <w:lang w:eastAsia="da-DK"/>
        </w:rPr>
        <w:t xml:space="preserve">Med lovforslagets § 1, nr. </w:t>
      </w:r>
      <w:r w:rsidR="00246D92">
        <w:rPr>
          <w:rFonts w:ascii="Times New Roman" w:eastAsia="Times New Roman" w:hAnsi="Times New Roman" w:cs="Times New Roman"/>
          <w:color w:val="000000"/>
          <w:sz w:val="24"/>
          <w:szCs w:val="24"/>
          <w:lang w:eastAsia="da-DK"/>
        </w:rPr>
        <w:t>3</w:t>
      </w:r>
      <w:r w:rsidRPr="0043255C">
        <w:rPr>
          <w:rFonts w:ascii="Times New Roman" w:eastAsia="Times New Roman" w:hAnsi="Times New Roman" w:cs="Times New Roman"/>
          <w:color w:val="000000"/>
          <w:sz w:val="24"/>
          <w:szCs w:val="24"/>
          <w:lang w:eastAsia="da-DK"/>
        </w:rPr>
        <w:t xml:space="preserve">, indsættes et nyt stk. </w:t>
      </w:r>
      <w:r>
        <w:rPr>
          <w:rFonts w:ascii="Times New Roman" w:eastAsia="Times New Roman" w:hAnsi="Times New Roman" w:cs="Times New Roman"/>
          <w:color w:val="000000"/>
          <w:sz w:val="24"/>
          <w:szCs w:val="24"/>
          <w:lang w:eastAsia="da-DK"/>
        </w:rPr>
        <w:t>7</w:t>
      </w:r>
      <w:r w:rsidRPr="0043255C">
        <w:rPr>
          <w:rFonts w:ascii="Times New Roman" w:eastAsia="Times New Roman" w:hAnsi="Times New Roman" w:cs="Times New Roman"/>
          <w:color w:val="000000"/>
          <w:sz w:val="24"/>
          <w:szCs w:val="24"/>
          <w:lang w:eastAsia="da-DK"/>
        </w:rPr>
        <w:t xml:space="preserve"> </w:t>
      </w:r>
      <w:r w:rsidR="00F106D6">
        <w:rPr>
          <w:rFonts w:ascii="Times New Roman" w:eastAsia="Times New Roman" w:hAnsi="Times New Roman" w:cs="Times New Roman"/>
          <w:color w:val="000000"/>
          <w:sz w:val="24"/>
          <w:szCs w:val="24"/>
          <w:lang w:eastAsia="da-DK"/>
        </w:rPr>
        <w:t xml:space="preserve">og et nyt stk. 8 </w:t>
      </w:r>
      <w:r w:rsidRPr="0043255C">
        <w:rPr>
          <w:rFonts w:ascii="Times New Roman" w:eastAsia="Times New Roman" w:hAnsi="Times New Roman" w:cs="Times New Roman"/>
          <w:color w:val="000000"/>
          <w:sz w:val="24"/>
          <w:szCs w:val="24"/>
          <w:lang w:eastAsia="da-DK"/>
        </w:rPr>
        <w:t xml:space="preserve">i § 118. Ændringen i § 140, stk. 2, 3. pkt., er en redaktionel konsekvensændring, der skyldes, at styknummeringen i § 118 ændres som følge </w:t>
      </w:r>
      <w:r>
        <w:rPr>
          <w:rFonts w:ascii="Times New Roman" w:eastAsia="Times New Roman" w:hAnsi="Times New Roman" w:cs="Times New Roman"/>
          <w:color w:val="000000"/>
          <w:sz w:val="24"/>
          <w:szCs w:val="24"/>
          <w:lang w:eastAsia="da-DK"/>
        </w:rPr>
        <w:t>af indsættelsen af et nyt stk.</w:t>
      </w:r>
      <w:r w:rsidRPr="0043255C">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7</w:t>
      </w:r>
      <w:r w:rsidRPr="0043255C">
        <w:rPr>
          <w:rFonts w:ascii="Times New Roman" w:eastAsia="Times New Roman" w:hAnsi="Times New Roman" w:cs="Times New Roman"/>
          <w:color w:val="000000"/>
          <w:sz w:val="24"/>
          <w:szCs w:val="24"/>
          <w:lang w:eastAsia="da-DK"/>
        </w:rPr>
        <w:t xml:space="preserve"> </w:t>
      </w:r>
      <w:r w:rsidR="00F106D6">
        <w:rPr>
          <w:rFonts w:ascii="Times New Roman" w:eastAsia="Times New Roman" w:hAnsi="Times New Roman" w:cs="Times New Roman"/>
          <w:color w:val="000000"/>
          <w:sz w:val="24"/>
          <w:szCs w:val="24"/>
          <w:lang w:eastAsia="da-DK"/>
        </w:rPr>
        <w:t xml:space="preserve">og et nyt stk. 8 </w:t>
      </w:r>
      <w:r w:rsidRPr="0043255C">
        <w:rPr>
          <w:rFonts w:ascii="Times New Roman" w:eastAsia="Times New Roman" w:hAnsi="Times New Roman" w:cs="Times New Roman"/>
          <w:color w:val="000000"/>
          <w:sz w:val="24"/>
          <w:szCs w:val="24"/>
          <w:lang w:eastAsia="da-DK"/>
        </w:rPr>
        <w:t>i § 118. Bestemm</w:t>
      </w:r>
      <w:r w:rsidR="00F106D6">
        <w:rPr>
          <w:rFonts w:ascii="Times New Roman" w:eastAsia="Times New Roman" w:hAnsi="Times New Roman" w:cs="Times New Roman"/>
          <w:color w:val="000000"/>
          <w:sz w:val="24"/>
          <w:szCs w:val="24"/>
          <w:lang w:eastAsia="da-DK"/>
        </w:rPr>
        <w:t xml:space="preserve">elsen i lovforslagets § 1, nr. </w:t>
      </w:r>
      <w:r w:rsidR="00246D92">
        <w:rPr>
          <w:rFonts w:ascii="Times New Roman" w:eastAsia="Times New Roman" w:hAnsi="Times New Roman" w:cs="Times New Roman"/>
          <w:color w:val="000000"/>
          <w:sz w:val="24"/>
          <w:szCs w:val="24"/>
          <w:lang w:eastAsia="da-DK"/>
        </w:rPr>
        <w:t>5</w:t>
      </w:r>
      <w:r w:rsidRPr="0043255C">
        <w:rPr>
          <w:rFonts w:ascii="Times New Roman" w:eastAsia="Times New Roman" w:hAnsi="Times New Roman" w:cs="Times New Roman"/>
          <w:color w:val="000000"/>
          <w:sz w:val="24"/>
          <w:szCs w:val="24"/>
          <w:lang w:eastAsia="da-DK"/>
        </w:rPr>
        <w:t>, indebærer ikke materielle ændringer.</w:t>
      </w:r>
    </w:p>
    <w:p w:rsidR="00EC5BE4" w:rsidRPr="00894519" w:rsidRDefault="00EC5BE4" w:rsidP="00EC5BE4">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894519">
        <w:rPr>
          <w:rFonts w:ascii="Times New Roman" w:eastAsia="Times New Roman" w:hAnsi="Times New Roman" w:cs="Times New Roman"/>
          <w:i/>
          <w:iCs/>
          <w:color w:val="000000"/>
          <w:sz w:val="24"/>
          <w:szCs w:val="24"/>
          <w:lang w:eastAsia="da-DK"/>
        </w:rPr>
        <w:t>Til § 2</w:t>
      </w:r>
    </w:p>
    <w:p w:rsidR="00EC5BE4" w:rsidRPr="00B06962"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B06962">
        <w:rPr>
          <w:rFonts w:ascii="Times New Roman" w:eastAsia="Times New Roman" w:hAnsi="Times New Roman" w:cs="Times New Roman"/>
          <w:color w:val="000000"/>
          <w:sz w:val="24"/>
          <w:szCs w:val="24"/>
          <w:lang w:eastAsia="da-DK"/>
        </w:rPr>
        <w:t xml:space="preserve">Det foreslås i § </w:t>
      </w:r>
      <w:r>
        <w:rPr>
          <w:rFonts w:ascii="Times New Roman" w:eastAsia="Times New Roman" w:hAnsi="Times New Roman" w:cs="Times New Roman"/>
          <w:color w:val="000000"/>
          <w:sz w:val="24"/>
          <w:szCs w:val="24"/>
          <w:lang w:eastAsia="da-DK"/>
        </w:rPr>
        <w:t>2, at loven træder i kraft den 1</w:t>
      </w:r>
      <w:r w:rsidRPr="00B06962">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juli</w:t>
      </w:r>
      <w:r w:rsidRPr="00B06962">
        <w:rPr>
          <w:rFonts w:ascii="Times New Roman" w:eastAsia="Times New Roman" w:hAnsi="Times New Roman" w:cs="Times New Roman"/>
          <w:color w:val="000000"/>
          <w:sz w:val="24"/>
          <w:szCs w:val="24"/>
          <w:lang w:eastAsia="da-DK"/>
        </w:rPr>
        <w:t xml:space="preserve"> 201</w:t>
      </w:r>
      <w:r>
        <w:rPr>
          <w:rFonts w:ascii="Times New Roman" w:eastAsia="Times New Roman" w:hAnsi="Times New Roman" w:cs="Times New Roman"/>
          <w:color w:val="000000"/>
          <w:sz w:val="24"/>
          <w:szCs w:val="24"/>
          <w:lang w:eastAsia="da-DK"/>
        </w:rPr>
        <w:t>9</w:t>
      </w:r>
      <w:r w:rsidRPr="00B06962">
        <w:rPr>
          <w:rFonts w:ascii="Times New Roman" w:eastAsia="Times New Roman" w:hAnsi="Times New Roman" w:cs="Times New Roman"/>
          <w:color w:val="000000"/>
          <w:sz w:val="24"/>
          <w:szCs w:val="24"/>
          <w:lang w:eastAsia="da-DK"/>
        </w:rPr>
        <w:t>.</w:t>
      </w:r>
    </w:p>
    <w:p w:rsidR="00EC5BE4" w:rsidRPr="00B06962"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B06962">
        <w:rPr>
          <w:rFonts w:ascii="Times New Roman" w:eastAsia="Times New Roman" w:hAnsi="Times New Roman" w:cs="Times New Roman"/>
          <w:color w:val="000000"/>
          <w:sz w:val="24"/>
          <w:szCs w:val="24"/>
          <w:lang w:eastAsia="da-DK"/>
        </w:rPr>
        <w:t>Det bemærkes generelt, at det følger af straffelovens § 3, stk. 1, at spørgsmålet om strafbarhed og straf</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afgøres efter den straffelovgivning, som er gældende på det tidspunkt, hvor sagen pådømmes. Er handlingen</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foretaget før den nye lovs ikrafttræden, må straffen dog ikke blive strengere end efter de regler, som</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 xml:space="preserve">var gældende på gerningstidspunktet. Straffelovens § 3, stk. 1, </w:t>
      </w:r>
      <w:r>
        <w:rPr>
          <w:rFonts w:ascii="Times New Roman" w:eastAsia="Times New Roman" w:hAnsi="Times New Roman" w:cs="Times New Roman"/>
          <w:color w:val="000000"/>
          <w:sz w:val="24"/>
          <w:szCs w:val="24"/>
          <w:lang w:eastAsia="da-DK"/>
        </w:rPr>
        <w:t>indebærer</w:t>
      </w:r>
      <w:r w:rsidRPr="00B06962">
        <w:rPr>
          <w:rFonts w:ascii="Times New Roman" w:eastAsia="Times New Roman" w:hAnsi="Times New Roman" w:cs="Times New Roman"/>
          <w:color w:val="000000"/>
          <w:sz w:val="24"/>
          <w:szCs w:val="24"/>
          <w:lang w:eastAsia="da-DK"/>
        </w:rPr>
        <w:t xml:space="preserve"> således, at lovforslagets bestemmelser</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om skærpet bødestraf alene vil omfatte overtrædelser</w:t>
      </w:r>
      <w:r>
        <w:rPr>
          <w:rFonts w:ascii="Times New Roman" w:eastAsia="Times New Roman" w:hAnsi="Times New Roman" w:cs="Times New Roman"/>
          <w:color w:val="000000"/>
          <w:sz w:val="24"/>
          <w:szCs w:val="24"/>
          <w:lang w:eastAsia="da-DK"/>
        </w:rPr>
        <w:t>,</w:t>
      </w:r>
      <w:r w:rsidRPr="00B06962">
        <w:rPr>
          <w:rFonts w:ascii="Times New Roman" w:eastAsia="Times New Roman" w:hAnsi="Times New Roman" w:cs="Times New Roman"/>
          <w:color w:val="000000"/>
          <w:sz w:val="24"/>
          <w:szCs w:val="24"/>
          <w:lang w:eastAsia="da-DK"/>
        </w:rPr>
        <w:t xml:space="preserve"> som begås efter lovens ikrafttræden.</w:t>
      </w:r>
    </w:p>
    <w:p w:rsidR="00EC5BE4" w:rsidRDefault="00EC5BE4" w:rsidP="00EC5BE4">
      <w:pPr>
        <w:spacing w:before="100" w:beforeAutospacing="1" w:line="240" w:lineRule="auto"/>
        <w:rPr>
          <w:rFonts w:ascii="Times New Roman" w:eastAsia="Times New Roman" w:hAnsi="Times New Roman" w:cs="Times New Roman"/>
          <w:color w:val="000000"/>
          <w:sz w:val="24"/>
          <w:szCs w:val="24"/>
          <w:lang w:eastAsia="da-DK"/>
        </w:rPr>
      </w:pPr>
      <w:r w:rsidRPr="00B06962">
        <w:rPr>
          <w:rFonts w:ascii="Times New Roman" w:eastAsia="Times New Roman" w:hAnsi="Times New Roman" w:cs="Times New Roman"/>
          <w:color w:val="000000"/>
          <w:sz w:val="24"/>
          <w:szCs w:val="24"/>
          <w:lang w:eastAsia="da-DK"/>
        </w:rPr>
        <w:t>Sager, der er pådømt i byretten før lovens ikrafttræden, og som pådømmes i landsretten efter lovens</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ikrafttræden, vil skulle endeligt afgøres efter de nye regler, som ikke var gældende ved pådømmelsen i</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første instans. Straffen må dog ikke blive strengere end efter de tidligere regler, jf. straffelovens § 3, stk.</w:t>
      </w:r>
      <w:r>
        <w:rPr>
          <w:rFonts w:ascii="Times New Roman" w:eastAsia="Times New Roman" w:hAnsi="Times New Roman" w:cs="Times New Roman"/>
          <w:color w:val="000000"/>
          <w:sz w:val="24"/>
          <w:szCs w:val="24"/>
          <w:lang w:eastAsia="da-DK"/>
        </w:rPr>
        <w:t xml:space="preserve"> </w:t>
      </w:r>
      <w:r w:rsidRPr="00B06962">
        <w:rPr>
          <w:rFonts w:ascii="Times New Roman" w:eastAsia="Times New Roman" w:hAnsi="Times New Roman" w:cs="Times New Roman"/>
          <w:color w:val="000000"/>
          <w:sz w:val="24"/>
          <w:szCs w:val="24"/>
          <w:lang w:eastAsia="da-DK"/>
        </w:rPr>
        <w:t>1.</w:t>
      </w:r>
    </w:p>
    <w:p w:rsidR="00EC5BE4" w:rsidRDefault="00EC5BE4" w:rsidP="00EC5BE4">
      <w:pPr>
        <w:spacing w:before="100" w:beforeAutospacing="1" w:line="240" w:lineRule="auto"/>
      </w:pPr>
      <w:r w:rsidRPr="00B06962">
        <w:rPr>
          <w:rFonts w:ascii="Times New Roman" w:eastAsia="Times New Roman" w:hAnsi="Times New Roman" w:cs="Times New Roman"/>
          <w:color w:val="000000"/>
          <w:sz w:val="24"/>
          <w:szCs w:val="24"/>
          <w:lang w:eastAsia="da-DK"/>
        </w:rPr>
        <w:t>Ifølge færdselslovens § 143 gælder loven ikke for Færøerne og Grønland</w:t>
      </w:r>
      <w:r>
        <w:rPr>
          <w:rFonts w:ascii="Times New Roman" w:eastAsia="Times New Roman" w:hAnsi="Times New Roman" w:cs="Times New Roman"/>
          <w:color w:val="000000"/>
          <w:sz w:val="24"/>
          <w:szCs w:val="24"/>
          <w:lang w:eastAsia="da-DK"/>
        </w:rPr>
        <w:t>, og loven indeholder ikke en anordningsbestemmelse om, at lovens regler kan sættes i kraft for Færøerne og Grønland</w:t>
      </w:r>
      <w:r w:rsidRPr="00B06962">
        <w:rPr>
          <w:rFonts w:ascii="Times New Roman" w:eastAsia="Times New Roman" w:hAnsi="Times New Roman" w:cs="Times New Roman"/>
          <w:color w:val="000000"/>
          <w:sz w:val="24"/>
          <w:szCs w:val="24"/>
          <w:lang w:eastAsia="da-DK"/>
        </w:rPr>
        <w:t>.</w:t>
      </w:r>
      <w:r>
        <w:rPr>
          <w:rFonts w:ascii="Times New Roman" w:eastAsia="Times New Roman" w:hAnsi="Times New Roman" w:cs="Times New Roman"/>
          <w:color w:val="000000"/>
          <w:sz w:val="24"/>
          <w:szCs w:val="24"/>
          <w:lang w:eastAsia="da-DK"/>
        </w:rPr>
        <w:t xml:space="preserve"> Ændringer af færdselsloven kan således heller ikke gælde for Færøerne og Grønland, og nærværende lovforslag indeholder derfor ikke en</w:t>
      </w:r>
      <w:r w:rsidRPr="00B06962">
        <w:rPr>
          <w:rFonts w:ascii="Times New Roman" w:eastAsia="Times New Roman" w:hAnsi="Times New Roman" w:cs="Times New Roman"/>
          <w:color w:val="000000"/>
          <w:sz w:val="24"/>
          <w:szCs w:val="24"/>
          <w:lang w:eastAsia="da-DK"/>
        </w:rPr>
        <w:t xml:space="preserve"> territorialbestemmelse</w:t>
      </w:r>
      <w:r>
        <w:rPr>
          <w:rFonts w:ascii="Times New Roman" w:eastAsia="Times New Roman" w:hAnsi="Times New Roman" w:cs="Times New Roman"/>
          <w:color w:val="000000"/>
          <w:sz w:val="24"/>
          <w:szCs w:val="24"/>
          <w:lang w:eastAsia="da-DK"/>
        </w:rPr>
        <w:t>.</w:t>
      </w:r>
    </w:p>
    <w:p w:rsidR="00616D97" w:rsidRDefault="00616D97"/>
    <w:sectPr w:rsidR="00616D97">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75" w:rsidRDefault="00E84C75" w:rsidP="00EC5BE4">
      <w:pPr>
        <w:spacing w:line="240" w:lineRule="auto"/>
      </w:pPr>
      <w:r>
        <w:separator/>
      </w:r>
    </w:p>
  </w:endnote>
  <w:endnote w:type="continuationSeparator" w:id="0">
    <w:p w:rsidR="00E84C75" w:rsidRDefault="00E84C75" w:rsidP="00EC5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09373"/>
      <w:docPartObj>
        <w:docPartGallery w:val="Page Numbers (Bottom of Page)"/>
        <w:docPartUnique/>
      </w:docPartObj>
    </w:sdtPr>
    <w:sdtEndPr/>
    <w:sdtContent>
      <w:p w:rsidR="00336255" w:rsidRDefault="00336255">
        <w:pPr>
          <w:pStyle w:val="Sidefod"/>
          <w:jc w:val="center"/>
        </w:pPr>
        <w:r>
          <w:fldChar w:fldCharType="begin"/>
        </w:r>
        <w:r>
          <w:instrText>PAGE   \* MERGEFORMAT</w:instrText>
        </w:r>
        <w:r>
          <w:fldChar w:fldCharType="separate"/>
        </w:r>
        <w:r w:rsidR="00EB268E">
          <w:rPr>
            <w:noProof/>
          </w:rPr>
          <w:t>18</w:t>
        </w:r>
        <w:r>
          <w:fldChar w:fldCharType="end"/>
        </w:r>
      </w:p>
    </w:sdtContent>
  </w:sdt>
  <w:p w:rsidR="00FA16CC" w:rsidRDefault="00FA16C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75" w:rsidRDefault="00E84C75" w:rsidP="00EC5BE4">
      <w:pPr>
        <w:spacing w:line="240" w:lineRule="auto"/>
      </w:pPr>
      <w:r>
        <w:separator/>
      </w:r>
    </w:p>
  </w:footnote>
  <w:footnote w:type="continuationSeparator" w:id="0">
    <w:p w:rsidR="00E84C75" w:rsidRDefault="00E84C75" w:rsidP="00EC5B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61"/>
    <w:multiLevelType w:val="hybridMultilevel"/>
    <w:tmpl w:val="03A08138"/>
    <w:lvl w:ilvl="0" w:tplc="0E56388E">
      <w:start w:val="1"/>
      <w:numFmt w:val="decimal"/>
      <w:lvlText w:val="%1."/>
      <w:lvlJc w:val="left"/>
      <w:pPr>
        <w:ind w:left="927" w:hanging="360"/>
      </w:pPr>
      <w:rPr>
        <w:rFonts w:hint="default"/>
        <w:b/>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
    <w:nsid w:val="23B343A2"/>
    <w:multiLevelType w:val="hybridMultilevel"/>
    <w:tmpl w:val="B718BAA2"/>
    <w:lvl w:ilvl="0" w:tplc="663A3E12">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9D027D"/>
    <w:multiLevelType w:val="hybridMultilevel"/>
    <w:tmpl w:val="BE68268C"/>
    <w:lvl w:ilvl="0" w:tplc="8B049D86">
      <w:start w:val="1"/>
      <w:numFmt w:val="decimal"/>
      <w:lvlText w:val="%1."/>
      <w:lvlJc w:val="left"/>
      <w:pPr>
        <w:ind w:left="890" w:hanging="360"/>
      </w:pPr>
      <w:rPr>
        <w:rFonts w:hint="default"/>
        <w:b/>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5">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7154CED"/>
    <w:multiLevelType w:val="hybridMultilevel"/>
    <w:tmpl w:val="0FA4737A"/>
    <w:lvl w:ilvl="0" w:tplc="6CB6F942">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7">
    <w:nsid w:val="74E30AD2"/>
    <w:multiLevelType w:val="hybridMultilevel"/>
    <w:tmpl w:val="FB78AFB0"/>
    <w:lvl w:ilvl="0" w:tplc="F7FAC862">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A9"/>
    <w:rsid w:val="00003E71"/>
    <w:rsid w:val="00006ACB"/>
    <w:rsid w:val="000B2D6D"/>
    <w:rsid w:val="000E1842"/>
    <w:rsid w:val="00130BE8"/>
    <w:rsid w:val="001862BD"/>
    <w:rsid w:val="001C3D39"/>
    <w:rsid w:val="002265C6"/>
    <w:rsid w:val="002339DB"/>
    <w:rsid w:val="002410E9"/>
    <w:rsid w:val="00246D92"/>
    <w:rsid w:val="002C2CA9"/>
    <w:rsid w:val="002D60F4"/>
    <w:rsid w:val="0033124C"/>
    <w:rsid w:val="00336255"/>
    <w:rsid w:val="003528D3"/>
    <w:rsid w:val="003B1E6A"/>
    <w:rsid w:val="003C48F1"/>
    <w:rsid w:val="003C7D12"/>
    <w:rsid w:val="0040512B"/>
    <w:rsid w:val="00411737"/>
    <w:rsid w:val="004136FA"/>
    <w:rsid w:val="00443E7D"/>
    <w:rsid w:val="00454CD2"/>
    <w:rsid w:val="004812A9"/>
    <w:rsid w:val="00490B5F"/>
    <w:rsid w:val="004A292B"/>
    <w:rsid w:val="00504977"/>
    <w:rsid w:val="0056306C"/>
    <w:rsid w:val="00565BB2"/>
    <w:rsid w:val="00585415"/>
    <w:rsid w:val="005914F9"/>
    <w:rsid w:val="005A4894"/>
    <w:rsid w:val="00602BF6"/>
    <w:rsid w:val="00616D97"/>
    <w:rsid w:val="006450C2"/>
    <w:rsid w:val="006457E2"/>
    <w:rsid w:val="00676B4D"/>
    <w:rsid w:val="006A00E2"/>
    <w:rsid w:val="006C25EC"/>
    <w:rsid w:val="006F6ECD"/>
    <w:rsid w:val="00701373"/>
    <w:rsid w:val="00722E1B"/>
    <w:rsid w:val="00722EFC"/>
    <w:rsid w:val="00734CFB"/>
    <w:rsid w:val="00756917"/>
    <w:rsid w:val="00793241"/>
    <w:rsid w:val="00796D20"/>
    <w:rsid w:val="007F78BA"/>
    <w:rsid w:val="00800478"/>
    <w:rsid w:val="008464FC"/>
    <w:rsid w:val="008863F8"/>
    <w:rsid w:val="008B6790"/>
    <w:rsid w:val="008C05B2"/>
    <w:rsid w:val="008C2162"/>
    <w:rsid w:val="008C3862"/>
    <w:rsid w:val="008F3A8D"/>
    <w:rsid w:val="0090472D"/>
    <w:rsid w:val="00957B2B"/>
    <w:rsid w:val="00977AE7"/>
    <w:rsid w:val="009971D5"/>
    <w:rsid w:val="009A3818"/>
    <w:rsid w:val="00A24390"/>
    <w:rsid w:val="00A47944"/>
    <w:rsid w:val="00A51482"/>
    <w:rsid w:val="00A5341C"/>
    <w:rsid w:val="00AA13F5"/>
    <w:rsid w:val="00AE77F0"/>
    <w:rsid w:val="00AF02C5"/>
    <w:rsid w:val="00B05CA8"/>
    <w:rsid w:val="00B05DCF"/>
    <w:rsid w:val="00B23F19"/>
    <w:rsid w:val="00B53CB9"/>
    <w:rsid w:val="00B66B92"/>
    <w:rsid w:val="00C07D57"/>
    <w:rsid w:val="00C16539"/>
    <w:rsid w:val="00C167A1"/>
    <w:rsid w:val="00C466F9"/>
    <w:rsid w:val="00CF752A"/>
    <w:rsid w:val="00D00DA9"/>
    <w:rsid w:val="00D336F6"/>
    <w:rsid w:val="00D508A3"/>
    <w:rsid w:val="00D5248B"/>
    <w:rsid w:val="00D84D2C"/>
    <w:rsid w:val="00DB375F"/>
    <w:rsid w:val="00DC0A61"/>
    <w:rsid w:val="00DE1023"/>
    <w:rsid w:val="00DE30DF"/>
    <w:rsid w:val="00DF39B1"/>
    <w:rsid w:val="00E10F03"/>
    <w:rsid w:val="00E147E0"/>
    <w:rsid w:val="00E34602"/>
    <w:rsid w:val="00E3508E"/>
    <w:rsid w:val="00E51A0B"/>
    <w:rsid w:val="00E84C75"/>
    <w:rsid w:val="00EA2DFA"/>
    <w:rsid w:val="00EB268E"/>
    <w:rsid w:val="00EB5590"/>
    <w:rsid w:val="00EC5BE4"/>
    <w:rsid w:val="00ED7F0E"/>
    <w:rsid w:val="00F05BE2"/>
    <w:rsid w:val="00F05FFE"/>
    <w:rsid w:val="00F106D6"/>
    <w:rsid w:val="00F47C9B"/>
    <w:rsid w:val="00F50CB7"/>
    <w:rsid w:val="00F625D3"/>
    <w:rsid w:val="00F91FCB"/>
    <w:rsid w:val="00FA16CC"/>
    <w:rsid w:val="00FB1BAC"/>
    <w:rsid w:val="00FB32C0"/>
    <w:rsid w:val="00FC2D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E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EC5BE4"/>
    <w:rPr>
      <w:sz w:val="16"/>
      <w:szCs w:val="16"/>
    </w:rPr>
  </w:style>
  <w:style w:type="paragraph" w:styleId="Kommentartekst">
    <w:name w:val="annotation text"/>
    <w:basedOn w:val="Normal"/>
    <w:link w:val="KommentartekstTegn"/>
    <w:uiPriority w:val="99"/>
    <w:unhideWhenUsed/>
    <w:rsid w:val="00EC5BE4"/>
    <w:pPr>
      <w:spacing w:line="240" w:lineRule="auto"/>
    </w:pPr>
    <w:rPr>
      <w:sz w:val="20"/>
      <w:szCs w:val="20"/>
    </w:rPr>
  </w:style>
  <w:style w:type="character" w:customStyle="1" w:styleId="KommentartekstTegn">
    <w:name w:val="Kommentartekst Tegn"/>
    <w:basedOn w:val="Standardskrifttypeiafsnit"/>
    <w:link w:val="Kommentartekst"/>
    <w:uiPriority w:val="99"/>
    <w:rsid w:val="00EC5BE4"/>
    <w:rPr>
      <w:rFonts w:ascii="Georgia" w:eastAsiaTheme="minorEastAsia" w:hAnsi="Georgia" w:cs="Georgia"/>
      <w:color w:val="0D0D0D" w:themeColor="text1" w:themeTint="F2"/>
      <w:sz w:val="20"/>
      <w:szCs w:val="20"/>
    </w:rPr>
  </w:style>
  <w:style w:type="character" w:customStyle="1" w:styleId="bold1">
    <w:name w:val="bold1"/>
    <w:basedOn w:val="Standardskrifttypeiafsnit"/>
    <w:rsid w:val="00EC5BE4"/>
    <w:rPr>
      <w:rFonts w:ascii="Tahoma" w:hAnsi="Tahoma" w:cs="Tahoma" w:hint="default"/>
      <w:b/>
      <w:bCs/>
      <w:color w:val="000000"/>
      <w:sz w:val="24"/>
      <w:szCs w:val="24"/>
      <w:shd w:val="clear" w:color="auto" w:fill="auto"/>
    </w:rPr>
  </w:style>
  <w:style w:type="paragraph" w:customStyle="1" w:styleId="stk">
    <w:name w:val="stk"/>
    <w:basedOn w:val="Normal"/>
    <w:rsid w:val="00EC5BE4"/>
    <w:pPr>
      <w:spacing w:line="240" w:lineRule="auto"/>
      <w:ind w:firstLine="170"/>
    </w:pPr>
    <w:rPr>
      <w:rFonts w:ascii="Tahoma" w:eastAsia="Times New Roman" w:hAnsi="Tahoma" w:cs="Tahoma"/>
      <w:color w:val="000000"/>
      <w:sz w:val="24"/>
      <w:szCs w:val="24"/>
      <w:lang w:eastAsia="da-DK"/>
    </w:rPr>
  </w:style>
  <w:style w:type="character" w:customStyle="1" w:styleId="italic1">
    <w:name w:val="italic1"/>
    <w:basedOn w:val="Standardskrifttypeiafsnit"/>
    <w:rsid w:val="00246D92"/>
    <w:rPr>
      <w:rFonts w:ascii="Tahoma" w:hAnsi="Tahoma" w:cs="Tahoma" w:hint="default"/>
      <w:i/>
      <w:iCs/>
      <w:color w:val="000000"/>
      <w:sz w:val="24"/>
      <w:szCs w:val="24"/>
      <w:shd w:val="clear" w:color="auto" w:fill="auto"/>
    </w:rPr>
  </w:style>
  <w:style w:type="paragraph" w:styleId="Fodnotetekst">
    <w:name w:val="footnote text"/>
    <w:basedOn w:val="Normal"/>
    <w:link w:val="FodnotetekstTegn"/>
    <w:uiPriority w:val="99"/>
    <w:unhideWhenUsed/>
    <w:rsid w:val="00DF39B1"/>
    <w:pPr>
      <w:spacing w:line="240" w:lineRule="auto"/>
    </w:pPr>
    <w:rPr>
      <w:sz w:val="20"/>
      <w:szCs w:val="20"/>
    </w:rPr>
  </w:style>
  <w:style w:type="character" w:customStyle="1" w:styleId="FodnotetekstTegn">
    <w:name w:val="Fodnotetekst Tegn"/>
    <w:basedOn w:val="Standardskrifttypeiafsnit"/>
    <w:link w:val="Fodnotetekst"/>
    <w:uiPriority w:val="99"/>
    <w:rsid w:val="00DF39B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B53CB9"/>
    <w:rPr>
      <w:b/>
      <w:bCs/>
    </w:rPr>
  </w:style>
  <w:style w:type="character" w:customStyle="1" w:styleId="KommentaremneTegn">
    <w:name w:val="Kommentaremne Tegn"/>
    <w:basedOn w:val="KommentartekstTegn"/>
    <w:link w:val="Kommentaremne"/>
    <w:uiPriority w:val="99"/>
    <w:semiHidden/>
    <w:rsid w:val="00B53CB9"/>
    <w:rPr>
      <w:rFonts w:ascii="Georgia" w:eastAsiaTheme="minorEastAsia" w:hAnsi="Georgia" w:cs="Georgia"/>
      <w:b/>
      <w:bCs/>
      <w:color w:val="0D0D0D" w:themeColor="text1" w:themeTint="F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E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EC5BE4"/>
    <w:rPr>
      <w:sz w:val="16"/>
      <w:szCs w:val="16"/>
    </w:rPr>
  </w:style>
  <w:style w:type="paragraph" w:styleId="Kommentartekst">
    <w:name w:val="annotation text"/>
    <w:basedOn w:val="Normal"/>
    <w:link w:val="KommentartekstTegn"/>
    <w:uiPriority w:val="99"/>
    <w:unhideWhenUsed/>
    <w:rsid w:val="00EC5BE4"/>
    <w:pPr>
      <w:spacing w:line="240" w:lineRule="auto"/>
    </w:pPr>
    <w:rPr>
      <w:sz w:val="20"/>
      <w:szCs w:val="20"/>
    </w:rPr>
  </w:style>
  <w:style w:type="character" w:customStyle="1" w:styleId="KommentartekstTegn">
    <w:name w:val="Kommentartekst Tegn"/>
    <w:basedOn w:val="Standardskrifttypeiafsnit"/>
    <w:link w:val="Kommentartekst"/>
    <w:uiPriority w:val="99"/>
    <w:rsid w:val="00EC5BE4"/>
    <w:rPr>
      <w:rFonts w:ascii="Georgia" w:eastAsiaTheme="minorEastAsia" w:hAnsi="Georgia" w:cs="Georgia"/>
      <w:color w:val="0D0D0D" w:themeColor="text1" w:themeTint="F2"/>
      <w:sz w:val="20"/>
      <w:szCs w:val="20"/>
    </w:rPr>
  </w:style>
  <w:style w:type="character" w:customStyle="1" w:styleId="bold1">
    <w:name w:val="bold1"/>
    <w:basedOn w:val="Standardskrifttypeiafsnit"/>
    <w:rsid w:val="00EC5BE4"/>
    <w:rPr>
      <w:rFonts w:ascii="Tahoma" w:hAnsi="Tahoma" w:cs="Tahoma" w:hint="default"/>
      <w:b/>
      <w:bCs/>
      <w:color w:val="000000"/>
      <w:sz w:val="24"/>
      <w:szCs w:val="24"/>
      <w:shd w:val="clear" w:color="auto" w:fill="auto"/>
    </w:rPr>
  </w:style>
  <w:style w:type="paragraph" w:customStyle="1" w:styleId="stk">
    <w:name w:val="stk"/>
    <w:basedOn w:val="Normal"/>
    <w:rsid w:val="00EC5BE4"/>
    <w:pPr>
      <w:spacing w:line="240" w:lineRule="auto"/>
      <w:ind w:firstLine="170"/>
    </w:pPr>
    <w:rPr>
      <w:rFonts w:ascii="Tahoma" w:eastAsia="Times New Roman" w:hAnsi="Tahoma" w:cs="Tahoma"/>
      <w:color w:val="000000"/>
      <w:sz w:val="24"/>
      <w:szCs w:val="24"/>
      <w:lang w:eastAsia="da-DK"/>
    </w:rPr>
  </w:style>
  <w:style w:type="character" w:customStyle="1" w:styleId="italic1">
    <w:name w:val="italic1"/>
    <w:basedOn w:val="Standardskrifttypeiafsnit"/>
    <w:rsid w:val="00246D92"/>
    <w:rPr>
      <w:rFonts w:ascii="Tahoma" w:hAnsi="Tahoma" w:cs="Tahoma" w:hint="default"/>
      <w:i/>
      <w:iCs/>
      <w:color w:val="000000"/>
      <w:sz w:val="24"/>
      <w:szCs w:val="24"/>
      <w:shd w:val="clear" w:color="auto" w:fill="auto"/>
    </w:rPr>
  </w:style>
  <w:style w:type="paragraph" w:styleId="Fodnotetekst">
    <w:name w:val="footnote text"/>
    <w:basedOn w:val="Normal"/>
    <w:link w:val="FodnotetekstTegn"/>
    <w:uiPriority w:val="99"/>
    <w:unhideWhenUsed/>
    <w:rsid w:val="00DF39B1"/>
    <w:pPr>
      <w:spacing w:line="240" w:lineRule="auto"/>
    </w:pPr>
    <w:rPr>
      <w:sz w:val="20"/>
      <w:szCs w:val="20"/>
    </w:rPr>
  </w:style>
  <w:style w:type="character" w:customStyle="1" w:styleId="FodnotetekstTegn">
    <w:name w:val="Fodnotetekst Tegn"/>
    <w:basedOn w:val="Standardskrifttypeiafsnit"/>
    <w:link w:val="Fodnotetekst"/>
    <w:uiPriority w:val="99"/>
    <w:rsid w:val="00DF39B1"/>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B53CB9"/>
    <w:rPr>
      <w:b/>
      <w:bCs/>
    </w:rPr>
  </w:style>
  <w:style w:type="character" w:customStyle="1" w:styleId="KommentaremneTegn">
    <w:name w:val="Kommentaremne Tegn"/>
    <w:basedOn w:val="KommentartekstTegn"/>
    <w:link w:val="Kommentaremne"/>
    <w:uiPriority w:val="99"/>
    <w:semiHidden/>
    <w:rsid w:val="00B53CB9"/>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8384">
      <w:bodyDiv w:val="1"/>
      <w:marLeft w:val="0"/>
      <w:marRight w:val="0"/>
      <w:marTop w:val="0"/>
      <w:marBottom w:val="0"/>
      <w:divBdr>
        <w:top w:val="none" w:sz="0" w:space="0" w:color="auto"/>
        <w:left w:val="none" w:sz="0" w:space="0" w:color="auto"/>
        <w:bottom w:val="none" w:sz="0" w:space="0" w:color="auto"/>
        <w:right w:val="none" w:sz="0" w:space="0" w:color="auto"/>
      </w:divBdr>
      <w:divsChild>
        <w:div w:id="2007858274">
          <w:marLeft w:val="0"/>
          <w:marRight w:val="0"/>
          <w:marTop w:val="0"/>
          <w:marBottom w:val="300"/>
          <w:divBdr>
            <w:top w:val="none" w:sz="0" w:space="0" w:color="auto"/>
            <w:left w:val="none" w:sz="0" w:space="0" w:color="auto"/>
            <w:bottom w:val="none" w:sz="0" w:space="0" w:color="auto"/>
            <w:right w:val="none" w:sz="0" w:space="0" w:color="auto"/>
          </w:divBdr>
          <w:divsChild>
            <w:div w:id="207836936">
              <w:marLeft w:val="0"/>
              <w:marRight w:val="0"/>
              <w:marTop w:val="0"/>
              <w:marBottom w:val="0"/>
              <w:divBdr>
                <w:top w:val="none" w:sz="0" w:space="0" w:color="auto"/>
                <w:left w:val="single" w:sz="6" w:space="1" w:color="FFFFFF"/>
                <w:bottom w:val="none" w:sz="0" w:space="0" w:color="auto"/>
                <w:right w:val="single" w:sz="6" w:space="1" w:color="FFFFFF"/>
              </w:divBdr>
              <w:divsChild>
                <w:div w:id="2060741573">
                  <w:marLeft w:val="0"/>
                  <w:marRight w:val="0"/>
                  <w:marTop w:val="0"/>
                  <w:marBottom w:val="0"/>
                  <w:divBdr>
                    <w:top w:val="none" w:sz="0" w:space="0" w:color="auto"/>
                    <w:left w:val="none" w:sz="0" w:space="0" w:color="auto"/>
                    <w:bottom w:val="none" w:sz="0" w:space="0" w:color="auto"/>
                    <w:right w:val="none" w:sz="0" w:space="0" w:color="auto"/>
                  </w:divBdr>
                  <w:divsChild>
                    <w:div w:id="760218891">
                      <w:marLeft w:val="0"/>
                      <w:marRight w:val="0"/>
                      <w:marTop w:val="0"/>
                      <w:marBottom w:val="0"/>
                      <w:divBdr>
                        <w:top w:val="none" w:sz="0" w:space="0" w:color="auto"/>
                        <w:left w:val="none" w:sz="0" w:space="0" w:color="auto"/>
                        <w:bottom w:val="none" w:sz="0" w:space="0" w:color="auto"/>
                        <w:right w:val="none" w:sz="0" w:space="0" w:color="auto"/>
                      </w:divBdr>
                      <w:divsChild>
                        <w:div w:id="1819417359">
                          <w:marLeft w:val="0"/>
                          <w:marRight w:val="0"/>
                          <w:marTop w:val="0"/>
                          <w:marBottom w:val="0"/>
                          <w:divBdr>
                            <w:top w:val="none" w:sz="0" w:space="0" w:color="auto"/>
                            <w:left w:val="none" w:sz="0" w:space="0" w:color="auto"/>
                            <w:bottom w:val="none" w:sz="0" w:space="0" w:color="auto"/>
                            <w:right w:val="none" w:sz="0" w:space="0" w:color="auto"/>
                          </w:divBdr>
                          <w:divsChild>
                            <w:div w:id="596791057">
                              <w:marLeft w:val="0"/>
                              <w:marRight w:val="0"/>
                              <w:marTop w:val="0"/>
                              <w:marBottom w:val="0"/>
                              <w:divBdr>
                                <w:top w:val="none" w:sz="0" w:space="0" w:color="auto"/>
                                <w:left w:val="none" w:sz="0" w:space="0" w:color="auto"/>
                                <w:bottom w:val="none" w:sz="0" w:space="0" w:color="auto"/>
                                <w:right w:val="none" w:sz="0" w:space="0" w:color="auto"/>
                              </w:divBdr>
                              <w:divsChild>
                                <w:div w:id="850876903">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e\AppData\Local\cBrain\F2\.tmp\CBrainbulp;.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8B19-0AD1-4A6F-BC5E-431BE11F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CBrainbulp;</Template>
  <TotalTime>723</TotalTime>
  <Pages>25</Pages>
  <Words>10395</Words>
  <Characters>63413</Characters>
  <Application>Microsoft Office Word</Application>
  <DocSecurity>0</DocSecurity>
  <Lines>528</Lines>
  <Paragraphs>147</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73661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Ulla Østergaard</dc:creator>
  <cp:lastModifiedBy> Ulla Østergaard</cp:lastModifiedBy>
  <cp:revision>48</cp:revision>
  <cp:lastPrinted>2018-11-19T11:48:00Z</cp:lastPrinted>
  <dcterms:created xsi:type="dcterms:W3CDTF">2018-11-18T12:02:00Z</dcterms:created>
  <dcterms:modified xsi:type="dcterms:W3CDTF">2018-12-21T14:15:00Z</dcterms:modified>
</cp:coreProperties>
</file>