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  <w:bookmarkStart w:id="0" w:name="TSModtager"/>
            <w:bookmarkEnd w:id="0"/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:rsidR="00914A0A" w:rsidRDefault="004B7D0E" w:rsidP="00D62428">
      <w:pPr>
        <w:pStyle w:val="TSJournalnummer"/>
      </w:pPr>
      <w:bookmarkStart w:id="2" w:name="TSJournal"/>
      <w:bookmarkEnd w:id="2"/>
      <w:r>
        <w:t xml:space="preserve">Journal </w:t>
      </w:r>
      <w:r w:rsidR="00322396" w:rsidRPr="00322396">
        <w:t>TS10000-00060</w:t>
      </w:r>
    </w:p>
    <w:p w:rsidR="00A27566" w:rsidRPr="00A27566" w:rsidRDefault="00A27566" w:rsidP="00D62428">
      <w:pPr>
        <w:pStyle w:val="TSDato"/>
      </w:pPr>
      <w:r w:rsidRPr="00A27566">
        <w:t xml:space="preserve">Dato </w:t>
      </w:r>
      <w:bookmarkStart w:id="3" w:name="TSDato"/>
      <w:bookmarkEnd w:id="3"/>
      <w:r w:rsidR="00F4050A">
        <w:t>16</w:t>
      </w:r>
      <w:r w:rsidR="004B7D0E">
        <w:t xml:space="preserve">. </w:t>
      </w:r>
      <w:r w:rsidR="004D3E44">
        <w:t>december</w:t>
      </w:r>
      <w:r w:rsidR="004B7D0E">
        <w:t xml:space="preserve"> 2013</w:t>
      </w:r>
    </w:p>
    <w:p w:rsidR="000633E3" w:rsidRDefault="006E411C" w:rsidP="006E411C">
      <w:pPr>
        <w:pStyle w:val="Titeloverskrift"/>
        <w:tabs>
          <w:tab w:val="left" w:pos="6255"/>
        </w:tabs>
        <w:spacing w:before="0"/>
      </w:pPr>
      <w:r>
        <w:tab/>
      </w:r>
    </w:p>
    <w:p w:rsidR="00BA0B34" w:rsidRDefault="004B7D0E" w:rsidP="00A352D1">
      <w:pPr>
        <w:pStyle w:val="Titeloverskrift"/>
        <w:spacing w:before="0"/>
      </w:pPr>
      <w:r w:rsidRPr="004B7D0E">
        <w:t>Høring</w:t>
      </w:r>
      <w:r w:rsidR="004D3E44">
        <w:t>snotat</w:t>
      </w:r>
      <w:r w:rsidRPr="004B7D0E">
        <w:t xml:space="preserve"> o</w:t>
      </w:r>
      <w:r w:rsidR="004D3E44">
        <w:t>m</w:t>
      </w:r>
      <w:r w:rsidRPr="004B7D0E">
        <w:t xml:space="preserve"> </w:t>
      </w:r>
      <w:r w:rsidR="00E71391" w:rsidRPr="00E71391">
        <w:t>bekendtgørelse om</w:t>
      </w:r>
      <w:r w:rsidR="00E71391">
        <w:t xml:space="preserve"> </w:t>
      </w:r>
      <w:proofErr w:type="spellStart"/>
      <w:r w:rsidR="00E71391">
        <w:t>interoperabilitet</w:t>
      </w:r>
      <w:proofErr w:type="spellEnd"/>
      <w:r w:rsidR="00E71391">
        <w:t xml:space="preserve"> i jernbanesystemet</w:t>
      </w:r>
      <w:bookmarkStart w:id="4" w:name="_GoBack"/>
      <w:bookmarkEnd w:id="4"/>
    </w:p>
    <w:p w:rsidR="00BA0B34" w:rsidRDefault="00BA0B34" w:rsidP="00A352D1"/>
    <w:p w:rsidR="00BA0B34" w:rsidRDefault="004D3E44" w:rsidP="004B7D0E">
      <w:r>
        <w:t>U</w:t>
      </w:r>
      <w:r w:rsidR="004B7D0E">
        <w:t xml:space="preserve">dkast til bekendtgørelse </w:t>
      </w:r>
      <w:r w:rsidRPr="004D3E44">
        <w:t xml:space="preserve">har været i høring i perioden </w:t>
      </w:r>
      <w:r>
        <w:t>8</w:t>
      </w:r>
      <w:r w:rsidRPr="004D3E44">
        <w:t>.</w:t>
      </w:r>
      <w:r>
        <w:t xml:space="preserve"> – 28. n</w:t>
      </w:r>
      <w:r>
        <w:t>o</w:t>
      </w:r>
      <w:r>
        <w:t xml:space="preserve">vember </w:t>
      </w:r>
      <w:r w:rsidRPr="004D3E44">
        <w:t>2013</w:t>
      </w:r>
      <w:r>
        <w:t xml:space="preserve">. </w:t>
      </w:r>
      <w:r w:rsidRPr="004D3E44">
        <w:t xml:space="preserve"> </w:t>
      </w:r>
    </w:p>
    <w:p w:rsidR="00BA0B34" w:rsidRDefault="00E5266A" w:rsidP="00A352D1">
      <w:pPr>
        <w:rPr>
          <w:b/>
        </w:rPr>
      </w:pPr>
      <w:r>
        <w:rPr>
          <w:b/>
        </w:rPr>
        <w:t xml:space="preserve">Formål </w:t>
      </w:r>
      <w:r w:rsidR="008F4743">
        <w:rPr>
          <w:b/>
        </w:rPr>
        <w:t xml:space="preserve">med bekendtgørelsen </w:t>
      </w:r>
    </w:p>
    <w:p w:rsidR="00AB7EA8" w:rsidRDefault="00AB7EA8" w:rsidP="00AB7EA8">
      <w:r>
        <w:t xml:space="preserve">Bekendtgørelsen gennemfører Kommissionens ændring af bilag III vedr. tilgængelighed i </w:t>
      </w:r>
      <w:proofErr w:type="spellStart"/>
      <w:r>
        <w:t>interoperabilitetsdirektivet</w:t>
      </w:r>
      <w:proofErr w:type="spellEnd"/>
      <w:r>
        <w:t>, hvorefter det nu e</w:t>
      </w:r>
      <w:r>
        <w:t>k</w:t>
      </w:r>
      <w:r>
        <w:t xml:space="preserve">splicit fremgår, at tilgængelighed er et af de væsentlige krav. </w:t>
      </w:r>
      <w:r w:rsidRPr="008F4743">
        <w:t xml:space="preserve">Dette ændrer dog ikke </w:t>
      </w:r>
      <w:r>
        <w:t xml:space="preserve">i praksis </w:t>
      </w:r>
      <w:r w:rsidRPr="008F4743">
        <w:t>den gældende retstilstand, da der allerede i dag findes en TSI om tilgængelighed (TSI PRM), der er gennemført i dansk ret ved bekendtgørelse nr. 675 af 26. juni 2008.</w:t>
      </w:r>
    </w:p>
    <w:p w:rsidR="00AB7EA8" w:rsidRDefault="00AB7EA8" w:rsidP="00AB7EA8">
      <w:r>
        <w:t xml:space="preserve">Udover ændringen af bilaget </w:t>
      </w:r>
      <w:r w:rsidRPr="0025018C">
        <w:t>præciseres bekendtgørelsens anvende</w:t>
      </w:r>
      <w:r w:rsidRPr="0025018C">
        <w:t>l</w:t>
      </w:r>
      <w:r w:rsidRPr="0025018C">
        <w:t>sesområde vedr. veteranbaner og veterantogskøretøjer</w:t>
      </w:r>
      <w:r>
        <w:t>.</w:t>
      </w:r>
      <w:r w:rsidRPr="0025018C">
        <w:t xml:space="preserve"> Herved æ</w:t>
      </w:r>
      <w:r w:rsidRPr="0025018C">
        <w:t>n</w:t>
      </w:r>
      <w:r w:rsidRPr="0025018C">
        <w:t>dres</w:t>
      </w:r>
      <w:r>
        <w:t xml:space="preserve"> </w:t>
      </w:r>
      <w:r w:rsidRPr="0025018C">
        <w:t>den gældende praksis således, at det f</w:t>
      </w:r>
      <w:r>
        <w:t>r</w:t>
      </w:r>
      <w:r w:rsidRPr="0025018C">
        <w:t>emover vil være et krav</w:t>
      </w:r>
      <w:r>
        <w:t>,</w:t>
      </w:r>
      <w:r w:rsidRPr="0025018C">
        <w:t xml:space="preserve"> at veterantogskøretøjer registreres i det nationale køretøjsregister til forskel fra i dag, hvor registreringen er frivillig.</w:t>
      </w:r>
      <w:r>
        <w:t xml:space="preserve"> </w:t>
      </w:r>
    </w:p>
    <w:p w:rsidR="00AB7EA8" w:rsidRDefault="00AB7EA8" w:rsidP="00AB7EA8">
      <w:r w:rsidRPr="00FC0DCE">
        <w:t xml:space="preserve">Endeligt </w:t>
      </w:r>
      <w:r>
        <w:t xml:space="preserve">er </w:t>
      </w:r>
      <w:r w:rsidRPr="00FC0DCE">
        <w:t>Trafikstyrelsen</w:t>
      </w:r>
      <w:r>
        <w:t xml:space="preserve">s </w:t>
      </w:r>
      <w:r w:rsidRPr="0006068B">
        <w:t>rolle i forhold til direktivet</w:t>
      </w:r>
      <w:r w:rsidRPr="00FC0DCE">
        <w:t xml:space="preserve"> </w:t>
      </w:r>
      <w:r>
        <w:t>præciseret</w:t>
      </w:r>
      <w:r w:rsidRPr="00FC0DCE">
        <w:t xml:space="preserve">. </w:t>
      </w:r>
      <w:r w:rsidRPr="0025018C">
        <w:t>Heri ligger ingen ændringer i forhold til gældend</w:t>
      </w:r>
      <w:r>
        <w:t>e dansk prak</w:t>
      </w:r>
      <w:r w:rsidRPr="0025018C">
        <w:t>sis.</w:t>
      </w:r>
    </w:p>
    <w:p w:rsidR="0006068B" w:rsidRDefault="0006068B" w:rsidP="008F4743">
      <w:r>
        <w:rPr>
          <w:b/>
        </w:rPr>
        <w:t>Modtagne høringssvar</w:t>
      </w:r>
    </w:p>
    <w:p w:rsidR="0006068B" w:rsidRDefault="0006068B" w:rsidP="008F4743">
      <w:r>
        <w:t>Trafikstyrelsen har modtaget svar fra følgende:</w:t>
      </w:r>
    </w:p>
    <w:p w:rsidR="0006068B" w:rsidRDefault="0006068B" w:rsidP="008F4743">
      <w:r w:rsidRPr="0006068B">
        <w:t>Arbejdstilsynet</w:t>
      </w:r>
      <w:r>
        <w:t xml:space="preserve">, </w:t>
      </w:r>
      <w:r w:rsidRPr="0006068B">
        <w:t>Havarikommissionen</w:t>
      </w:r>
      <w:r>
        <w:t xml:space="preserve">, </w:t>
      </w:r>
      <w:r w:rsidR="00D0654E">
        <w:t xml:space="preserve">TÜV SÜD ApS, </w:t>
      </w:r>
      <w:r w:rsidR="00D0654E" w:rsidRPr="00D0654E">
        <w:t xml:space="preserve">DB </w:t>
      </w:r>
      <w:proofErr w:type="spellStart"/>
      <w:r w:rsidR="00D0654E" w:rsidRPr="00D0654E">
        <w:t>Schenker</w:t>
      </w:r>
      <w:proofErr w:type="spellEnd"/>
      <w:r w:rsidR="00D0654E" w:rsidRPr="00D0654E">
        <w:t xml:space="preserve"> </w:t>
      </w:r>
      <w:proofErr w:type="spellStart"/>
      <w:r w:rsidR="00D0654E" w:rsidRPr="00D0654E">
        <w:t>Rail</w:t>
      </w:r>
      <w:proofErr w:type="spellEnd"/>
      <w:r w:rsidR="00D0654E" w:rsidRPr="00D0654E">
        <w:t xml:space="preserve"> Scandinavia A/S</w:t>
      </w:r>
      <w:r w:rsidR="00015FA8">
        <w:t xml:space="preserve">, </w:t>
      </w:r>
      <w:r w:rsidR="00015FA8" w:rsidRPr="00015FA8">
        <w:t>Trafikselskaberne</w:t>
      </w:r>
      <w:r w:rsidR="00015FA8">
        <w:t xml:space="preserve">, </w:t>
      </w:r>
      <w:r w:rsidR="00015FA8" w:rsidRPr="00015FA8">
        <w:t>Dansk Erhverv</w:t>
      </w:r>
      <w:r w:rsidR="00015FA8">
        <w:t xml:space="preserve">, </w:t>
      </w:r>
      <w:r w:rsidR="00015FA8" w:rsidRPr="00015FA8">
        <w:t>Øresundsbro Konsortiet</w:t>
      </w:r>
      <w:r w:rsidR="00015FA8">
        <w:t xml:space="preserve">, </w:t>
      </w:r>
      <w:r w:rsidR="00015FA8" w:rsidRPr="00015FA8">
        <w:t>Aarhus Letbane I/S</w:t>
      </w:r>
      <w:r w:rsidR="00CC1202">
        <w:t>,</w:t>
      </w:r>
      <w:r w:rsidR="00015FA8">
        <w:t xml:space="preserve"> </w:t>
      </w:r>
      <w:proofErr w:type="spellStart"/>
      <w:r w:rsidR="00F43579">
        <w:t>Banedanmark</w:t>
      </w:r>
      <w:proofErr w:type="spellEnd"/>
      <w:r w:rsidR="00CC1202">
        <w:t xml:space="preserve">, </w:t>
      </w:r>
      <w:r w:rsidR="00A02EA2" w:rsidRPr="00CC1202">
        <w:t>Danske Regioner</w:t>
      </w:r>
      <w:r w:rsidR="00A02EA2">
        <w:t xml:space="preserve"> og</w:t>
      </w:r>
      <w:r w:rsidR="00A02EA2" w:rsidRPr="00CC1202">
        <w:t xml:space="preserve"> </w:t>
      </w:r>
      <w:r w:rsidR="00CC1202" w:rsidRPr="00CC1202">
        <w:t>Danske Handicaporganisationer</w:t>
      </w:r>
      <w:r>
        <w:t>.</w:t>
      </w:r>
    </w:p>
    <w:p w:rsidR="0006068B" w:rsidRDefault="0006068B" w:rsidP="008F4743">
      <w:r>
        <w:rPr>
          <w:i/>
        </w:rPr>
        <w:t xml:space="preserve">Arbejdstilsynet </w:t>
      </w:r>
      <w:r w:rsidR="00D0654E">
        <w:t xml:space="preserve">- </w:t>
      </w:r>
      <w:r>
        <w:t>ingen bemærkninger.</w:t>
      </w:r>
    </w:p>
    <w:p w:rsidR="00D0654E" w:rsidRDefault="00D0654E" w:rsidP="00D0654E">
      <w:r w:rsidRPr="00D0654E">
        <w:rPr>
          <w:i/>
        </w:rPr>
        <w:t>TÜV SÜD ApS</w:t>
      </w:r>
      <w:r>
        <w:rPr>
          <w:i/>
        </w:rPr>
        <w:t xml:space="preserve"> </w:t>
      </w:r>
      <w:r>
        <w:t>- ingen bemærkninger.</w:t>
      </w:r>
    </w:p>
    <w:p w:rsidR="00D0654E" w:rsidRPr="00D0654E" w:rsidRDefault="00D0654E" w:rsidP="00D0654E">
      <w:pPr>
        <w:rPr>
          <w:i/>
        </w:rPr>
      </w:pPr>
      <w:r w:rsidRPr="00D0654E">
        <w:rPr>
          <w:i/>
        </w:rPr>
        <w:t xml:space="preserve">DB </w:t>
      </w:r>
      <w:proofErr w:type="spellStart"/>
      <w:r w:rsidRPr="00D0654E">
        <w:rPr>
          <w:i/>
        </w:rPr>
        <w:t>Schenker</w:t>
      </w:r>
      <w:proofErr w:type="spellEnd"/>
      <w:r w:rsidRPr="00D0654E">
        <w:rPr>
          <w:i/>
        </w:rPr>
        <w:t xml:space="preserve"> </w:t>
      </w:r>
      <w:proofErr w:type="spellStart"/>
      <w:r w:rsidRPr="00D0654E">
        <w:rPr>
          <w:i/>
        </w:rPr>
        <w:t>Rail</w:t>
      </w:r>
      <w:proofErr w:type="spellEnd"/>
      <w:r w:rsidRPr="00D0654E">
        <w:rPr>
          <w:i/>
        </w:rPr>
        <w:t xml:space="preserve"> Scandinavia A/S </w:t>
      </w:r>
      <w:r>
        <w:t>- ingen bemærkninger.</w:t>
      </w:r>
    </w:p>
    <w:p w:rsidR="00015FA8" w:rsidRPr="00D0654E" w:rsidRDefault="00015FA8" w:rsidP="00015FA8">
      <w:pPr>
        <w:rPr>
          <w:i/>
        </w:rPr>
      </w:pPr>
      <w:r w:rsidRPr="00015FA8">
        <w:rPr>
          <w:i/>
        </w:rPr>
        <w:t>Dansk Erhverv</w:t>
      </w:r>
      <w:r>
        <w:rPr>
          <w:i/>
        </w:rPr>
        <w:t xml:space="preserve"> </w:t>
      </w:r>
      <w:r>
        <w:t>- ingen bemærkninger.</w:t>
      </w:r>
    </w:p>
    <w:p w:rsidR="00015FA8" w:rsidRDefault="00015FA8" w:rsidP="00015FA8">
      <w:r w:rsidRPr="00015FA8">
        <w:rPr>
          <w:i/>
        </w:rPr>
        <w:lastRenderedPageBreak/>
        <w:t>Øresundsbro Konsortiet</w:t>
      </w:r>
      <w:r>
        <w:rPr>
          <w:i/>
        </w:rPr>
        <w:t xml:space="preserve"> </w:t>
      </w:r>
      <w:r>
        <w:t>- ingen bemærkninger.</w:t>
      </w:r>
    </w:p>
    <w:p w:rsidR="00015FA8" w:rsidRDefault="00015FA8" w:rsidP="00015FA8">
      <w:r w:rsidRPr="00015FA8">
        <w:rPr>
          <w:i/>
        </w:rPr>
        <w:t>Aarhus Letbane I/S</w:t>
      </w:r>
      <w:r>
        <w:rPr>
          <w:i/>
        </w:rPr>
        <w:t xml:space="preserve"> </w:t>
      </w:r>
      <w:r>
        <w:t>- ingen bemærkninger.</w:t>
      </w:r>
    </w:p>
    <w:p w:rsidR="00F4050A" w:rsidRPr="00F4050A" w:rsidRDefault="00F4050A" w:rsidP="00015FA8">
      <w:r w:rsidRPr="00F4050A">
        <w:rPr>
          <w:i/>
        </w:rPr>
        <w:t>Trafikselskaberne</w:t>
      </w:r>
      <w:r>
        <w:rPr>
          <w:i/>
        </w:rPr>
        <w:t xml:space="preserve"> </w:t>
      </w:r>
      <w:r>
        <w:t>– ingen bemærkninger.</w:t>
      </w:r>
    </w:p>
    <w:p w:rsidR="0006068B" w:rsidRDefault="0006068B" w:rsidP="0006068B">
      <w:r w:rsidRPr="00357DD0">
        <w:rPr>
          <w:i/>
        </w:rPr>
        <w:t>Havarikommissionen</w:t>
      </w:r>
      <w:r>
        <w:t xml:space="preserve"> </w:t>
      </w:r>
      <w:r w:rsidR="00357DD0">
        <w:t xml:space="preserve">vurderer, </w:t>
      </w:r>
      <w:r>
        <w:t xml:space="preserve">at </w:t>
      </w:r>
      <w:r w:rsidR="00357DD0">
        <w:t>udkastet</w:t>
      </w:r>
      <w:r>
        <w:t xml:space="preserve"> ikke indeholder beste</w:t>
      </w:r>
      <w:r>
        <w:t>m</w:t>
      </w:r>
      <w:r>
        <w:t>melser, der påvirker Havarikommissionens undersøgelsesarbejde</w:t>
      </w:r>
      <w:r w:rsidR="00357DD0">
        <w:t xml:space="preserve"> og </w:t>
      </w:r>
      <w:r>
        <w:t>har derfor ingen bemærkninger.</w:t>
      </w:r>
    </w:p>
    <w:p w:rsidR="00AB7EA8" w:rsidRPr="00505ED9" w:rsidRDefault="00AB7EA8" w:rsidP="00AB7EA8">
      <w:proofErr w:type="spellStart"/>
      <w:r>
        <w:rPr>
          <w:i/>
        </w:rPr>
        <w:t>Banedanmark</w:t>
      </w:r>
      <w:proofErr w:type="spellEnd"/>
      <w:r>
        <w:rPr>
          <w:i/>
        </w:rPr>
        <w:t xml:space="preserve"> </w:t>
      </w:r>
      <w:r>
        <w:t xml:space="preserve">bemærker, at det </w:t>
      </w:r>
      <w:r w:rsidRPr="00F43579">
        <w:t xml:space="preserve">på nuværende tidspunkt ikke </w:t>
      </w:r>
      <w:r>
        <w:t xml:space="preserve">er </w:t>
      </w:r>
      <w:r w:rsidRPr="00F43579">
        <w:t>m</w:t>
      </w:r>
      <w:r w:rsidRPr="00F43579">
        <w:t>u</w:t>
      </w:r>
      <w:r w:rsidRPr="00F43579">
        <w:t>lig</w:t>
      </w:r>
      <w:r>
        <w:t xml:space="preserve">t </w:t>
      </w:r>
      <w:r w:rsidRPr="00F43579">
        <w:t>at vurdere de økonomiske konsekvenser af ændringsbekendtg</w:t>
      </w:r>
      <w:r w:rsidRPr="00F43579">
        <w:t>ø</w:t>
      </w:r>
      <w:r w:rsidRPr="00F43579">
        <w:t>relsen, da disse vil bero på gennemførelsen og resultaterne af arbe</w:t>
      </w:r>
      <w:r w:rsidRPr="00F43579">
        <w:t>j</w:t>
      </w:r>
      <w:r w:rsidRPr="00F43579">
        <w:t>det med en national implementeringsplan for den kommende TSI PRM, hvilket endnu ikke er igangsat</w:t>
      </w:r>
      <w:r>
        <w:t xml:space="preserve">. Ellers har </w:t>
      </w:r>
      <w:proofErr w:type="spellStart"/>
      <w:r>
        <w:t>Banedanmark</w:t>
      </w:r>
      <w:proofErr w:type="spellEnd"/>
      <w:r>
        <w:t xml:space="preserve"> ingen </w:t>
      </w:r>
      <w:r w:rsidRPr="00505ED9">
        <w:t xml:space="preserve">bemærkninger. </w:t>
      </w:r>
    </w:p>
    <w:p w:rsidR="00AB7EA8" w:rsidRPr="00505ED9" w:rsidRDefault="007E0FC3" w:rsidP="00AB7EA8">
      <w:r w:rsidRPr="00505ED9">
        <w:t>S</w:t>
      </w:r>
      <w:r w:rsidR="00972374" w:rsidRPr="00505ED9">
        <w:t xml:space="preserve">om </w:t>
      </w:r>
      <w:r w:rsidR="00972374" w:rsidRPr="00505ED9">
        <w:rPr>
          <w:i/>
        </w:rPr>
        <w:t>Danske Regioner</w:t>
      </w:r>
      <w:r w:rsidR="00972374" w:rsidRPr="00505ED9">
        <w:t xml:space="preserve"> fortolker udkastet til ændring af </w:t>
      </w:r>
      <w:proofErr w:type="spellStart"/>
      <w:r w:rsidR="00972374" w:rsidRPr="00505ED9">
        <w:t>interoperabil</w:t>
      </w:r>
      <w:r w:rsidR="00972374" w:rsidRPr="00505ED9">
        <w:t>i</w:t>
      </w:r>
      <w:r w:rsidR="00972374" w:rsidRPr="00505ED9">
        <w:t>tet</w:t>
      </w:r>
      <w:proofErr w:type="spellEnd"/>
      <w:r w:rsidR="00972374" w:rsidRPr="00505ED9">
        <w:t>, specificerer bekendtgørelsen nu eksplicit krav til tilgængelighed på TEN-nettet. Da Hirtshals-banen er omfattet heraf, forventer Da</w:t>
      </w:r>
      <w:r w:rsidR="00972374" w:rsidRPr="00505ED9">
        <w:t>n</w:t>
      </w:r>
      <w:r w:rsidR="00972374" w:rsidRPr="00505ED9">
        <w:t>ske Regioner derfor merudgifter på ca. 5 millioner kr. til at bringe pe</w:t>
      </w:r>
      <w:r w:rsidR="00972374" w:rsidRPr="00505ED9">
        <w:t>r</w:t>
      </w:r>
      <w:r w:rsidR="00972374" w:rsidRPr="00505ED9">
        <w:t>roner og adgangsforhold på et antal standsningssteder på denne bane i overensstemmelse med kravene. Som følge heraf rejser Danske R</w:t>
      </w:r>
      <w:r w:rsidR="00972374" w:rsidRPr="00505ED9">
        <w:t>e</w:t>
      </w:r>
      <w:r w:rsidR="00972374" w:rsidRPr="00505ED9">
        <w:t>gioner krav om DUT-kompensation på 5 millioner kr. Desuden tager Danske Regioner forbehold for evt. fremtidige merudgifter, som måtte følge af, at privatbanerne på et senere tidspunkt bliver omfattet af kravene til tilgængelighed.</w:t>
      </w:r>
    </w:p>
    <w:p w:rsidR="00F43579" w:rsidRPr="00505ED9" w:rsidRDefault="00F43579" w:rsidP="0006068B">
      <w:pPr>
        <w:rPr>
          <w:i/>
        </w:rPr>
      </w:pPr>
      <w:r w:rsidRPr="00505ED9">
        <w:rPr>
          <w:i/>
        </w:rPr>
        <w:t xml:space="preserve">Trafikstyrelsens </w:t>
      </w:r>
      <w:r w:rsidR="00972374" w:rsidRPr="00505ED9">
        <w:rPr>
          <w:i/>
        </w:rPr>
        <w:t>bemærkninger</w:t>
      </w:r>
      <w:r w:rsidRPr="00505ED9">
        <w:rPr>
          <w:i/>
        </w:rPr>
        <w:t>:</w:t>
      </w:r>
    </w:p>
    <w:p w:rsidR="00EF54C4" w:rsidRDefault="00664B60" w:rsidP="00664B60">
      <w:r w:rsidRPr="00505ED9">
        <w:t>Trafikstyrelsens vurdering er, at den nærværende bekendtgørelse ikke vil medføre administrative og økonomiske konsekvenser, idet der al</w:t>
      </w:r>
      <w:r w:rsidRPr="00505ED9">
        <w:t>e</w:t>
      </w:r>
      <w:r w:rsidRPr="00505ED9">
        <w:t xml:space="preserve">ne er tale om præcisering af gældende retstilstand. </w:t>
      </w:r>
    </w:p>
    <w:p w:rsidR="00417FF8" w:rsidRDefault="00EF54C4" w:rsidP="00664B60">
      <w:r w:rsidRPr="00505ED9">
        <w:t xml:space="preserve">DUT-kravet om 5 mio. kr. og </w:t>
      </w:r>
      <w:r>
        <w:t xml:space="preserve">økonomiske konsekvenser i forbindelse med </w:t>
      </w:r>
      <w:r w:rsidRPr="00505ED9">
        <w:t xml:space="preserve">gennemførelse af den kommende, reviderede TSI PRM ser ud til at bero på en misforståelse. </w:t>
      </w:r>
      <w:r>
        <w:t>Den nærværende æ</w:t>
      </w:r>
      <w:r w:rsidRPr="00505ED9">
        <w:t>ndring</w:t>
      </w:r>
      <w:r>
        <w:t xml:space="preserve"> af</w:t>
      </w:r>
      <w:r w:rsidRPr="00505ED9">
        <w:t xml:space="preserve"> </w:t>
      </w:r>
      <w:r>
        <w:t>bekendtg</w:t>
      </w:r>
      <w:r>
        <w:t>ø</w:t>
      </w:r>
      <w:r>
        <w:t xml:space="preserve">relsen </w:t>
      </w:r>
      <w:r w:rsidRPr="00505ED9">
        <w:t>præciserer</w:t>
      </w:r>
      <w:r>
        <w:t xml:space="preserve"> alene</w:t>
      </w:r>
      <w:r w:rsidRPr="00505ED9">
        <w:t>, at tilgængelighed er et væsentligt krav i d</w:t>
      </w:r>
      <w:r w:rsidRPr="00505ED9">
        <w:t>i</w:t>
      </w:r>
      <w:r w:rsidRPr="00505ED9">
        <w:t>rektivet</w:t>
      </w:r>
      <w:r w:rsidR="00895A47" w:rsidRPr="00505ED9">
        <w:t xml:space="preserve">. </w:t>
      </w:r>
      <w:r w:rsidR="005A234C" w:rsidRPr="00505ED9">
        <w:t xml:space="preserve">De væsentlige krav </w:t>
      </w:r>
      <w:r w:rsidR="00895A47" w:rsidRPr="00505ED9">
        <w:t xml:space="preserve">udmøntes via </w:t>
      </w:r>
      <w:proofErr w:type="spellStart"/>
      <w:r w:rsidR="00895A47" w:rsidRPr="00505ED9">
        <w:t>TSIer</w:t>
      </w:r>
      <w:proofErr w:type="spellEnd"/>
      <w:r>
        <w:t xml:space="preserve"> (her: TSI PRM)</w:t>
      </w:r>
      <w:r w:rsidR="00895A47" w:rsidRPr="00505ED9">
        <w:t xml:space="preserve">. </w:t>
      </w:r>
    </w:p>
    <w:p w:rsidR="005A234C" w:rsidRPr="00505ED9" w:rsidRDefault="00392977" w:rsidP="00664B60">
      <w:r w:rsidRPr="00505ED9">
        <w:t>Der findes allerede i dag en TSI om tilgængelighed (TSI PRM), der er gennemført i dansk ret ved bekendtgørelse nr. 675 af 26. juni 2008.</w:t>
      </w:r>
      <w:r w:rsidR="00417FF8">
        <w:t xml:space="preserve"> </w:t>
      </w:r>
      <w:proofErr w:type="spellStart"/>
      <w:r w:rsidR="00972374" w:rsidRPr="00505ED9">
        <w:t>TSI</w:t>
      </w:r>
      <w:r w:rsidR="00417FF8">
        <w:t>’en</w:t>
      </w:r>
      <w:proofErr w:type="spellEnd"/>
      <w:r w:rsidR="00417FF8">
        <w:t xml:space="preserve"> </w:t>
      </w:r>
      <w:r w:rsidR="00972374" w:rsidRPr="00505ED9">
        <w:t>gælder på TEN-</w:t>
      </w:r>
      <w:r w:rsidR="00357CFD" w:rsidRPr="00505ED9">
        <w:t>T-</w:t>
      </w:r>
      <w:r w:rsidR="00972374" w:rsidRPr="00505ED9">
        <w:t>nettet, herunder på Hirtshals-banen, hvilket der ikke ændres ved den nærværende bekendtgørelse. Krav vedr. a</w:t>
      </w:r>
      <w:r w:rsidR="00972374" w:rsidRPr="00505ED9">
        <w:t>d</w:t>
      </w:r>
      <w:r w:rsidR="00972374" w:rsidRPr="00505ED9">
        <w:t xml:space="preserve">gangsforhold og perroner findes i denne TSI. </w:t>
      </w:r>
    </w:p>
    <w:p w:rsidR="00AB7EA8" w:rsidRPr="00505ED9" w:rsidRDefault="00664B60" w:rsidP="00664B60">
      <w:r w:rsidRPr="00505ED9">
        <w:t xml:space="preserve">Eventuelle økonomiske konsekvenser </w:t>
      </w:r>
      <w:r w:rsidR="00FF3664" w:rsidRPr="00505ED9">
        <w:t>af</w:t>
      </w:r>
      <w:r w:rsidRPr="00505ED9">
        <w:t xml:space="preserve"> </w:t>
      </w:r>
      <w:r w:rsidR="00CF7FA0" w:rsidRPr="00505ED9">
        <w:t xml:space="preserve">gennemførelse af den </w:t>
      </w:r>
      <w:r w:rsidR="005A234C" w:rsidRPr="00505ED9">
        <w:t>ko</w:t>
      </w:r>
      <w:r w:rsidR="005A234C" w:rsidRPr="00505ED9">
        <w:t>m</w:t>
      </w:r>
      <w:r w:rsidR="005A234C" w:rsidRPr="00505ED9">
        <w:t xml:space="preserve">mende, </w:t>
      </w:r>
      <w:r w:rsidR="00CF7FA0" w:rsidRPr="00505ED9">
        <w:t xml:space="preserve">reviderede TSI PRM og </w:t>
      </w:r>
      <w:r w:rsidRPr="00505ED9">
        <w:t>en national implementerings</w:t>
      </w:r>
      <w:r w:rsidR="00CF7FA0" w:rsidRPr="00505ED9">
        <w:t xml:space="preserve">plan </w:t>
      </w:r>
      <w:r w:rsidRPr="00505ED9">
        <w:t xml:space="preserve">for </w:t>
      </w:r>
      <w:proofErr w:type="spellStart"/>
      <w:r w:rsidR="00CF7FA0" w:rsidRPr="00505ED9">
        <w:t>TSI’en</w:t>
      </w:r>
      <w:proofErr w:type="spellEnd"/>
      <w:r w:rsidR="00CF7FA0" w:rsidRPr="00505ED9">
        <w:t xml:space="preserve"> </w:t>
      </w:r>
      <w:r w:rsidR="00392977" w:rsidRPr="00505ED9">
        <w:t>skal</w:t>
      </w:r>
      <w:r w:rsidR="00972374" w:rsidRPr="00505ED9">
        <w:t xml:space="preserve"> derfor </w:t>
      </w:r>
      <w:r w:rsidRPr="00505ED9">
        <w:t>vurderes i forbindelse med vedtagelsen af denne</w:t>
      </w:r>
      <w:r w:rsidR="00392977" w:rsidRPr="00505ED9">
        <w:t xml:space="preserve"> TSI</w:t>
      </w:r>
      <w:r w:rsidRPr="00505ED9">
        <w:t>.</w:t>
      </w:r>
      <w:r w:rsidR="00972374" w:rsidRPr="00505ED9">
        <w:t xml:space="preserve"> </w:t>
      </w:r>
      <w:r w:rsidR="00357CFD" w:rsidRPr="00505ED9">
        <w:t xml:space="preserve">Endeligt bemærker Trafikstyrelsen, at </w:t>
      </w:r>
      <w:r w:rsidR="007E0FC3" w:rsidRPr="00505ED9">
        <w:t xml:space="preserve">et forbehold for eventuelle </w:t>
      </w:r>
      <w:r w:rsidR="007E0FC3" w:rsidRPr="00505ED9">
        <w:lastRenderedPageBreak/>
        <w:t xml:space="preserve">fremtidige udgifter er et meget bredt forbehold og </w:t>
      </w:r>
      <w:r w:rsidR="00357CFD" w:rsidRPr="00505ED9">
        <w:t>det bør præciseres, hvori det udgiftsdrivende ved bekendtgørelsen består i.</w:t>
      </w:r>
    </w:p>
    <w:p w:rsidR="00CC1202" w:rsidRPr="00505ED9" w:rsidRDefault="00CC1202" w:rsidP="00664B60">
      <w:r w:rsidRPr="00505ED9">
        <w:rPr>
          <w:i/>
        </w:rPr>
        <w:t xml:space="preserve">Danske Handicaporganisationer </w:t>
      </w:r>
      <w:r w:rsidRPr="00505ED9">
        <w:t>understreger, at ”andre relevante fo</w:t>
      </w:r>
      <w:r w:rsidRPr="00505ED9">
        <w:t>r</w:t>
      </w:r>
      <w:r w:rsidRPr="00505ED9">
        <w:t>anstaltninger” ikke må erstatte tilgængelighed, som det f.eks. er ti</w:t>
      </w:r>
      <w:r w:rsidRPr="00505ED9">
        <w:t>l</w:t>
      </w:r>
      <w:r w:rsidRPr="00505ED9">
        <w:t>fældet, hvis der indkøbes tog med trin kombineret med en anvendelse af en lift på perronen i stedet for lavgulvstog eller tog med indbygget rampe. Der findes løsninger i dag, som kan sikre enten direkte n</w:t>
      </w:r>
      <w:r w:rsidRPr="00505ED9">
        <w:t>i</w:t>
      </w:r>
      <w:r w:rsidRPr="00505ED9">
        <w:t>veaufri adgang eller adgang med en lift, der er fastmonteret på tog.</w:t>
      </w:r>
    </w:p>
    <w:p w:rsidR="00CC1202" w:rsidRPr="00505ED9" w:rsidRDefault="00CC1202" w:rsidP="00CC1202">
      <w:pPr>
        <w:rPr>
          <w:i/>
        </w:rPr>
      </w:pPr>
      <w:r w:rsidRPr="00505ED9">
        <w:rPr>
          <w:i/>
        </w:rPr>
        <w:t xml:space="preserve">Trafikstyrelsens </w:t>
      </w:r>
      <w:r w:rsidR="00972374" w:rsidRPr="00505ED9">
        <w:rPr>
          <w:i/>
        </w:rPr>
        <w:t>bemærkninger</w:t>
      </w:r>
      <w:r w:rsidRPr="00505ED9">
        <w:rPr>
          <w:i/>
        </w:rPr>
        <w:t>:</w:t>
      </w:r>
    </w:p>
    <w:p w:rsidR="00CC1202" w:rsidRPr="00CC1202" w:rsidRDefault="00F21197" w:rsidP="00664B60">
      <w:r w:rsidRPr="00505ED9">
        <w:t>Det er i udgangspunktet jernbanevirksomheder, der afgør i forbinde</w:t>
      </w:r>
      <w:r w:rsidRPr="00505ED9">
        <w:t>l</w:t>
      </w:r>
      <w:r w:rsidRPr="00AB7EA8">
        <w:t>se med indkøbet den ønskede udformning af toget, herunder indsti</w:t>
      </w:r>
      <w:r w:rsidRPr="00AB7EA8">
        <w:t>g</w:t>
      </w:r>
      <w:r w:rsidRPr="00AB7EA8">
        <w:t>ningshjælpemidler. Trafikstyrelsen kan ikke afgøre, hvilke foranstal</w:t>
      </w:r>
      <w:r w:rsidRPr="00AB7EA8">
        <w:t>t</w:t>
      </w:r>
      <w:r w:rsidRPr="00AB7EA8">
        <w:t xml:space="preserve">ninger jernbanevirksomheder vælger, men skal dog i forbindelse med godkendelse af togene kontrollere, at disse opfylder kravene i bl.a. </w:t>
      </w:r>
      <w:r w:rsidR="00A02EA2" w:rsidRPr="00AB7EA8">
        <w:t xml:space="preserve">TSI PRM, hvor </w:t>
      </w:r>
      <w:r w:rsidRPr="00AB7EA8">
        <w:t>dette er krævet.</w:t>
      </w:r>
    </w:p>
    <w:sectPr w:rsidR="00CC1202" w:rsidRPr="00CC1202" w:rsidSect="00BA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A7" w:rsidRDefault="00DC07A7">
      <w:r>
        <w:separator/>
      </w:r>
    </w:p>
  </w:endnote>
  <w:endnote w:type="continuationSeparator" w:id="0">
    <w:p w:rsidR="00DC07A7" w:rsidRDefault="00D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05" w:rsidRDefault="00331D0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331D05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331D05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331D05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331D05">
      <w:rPr>
        <w:rStyle w:val="Sidetal"/>
        <w:noProof/>
      </w:rPr>
      <w:t>3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A7" w:rsidRDefault="00DC07A7">
      <w:r>
        <w:separator/>
      </w:r>
    </w:p>
  </w:footnote>
  <w:footnote w:type="continuationSeparator" w:id="0">
    <w:p w:rsidR="00DC07A7" w:rsidRDefault="00DC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05" w:rsidRDefault="00331D0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331D05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75.65pt;width:132.35pt;height:28.6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D62428" w:rsidRDefault="00331D05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TSJournalnummer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Journal TS10000-00060</w:t>
                </w:r>
                <w:r>
                  <w:rPr>
                    <w:noProof/>
                  </w:rPr>
                  <w:fldChar w:fldCharType="end"/>
                </w:r>
              </w:p>
              <w:p w:rsidR="00D62428" w:rsidRDefault="00331D05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TSDa</w:instrText>
                </w:r>
                <w:r>
                  <w:instrText xml:space="preserve">to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Dato 16. december 2013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4B7D0E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E051FD0" wp14:editId="25A25823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601C0E01" wp14:editId="2F522DA8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D05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Telefon</w:t>
                </w:r>
                <w:r w:rsidR="004B7D0E">
                  <w:rPr>
                    <w:noProof/>
                  </w:rPr>
                  <w:t xml:space="preserve"> </w:t>
                </w:r>
                <w:r w:rsidR="004B7D0E" w:rsidRPr="004B7D0E">
                  <w:rPr>
                    <w:noProof/>
                  </w:rPr>
                  <w:t xml:space="preserve">7221 8800 </w:t>
                </w:r>
                <w:r>
                  <w:rPr>
                    <w:noProof/>
                  </w:rPr>
                  <w:t xml:space="preserve"> </w:t>
                </w:r>
              </w:p>
              <w:p w:rsidR="006A67B0" w:rsidRPr="004B7D0E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4B7D0E" w:rsidRPr="004B7D0E">
                  <w:rPr>
                    <w:noProof/>
                  </w:rPr>
                  <w:t>7262 6790</w:t>
                </w:r>
              </w:p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info@trafikstyrelsen.dk</w:t>
                </w:r>
              </w:p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73FDD"/>
    <w:multiLevelType w:val="hybridMultilevel"/>
    <w:tmpl w:val="ABA69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E2391"/>
    <w:multiLevelType w:val="hybridMultilevel"/>
    <w:tmpl w:val="3DA2B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83BF8"/>
    <w:multiLevelType w:val="hybridMultilevel"/>
    <w:tmpl w:val="D8721DD0"/>
    <w:lvl w:ilvl="0" w:tplc="6FB25B46">
      <w:start w:val="23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030E6"/>
    <w:multiLevelType w:val="hybridMultilevel"/>
    <w:tmpl w:val="F79E0B10"/>
    <w:lvl w:ilvl="0" w:tplc="6FB25B46">
      <w:start w:val="23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0E"/>
    <w:rsid w:val="000147B1"/>
    <w:rsid w:val="00015FA8"/>
    <w:rsid w:val="00024FA8"/>
    <w:rsid w:val="0003564B"/>
    <w:rsid w:val="00037B7A"/>
    <w:rsid w:val="00040C40"/>
    <w:rsid w:val="00042668"/>
    <w:rsid w:val="000465AD"/>
    <w:rsid w:val="00051AB0"/>
    <w:rsid w:val="00056E4E"/>
    <w:rsid w:val="0006068B"/>
    <w:rsid w:val="000633E3"/>
    <w:rsid w:val="00066F5C"/>
    <w:rsid w:val="00067E85"/>
    <w:rsid w:val="000922C9"/>
    <w:rsid w:val="000937CA"/>
    <w:rsid w:val="000A78BC"/>
    <w:rsid w:val="000B170C"/>
    <w:rsid w:val="000B28B1"/>
    <w:rsid w:val="000B419B"/>
    <w:rsid w:val="000B5F5D"/>
    <w:rsid w:val="000D6963"/>
    <w:rsid w:val="000D7EAC"/>
    <w:rsid w:val="000E4D84"/>
    <w:rsid w:val="000F0250"/>
    <w:rsid w:val="000F7189"/>
    <w:rsid w:val="00190049"/>
    <w:rsid w:val="001B5EFB"/>
    <w:rsid w:val="001D04D3"/>
    <w:rsid w:val="001D3341"/>
    <w:rsid w:val="001D48A3"/>
    <w:rsid w:val="001D5B8B"/>
    <w:rsid w:val="001F3655"/>
    <w:rsid w:val="002004A0"/>
    <w:rsid w:val="00222497"/>
    <w:rsid w:val="00226E9A"/>
    <w:rsid w:val="00231337"/>
    <w:rsid w:val="0023164C"/>
    <w:rsid w:val="0023542B"/>
    <w:rsid w:val="0025018C"/>
    <w:rsid w:val="00257786"/>
    <w:rsid w:val="00281F2E"/>
    <w:rsid w:val="00285700"/>
    <w:rsid w:val="002A7934"/>
    <w:rsid w:val="002B0062"/>
    <w:rsid w:val="002B4952"/>
    <w:rsid w:val="002B6382"/>
    <w:rsid w:val="002E4320"/>
    <w:rsid w:val="002F2888"/>
    <w:rsid w:val="003123F8"/>
    <w:rsid w:val="00317218"/>
    <w:rsid w:val="00322396"/>
    <w:rsid w:val="00327C7C"/>
    <w:rsid w:val="00331D05"/>
    <w:rsid w:val="00333916"/>
    <w:rsid w:val="00347AD5"/>
    <w:rsid w:val="00357CFD"/>
    <w:rsid w:val="00357DD0"/>
    <w:rsid w:val="00376F78"/>
    <w:rsid w:val="00384859"/>
    <w:rsid w:val="00392977"/>
    <w:rsid w:val="0039544C"/>
    <w:rsid w:val="00395C25"/>
    <w:rsid w:val="003C4573"/>
    <w:rsid w:val="003C51E6"/>
    <w:rsid w:val="003E7522"/>
    <w:rsid w:val="003F442A"/>
    <w:rsid w:val="00402177"/>
    <w:rsid w:val="00417FF8"/>
    <w:rsid w:val="0042477C"/>
    <w:rsid w:val="00435274"/>
    <w:rsid w:val="00464A88"/>
    <w:rsid w:val="0046759B"/>
    <w:rsid w:val="00483520"/>
    <w:rsid w:val="004970B2"/>
    <w:rsid w:val="004B4FAB"/>
    <w:rsid w:val="004B505F"/>
    <w:rsid w:val="004B6006"/>
    <w:rsid w:val="004B7D0E"/>
    <w:rsid w:val="004D3E44"/>
    <w:rsid w:val="004D46CE"/>
    <w:rsid w:val="004D779A"/>
    <w:rsid w:val="004F5205"/>
    <w:rsid w:val="00505ED9"/>
    <w:rsid w:val="00506A57"/>
    <w:rsid w:val="00532438"/>
    <w:rsid w:val="005375AE"/>
    <w:rsid w:val="00542E5F"/>
    <w:rsid w:val="0054686B"/>
    <w:rsid w:val="00550D17"/>
    <w:rsid w:val="00553348"/>
    <w:rsid w:val="00560810"/>
    <w:rsid w:val="00565DA9"/>
    <w:rsid w:val="00574AE0"/>
    <w:rsid w:val="0058604C"/>
    <w:rsid w:val="00590D34"/>
    <w:rsid w:val="005A234C"/>
    <w:rsid w:val="005D217D"/>
    <w:rsid w:val="005D2B07"/>
    <w:rsid w:val="00600D52"/>
    <w:rsid w:val="006124BF"/>
    <w:rsid w:val="00620455"/>
    <w:rsid w:val="006251D7"/>
    <w:rsid w:val="00637331"/>
    <w:rsid w:val="006431EB"/>
    <w:rsid w:val="00660E69"/>
    <w:rsid w:val="00664B60"/>
    <w:rsid w:val="00683B44"/>
    <w:rsid w:val="00697858"/>
    <w:rsid w:val="006A1745"/>
    <w:rsid w:val="006A67B0"/>
    <w:rsid w:val="006D1AD7"/>
    <w:rsid w:val="006E411C"/>
    <w:rsid w:val="006F183D"/>
    <w:rsid w:val="00704767"/>
    <w:rsid w:val="00705289"/>
    <w:rsid w:val="0071623C"/>
    <w:rsid w:val="00716B32"/>
    <w:rsid w:val="00720660"/>
    <w:rsid w:val="007860BD"/>
    <w:rsid w:val="00790D7C"/>
    <w:rsid w:val="007918E4"/>
    <w:rsid w:val="007A0127"/>
    <w:rsid w:val="007B0FD7"/>
    <w:rsid w:val="007D09A2"/>
    <w:rsid w:val="007D261E"/>
    <w:rsid w:val="007D5F97"/>
    <w:rsid w:val="007E0FC3"/>
    <w:rsid w:val="007E4F0D"/>
    <w:rsid w:val="00806EF8"/>
    <w:rsid w:val="00812A94"/>
    <w:rsid w:val="0082321C"/>
    <w:rsid w:val="00831647"/>
    <w:rsid w:val="00886FE2"/>
    <w:rsid w:val="00895A47"/>
    <w:rsid w:val="008A2BF7"/>
    <w:rsid w:val="008C7C9D"/>
    <w:rsid w:val="008E2ED8"/>
    <w:rsid w:val="008E33AC"/>
    <w:rsid w:val="008F10E5"/>
    <w:rsid w:val="008F31B9"/>
    <w:rsid w:val="008F4743"/>
    <w:rsid w:val="008F4C96"/>
    <w:rsid w:val="008F6B68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2374"/>
    <w:rsid w:val="00973A48"/>
    <w:rsid w:val="00990E96"/>
    <w:rsid w:val="00992A5D"/>
    <w:rsid w:val="009939CC"/>
    <w:rsid w:val="009C1515"/>
    <w:rsid w:val="009C3E3C"/>
    <w:rsid w:val="009C4B9F"/>
    <w:rsid w:val="009C74F6"/>
    <w:rsid w:val="009D64D4"/>
    <w:rsid w:val="00A02EA2"/>
    <w:rsid w:val="00A22802"/>
    <w:rsid w:val="00A22E46"/>
    <w:rsid w:val="00A25A55"/>
    <w:rsid w:val="00A27566"/>
    <w:rsid w:val="00A352D1"/>
    <w:rsid w:val="00A50517"/>
    <w:rsid w:val="00A61BE3"/>
    <w:rsid w:val="00A6570D"/>
    <w:rsid w:val="00AA2EC8"/>
    <w:rsid w:val="00AB1DAA"/>
    <w:rsid w:val="00AB2114"/>
    <w:rsid w:val="00AB559F"/>
    <w:rsid w:val="00AB7EA8"/>
    <w:rsid w:val="00AE7BE4"/>
    <w:rsid w:val="00AF0233"/>
    <w:rsid w:val="00B1743D"/>
    <w:rsid w:val="00B225B3"/>
    <w:rsid w:val="00B447C1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4792A"/>
    <w:rsid w:val="00C843AC"/>
    <w:rsid w:val="00C844BC"/>
    <w:rsid w:val="00C93A04"/>
    <w:rsid w:val="00C9591D"/>
    <w:rsid w:val="00CB3279"/>
    <w:rsid w:val="00CC1202"/>
    <w:rsid w:val="00CD470A"/>
    <w:rsid w:val="00CE6E4A"/>
    <w:rsid w:val="00CE6EFF"/>
    <w:rsid w:val="00CF1D6D"/>
    <w:rsid w:val="00CF7FA0"/>
    <w:rsid w:val="00D0654E"/>
    <w:rsid w:val="00D15CF2"/>
    <w:rsid w:val="00D3762E"/>
    <w:rsid w:val="00D62428"/>
    <w:rsid w:val="00D85D37"/>
    <w:rsid w:val="00DA0932"/>
    <w:rsid w:val="00DA4EFD"/>
    <w:rsid w:val="00DB0718"/>
    <w:rsid w:val="00DC07A7"/>
    <w:rsid w:val="00E06B93"/>
    <w:rsid w:val="00E45D3C"/>
    <w:rsid w:val="00E502D4"/>
    <w:rsid w:val="00E51427"/>
    <w:rsid w:val="00E5266A"/>
    <w:rsid w:val="00E5466E"/>
    <w:rsid w:val="00E6578E"/>
    <w:rsid w:val="00E6773B"/>
    <w:rsid w:val="00E71391"/>
    <w:rsid w:val="00E752B3"/>
    <w:rsid w:val="00E85D2A"/>
    <w:rsid w:val="00E85FF6"/>
    <w:rsid w:val="00E94877"/>
    <w:rsid w:val="00E967CD"/>
    <w:rsid w:val="00EA07EF"/>
    <w:rsid w:val="00EB1E76"/>
    <w:rsid w:val="00EB4DCF"/>
    <w:rsid w:val="00EB66EC"/>
    <w:rsid w:val="00EC6C3B"/>
    <w:rsid w:val="00EE0818"/>
    <w:rsid w:val="00EF52A5"/>
    <w:rsid w:val="00EF54C4"/>
    <w:rsid w:val="00F00B35"/>
    <w:rsid w:val="00F12595"/>
    <w:rsid w:val="00F21197"/>
    <w:rsid w:val="00F26096"/>
    <w:rsid w:val="00F4050A"/>
    <w:rsid w:val="00F43579"/>
    <w:rsid w:val="00F50E9C"/>
    <w:rsid w:val="00F653C8"/>
    <w:rsid w:val="00F74685"/>
    <w:rsid w:val="00F93F27"/>
    <w:rsid w:val="00FB0138"/>
    <w:rsid w:val="00FC01F8"/>
    <w:rsid w:val="00FC0DCE"/>
    <w:rsid w:val="00FC5549"/>
    <w:rsid w:val="00FC7F9C"/>
    <w:rsid w:val="00FD127C"/>
    <w:rsid w:val="00FD1722"/>
    <w:rsid w:val="00FE674A"/>
    <w:rsid w:val="00FF0A61"/>
    <w:rsid w:val="00FF3664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B7D0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51AB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E7B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7BE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7BE4"/>
    <w:rPr>
      <w:rFonts w:ascii="Verdana" w:hAnsi="Verdana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7B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7BE4"/>
    <w:rPr>
      <w:rFonts w:ascii="Verdana" w:hAnsi="Verdana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4218</Characters>
  <Application>Microsoft Office Word</Application>
  <DocSecurity>0</DocSecurity>
  <PresentationFormat>BrevX</PresentationFormat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2013-12-03T12:26:00Z</dcterms:created>
  <dcterms:modified xsi:type="dcterms:W3CDTF">2013-12-18T10:13:00Z</dcterms:modified>
</cp:coreProperties>
</file>