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5B" w:rsidRPr="00771F5B" w:rsidRDefault="00771F5B" w:rsidP="00771F5B">
      <w:pPr>
        <w:tabs>
          <w:tab w:val="left" w:pos="2400"/>
        </w:tabs>
        <w:adjustRightInd w:val="0"/>
        <w:spacing w:after="0" w:line="240" w:lineRule="auto"/>
        <w:ind w:left="2400" w:hanging="2400"/>
        <w:rPr>
          <w:rFonts w:ascii="Calibri" w:hAnsi="Calibri" w:cs="Calibri"/>
          <w:color w:val="000000"/>
          <w:sz w:val="24"/>
          <w:szCs w:val="24"/>
          <w:lang w:eastAsia="da-DK"/>
        </w:rPr>
      </w:pPr>
      <w:r w:rsidRPr="00771F5B">
        <w:rPr>
          <w:rFonts w:ascii="Calibri" w:hAnsi="Calibri" w:cs="Calibri"/>
          <w:b/>
          <w:bCs/>
          <w:color w:val="000000"/>
          <w:sz w:val="24"/>
          <w:szCs w:val="24"/>
          <w:lang w:eastAsia="da-DK"/>
        </w:rPr>
        <w:t>Fra:</w:t>
      </w:r>
      <w:r w:rsidRPr="00771F5B">
        <w:rPr>
          <w:rFonts w:ascii="Calibri" w:hAnsi="Calibri" w:cs="Calibri"/>
          <w:b/>
          <w:bCs/>
          <w:color w:val="000000"/>
          <w:sz w:val="24"/>
          <w:szCs w:val="24"/>
          <w:lang w:eastAsia="da-DK"/>
        </w:rPr>
        <w:tab/>
      </w:r>
      <w:r w:rsidRPr="00771F5B">
        <w:rPr>
          <w:rFonts w:ascii="Calibri" w:hAnsi="Calibri" w:cs="Calibri"/>
          <w:color w:val="000000"/>
          <w:sz w:val="24"/>
          <w:szCs w:val="24"/>
          <w:lang w:eastAsia="da-DK"/>
        </w:rPr>
        <w:t>Karen Leth Jensen &lt;klj@forsikringogpension.dk&gt;</w:t>
      </w:r>
    </w:p>
    <w:p w:rsidR="00771F5B" w:rsidRPr="00771F5B" w:rsidRDefault="00771F5B" w:rsidP="00771F5B">
      <w:pPr>
        <w:tabs>
          <w:tab w:val="left" w:pos="2400"/>
        </w:tabs>
        <w:adjustRightInd w:val="0"/>
        <w:spacing w:after="0" w:line="240" w:lineRule="auto"/>
        <w:ind w:left="2400" w:hanging="2400"/>
        <w:rPr>
          <w:rFonts w:ascii="Calibri" w:hAnsi="Calibri" w:cs="Calibri"/>
          <w:color w:val="000000"/>
          <w:sz w:val="24"/>
          <w:szCs w:val="24"/>
          <w:lang w:eastAsia="da-DK"/>
        </w:rPr>
      </w:pPr>
      <w:r w:rsidRPr="00771F5B">
        <w:rPr>
          <w:rFonts w:ascii="Calibri" w:hAnsi="Calibri" w:cs="Calibri"/>
          <w:b/>
          <w:bCs/>
          <w:color w:val="000000"/>
          <w:sz w:val="24"/>
          <w:szCs w:val="24"/>
          <w:lang w:eastAsia="da-DK"/>
        </w:rPr>
        <w:t>Sendt:</w:t>
      </w:r>
      <w:r w:rsidRPr="00771F5B">
        <w:rPr>
          <w:rFonts w:ascii="Calibri" w:hAnsi="Calibri" w:cs="Calibri"/>
          <w:b/>
          <w:bCs/>
          <w:color w:val="000000"/>
          <w:sz w:val="24"/>
          <w:szCs w:val="24"/>
          <w:lang w:eastAsia="da-DK"/>
        </w:rPr>
        <w:tab/>
      </w:r>
      <w:r w:rsidRPr="00771F5B">
        <w:rPr>
          <w:rFonts w:ascii="Calibri" w:hAnsi="Calibri" w:cs="Calibri"/>
          <w:color w:val="000000"/>
          <w:sz w:val="24"/>
          <w:szCs w:val="24"/>
          <w:lang w:eastAsia="da-DK"/>
        </w:rPr>
        <w:t>14. maj 2014 14:31</w:t>
      </w:r>
    </w:p>
    <w:p w:rsidR="00771F5B" w:rsidRPr="00771F5B" w:rsidRDefault="00771F5B" w:rsidP="00771F5B">
      <w:pPr>
        <w:tabs>
          <w:tab w:val="left" w:pos="2400"/>
        </w:tabs>
        <w:adjustRightInd w:val="0"/>
        <w:spacing w:after="0" w:line="240" w:lineRule="auto"/>
        <w:ind w:left="2400" w:hanging="2400"/>
        <w:rPr>
          <w:rFonts w:ascii="Calibri" w:hAnsi="Calibri" w:cs="Calibri"/>
          <w:color w:val="000000"/>
          <w:sz w:val="24"/>
          <w:szCs w:val="24"/>
          <w:lang w:eastAsia="da-DK"/>
        </w:rPr>
      </w:pPr>
      <w:r w:rsidRPr="00771F5B">
        <w:rPr>
          <w:rFonts w:ascii="Calibri" w:hAnsi="Calibri" w:cs="Calibri"/>
          <w:b/>
          <w:bCs/>
          <w:color w:val="000000"/>
          <w:sz w:val="24"/>
          <w:szCs w:val="24"/>
          <w:lang w:eastAsia="da-DK"/>
        </w:rPr>
        <w:t>Til:</w:t>
      </w:r>
      <w:r w:rsidRPr="00771F5B">
        <w:rPr>
          <w:rFonts w:ascii="Calibri" w:hAnsi="Calibri" w:cs="Calibri"/>
          <w:b/>
          <w:bCs/>
          <w:color w:val="000000"/>
          <w:sz w:val="24"/>
          <w:szCs w:val="24"/>
          <w:lang w:eastAsia="da-DK"/>
        </w:rPr>
        <w:tab/>
      </w:r>
      <w:r w:rsidRPr="00771F5B">
        <w:rPr>
          <w:rFonts w:ascii="Calibri" w:hAnsi="Calibri" w:cs="Calibri"/>
          <w:color w:val="000000"/>
          <w:sz w:val="24"/>
          <w:szCs w:val="24"/>
          <w:lang w:eastAsia="da-DK"/>
        </w:rPr>
        <w:t>Tony Gønge Nielsen</w:t>
      </w:r>
    </w:p>
    <w:p w:rsidR="00771F5B" w:rsidRPr="00771F5B" w:rsidRDefault="00771F5B" w:rsidP="00771F5B">
      <w:pPr>
        <w:tabs>
          <w:tab w:val="left" w:pos="2400"/>
        </w:tabs>
        <w:adjustRightInd w:val="0"/>
        <w:spacing w:after="0" w:line="240" w:lineRule="auto"/>
        <w:ind w:left="2400" w:hanging="2400"/>
        <w:rPr>
          <w:rFonts w:ascii="Calibri" w:hAnsi="Calibri" w:cs="Calibri"/>
          <w:color w:val="000000"/>
          <w:sz w:val="24"/>
          <w:szCs w:val="24"/>
          <w:lang w:eastAsia="da-DK"/>
        </w:rPr>
      </w:pPr>
      <w:r w:rsidRPr="00771F5B">
        <w:rPr>
          <w:rFonts w:ascii="Calibri" w:hAnsi="Calibri" w:cs="Calibri"/>
          <w:b/>
          <w:bCs/>
          <w:color w:val="000000"/>
          <w:sz w:val="24"/>
          <w:szCs w:val="24"/>
          <w:lang w:eastAsia="da-DK"/>
        </w:rPr>
        <w:t>Emne:</w:t>
      </w:r>
      <w:r w:rsidRPr="00771F5B">
        <w:rPr>
          <w:rFonts w:ascii="Calibri" w:hAnsi="Calibri" w:cs="Calibri"/>
          <w:b/>
          <w:bCs/>
          <w:color w:val="000000"/>
          <w:sz w:val="24"/>
          <w:szCs w:val="24"/>
          <w:lang w:eastAsia="da-DK"/>
        </w:rPr>
        <w:tab/>
      </w:r>
      <w:r w:rsidRPr="00771F5B">
        <w:rPr>
          <w:rFonts w:ascii="Calibri" w:hAnsi="Calibri" w:cs="Calibri"/>
          <w:color w:val="000000"/>
          <w:sz w:val="24"/>
          <w:szCs w:val="24"/>
          <w:lang w:eastAsia="da-DK"/>
        </w:rPr>
        <w:t>SV: Høring over ny feltlåsningsbekendtgørelse</w:t>
      </w:r>
    </w:p>
    <w:p w:rsidR="00771F5B" w:rsidRPr="00771F5B" w:rsidRDefault="00771F5B" w:rsidP="00771F5B">
      <w:pPr>
        <w:spacing w:after="0" w:line="240" w:lineRule="auto"/>
        <w:rPr>
          <w:rFonts w:ascii="Times New Roman" w:hAnsi="Times New Roman" w:cs="Times New Roman"/>
          <w:sz w:val="24"/>
          <w:szCs w:val="24"/>
          <w:lang w:eastAsia="da-DK"/>
        </w:rPr>
      </w:pPr>
    </w:p>
    <w:p w:rsidR="00771F5B" w:rsidRPr="00771F5B" w:rsidRDefault="00771F5B" w:rsidP="00771F5B">
      <w:pPr>
        <w:spacing w:after="0" w:line="240" w:lineRule="auto"/>
        <w:rPr>
          <w:rFonts w:ascii="Calibri" w:hAnsi="Calibri" w:cs="Times New Roman"/>
          <w:color w:val="1F497D"/>
          <w:lang w:eastAsia="da-DK"/>
        </w:rPr>
      </w:pPr>
      <w:r w:rsidRPr="00771F5B">
        <w:rPr>
          <w:rFonts w:ascii="Calibri" w:hAnsi="Calibri" w:cs="Times New Roman"/>
          <w:color w:val="1F497D"/>
          <w:lang w:eastAsia="da-DK"/>
        </w:rPr>
        <w:t>Kære Tony</w:t>
      </w: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r w:rsidRPr="00771F5B">
        <w:rPr>
          <w:rFonts w:ascii="Calibri" w:hAnsi="Calibri" w:cs="Times New Roman"/>
          <w:color w:val="1F497D"/>
          <w:lang w:eastAsia="da-DK"/>
        </w:rPr>
        <w:t xml:space="preserve">Jeg har haft bekendtgørelsen ude at vende hos vores medlemmer. De har ikke de store bemærkninger. </w:t>
      </w: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r w:rsidRPr="00771F5B">
        <w:rPr>
          <w:rFonts w:ascii="Calibri" w:hAnsi="Calibri" w:cs="Times New Roman"/>
          <w:color w:val="1F497D"/>
          <w:lang w:eastAsia="da-DK"/>
        </w:rPr>
        <w:t xml:space="preserve">Dog synes vi helt overordnet, at det er for løst at bruge et ”m.v.” i bekendtgørelsestekst, når denne definerer indkomster og fradrag, som den skattepligtige ikke kan rette selv – og som af samme grund er underlagt andre ansvarsregler end oplysninger i felter, der kan ændre af den skattepligtige. </w:t>
      </w: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r w:rsidRPr="00771F5B">
        <w:rPr>
          <w:rFonts w:ascii="Calibri" w:hAnsi="Calibri" w:cs="Times New Roman"/>
          <w:color w:val="1F497D"/>
          <w:lang w:eastAsia="da-DK"/>
        </w:rPr>
        <w:t xml:space="preserve">Konkret er vi faldet over det </w:t>
      </w:r>
      <w:proofErr w:type="gramStart"/>
      <w:r w:rsidRPr="00771F5B">
        <w:rPr>
          <w:rFonts w:ascii="Calibri" w:hAnsi="Calibri" w:cs="Times New Roman"/>
          <w:color w:val="1F497D"/>
          <w:lang w:eastAsia="da-DK"/>
        </w:rPr>
        <w:t>i  §</w:t>
      </w:r>
      <w:proofErr w:type="gramEnd"/>
      <w:r w:rsidRPr="00771F5B">
        <w:rPr>
          <w:rFonts w:ascii="Calibri" w:hAnsi="Calibri" w:cs="Times New Roman"/>
          <w:color w:val="1F497D"/>
          <w:lang w:eastAsia="da-DK"/>
        </w:rPr>
        <w:t xml:space="preserve"> 3, nr. 20).</w:t>
      </w:r>
    </w:p>
    <w:p w:rsidR="00771F5B" w:rsidRPr="00771F5B" w:rsidRDefault="00771F5B" w:rsidP="00771F5B">
      <w:pPr>
        <w:spacing w:after="0" w:line="288" w:lineRule="auto"/>
        <w:jc w:val="both"/>
        <w:rPr>
          <w:rFonts w:ascii="Times New Roman" w:hAnsi="Times New Roman" w:cs="Times New Roman"/>
          <w:sz w:val="24"/>
          <w:szCs w:val="24"/>
          <w:lang w:eastAsia="da-DK"/>
        </w:rPr>
      </w:pPr>
      <w:r w:rsidRPr="00771F5B">
        <w:rPr>
          <w:rFonts w:ascii="Times New Roman" w:hAnsi="Times New Roman" w:cs="Times New Roman"/>
          <w:sz w:val="24"/>
          <w:szCs w:val="24"/>
          <w:lang w:eastAsia="da-DK"/>
        </w:rPr>
        <w:t>”20) Indskud på arbejdsgiveradministreret alderspension, gruppeliv m.v. fratrukket i lønindkomst.”</w:t>
      </w: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r w:rsidRPr="00771F5B">
        <w:rPr>
          <w:rFonts w:ascii="Calibri" w:hAnsi="Calibri" w:cs="Times New Roman"/>
          <w:color w:val="1F497D"/>
          <w:lang w:eastAsia="da-DK"/>
        </w:rPr>
        <w:t xml:space="preserve">Kan det passe, at teksten matcher rubrikteksterne fra årsopgørelsen? I forhold til en rubriktekst, så må der være plads til – og behov for </w:t>
      </w:r>
      <w:proofErr w:type="gramStart"/>
      <w:r w:rsidRPr="00771F5B">
        <w:rPr>
          <w:rFonts w:ascii="Calibri" w:hAnsi="Calibri" w:cs="Times New Roman"/>
          <w:color w:val="1F497D"/>
          <w:lang w:eastAsia="da-DK"/>
        </w:rPr>
        <w:t>-  at</w:t>
      </w:r>
      <w:proofErr w:type="gramEnd"/>
      <w:r w:rsidRPr="00771F5B">
        <w:rPr>
          <w:rFonts w:ascii="Calibri" w:hAnsi="Calibri" w:cs="Times New Roman"/>
          <w:color w:val="1F497D"/>
          <w:lang w:eastAsia="da-DK"/>
        </w:rPr>
        <w:t xml:space="preserve"> gøre bekendtgørelsesteksten udtømmende.  </w:t>
      </w: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r w:rsidRPr="00771F5B">
        <w:rPr>
          <w:rFonts w:ascii="Calibri" w:hAnsi="Calibri" w:cs="Times New Roman"/>
          <w:color w:val="1F497D"/>
          <w:lang w:eastAsia="da-DK"/>
        </w:rPr>
        <w:t xml:space="preserve">For at pege præcist på, hvad det er for nogle indtægter, der er omfattet af nr. 20, er det vel bl.a. vigtigt, at slå fast, at der er tale om indtægter, der er skattepligtige, men som der er givet ”teknisk </w:t>
      </w:r>
      <w:proofErr w:type="spellStart"/>
      <w:r w:rsidRPr="00771F5B">
        <w:rPr>
          <w:rFonts w:ascii="Calibri" w:hAnsi="Calibri" w:cs="Times New Roman"/>
          <w:color w:val="1F497D"/>
          <w:lang w:eastAsia="da-DK"/>
        </w:rPr>
        <w:t>bortseelse</w:t>
      </w:r>
      <w:proofErr w:type="spellEnd"/>
      <w:r w:rsidRPr="00771F5B">
        <w:rPr>
          <w:rFonts w:ascii="Calibri" w:hAnsi="Calibri" w:cs="Times New Roman"/>
          <w:color w:val="1F497D"/>
          <w:lang w:eastAsia="da-DK"/>
        </w:rPr>
        <w:t>” for af rent administrative årsager. Hvis ikke dette indgå, så er der vel ret beset mange indkomster, der kan falde ind under definitionen.</w:t>
      </w: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r w:rsidRPr="00771F5B">
        <w:rPr>
          <w:rFonts w:ascii="Calibri" w:hAnsi="Calibri" w:cs="Times New Roman"/>
          <w:color w:val="1F497D"/>
          <w:lang w:eastAsia="da-DK"/>
        </w:rPr>
        <w:t xml:space="preserve">Tilsvarende kan formentlig anføres for mange af de øvrige numre, der indeholder et ”m.v.” </w:t>
      </w: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r w:rsidRPr="00771F5B">
        <w:rPr>
          <w:rFonts w:ascii="Calibri" w:hAnsi="Calibri" w:cs="Times New Roman"/>
          <w:color w:val="1F497D"/>
          <w:lang w:eastAsia="da-DK"/>
        </w:rPr>
        <w:t>Ellers har vi ikke noget til bekendtgørelsen.</w:t>
      </w: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proofErr w:type="spellStart"/>
      <w:r w:rsidRPr="00771F5B">
        <w:rPr>
          <w:rFonts w:ascii="Calibri" w:hAnsi="Calibri" w:cs="Times New Roman"/>
          <w:color w:val="1F497D"/>
          <w:lang w:eastAsia="da-DK"/>
        </w:rPr>
        <w:t>Mvh</w:t>
      </w:r>
      <w:proofErr w:type="spellEnd"/>
    </w:p>
    <w:p w:rsidR="00771F5B" w:rsidRPr="00771F5B" w:rsidRDefault="00771F5B" w:rsidP="00771F5B">
      <w:pPr>
        <w:spacing w:after="0" w:line="240" w:lineRule="auto"/>
        <w:rPr>
          <w:rFonts w:ascii="Calibri" w:hAnsi="Calibri" w:cs="Times New Roman"/>
          <w:color w:val="1F497D"/>
          <w:lang w:eastAsia="da-DK"/>
        </w:rPr>
      </w:pPr>
      <w:r w:rsidRPr="00771F5B">
        <w:rPr>
          <w:rFonts w:ascii="Calibri" w:hAnsi="Calibri" w:cs="Times New Roman"/>
          <w:color w:val="1F497D"/>
          <w:lang w:eastAsia="da-DK"/>
        </w:rPr>
        <w:t>Karen</w:t>
      </w: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Calibri" w:hAnsi="Calibri" w:cs="Times New Roman"/>
          <w:color w:val="1F497D"/>
          <w:lang w:eastAsia="da-DK"/>
        </w:rPr>
      </w:pPr>
    </w:p>
    <w:p w:rsidR="00771F5B" w:rsidRPr="00771F5B" w:rsidRDefault="00771F5B" w:rsidP="00771F5B">
      <w:pPr>
        <w:spacing w:after="0" w:line="240" w:lineRule="auto"/>
        <w:rPr>
          <w:rFonts w:ascii="Verdana" w:hAnsi="Verdana" w:cs="Times New Roman"/>
          <w:color w:val="62257F"/>
          <w:sz w:val="16"/>
          <w:szCs w:val="16"/>
          <w:lang w:eastAsia="da-DK"/>
        </w:rPr>
      </w:pPr>
      <w:r w:rsidRPr="00771F5B">
        <w:rPr>
          <w:rFonts w:ascii="Verdana" w:hAnsi="Verdana" w:cs="Times New Roman"/>
          <w:b/>
          <w:bCs/>
          <w:color w:val="62257F"/>
          <w:sz w:val="16"/>
          <w:szCs w:val="16"/>
          <w:lang w:eastAsia="da-DK"/>
        </w:rPr>
        <w:t>Forsikring &amp; Pension</w:t>
      </w:r>
    </w:p>
    <w:p w:rsidR="00771F5B" w:rsidRPr="00771F5B" w:rsidRDefault="00771F5B" w:rsidP="00771F5B">
      <w:pPr>
        <w:spacing w:after="0" w:line="240" w:lineRule="auto"/>
        <w:rPr>
          <w:rFonts w:ascii="Verdana" w:hAnsi="Verdana" w:cs="Times New Roman"/>
          <w:color w:val="1F497D"/>
          <w:sz w:val="16"/>
          <w:szCs w:val="16"/>
          <w:lang w:eastAsia="da-DK"/>
        </w:rPr>
      </w:pPr>
      <w:r w:rsidRPr="00771F5B">
        <w:rPr>
          <w:rFonts w:ascii="Verdana" w:hAnsi="Verdana" w:cs="Times New Roman"/>
          <w:color w:val="62257F"/>
          <w:sz w:val="16"/>
          <w:szCs w:val="16"/>
          <w:lang w:eastAsia="da-DK"/>
        </w:rPr>
        <w:t>Pension</w:t>
      </w:r>
    </w:p>
    <w:p w:rsidR="00771F5B" w:rsidRPr="00771F5B" w:rsidRDefault="00771F5B" w:rsidP="00771F5B">
      <w:pPr>
        <w:spacing w:after="0" w:line="240" w:lineRule="auto"/>
        <w:rPr>
          <w:rFonts w:ascii="Verdana" w:hAnsi="Verdana" w:cs="Times New Roman"/>
          <w:color w:val="1F497D"/>
          <w:sz w:val="16"/>
          <w:szCs w:val="16"/>
          <w:lang w:eastAsia="da-DK"/>
        </w:rPr>
      </w:pPr>
    </w:p>
    <w:p w:rsidR="00771F5B" w:rsidRPr="00771F5B" w:rsidRDefault="00771F5B" w:rsidP="00771F5B">
      <w:pPr>
        <w:spacing w:after="0" w:line="240" w:lineRule="auto"/>
        <w:rPr>
          <w:rFonts w:ascii="Verdana" w:hAnsi="Verdana" w:cs="Times New Roman"/>
          <w:color w:val="1F497D"/>
          <w:sz w:val="16"/>
          <w:szCs w:val="16"/>
          <w:lang w:eastAsia="da-DK"/>
        </w:rPr>
      </w:pPr>
      <w:r w:rsidRPr="00771F5B">
        <w:rPr>
          <w:rFonts w:ascii="Verdana" w:hAnsi="Verdana" w:cs="Times New Roman"/>
          <w:color w:val="1F497D"/>
          <w:sz w:val="16"/>
          <w:szCs w:val="16"/>
          <w:lang w:eastAsia="da-DK"/>
        </w:rPr>
        <w:t>Karen Leth Jensen</w:t>
      </w:r>
    </w:p>
    <w:p w:rsidR="00771F5B" w:rsidRPr="00771F5B" w:rsidRDefault="00771F5B" w:rsidP="00771F5B">
      <w:pPr>
        <w:spacing w:after="0" w:line="240" w:lineRule="auto"/>
        <w:rPr>
          <w:rFonts w:ascii="Verdana" w:hAnsi="Verdana" w:cs="Times New Roman"/>
          <w:color w:val="1F497D"/>
          <w:sz w:val="16"/>
          <w:szCs w:val="16"/>
          <w:lang w:eastAsia="da-DK"/>
        </w:rPr>
      </w:pPr>
      <w:r w:rsidRPr="00771F5B">
        <w:rPr>
          <w:rFonts w:ascii="Verdana" w:hAnsi="Verdana" w:cs="Times New Roman"/>
          <w:color w:val="1F497D"/>
          <w:sz w:val="16"/>
          <w:szCs w:val="16"/>
          <w:lang w:eastAsia="da-DK"/>
        </w:rPr>
        <w:t>Chefkonsulent</w:t>
      </w:r>
    </w:p>
    <w:p w:rsidR="00771F5B" w:rsidRPr="00771F5B" w:rsidRDefault="00771F5B" w:rsidP="00771F5B">
      <w:pPr>
        <w:spacing w:after="0" w:line="240" w:lineRule="auto"/>
        <w:rPr>
          <w:rFonts w:ascii="Verdana" w:hAnsi="Verdana" w:cs="Times New Roman"/>
          <w:color w:val="1F497D"/>
          <w:sz w:val="16"/>
          <w:szCs w:val="16"/>
          <w:lang w:eastAsia="da-DK"/>
        </w:rPr>
      </w:pPr>
      <w:r w:rsidRPr="00771F5B">
        <w:rPr>
          <w:rFonts w:ascii="Verdana" w:hAnsi="Verdana" w:cs="Times New Roman"/>
          <w:color w:val="1F497D"/>
          <w:sz w:val="16"/>
          <w:szCs w:val="16"/>
          <w:lang w:eastAsia="da-DK"/>
        </w:rPr>
        <w:t>Dir. 41 91 90 74</w:t>
      </w:r>
    </w:p>
    <w:p w:rsidR="00771F5B" w:rsidRPr="00771F5B" w:rsidRDefault="00771F5B" w:rsidP="00771F5B">
      <w:pPr>
        <w:spacing w:after="0" w:line="240" w:lineRule="auto"/>
        <w:rPr>
          <w:rFonts w:ascii="Verdana" w:hAnsi="Verdana" w:cs="Times New Roman"/>
          <w:color w:val="1F497D"/>
          <w:sz w:val="16"/>
          <w:szCs w:val="16"/>
          <w:lang w:eastAsia="da-DK"/>
        </w:rPr>
      </w:pPr>
      <w:hyperlink r:id="rId5" w:history="1">
        <w:r w:rsidRPr="00771F5B">
          <w:rPr>
            <w:rFonts w:ascii="Verdana" w:hAnsi="Verdana" w:cs="Times New Roman"/>
            <w:color w:val="1F497D"/>
            <w:sz w:val="16"/>
            <w:szCs w:val="16"/>
            <w:u w:val="single"/>
            <w:lang w:eastAsia="da-DK"/>
          </w:rPr>
          <w:t>klj@forsikringogpension.dk</w:t>
        </w:r>
      </w:hyperlink>
    </w:p>
    <w:p w:rsidR="00771F5B" w:rsidRPr="00771F5B" w:rsidRDefault="00771F5B" w:rsidP="00771F5B">
      <w:pPr>
        <w:spacing w:after="0" w:line="240" w:lineRule="auto"/>
        <w:rPr>
          <w:rFonts w:ascii="Verdana" w:hAnsi="Verdana" w:cs="Times New Roman"/>
          <w:color w:val="1F497D"/>
          <w:sz w:val="16"/>
          <w:szCs w:val="16"/>
          <w:lang w:eastAsia="da-DK"/>
        </w:rPr>
      </w:pPr>
    </w:p>
    <w:p w:rsidR="00771F5B" w:rsidRPr="00771F5B" w:rsidRDefault="00771F5B" w:rsidP="00771F5B">
      <w:pPr>
        <w:spacing w:after="0" w:line="240" w:lineRule="auto"/>
        <w:rPr>
          <w:rFonts w:ascii="Verdana" w:hAnsi="Verdana" w:cs="Times New Roman"/>
          <w:color w:val="1F497D"/>
          <w:sz w:val="16"/>
          <w:szCs w:val="16"/>
          <w:lang w:eastAsia="da-DK"/>
        </w:rPr>
      </w:pPr>
      <w:r w:rsidRPr="00771F5B">
        <w:rPr>
          <w:rFonts w:ascii="Verdana" w:hAnsi="Verdana" w:cs="Times New Roman"/>
          <w:color w:val="1F497D"/>
          <w:sz w:val="16"/>
          <w:szCs w:val="16"/>
          <w:lang w:eastAsia="da-DK"/>
        </w:rPr>
        <w:t>Forsikring &amp; Pension</w:t>
      </w:r>
    </w:p>
    <w:p w:rsidR="00771F5B" w:rsidRPr="00771F5B" w:rsidRDefault="00771F5B" w:rsidP="00771F5B">
      <w:pPr>
        <w:spacing w:after="0" w:line="240" w:lineRule="auto"/>
        <w:rPr>
          <w:rFonts w:ascii="Verdana" w:hAnsi="Verdana" w:cs="Times New Roman"/>
          <w:color w:val="1F497D"/>
          <w:sz w:val="16"/>
          <w:szCs w:val="16"/>
          <w:lang w:val="en-GB" w:eastAsia="da-DK"/>
        </w:rPr>
      </w:pPr>
      <w:r w:rsidRPr="00771F5B">
        <w:rPr>
          <w:rFonts w:ascii="Verdana" w:hAnsi="Verdana" w:cs="Times New Roman"/>
          <w:color w:val="1F497D"/>
          <w:sz w:val="16"/>
          <w:szCs w:val="16"/>
          <w:lang w:val="en-GB" w:eastAsia="da-DK"/>
        </w:rPr>
        <w:t xml:space="preserve">Philip Heymans </w:t>
      </w:r>
      <w:proofErr w:type="spellStart"/>
      <w:r w:rsidRPr="00771F5B">
        <w:rPr>
          <w:rFonts w:ascii="Verdana" w:hAnsi="Verdana" w:cs="Times New Roman"/>
          <w:color w:val="1F497D"/>
          <w:sz w:val="16"/>
          <w:szCs w:val="16"/>
          <w:lang w:val="en-GB" w:eastAsia="da-DK"/>
        </w:rPr>
        <w:t>Allé</w:t>
      </w:r>
      <w:proofErr w:type="spellEnd"/>
      <w:r w:rsidRPr="00771F5B">
        <w:rPr>
          <w:rFonts w:ascii="Verdana" w:hAnsi="Verdana" w:cs="Times New Roman"/>
          <w:color w:val="1F497D"/>
          <w:sz w:val="16"/>
          <w:szCs w:val="16"/>
          <w:lang w:val="en-GB" w:eastAsia="da-DK"/>
        </w:rPr>
        <w:t xml:space="preserve"> 1</w:t>
      </w:r>
    </w:p>
    <w:p w:rsidR="00771F5B" w:rsidRPr="00771F5B" w:rsidRDefault="00771F5B" w:rsidP="00771F5B">
      <w:pPr>
        <w:spacing w:after="0" w:line="240" w:lineRule="auto"/>
        <w:rPr>
          <w:rFonts w:ascii="Verdana" w:hAnsi="Verdana" w:cs="Times New Roman"/>
          <w:color w:val="1F497D"/>
          <w:sz w:val="16"/>
          <w:szCs w:val="16"/>
          <w:lang w:val="en-GB" w:eastAsia="da-DK"/>
        </w:rPr>
      </w:pPr>
      <w:r w:rsidRPr="00771F5B">
        <w:rPr>
          <w:rFonts w:ascii="Verdana" w:hAnsi="Verdana" w:cs="Times New Roman"/>
          <w:color w:val="1F497D"/>
          <w:sz w:val="16"/>
          <w:szCs w:val="16"/>
          <w:lang w:val="en-GB" w:eastAsia="da-DK"/>
        </w:rPr>
        <w:t xml:space="preserve">2900 </w:t>
      </w:r>
      <w:proofErr w:type="spellStart"/>
      <w:r w:rsidRPr="00771F5B">
        <w:rPr>
          <w:rFonts w:ascii="Verdana" w:hAnsi="Verdana" w:cs="Times New Roman"/>
          <w:color w:val="1F497D"/>
          <w:sz w:val="16"/>
          <w:szCs w:val="16"/>
          <w:lang w:val="en-GB" w:eastAsia="da-DK"/>
        </w:rPr>
        <w:t>Hellerup</w:t>
      </w:r>
      <w:proofErr w:type="spellEnd"/>
    </w:p>
    <w:p w:rsidR="00771F5B" w:rsidRPr="00771F5B" w:rsidRDefault="00771F5B" w:rsidP="00771F5B">
      <w:pPr>
        <w:spacing w:after="0" w:line="240" w:lineRule="auto"/>
        <w:rPr>
          <w:rFonts w:ascii="Verdana" w:hAnsi="Verdana" w:cs="Times New Roman"/>
          <w:color w:val="1F497D"/>
          <w:sz w:val="16"/>
          <w:szCs w:val="16"/>
          <w:lang w:val="en-GB" w:eastAsia="da-DK"/>
        </w:rPr>
      </w:pPr>
      <w:proofErr w:type="spellStart"/>
      <w:r w:rsidRPr="00771F5B">
        <w:rPr>
          <w:rFonts w:ascii="Verdana" w:hAnsi="Verdana" w:cs="Times New Roman"/>
          <w:color w:val="1F497D"/>
          <w:sz w:val="16"/>
          <w:szCs w:val="16"/>
          <w:lang w:val="en-GB" w:eastAsia="da-DK"/>
        </w:rPr>
        <w:t>Tlf</w:t>
      </w:r>
      <w:proofErr w:type="spellEnd"/>
      <w:r w:rsidRPr="00771F5B">
        <w:rPr>
          <w:rFonts w:ascii="Verdana" w:hAnsi="Verdana" w:cs="Times New Roman"/>
          <w:color w:val="1F497D"/>
          <w:sz w:val="16"/>
          <w:szCs w:val="16"/>
          <w:lang w:val="en-GB" w:eastAsia="da-DK"/>
        </w:rPr>
        <w:t>. 41 91 91 91</w:t>
      </w:r>
    </w:p>
    <w:p w:rsidR="00771F5B" w:rsidRPr="00771F5B" w:rsidRDefault="00771F5B" w:rsidP="00771F5B">
      <w:pPr>
        <w:spacing w:after="0" w:line="240" w:lineRule="auto"/>
        <w:rPr>
          <w:rFonts w:ascii="Verdana" w:hAnsi="Verdana" w:cs="Times New Roman"/>
          <w:color w:val="1F497D"/>
          <w:sz w:val="16"/>
          <w:szCs w:val="16"/>
          <w:lang w:eastAsia="da-DK"/>
        </w:rPr>
      </w:pPr>
      <w:r w:rsidRPr="00771F5B">
        <w:rPr>
          <w:rFonts w:ascii="Verdana" w:hAnsi="Verdana" w:cs="Times New Roman"/>
          <w:color w:val="1F497D"/>
          <w:sz w:val="16"/>
          <w:szCs w:val="16"/>
          <w:lang w:eastAsia="da-DK"/>
        </w:rPr>
        <w:t>Fax. 41 91 91 92</w:t>
      </w:r>
    </w:p>
    <w:p w:rsidR="00771F5B" w:rsidRPr="00771F5B" w:rsidRDefault="00771F5B" w:rsidP="00771F5B">
      <w:pPr>
        <w:spacing w:after="0" w:line="240" w:lineRule="auto"/>
        <w:rPr>
          <w:rFonts w:ascii="Verdana" w:hAnsi="Verdana" w:cs="Times New Roman"/>
          <w:color w:val="1F497D"/>
          <w:sz w:val="16"/>
          <w:szCs w:val="16"/>
          <w:lang w:eastAsia="da-DK"/>
        </w:rPr>
      </w:pPr>
      <w:hyperlink r:id="rId6" w:history="1">
        <w:r w:rsidRPr="00771F5B">
          <w:rPr>
            <w:rFonts w:ascii="Verdana" w:hAnsi="Verdana" w:cs="Times New Roman"/>
            <w:color w:val="1F497D"/>
            <w:sz w:val="16"/>
            <w:szCs w:val="16"/>
            <w:u w:val="single"/>
            <w:lang w:eastAsia="da-DK"/>
          </w:rPr>
          <w:t>www.forsikringogpension.dk</w:t>
        </w:r>
      </w:hyperlink>
    </w:p>
    <w:p w:rsidR="00AB3651" w:rsidRDefault="00AB3651">
      <w:bookmarkStart w:id="0" w:name="_GoBack"/>
      <w:bookmarkEnd w:id="0"/>
    </w:p>
    <w:sectPr w:rsidR="00AB36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5B"/>
    <w:rsid w:val="00563D1F"/>
    <w:rsid w:val="00771F5B"/>
    <w:rsid w:val="00AB3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71F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71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80139">
      <w:bodyDiv w:val="1"/>
      <w:marLeft w:val="0"/>
      <w:marRight w:val="0"/>
      <w:marTop w:val="0"/>
      <w:marBottom w:val="0"/>
      <w:divBdr>
        <w:top w:val="none" w:sz="0" w:space="0" w:color="auto"/>
        <w:left w:val="none" w:sz="0" w:space="0" w:color="auto"/>
        <w:bottom w:val="none" w:sz="0" w:space="0" w:color="auto"/>
        <w:right w:val="none" w:sz="0" w:space="0" w:color="auto"/>
      </w:divBdr>
      <w:divsChild>
        <w:div w:id="118143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w17776\AppData\Local\Microsoft\Windows\Temporary%20Internet%20Files\Content.Outlook\60DESI21\www.forsikringogpension.dk" TargetMode="External"/><Relationship Id="rId5" Type="http://schemas.openxmlformats.org/officeDocument/2006/relationships/hyperlink" Target="file:///C:\Users\w17776\AppData\Local\Microsoft\Windows\Temporary%20Internet%20Files\Content.Outlook\60DESI21\ase@forsikringogpensio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1</cp:revision>
  <dcterms:created xsi:type="dcterms:W3CDTF">2014-06-10T08:05:00Z</dcterms:created>
  <dcterms:modified xsi:type="dcterms:W3CDTF">2014-06-10T08:06:00Z</dcterms:modified>
</cp:coreProperties>
</file>