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56" w:rsidRDefault="00C42656" w:rsidP="00481E8E">
      <w:pPr>
        <w:pStyle w:val="Overskrift1"/>
        <w:jc w:val="center"/>
      </w:pPr>
      <w:r>
        <w:t>Udkast</w:t>
      </w:r>
    </w:p>
    <w:p w:rsidR="00C42656" w:rsidRPr="00385B78" w:rsidRDefault="00C42656" w:rsidP="00481E8E">
      <w:pPr>
        <w:pStyle w:val="Normal-medluft"/>
        <w:jc w:val="center"/>
      </w:pPr>
      <w:r>
        <w:rPr>
          <w:b/>
        </w:rPr>
        <w:t>til</w:t>
      </w:r>
    </w:p>
    <w:p w:rsidR="00616D97" w:rsidRDefault="00BB6881" w:rsidP="004F5620">
      <w:pPr>
        <w:pStyle w:val="Overskrift1"/>
      </w:pPr>
      <w:r>
        <w:t>Lov om ændring af lov om fremgangsmåden ved ekspropriation vedrørende fast ejendom samt lov om offentlige veje m.v.</w:t>
      </w:r>
    </w:p>
    <w:p w:rsidR="008C2A07" w:rsidRDefault="008C2A07"/>
    <w:p w:rsidR="008C2A07" w:rsidRDefault="008C2A07">
      <w:r>
        <w:t>(Udvidelse af adgangen til udpegning af</w:t>
      </w:r>
      <w:r w:rsidR="00B3332E">
        <w:t xml:space="preserve"> kommissarier samt</w:t>
      </w:r>
      <w:r>
        <w:t xml:space="preserve"> formænd for taksationskommissioner og overtaksationskommissioner)</w:t>
      </w:r>
    </w:p>
    <w:p w:rsidR="00BB6881" w:rsidRDefault="00BB6881"/>
    <w:p w:rsidR="00BB6881" w:rsidRDefault="00BB6881" w:rsidP="00BB6881">
      <w:pPr>
        <w:jc w:val="center"/>
        <w:rPr>
          <w:b/>
        </w:rPr>
      </w:pPr>
      <w:r w:rsidRPr="008C2A07">
        <w:rPr>
          <w:b/>
        </w:rPr>
        <w:t>§ 1</w:t>
      </w:r>
    </w:p>
    <w:p w:rsidR="00C42656" w:rsidRPr="008C2A07" w:rsidRDefault="00C42656" w:rsidP="00BB6881">
      <w:pPr>
        <w:jc w:val="center"/>
        <w:rPr>
          <w:b/>
        </w:rPr>
      </w:pPr>
    </w:p>
    <w:p w:rsidR="00BB6881" w:rsidRDefault="00BB6881" w:rsidP="00BB6881">
      <w:r>
        <w:t>I lov om fremgangsmåden ved ekspropriation vedrørende fast ejendom, jf. lovbekendtgørelse nr. 1161 af 20. november 2008, som ændret ved § 142 i lov nr. 1520 af 27. december 2014 om offentlige veje m.v., foretages følgende ændring</w:t>
      </w:r>
      <w:r w:rsidR="003E70AD">
        <w:t>er</w:t>
      </w:r>
      <w:r>
        <w:t>:</w:t>
      </w:r>
    </w:p>
    <w:p w:rsidR="00BB6881" w:rsidRDefault="00BB6881" w:rsidP="00BB6881"/>
    <w:p w:rsidR="00BB6881" w:rsidRDefault="00BB6881" w:rsidP="00BB6881">
      <w:r w:rsidRPr="00BB6881">
        <w:rPr>
          <w:b/>
        </w:rPr>
        <w:t>1.</w:t>
      </w:r>
      <w:r>
        <w:rPr>
          <w:b/>
        </w:rPr>
        <w:t xml:space="preserve"> </w:t>
      </w:r>
      <w:r>
        <w:t xml:space="preserve">I </w:t>
      </w:r>
      <w:r w:rsidR="00CF5778">
        <w:rPr>
          <w:i/>
        </w:rPr>
        <w:t>§ 4, 2. pkt.</w:t>
      </w:r>
      <w:r w:rsidR="00EB381A">
        <w:rPr>
          <w:i/>
        </w:rPr>
        <w:t xml:space="preserve">, </w:t>
      </w:r>
      <w:r w:rsidR="00C42656">
        <w:t xml:space="preserve">og </w:t>
      </w:r>
      <w:r w:rsidR="00C42656">
        <w:rPr>
          <w:i/>
        </w:rPr>
        <w:t>§ 7, stk. 2, 2. pkt.,</w:t>
      </w:r>
      <w:r w:rsidR="00CF5778">
        <w:rPr>
          <w:i/>
        </w:rPr>
        <w:t xml:space="preserve"> </w:t>
      </w:r>
      <w:r w:rsidR="00CF5778">
        <w:t>indsættes efter »kandidateksamen« »eller tilsvarende juridisk</w:t>
      </w:r>
      <w:r w:rsidR="00817038">
        <w:t>e</w:t>
      </w:r>
      <w:r w:rsidR="00CF5778">
        <w:t xml:space="preserve"> </w:t>
      </w:r>
      <w:r w:rsidR="00385B78">
        <w:t>kvalifikationer</w:t>
      </w:r>
      <w:r w:rsidR="00CF5778">
        <w:t>«.</w:t>
      </w:r>
    </w:p>
    <w:p w:rsidR="00CF5778" w:rsidRDefault="00CF5778" w:rsidP="00BB6881"/>
    <w:p w:rsidR="00CF5778" w:rsidRDefault="00CF5778" w:rsidP="00BB6881"/>
    <w:p w:rsidR="00CF5778" w:rsidRDefault="00CF5778" w:rsidP="00BB6881"/>
    <w:p w:rsidR="00CF5778" w:rsidRDefault="00CF5778" w:rsidP="00CF5778">
      <w:pPr>
        <w:jc w:val="center"/>
        <w:rPr>
          <w:b/>
        </w:rPr>
      </w:pPr>
      <w:r w:rsidRPr="008C2A07">
        <w:rPr>
          <w:b/>
        </w:rPr>
        <w:t>§ 2</w:t>
      </w:r>
    </w:p>
    <w:p w:rsidR="00C42656" w:rsidRPr="008C2A07" w:rsidRDefault="00C42656" w:rsidP="00CF5778">
      <w:pPr>
        <w:jc w:val="center"/>
        <w:rPr>
          <w:b/>
        </w:rPr>
      </w:pPr>
    </w:p>
    <w:p w:rsidR="00CF5778" w:rsidRDefault="003E70AD" w:rsidP="00CF5778">
      <w:r>
        <w:t xml:space="preserve">I lov </w:t>
      </w:r>
      <w:r w:rsidR="00C42656">
        <w:t xml:space="preserve">om offentlige veje m.v., jf. lov </w:t>
      </w:r>
      <w:r>
        <w:t>nr. 1520 af 27. december 2014, foretages følgende ændringer:</w:t>
      </w:r>
    </w:p>
    <w:p w:rsidR="003E70AD" w:rsidRDefault="003E70AD" w:rsidP="00CF5778"/>
    <w:p w:rsidR="003E70AD" w:rsidRDefault="003E70AD" w:rsidP="003E70AD">
      <w:r w:rsidRPr="003E70AD">
        <w:rPr>
          <w:b/>
        </w:rPr>
        <w:t>1.</w:t>
      </w:r>
      <w:r>
        <w:rPr>
          <w:b/>
        </w:rPr>
        <w:t xml:space="preserve"> </w:t>
      </w:r>
      <w:r w:rsidR="008C2A07">
        <w:t xml:space="preserve">I </w:t>
      </w:r>
      <w:r w:rsidR="008C2A07">
        <w:rPr>
          <w:i/>
        </w:rPr>
        <w:t>§ 105, stk. 2, 2. pkt.,</w:t>
      </w:r>
      <w:r w:rsidR="00C42656">
        <w:rPr>
          <w:i/>
        </w:rPr>
        <w:t xml:space="preserve"> </w:t>
      </w:r>
      <w:r w:rsidR="00C42656">
        <w:t>og</w:t>
      </w:r>
      <w:r w:rsidR="008C2A07" w:rsidRPr="008C2A07">
        <w:t xml:space="preserve"> </w:t>
      </w:r>
      <w:r w:rsidR="00C42656">
        <w:rPr>
          <w:i/>
        </w:rPr>
        <w:t xml:space="preserve">§ 106, stk. 2, 2. pkt., </w:t>
      </w:r>
      <w:r w:rsidR="008C2A07">
        <w:t>indsættes efter »kandidateksamen« »eller tilsvarende juridisk</w:t>
      </w:r>
      <w:r w:rsidR="00817038">
        <w:t>e</w:t>
      </w:r>
      <w:r w:rsidR="008C2A07">
        <w:t xml:space="preserve"> </w:t>
      </w:r>
      <w:r w:rsidR="00385B78">
        <w:t>kvalifikationer</w:t>
      </w:r>
      <w:r w:rsidR="008C2A07">
        <w:t>«.</w:t>
      </w:r>
    </w:p>
    <w:p w:rsidR="008C2A07" w:rsidRDefault="008C2A07" w:rsidP="003E70AD"/>
    <w:p w:rsidR="008C2A07" w:rsidRDefault="008C2A07" w:rsidP="003E70AD"/>
    <w:p w:rsidR="008C2A07" w:rsidRDefault="008C2A07" w:rsidP="008C2A07">
      <w:pPr>
        <w:jc w:val="center"/>
        <w:rPr>
          <w:b/>
        </w:rPr>
      </w:pPr>
      <w:r w:rsidRPr="00B65788">
        <w:rPr>
          <w:b/>
        </w:rPr>
        <w:t>§ 3</w:t>
      </w:r>
    </w:p>
    <w:p w:rsidR="00C42656" w:rsidRPr="00B65788" w:rsidRDefault="00C42656" w:rsidP="008C2A07">
      <w:pPr>
        <w:jc w:val="center"/>
        <w:rPr>
          <w:b/>
        </w:rPr>
      </w:pPr>
    </w:p>
    <w:p w:rsidR="004F5620" w:rsidRDefault="00B65788" w:rsidP="008C2A07">
      <w:r>
        <w:t>Loven træder i kraft dagen efter bekendtgørelse i Lovtidende.</w:t>
      </w:r>
    </w:p>
    <w:p w:rsidR="004F5620" w:rsidRDefault="004F5620">
      <w:pPr>
        <w:spacing w:after="200" w:line="276" w:lineRule="auto"/>
      </w:pPr>
      <w:r>
        <w:br w:type="page"/>
      </w:r>
    </w:p>
    <w:p w:rsidR="008C2A07" w:rsidRDefault="004F5620" w:rsidP="004F5620">
      <w:pPr>
        <w:pStyle w:val="Overskrift1"/>
      </w:pPr>
      <w:r>
        <w:lastRenderedPageBreak/>
        <w:t>Bemærkninger til lovforslaget</w:t>
      </w:r>
    </w:p>
    <w:p w:rsidR="004F5620" w:rsidRDefault="004F5620" w:rsidP="004F5620">
      <w:pPr>
        <w:pStyle w:val="Overskrift2"/>
      </w:pPr>
      <w:r>
        <w:t>Almindelige bemærkninger</w:t>
      </w:r>
    </w:p>
    <w:p w:rsidR="004F5620" w:rsidRPr="00F16005" w:rsidRDefault="00916603" w:rsidP="004F5620">
      <w:pPr>
        <w:pStyle w:val="Normal-medluft"/>
        <w:numPr>
          <w:ilvl w:val="0"/>
          <w:numId w:val="5"/>
        </w:numPr>
        <w:rPr>
          <w:i/>
        </w:rPr>
      </w:pPr>
      <w:r>
        <w:rPr>
          <w:i/>
        </w:rPr>
        <w:t>Indledning</w:t>
      </w:r>
    </w:p>
    <w:p w:rsidR="000B0A22" w:rsidRDefault="000B0A22" w:rsidP="004F5620">
      <w:pPr>
        <w:pStyle w:val="Normal-medluft"/>
      </w:pPr>
      <w:r>
        <w:t xml:space="preserve">Der er truffet beslutning om en række anlægsprojekter på vej- og baneområdet </w:t>
      </w:r>
      <w:r w:rsidR="00226D91">
        <w:t xml:space="preserve">i statsligt regi, som indebærer et stigende antal sager i kommisarier og taksationskommissioner. For de lodsejere, hvis sager skal behandles, er det af hensyn til retssikkerheden afgørende, at sagerne behandles hurtigst muligt. </w:t>
      </w:r>
      <w:r>
        <w:t xml:space="preserve">Det har </w:t>
      </w:r>
      <w:r w:rsidR="00226D91">
        <w:t xml:space="preserve">imidlertid </w:t>
      </w:r>
      <w:r>
        <w:t>kunnet konstateres, at de</w:t>
      </w:r>
      <w:r w:rsidR="002651A1">
        <w:t>t</w:t>
      </w:r>
      <w:r>
        <w:t xml:space="preserve"> med de gældende krav til kandidater </w:t>
      </w:r>
      <w:r w:rsidR="002651A1">
        <w:t xml:space="preserve">har været vanskeligt at besætte hvervet som formand </w:t>
      </w:r>
      <w:r>
        <w:t>for taksationskommissione</w:t>
      </w:r>
      <w:r w:rsidR="002651A1">
        <w:t xml:space="preserve">r, hvilket har medvirket til længere sagsbehandlingstider. </w:t>
      </w:r>
      <w:r w:rsidR="00145058">
        <w:t xml:space="preserve">For </w:t>
      </w:r>
      <w:r w:rsidR="002651A1">
        <w:t xml:space="preserve">at sikre, at sagerne ikke tager unødigt lang tid som følge af </w:t>
      </w:r>
      <w:r w:rsidR="00145058">
        <w:t xml:space="preserve">for snævre </w:t>
      </w:r>
      <w:r w:rsidR="002651A1">
        <w:t>krav til kandidater</w:t>
      </w:r>
      <w:r w:rsidR="004D0D8F">
        <w:t>nes kvalifikationer</w:t>
      </w:r>
      <w:r w:rsidR="00145058">
        <w:t xml:space="preserve">, foreslås </w:t>
      </w:r>
      <w:r w:rsidR="00681121">
        <w:t>disse krav ændret.</w:t>
      </w:r>
      <w:r w:rsidR="00145058">
        <w:t xml:space="preserve">  </w:t>
      </w:r>
      <w:r w:rsidR="002651A1">
        <w:t xml:space="preserve">   </w:t>
      </w:r>
      <w:r>
        <w:t xml:space="preserve"> </w:t>
      </w:r>
    </w:p>
    <w:p w:rsidR="00A92BFE" w:rsidRDefault="00A92BFE" w:rsidP="004F5620">
      <w:pPr>
        <w:pStyle w:val="Normal-medluft"/>
      </w:pPr>
      <w:r>
        <w:t>Lovforslaget indebærer</w:t>
      </w:r>
      <w:r w:rsidR="00B30DBC">
        <w:t xml:space="preserve"> således</w:t>
      </w:r>
      <w:r>
        <w:t xml:space="preserve"> en ændring af lov om fremgangsmåden ved ekspropriation vedrørende fast ejendo</w:t>
      </w:r>
      <w:r w:rsidR="00807719">
        <w:t>m, jf. lovbekendtgørelse nr. 1161 af 20. november 2008</w:t>
      </w:r>
      <w:r>
        <w:t xml:space="preserve"> (ekspropriationsprocesloven)</w:t>
      </w:r>
      <w:r w:rsidR="00807719">
        <w:t>,</w:t>
      </w:r>
      <w:r>
        <w:t xml:space="preserve"> samt ændring af lov om offentlige veje m.v.</w:t>
      </w:r>
      <w:r w:rsidR="00807719">
        <w:t>, jf. lov nr. 1520 af 27. december 2014</w:t>
      </w:r>
      <w:r>
        <w:t xml:space="preserve"> (vejloven)</w:t>
      </w:r>
      <w:r w:rsidR="00807719">
        <w:t>,</w:t>
      </w:r>
      <w:r>
        <w:t xml:space="preserve"> for så vidt angår kravene til kandidater til stillingen som hhv. kommissarius og formand for taksationskommissionen efter ekspropriationsprocesloven og kravene til kandidater til stillingen som formand for hhv. taksationskommissionen og overtaksationskommissionen efter vejloven.</w:t>
      </w:r>
      <w:r w:rsidR="00B30DBC">
        <w:t xml:space="preserve"> Ændringerne indebærer, at en bredere kreds af kandidater</w:t>
      </w:r>
      <w:r w:rsidR="00EB738B">
        <w:t xml:space="preserve"> kan komme</w:t>
      </w:r>
      <w:r w:rsidR="00B30DBC">
        <w:t xml:space="preserve"> </w:t>
      </w:r>
      <w:r w:rsidR="00EB738B">
        <w:t>i</w:t>
      </w:r>
      <w:r w:rsidR="00B30DBC">
        <w:t xml:space="preserve"> betragtning</w:t>
      </w:r>
      <w:r w:rsidR="00EB738B">
        <w:t xml:space="preserve"> i forbindelse med, at disse stillinger skal besættes</w:t>
      </w:r>
      <w:r w:rsidR="00B30DBC">
        <w:t>.</w:t>
      </w:r>
      <w:r w:rsidR="00EB738B">
        <w:t xml:space="preserve"> Selv om en bredere kreds af kandidater med lovforslaget kan komme i betragtning, sikres det, at der ved udpegningen vil blive lagt afgørende vægt på, at kandidaterne har de fornødne juridiske </w:t>
      </w:r>
      <w:r w:rsidR="00807719">
        <w:t>kvalifikationer</w:t>
      </w:r>
      <w:r w:rsidR="00EB738B">
        <w:t xml:space="preserve"> til at varetage stillingerne. </w:t>
      </w:r>
    </w:p>
    <w:p w:rsidR="00B30DBC" w:rsidRPr="0068156A" w:rsidRDefault="00B30DBC" w:rsidP="0068156A">
      <w:pPr>
        <w:pStyle w:val="Normal-medluft"/>
        <w:numPr>
          <w:ilvl w:val="0"/>
          <w:numId w:val="5"/>
        </w:numPr>
        <w:rPr>
          <w:i/>
        </w:rPr>
      </w:pPr>
      <w:r w:rsidRPr="0068156A">
        <w:rPr>
          <w:i/>
        </w:rPr>
        <w:t>Lovforslagets indhold</w:t>
      </w:r>
    </w:p>
    <w:p w:rsidR="00B30DBC" w:rsidRDefault="00B30DBC" w:rsidP="00B30DBC">
      <w:pPr>
        <w:pStyle w:val="Normal-medluft"/>
      </w:pPr>
      <w:r>
        <w:t>2.1. Gældende ret</w:t>
      </w:r>
    </w:p>
    <w:p w:rsidR="00C815CC" w:rsidRDefault="00C815CC" w:rsidP="00EC332A">
      <w:pPr>
        <w:pStyle w:val="Normal-medluft"/>
      </w:pPr>
      <w:r>
        <w:t>Kommissarierne og de statslige taksationskommissioner nedsættes efter ekspropriationsprocesloven.</w:t>
      </w:r>
    </w:p>
    <w:p w:rsidR="00EC332A" w:rsidRDefault="00B3332E" w:rsidP="00EC332A">
      <w:pPr>
        <w:pStyle w:val="Normal-medluft"/>
      </w:pPr>
      <w:r>
        <w:t xml:space="preserve">Kommissarierne </w:t>
      </w:r>
      <w:r w:rsidR="00EC332A">
        <w:t>varetager administrationen af ekspropriationsprocesloven og leder</w:t>
      </w:r>
      <w:r w:rsidR="0002504F">
        <w:t xml:space="preserve"> som formand for ekspropriationskommissionerne</w:t>
      </w:r>
      <w:r w:rsidR="00EC332A">
        <w:t xml:space="preserve"> i den forbindelse ekspropriationer for statslige myndigheder, koncessionerede sel</w:t>
      </w:r>
      <w:r>
        <w:t xml:space="preserve">skaber og statslige selskaber. </w:t>
      </w:r>
      <w:r w:rsidR="0002504F">
        <w:t>Kommissarierne består p.t. af hhv. Kommissarius ved Statens Ekspropriationer i Jylland og Kommissarius ved Statens Ekspropriationer på Øerne.</w:t>
      </w:r>
    </w:p>
    <w:p w:rsidR="00C815CC" w:rsidRDefault="00C815CC" w:rsidP="00EC332A">
      <w:pPr>
        <w:pStyle w:val="Normal-medluft"/>
      </w:pPr>
      <w:r>
        <w:t>Til efterprøvelse af kendelser fra ekspropriationskommissionernes kendelser om</w:t>
      </w:r>
      <w:r w:rsidR="00EB381A">
        <w:t>,</w:t>
      </w:r>
      <w:r>
        <w:t xml:space="preserve"> hvorvidt erstatning gives eller nægtes</w:t>
      </w:r>
      <w:r w:rsidR="00EB381A">
        <w:t>,</w:t>
      </w:r>
      <w:r>
        <w:t xml:space="preserve"> nedsætter </w:t>
      </w:r>
      <w:r w:rsidR="00817038">
        <w:t>transport</w:t>
      </w:r>
      <w:r>
        <w:t xml:space="preserve">- og </w:t>
      </w:r>
      <w:r w:rsidR="00817038">
        <w:t xml:space="preserve">bygningsministeren </w:t>
      </w:r>
      <w:r>
        <w:t>desuden taksationskommissioner.</w:t>
      </w:r>
    </w:p>
    <w:p w:rsidR="00C815CC" w:rsidRDefault="00C815CC" w:rsidP="00EC332A">
      <w:pPr>
        <w:pStyle w:val="Normal-medluft"/>
      </w:pPr>
      <w:r>
        <w:t>De kommunale taksations- og overtaksationskommissioner nedsættes efter vejloven.</w:t>
      </w:r>
      <w:r w:rsidR="005F5A44">
        <w:t xml:space="preserve"> Disse myndigheder udgør de takserende myndigheder efter vejloven, der fastsætter erstatning i forbindelse med, at kommunale vejmyndigheder skal ekspropriere efter proceduren i vejloven. Taksationskommissionen udgør 1. instans og overtaksationskommissionen udgør 2. instans.</w:t>
      </w:r>
    </w:p>
    <w:p w:rsidR="005F5A44" w:rsidRDefault="005F5A44" w:rsidP="00EC332A">
      <w:pPr>
        <w:pStyle w:val="Normal-medluft"/>
      </w:pPr>
      <w:r>
        <w:t xml:space="preserve">Fælles for kommissarierne og de nævnte taksationskommissioner er efter gældende ret, at de alle ledes af en formand, der efter hhv. ekspropriationsprocesloven og vejloven skal have en juridisk </w:t>
      </w:r>
      <w:r>
        <w:lastRenderedPageBreak/>
        <w:t xml:space="preserve">kandidateksamen. Med juridisk kandidateksamen menes, at den pågældende person skal have bestået kandidatuddannelsen i jura – benævnt cand.jur. </w:t>
      </w:r>
    </w:p>
    <w:p w:rsidR="00454D04" w:rsidRDefault="00B30DBC" w:rsidP="00EC332A">
      <w:pPr>
        <w:pStyle w:val="Normal-medluft"/>
      </w:pPr>
      <w:r>
        <w:t>2.2. Transport- og Bygningsministeriets overvejelser</w:t>
      </w:r>
      <w:r w:rsidR="00454D04">
        <w:t xml:space="preserve"> og lovforslaget</w:t>
      </w:r>
      <w:r w:rsidR="00916603">
        <w:t>s udformning</w:t>
      </w:r>
    </w:p>
    <w:p w:rsidR="004F5620" w:rsidRDefault="00061259" w:rsidP="00EC332A">
      <w:pPr>
        <w:pStyle w:val="Normal-medluft"/>
      </w:pPr>
      <w:r>
        <w:t xml:space="preserve">Kravet om en juridisk kandidateksamen for kommissarierne og for de statslige taksationskommissioner blev forankret i lovgivningen tilbage i 1964 i forbindelse med vedtagelsen af lov nr. 186 af 6. april 1964 om fremgangsmåden ved ekspropriation vedrørende fast ejendom. For kommissariaternes vedkommende var der tale om en kodificering af tidligere års praksis med udpegning af en person med juridisk uddannelse, hvilket var naturligt begrundet i de arbejdsopgaver, der dengang såvel som i dag er tillagt kommissarierne som ledere af </w:t>
      </w:r>
      <w:r w:rsidR="0082534A">
        <w:t>ekspropriationskommissionerne. For taksationskommissionernes vedkommende var kravet om juridisk kandidateksamen primært begrundet i en omstrukturering af taksationskommissionernes arbejdsområde, der efter lovens vedtagelse kom til at omfatte egentlig efterprøvelse af ofte udprægede juridiske spørgsmål.</w:t>
      </w:r>
    </w:p>
    <w:p w:rsidR="00DD0104" w:rsidRDefault="00C66575" w:rsidP="00EC332A">
      <w:pPr>
        <w:pStyle w:val="Normal-medluft"/>
      </w:pPr>
      <w:r>
        <w:t>D</w:t>
      </w:r>
      <w:r w:rsidR="007F6984">
        <w:t>et lovmæssige krav om en juridisk kandidatuddannelse har med andre ord baggrund i de</w:t>
      </w:r>
      <w:r>
        <w:t xml:space="preserve"> juridisk prægede</w:t>
      </w:r>
      <w:r w:rsidR="007F6984">
        <w:t xml:space="preserve"> arbejdsopgaver, myndighederne varetager</w:t>
      </w:r>
      <w:r w:rsidR="00454D04">
        <w:t xml:space="preserve">. Det betyder, at </w:t>
      </w:r>
      <w:r w:rsidR="007F6984">
        <w:t xml:space="preserve">hhv. kommisarierne og formændene for kommissionerne </w:t>
      </w:r>
      <w:r w:rsidR="00454D04">
        <w:t xml:space="preserve">skal </w:t>
      </w:r>
      <w:r w:rsidR="007F6984">
        <w:t>besidde visse</w:t>
      </w:r>
      <w:r>
        <w:t xml:space="preserve"> tilsvarende</w:t>
      </w:r>
      <w:r w:rsidR="007F6984">
        <w:t xml:space="preserve"> juridiske kvalifikationer.</w:t>
      </w:r>
    </w:p>
    <w:p w:rsidR="002A7806" w:rsidRDefault="002A7806" w:rsidP="00EC332A">
      <w:pPr>
        <w:pStyle w:val="Normal-medluft"/>
      </w:pPr>
      <w:r>
        <w:t xml:space="preserve">De gældende lovgivningers formulering har dog i konkrete tilfælde vist sig at udelukke personer fra at bestride nogle af disse hverv, der ellers </w:t>
      </w:r>
      <w:r w:rsidR="00454D04">
        <w:t xml:space="preserve">– bortset fra ikke at have en juridisk kandidateksamen - </w:t>
      </w:r>
      <w:r>
        <w:t xml:space="preserve">vurderedes at være fuldt ud </w:t>
      </w:r>
      <w:r w:rsidR="00454D04">
        <w:t xml:space="preserve">juridisk </w:t>
      </w:r>
      <w:r w:rsidR="00EB381A">
        <w:t>k</w:t>
      </w:r>
      <w:r>
        <w:t xml:space="preserve">valificeret til at bestride hvervet. </w:t>
      </w:r>
    </w:p>
    <w:p w:rsidR="005F09DC" w:rsidRDefault="00695D50" w:rsidP="00EC332A">
      <w:pPr>
        <w:pStyle w:val="Normal-medluft"/>
      </w:pPr>
      <w:r>
        <w:t xml:space="preserve">Nærværende lovforslag indebærer således en ændring af ekspropriationsproceslovens § 4, 2. pkt., og § 7, stk. 2, 2. pkt., således at adgangen til udpegning af kommissarius og formænd for de statslige taksationskommissioner gøres mere fleksibel. </w:t>
      </w:r>
    </w:p>
    <w:p w:rsidR="00695D50" w:rsidRDefault="00695D50" w:rsidP="00EC332A">
      <w:pPr>
        <w:pStyle w:val="Normal-medluft"/>
      </w:pPr>
      <w:r>
        <w:t>Med lovforslaget sikres det, at også andre personer end person</w:t>
      </w:r>
      <w:r w:rsidR="00817038">
        <w:t>er</w:t>
      </w:r>
      <w:r>
        <w:t xml:space="preserve"> med </w:t>
      </w:r>
      <w:r w:rsidR="00AF4B96">
        <w:t>juridiske kandidateksamener</w:t>
      </w:r>
      <w:r>
        <w:t xml:space="preserve"> vil kunne komme i betragtning til hvervet som hhv. kommissarius og formand for de nævnte takserende myndigheder. Det afgørende for en kandidat til de pågældende hverv vil </w:t>
      </w:r>
      <w:r w:rsidR="00AF4B96">
        <w:t xml:space="preserve">fremover </w:t>
      </w:r>
      <w:r>
        <w:t xml:space="preserve">være, at vedkommende </w:t>
      </w:r>
      <w:r w:rsidR="00AF4B96">
        <w:t>efter en konkret vurdering findes</w:t>
      </w:r>
      <w:r>
        <w:t xml:space="preserve"> at besidde de </w:t>
      </w:r>
      <w:r w:rsidR="00AF4B96">
        <w:t xml:space="preserve">fornødne </w:t>
      </w:r>
      <w:r>
        <w:t xml:space="preserve">juridiske </w:t>
      </w:r>
      <w:r w:rsidR="00807719">
        <w:t>kvalifikationer</w:t>
      </w:r>
      <w:r>
        <w:t xml:space="preserve">, der er påkrævet i </w:t>
      </w:r>
      <w:r w:rsidR="00AF4B96">
        <w:t>forbindelse med varetagelse af de nævn</w:t>
      </w:r>
      <w:r w:rsidR="00817038">
        <w:t>t</w:t>
      </w:r>
      <w:r w:rsidR="00AF4B96">
        <w:t>e hverv</w:t>
      </w:r>
      <w:r>
        <w:t xml:space="preserve">. </w:t>
      </w:r>
    </w:p>
    <w:p w:rsidR="00AF4B96" w:rsidRDefault="00AF4B96" w:rsidP="00EC332A">
      <w:pPr>
        <w:pStyle w:val="Normal-medluft"/>
      </w:pPr>
      <w:r>
        <w:t>Tilsvarende foreslås en ændring af vejlovens §§ 105 og 106, således at der skabes overensstemmelse mellem kravene til udpegning af formænd for kommissioner på hhv. det statslige og det kommunale område.</w:t>
      </w:r>
    </w:p>
    <w:p w:rsidR="00AF4B96" w:rsidRDefault="00AF4B96" w:rsidP="00EC332A">
      <w:pPr>
        <w:pStyle w:val="Normal-medluft"/>
      </w:pPr>
      <w:r>
        <w:t xml:space="preserve">Der henvises til de særlige bemærkninger til de foreslåede § 1, nr. 1, og § 2, nr. 1. </w:t>
      </w:r>
    </w:p>
    <w:p w:rsidR="00F16005" w:rsidRPr="00F16005" w:rsidRDefault="00F16005" w:rsidP="00F16005">
      <w:pPr>
        <w:pStyle w:val="Normal-medluft"/>
        <w:numPr>
          <w:ilvl w:val="0"/>
          <w:numId w:val="5"/>
        </w:numPr>
        <w:rPr>
          <w:i/>
        </w:rPr>
      </w:pPr>
      <w:bookmarkStart w:id="0" w:name="_GoBack"/>
      <w:bookmarkEnd w:id="0"/>
      <w:r w:rsidRPr="00F16005">
        <w:rPr>
          <w:i/>
        </w:rPr>
        <w:t>Økonomiske og administrative konsekvenser for det offentlige</w:t>
      </w:r>
    </w:p>
    <w:p w:rsidR="00F16005" w:rsidRDefault="00F16005" w:rsidP="00F16005">
      <w:pPr>
        <w:pStyle w:val="Normal-medluft"/>
      </w:pPr>
      <w:r>
        <w:t>Lovforslaget vurderes ikke at medføre økonomiske konsekvenser for stat, kommuner eller regioner.</w:t>
      </w:r>
    </w:p>
    <w:p w:rsidR="00F16005" w:rsidRPr="00F16005" w:rsidRDefault="00F16005" w:rsidP="00F16005">
      <w:pPr>
        <w:pStyle w:val="Normal-medluft"/>
        <w:numPr>
          <w:ilvl w:val="0"/>
          <w:numId w:val="5"/>
        </w:numPr>
        <w:rPr>
          <w:i/>
        </w:rPr>
      </w:pPr>
      <w:r w:rsidRPr="00F16005">
        <w:rPr>
          <w:i/>
        </w:rPr>
        <w:t>Økonomiske og administrative konsekvenser for erhvervslivet</w:t>
      </w:r>
    </w:p>
    <w:p w:rsidR="00F16005" w:rsidRDefault="00F16005" w:rsidP="00F16005">
      <w:pPr>
        <w:pStyle w:val="Normal-medluft"/>
      </w:pPr>
      <w:r w:rsidRPr="00F16005">
        <w:t>Lovforslaget vurderes ikke at medføre økonomiske konsekvenser fo</w:t>
      </w:r>
      <w:r>
        <w:t>r erhvervslivet.</w:t>
      </w:r>
    </w:p>
    <w:p w:rsidR="00F16005" w:rsidRPr="00F16005" w:rsidRDefault="00F16005" w:rsidP="00F16005">
      <w:pPr>
        <w:pStyle w:val="Normal-medluft"/>
        <w:numPr>
          <w:ilvl w:val="0"/>
          <w:numId w:val="5"/>
        </w:numPr>
        <w:rPr>
          <w:i/>
        </w:rPr>
      </w:pPr>
      <w:r w:rsidRPr="00F16005">
        <w:rPr>
          <w:i/>
        </w:rPr>
        <w:lastRenderedPageBreak/>
        <w:t>Miljømæssige konsekvenser</w:t>
      </w:r>
    </w:p>
    <w:p w:rsidR="00F16005" w:rsidRDefault="00F16005" w:rsidP="00F16005">
      <w:pPr>
        <w:pStyle w:val="Normal-medluft"/>
      </w:pPr>
      <w:r w:rsidRPr="00F16005">
        <w:t xml:space="preserve">Lovforslaget vurderes ikke at medføre </w:t>
      </w:r>
      <w:r>
        <w:t>miljømæssige konsekvenser</w:t>
      </w:r>
      <w:r w:rsidRPr="00F16005">
        <w:t>.</w:t>
      </w:r>
    </w:p>
    <w:p w:rsidR="00F16005" w:rsidRPr="00F16005" w:rsidRDefault="00F16005" w:rsidP="00F16005">
      <w:pPr>
        <w:pStyle w:val="Normal-medluft"/>
        <w:numPr>
          <w:ilvl w:val="0"/>
          <w:numId w:val="5"/>
        </w:numPr>
        <w:rPr>
          <w:i/>
        </w:rPr>
      </w:pPr>
      <w:r w:rsidRPr="00F16005">
        <w:rPr>
          <w:i/>
        </w:rPr>
        <w:t>Administrative konsekvenser for borgerne</w:t>
      </w:r>
    </w:p>
    <w:p w:rsidR="00F16005" w:rsidRDefault="00F16005" w:rsidP="00F16005">
      <w:pPr>
        <w:pStyle w:val="Normal-medluft"/>
      </w:pPr>
      <w:r w:rsidRPr="00F16005">
        <w:t xml:space="preserve">Lovforslaget vurderes ikke at medføre </w:t>
      </w:r>
      <w:r>
        <w:t>administrative</w:t>
      </w:r>
      <w:r w:rsidRPr="00F16005">
        <w:t xml:space="preserve"> konsekvenser for </w:t>
      </w:r>
      <w:r>
        <w:t>borgerne.</w:t>
      </w:r>
    </w:p>
    <w:p w:rsidR="00F16005" w:rsidRPr="00F16005" w:rsidRDefault="00F16005" w:rsidP="00F16005">
      <w:pPr>
        <w:pStyle w:val="Normal-medluft"/>
        <w:numPr>
          <w:ilvl w:val="0"/>
          <w:numId w:val="5"/>
        </w:numPr>
        <w:rPr>
          <w:i/>
        </w:rPr>
      </w:pPr>
      <w:r w:rsidRPr="00F16005">
        <w:rPr>
          <w:i/>
        </w:rPr>
        <w:t>Forholdet til EU-retten</w:t>
      </w:r>
    </w:p>
    <w:p w:rsidR="00F16005" w:rsidRDefault="00F16005" w:rsidP="00F16005">
      <w:pPr>
        <w:pStyle w:val="Normal-medluft"/>
      </w:pPr>
      <w:r>
        <w:t>Det vurderes, at lovforslaget ikke indeholder EU-retlige aspekter.</w:t>
      </w:r>
    </w:p>
    <w:p w:rsidR="00916603" w:rsidRPr="00481E8E" w:rsidRDefault="00916603" w:rsidP="00481E8E">
      <w:pPr>
        <w:pStyle w:val="Normal-medluft"/>
        <w:numPr>
          <w:ilvl w:val="0"/>
          <w:numId w:val="5"/>
        </w:numPr>
        <w:rPr>
          <w:i/>
        </w:rPr>
      </w:pPr>
      <w:r w:rsidRPr="00481E8E">
        <w:rPr>
          <w:i/>
        </w:rPr>
        <w:t>Hørte myndigheder og organisationer mv.</w:t>
      </w:r>
    </w:p>
    <w:p w:rsidR="00916603" w:rsidRDefault="00916603" w:rsidP="00916603">
      <w:pPr>
        <w:pStyle w:val="Normal-medluft"/>
      </w:pPr>
      <w:r>
        <w:t xml:space="preserve">Et udkast til lovforslag har i perioden fra den </w:t>
      </w:r>
      <w:r w:rsidR="0068156A">
        <w:t>13. juli 2015</w:t>
      </w:r>
      <w:r>
        <w:t xml:space="preserve"> til den </w:t>
      </w:r>
      <w:r w:rsidR="0068156A">
        <w:t>1. september</w:t>
      </w:r>
      <w:r>
        <w:t xml:space="preserve"> 2015 været sendt i høring hos følgende myndigheder og organisationer mv.:</w:t>
      </w:r>
    </w:p>
    <w:p w:rsidR="00916603" w:rsidRDefault="0068156A" w:rsidP="00916603">
      <w:pPr>
        <w:pStyle w:val="Normal-medluft"/>
      </w:pPr>
      <w:r>
        <w:t>Advokatsamfundet, Dansk Vand- og Spildevandsforening, Danske Regioner, Dong Energy, Energinet.dk, Frederiksberg Kommune, Kommissarius ved Statens Ekspropriationer i Jylland, Kommissarius ved Statens Ekspropriationer på Øerne, Kommunernes Landsforening, Københavns Kommune, Landinspektørfirmaet LE34, Metroselskabet I/S, Parcelhusejernes Landsforening, Sund &amp; Bælt Holding A/S og TDC.</w:t>
      </w:r>
    </w:p>
    <w:p w:rsidR="00916603" w:rsidRPr="00481E8E" w:rsidRDefault="00916603" w:rsidP="00481E8E">
      <w:pPr>
        <w:pStyle w:val="Normal-medluft"/>
        <w:numPr>
          <w:ilvl w:val="0"/>
          <w:numId w:val="5"/>
        </w:numPr>
        <w:rPr>
          <w:i/>
        </w:rPr>
      </w:pPr>
      <w:r w:rsidRPr="00481E8E">
        <w:rPr>
          <w:i/>
        </w:rPr>
        <w:t>Sammenfattende skema</w:t>
      </w:r>
    </w:p>
    <w:p w:rsidR="00916603" w:rsidRPr="00916603" w:rsidRDefault="00916603" w:rsidP="00916603">
      <w:pPr>
        <w:pStyle w:val="Listeafsnit"/>
        <w:spacing w:before="100" w:beforeAutospacing="1" w:line="240" w:lineRule="auto"/>
        <w:ind w:left="720"/>
        <w:rPr>
          <w:rFonts w:ascii="Times New Roman" w:eastAsia="Times New Roman" w:hAnsi="Times New Roman" w:cs="Times New Roman"/>
          <w:b/>
          <w:color w:val="auto"/>
          <w:sz w:val="24"/>
          <w:szCs w:val="24"/>
          <w:lang w:eastAsia="da-DK"/>
        </w:rPr>
      </w:pPr>
    </w:p>
    <w:tbl>
      <w:tblPr>
        <w:tblpPr w:leftFromText="141" w:rightFromText="141" w:vertAnchor="text" w:horzAnchor="margin" w:tblpY="411"/>
        <w:tblW w:w="9780" w:type="dxa"/>
        <w:tblCellSpacing w:w="0" w:type="dxa"/>
        <w:tblCellMar>
          <w:top w:w="75" w:type="dxa"/>
          <w:left w:w="75" w:type="dxa"/>
          <w:bottom w:w="75" w:type="dxa"/>
          <w:right w:w="75" w:type="dxa"/>
        </w:tblCellMar>
        <w:tblLook w:val="04A0" w:firstRow="1" w:lastRow="0" w:firstColumn="1" w:lastColumn="0" w:noHBand="0" w:noVBand="1"/>
      </w:tblPr>
      <w:tblGrid>
        <w:gridCol w:w="2965"/>
        <w:gridCol w:w="3074"/>
        <w:gridCol w:w="3741"/>
      </w:tblGrid>
      <w:tr w:rsidR="001032E1" w:rsidRPr="0069344D" w:rsidTr="00BE312A">
        <w:trPr>
          <w:tblCellSpacing w:w="0" w:type="dxa"/>
        </w:trPr>
        <w:tc>
          <w:tcPr>
            <w:tcW w:w="2965" w:type="dxa"/>
            <w:tcBorders>
              <w:top w:val="single" w:sz="4" w:space="0" w:color="auto"/>
              <w:left w:val="single" w:sz="4" w:space="0" w:color="auto"/>
              <w:bottom w:val="single" w:sz="6" w:space="0" w:color="000000"/>
              <w:right w:val="nil"/>
            </w:tcBorders>
            <w:tcMar>
              <w:top w:w="0" w:type="dxa"/>
              <w:left w:w="68" w:type="dxa"/>
              <w:bottom w:w="0" w:type="dxa"/>
              <w:right w:w="0"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p>
        </w:tc>
        <w:tc>
          <w:tcPr>
            <w:tcW w:w="3074" w:type="dxa"/>
            <w:tcBorders>
              <w:top w:val="single" w:sz="4" w:space="0" w:color="auto"/>
              <w:left w:val="single" w:sz="6" w:space="0" w:color="000000"/>
              <w:bottom w:val="single" w:sz="6" w:space="0" w:color="000000"/>
              <w:right w:val="nil"/>
            </w:tcBorders>
            <w:tcMar>
              <w:top w:w="0" w:type="dxa"/>
              <w:left w:w="68" w:type="dxa"/>
              <w:bottom w:w="0" w:type="dxa"/>
              <w:right w:w="0"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000000"/>
                <w:sz w:val="24"/>
                <w:szCs w:val="24"/>
                <w:lang w:eastAsia="da-DK"/>
              </w:rPr>
              <w:t>Positive konsekvenser/mindre udgifter</w:t>
            </w:r>
          </w:p>
        </w:tc>
        <w:tc>
          <w:tcPr>
            <w:tcW w:w="3741" w:type="dxa"/>
            <w:tcBorders>
              <w:top w:val="single" w:sz="4" w:space="0" w:color="auto"/>
              <w:left w:val="single" w:sz="6" w:space="0" w:color="000000"/>
              <w:bottom w:val="single" w:sz="6" w:space="0" w:color="000000"/>
              <w:right w:val="single" w:sz="4" w:space="0" w:color="auto"/>
            </w:tcBorders>
            <w:tcMar>
              <w:top w:w="0" w:type="dxa"/>
              <w:left w:w="68" w:type="dxa"/>
              <w:bottom w:w="0" w:type="dxa"/>
              <w:right w:w="68"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000000"/>
                <w:sz w:val="24"/>
                <w:szCs w:val="24"/>
                <w:lang w:eastAsia="da-DK"/>
              </w:rPr>
              <w:t>Negative konsekvenser/merudgifter</w:t>
            </w:r>
          </w:p>
        </w:tc>
      </w:tr>
      <w:tr w:rsidR="001032E1" w:rsidRPr="0069344D" w:rsidTr="00BE312A">
        <w:trPr>
          <w:tblCellSpacing w:w="0" w:type="dxa"/>
        </w:trPr>
        <w:tc>
          <w:tcPr>
            <w:tcW w:w="2965" w:type="dxa"/>
            <w:tcBorders>
              <w:top w:val="single" w:sz="6" w:space="0" w:color="000000"/>
              <w:left w:val="single" w:sz="4" w:space="0" w:color="auto"/>
              <w:bottom w:val="single" w:sz="6" w:space="0" w:color="000000"/>
              <w:right w:val="nil"/>
            </w:tcBorders>
            <w:tcMar>
              <w:top w:w="0" w:type="dxa"/>
              <w:left w:w="68" w:type="dxa"/>
              <w:bottom w:w="0" w:type="dxa"/>
              <w:right w:w="0"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000000"/>
                <w:sz w:val="24"/>
                <w:szCs w:val="24"/>
                <w:lang w:eastAsia="da-DK"/>
              </w:rPr>
            </w:pPr>
            <w:r w:rsidRPr="0069344D">
              <w:rPr>
                <w:rFonts w:ascii="Times New Roman" w:eastAsia="Times New Roman" w:hAnsi="Times New Roman" w:cs="Times New Roman"/>
                <w:color w:val="000000"/>
                <w:sz w:val="24"/>
                <w:szCs w:val="24"/>
                <w:lang w:eastAsia="da-DK"/>
              </w:rPr>
              <w:t>Økonomiske konsekvenser for stat, kommuner og regioner</w:t>
            </w:r>
          </w:p>
        </w:tc>
        <w:tc>
          <w:tcPr>
            <w:tcW w:w="3074" w:type="dxa"/>
            <w:tcBorders>
              <w:top w:val="single" w:sz="6" w:space="0" w:color="000000"/>
              <w:left w:val="single" w:sz="4" w:space="0" w:color="auto"/>
              <w:bottom w:val="single" w:sz="6" w:space="0" w:color="000000"/>
              <w:right w:val="single" w:sz="4" w:space="0" w:color="auto"/>
            </w:tcBorders>
            <w:tcMar>
              <w:top w:w="0" w:type="dxa"/>
              <w:left w:w="68" w:type="dxa"/>
              <w:bottom w:w="0" w:type="dxa"/>
              <w:right w:w="0"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c>
          <w:tcPr>
            <w:tcW w:w="3741" w:type="dxa"/>
            <w:tcBorders>
              <w:top w:val="single" w:sz="6" w:space="0" w:color="000000"/>
              <w:left w:val="single" w:sz="6" w:space="0" w:color="000000"/>
              <w:bottom w:val="single" w:sz="6" w:space="0" w:color="000000"/>
              <w:right w:val="single" w:sz="4" w:space="0" w:color="auto"/>
            </w:tcBorders>
            <w:tcMar>
              <w:top w:w="0" w:type="dxa"/>
              <w:left w:w="68" w:type="dxa"/>
              <w:bottom w:w="0" w:type="dxa"/>
              <w:right w:w="68"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r>
      <w:tr w:rsidR="001032E1" w:rsidRPr="0069344D" w:rsidTr="00BE312A">
        <w:trPr>
          <w:tblCellSpacing w:w="0" w:type="dxa"/>
        </w:trPr>
        <w:tc>
          <w:tcPr>
            <w:tcW w:w="2965" w:type="dxa"/>
            <w:tcBorders>
              <w:top w:val="single" w:sz="6" w:space="0" w:color="000000"/>
              <w:left w:val="single" w:sz="4" w:space="0" w:color="auto"/>
              <w:bottom w:val="single" w:sz="6" w:space="0" w:color="000000"/>
              <w:right w:val="nil"/>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000000"/>
                <w:sz w:val="24"/>
                <w:szCs w:val="24"/>
                <w:lang w:eastAsia="da-DK"/>
              </w:rPr>
            </w:pPr>
            <w:r w:rsidRPr="0069344D">
              <w:rPr>
                <w:rFonts w:ascii="Times New Roman" w:eastAsia="Times New Roman" w:hAnsi="Times New Roman" w:cs="Times New Roman"/>
                <w:color w:val="000000"/>
                <w:sz w:val="24"/>
                <w:szCs w:val="24"/>
                <w:lang w:eastAsia="da-DK"/>
              </w:rPr>
              <w:t>Administrative konsekvenser for stat, kommuner og regioner</w:t>
            </w:r>
          </w:p>
        </w:tc>
        <w:tc>
          <w:tcPr>
            <w:tcW w:w="3074" w:type="dxa"/>
            <w:tcBorders>
              <w:top w:val="single" w:sz="6" w:space="0" w:color="000000"/>
              <w:left w:val="single" w:sz="6" w:space="0" w:color="000000"/>
              <w:bottom w:val="single" w:sz="6" w:space="0" w:color="000000"/>
              <w:right w:val="nil"/>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c>
          <w:tcPr>
            <w:tcW w:w="3741" w:type="dxa"/>
            <w:tcBorders>
              <w:top w:val="single" w:sz="6" w:space="0" w:color="000000"/>
              <w:left w:val="single" w:sz="6" w:space="0" w:color="000000"/>
              <w:bottom w:val="single" w:sz="6" w:space="0" w:color="000000"/>
              <w:right w:val="single" w:sz="4" w:space="0" w:color="auto"/>
            </w:tcBorders>
            <w:tcMar>
              <w:top w:w="0" w:type="dxa"/>
              <w:left w:w="68" w:type="dxa"/>
              <w:bottom w:w="0" w:type="dxa"/>
              <w:right w:w="68"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r>
      <w:tr w:rsidR="001032E1" w:rsidRPr="0069344D" w:rsidTr="00BE312A">
        <w:trPr>
          <w:tblCellSpacing w:w="0" w:type="dxa"/>
        </w:trPr>
        <w:tc>
          <w:tcPr>
            <w:tcW w:w="2965" w:type="dxa"/>
            <w:tcBorders>
              <w:top w:val="single" w:sz="6" w:space="0" w:color="000000"/>
              <w:left w:val="single" w:sz="4" w:space="0" w:color="auto"/>
              <w:bottom w:val="single" w:sz="6" w:space="0" w:color="000000"/>
              <w:right w:val="nil"/>
            </w:tcBorders>
            <w:tcMar>
              <w:top w:w="0" w:type="dxa"/>
              <w:left w:w="68" w:type="dxa"/>
              <w:bottom w:w="0" w:type="dxa"/>
              <w:right w:w="0"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000000"/>
                <w:sz w:val="24"/>
                <w:szCs w:val="24"/>
                <w:lang w:eastAsia="da-DK"/>
              </w:rPr>
              <w:t>Økonomiske</w:t>
            </w:r>
            <w:r>
              <w:rPr>
                <w:rFonts w:ascii="Times New Roman" w:eastAsia="Times New Roman" w:hAnsi="Times New Roman" w:cs="Times New Roman"/>
                <w:color w:val="000000"/>
                <w:sz w:val="24"/>
                <w:szCs w:val="24"/>
                <w:lang w:eastAsia="da-DK"/>
              </w:rPr>
              <w:t xml:space="preserve"> og administrative</w:t>
            </w:r>
            <w:r w:rsidRPr="0069344D">
              <w:rPr>
                <w:rFonts w:ascii="Times New Roman" w:eastAsia="Times New Roman" w:hAnsi="Times New Roman" w:cs="Times New Roman"/>
                <w:color w:val="000000"/>
                <w:sz w:val="24"/>
                <w:szCs w:val="24"/>
                <w:lang w:eastAsia="da-DK"/>
              </w:rPr>
              <w:t xml:space="preserve"> konsekvenser for erhvervslivet</w:t>
            </w:r>
          </w:p>
        </w:tc>
        <w:tc>
          <w:tcPr>
            <w:tcW w:w="3074"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c>
          <w:tcPr>
            <w:tcW w:w="3741" w:type="dxa"/>
            <w:tcBorders>
              <w:top w:val="single" w:sz="6" w:space="0" w:color="000000"/>
              <w:left w:val="single" w:sz="6" w:space="0" w:color="000000"/>
              <w:bottom w:val="single" w:sz="6" w:space="0" w:color="000000"/>
              <w:right w:val="single" w:sz="4" w:space="0" w:color="auto"/>
            </w:tcBorders>
            <w:tcMar>
              <w:top w:w="0" w:type="dxa"/>
              <w:left w:w="68" w:type="dxa"/>
              <w:bottom w:w="0" w:type="dxa"/>
              <w:right w:w="68" w:type="dxa"/>
            </w:tcMar>
            <w:hideMark/>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r>
      <w:tr w:rsidR="001032E1" w:rsidRPr="0069344D" w:rsidTr="00BE312A">
        <w:trPr>
          <w:tblCellSpacing w:w="0" w:type="dxa"/>
        </w:trPr>
        <w:tc>
          <w:tcPr>
            <w:tcW w:w="2965" w:type="dxa"/>
            <w:tcBorders>
              <w:top w:val="single" w:sz="6" w:space="0" w:color="000000"/>
              <w:left w:val="single" w:sz="4" w:space="0" w:color="auto"/>
              <w:bottom w:val="single" w:sz="6" w:space="0" w:color="000000"/>
              <w:right w:val="nil"/>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000000"/>
                <w:sz w:val="24"/>
                <w:szCs w:val="24"/>
                <w:lang w:eastAsia="da-DK"/>
              </w:rPr>
            </w:pPr>
            <w:r w:rsidRPr="0069344D">
              <w:rPr>
                <w:rFonts w:ascii="Times New Roman" w:eastAsia="Times New Roman" w:hAnsi="Times New Roman" w:cs="Times New Roman"/>
                <w:color w:val="000000"/>
                <w:sz w:val="24"/>
                <w:szCs w:val="24"/>
                <w:lang w:eastAsia="da-DK"/>
              </w:rPr>
              <w:t>Miljømæssige konsekvenser</w:t>
            </w:r>
          </w:p>
        </w:tc>
        <w:tc>
          <w:tcPr>
            <w:tcW w:w="3074" w:type="dxa"/>
            <w:tcBorders>
              <w:top w:val="single" w:sz="6" w:space="0" w:color="000000"/>
              <w:left w:val="single" w:sz="6" w:space="0" w:color="000000"/>
              <w:bottom w:val="single" w:sz="6" w:space="0" w:color="000000"/>
              <w:right w:val="nil"/>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c>
          <w:tcPr>
            <w:tcW w:w="3741" w:type="dxa"/>
            <w:tcBorders>
              <w:top w:val="single" w:sz="6" w:space="0" w:color="000000"/>
              <w:left w:val="single" w:sz="6" w:space="0" w:color="000000"/>
              <w:bottom w:val="single" w:sz="6" w:space="0" w:color="000000"/>
              <w:right w:val="single" w:sz="4" w:space="0" w:color="auto"/>
            </w:tcBorders>
            <w:tcMar>
              <w:top w:w="0" w:type="dxa"/>
              <w:left w:w="68" w:type="dxa"/>
              <w:bottom w:w="0" w:type="dxa"/>
              <w:right w:w="68"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r>
      <w:tr w:rsidR="001032E1" w:rsidRPr="0069344D" w:rsidTr="00BE312A">
        <w:trPr>
          <w:trHeight w:val="728"/>
          <w:tblCellSpacing w:w="0" w:type="dxa"/>
        </w:trPr>
        <w:tc>
          <w:tcPr>
            <w:tcW w:w="2965" w:type="dxa"/>
            <w:tcBorders>
              <w:top w:val="single" w:sz="6" w:space="0" w:color="000000"/>
              <w:left w:val="single" w:sz="4" w:space="0" w:color="auto"/>
              <w:bottom w:val="single" w:sz="6" w:space="0" w:color="000000"/>
              <w:right w:val="nil"/>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000000"/>
                <w:sz w:val="24"/>
                <w:szCs w:val="24"/>
                <w:lang w:eastAsia="da-DK"/>
              </w:rPr>
            </w:pPr>
            <w:r w:rsidRPr="0069344D">
              <w:rPr>
                <w:rFonts w:ascii="Times New Roman" w:eastAsia="Times New Roman" w:hAnsi="Times New Roman" w:cs="Times New Roman"/>
                <w:color w:val="000000"/>
                <w:sz w:val="24"/>
                <w:szCs w:val="24"/>
                <w:lang w:eastAsia="da-DK"/>
              </w:rPr>
              <w:t>Administrative konsekvenser for borgerne</w:t>
            </w:r>
          </w:p>
        </w:tc>
        <w:tc>
          <w:tcPr>
            <w:tcW w:w="3074" w:type="dxa"/>
            <w:tcBorders>
              <w:top w:val="single" w:sz="6" w:space="0" w:color="000000"/>
              <w:left w:val="single" w:sz="6" w:space="0" w:color="000000"/>
              <w:bottom w:val="single" w:sz="6" w:space="0" w:color="000000"/>
              <w:right w:val="single" w:sz="4" w:space="0" w:color="auto"/>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c>
          <w:tcPr>
            <w:tcW w:w="3741" w:type="dxa"/>
            <w:tcBorders>
              <w:top w:val="single" w:sz="6" w:space="0" w:color="000000"/>
              <w:left w:val="single" w:sz="6" w:space="0" w:color="000000"/>
              <w:bottom w:val="single" w:sz="6" w:space="0" w:color="000000"/>
              <w:right w:val="single" w:sz="4" w:space="0" w:color="auto"/>
            </w:tcBorders>
            <w:tcMar>
              <w:top w:w="0" w:type="dxa"/>
              <w:left w:w="68" w:type="dxa"/>
              <w:bottom w:w="0" w:type="dxa"/>
              <w:right w:w="68"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r>
      <w:tr w:rsidR="001032E1" w:rsidRPr="0069344D" w:rsidTr="00BE312A">
        <w:trPr>
          <w:trHeight w:val="728"/>
          <w:tblCellSpacing w:w="0" w:type="dxa"/>
        </w:trPr>
        <w:tc>
          <w:tcPr>
            <w:tcW w:w="2965" w:type="dxa"/>
            <w:tcBorders>
              <w:top w:val="single" w:sz="6" w:space="0" w:color="000000"/>
              <w:left w:val="single" w:sz="4" w:space="0" w:color="auto"/>
              <w:bottom w:val="single" w:sz="4" w:space="0" w:color="auto"/>
              <w:right w:val="nil"/>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000000"/>
                <w:sz w:val="24"/>
                <w:szCs w:val="24"/>
                <w:lang w:eastAsia="da-DK"/>
              </w:rPr>
            </w:pPr>
            <w:r w:rsidRPr="0069344D">
              <w:rPr>
                <w:rFonts w:ascii="Times New Roman" w:eastAsia="Times New Roman" w:hAnsi="Times New Roman" w:cs="Times New Roman"/>
                <w:color w:val="000000"/>
                <w:sz w:val="24"/>
                <w:szCs w:val="24"/>
                <w:lang w:eastAsia="da-DK"/>
              </w:rPr>
              <w:lastRenderedPageBreak/>
              <w:t>Forholdet til EU-retten</w:t>
            </w:r>
          </w:p>
        </w:tc>
        <w:tc>
          <w:tcPr>
            <w:tcW w:w="3074" w:type="dxa"/>
            <w:tcBorders>
              <w:top w:val="single" w:sz="6" w:space="0" w:color="000000"/>
              <w:left w:val="single" w:sz="6" w:space="0" w:color="000000"/>
              <w:bottom w:val="single" w:sz="4" w:space="0" w:color="auto"/>
              <w:right w:val="single" w:sz="4" w:space="0" w:color="auto"/>
            </w:tcBorders>
            <w:tcMar>
              <w:top w:w="0" w:type="dxa"/>
              <w:left w:w="68" w:type="dxa"/>
              <w:bottom w:w="0" w:type="dxa"/>
              <w:right w:w="0"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c>
          <w:tcPr>
            <w:tcW w:w="3741" w:type="dxa"/>
            <w:tcBorders>
              <w:top w:val="single" w:sz="6" w:space="0" w:color="000000"/>
              <w:left w:val="single" w:sz="6" w:space="0" w:color="000000"/>
              <w:bottom w:val="single" w:sz="4" w:space="0" w:color="auto"/>
              <w:right w:val="single" w:sz="4" w:space="0" w:color="auto"/>
            </w:tcBorders>
            <w:tcMar>
              <w:top w:w="0" w:type="dxa"/>
              <w:left w:w="68" w:type="dxa"/>
              <w:bottom w:w="0" w:type="dxa"/>
              <w:right w:w="68" w:type="dxa"/>
            </w:tcMar>
          </w:tcPr>
          <w:p w:rsidR="001032E1" w:rsidRPr="0069344D" w:rsidRDefault="001032E1" w:rsidP="00BE312A">
            <w:pPr>
              <w:spacing w:before="100" w:beforeAutospacing="1" w:after="119" w:line="240" w:lineRule="auto"/>
              <w:ind w:firstLine="170"/>
              <w:rPr>
                <w:rFonts w:ascii="Times New Roman" w:eastAsia="Times New Roman" w:hAnsi="Times New Roman" w:cs="Times New Roman"/>
                <w:color w:val="auto"/>
                <w:sz w:val="24"/>
                <w:szCs w:val="24"/>
                <w:lang w:eastAsia="da-DK"/>
              </w:rPr>
            </w:pPr>
            <w:r w:rsidRPr="0069344D">
              <w:rPr>
                <w:rFonts w:ascii="Times New Roman" w:eastAsia="Times New Roman" w:hAnsi="Times New Roman" w:cs="Times New Roman"/>
                <w:color w:val="auto"/>
                <w:sz w:val="24"/>
                <w:szCs w:val="24"/>
                <w:lang w:eastAsia="da-DK"/>
              </w:rPr>
              <w:t>Ingen.</w:t>
            </w:r>
          </w:p>
        </w:tc>
      </w:tr>
    </w:tbl>
    <w:p w:rsidR="00407604" w:rsidRDefault="00407604" w:rsidP="0068156A">
      <w:pPr>
        <w:spacing w:after="200" w:line="276" w:lineRule="auto"/>
        <w:rPr>
          <w:i/>
        </w:rPr>
      </w:pPr>
    </w:p>
    <w:p w:rsidR="00407604" w:rsidRDefault="00407604" w:rsidP="00481E8E">
      <w:pPr>
        <w:spacing w:after="200" w:line="276" w:lineRule="auto"/>
        <w:jc w:val="center"/>
        <w:rPr>
          <w:i/>
        </w:rPr>
      </w:pPr>
    </w:p>
    <w:p w:rsidR="0068156A" w:rsidRDefault="0068156A">
      <w:pPr>
        <w:spacing w:after="200" w:line="276" w:lineRule="auto"/>
        <w:rPr>
          <w:i/>
        </w:rPr>
      </w:pPr>
      <w:r>
        <w:rPr>
          <w:i/>
        </w:rPr>
        <w:br w:type="page"/>
      </w:r>
    </w:p>
    <w:p w:rsidR="00F16005" w:rsidRPr="00481E8E" w:rsidRDefault="00F16005" w:rsidP="00481E8E">
      <w:pPr>
        <w:spacing w:after="200" w:line="276" w:lineRule="auto"/>
        <w:jc w:val="center"/>
        <w:rPr>
          <w:i/>
        </w:rPr>
      </w:pPr>
      <w:r w:rsidRPr="00481E8E">
        <w:rPr>
          <w:i/>
        </w:rPr>
        <w:lastRenderedPageBreak/>
        <w:t>Bemærkninger til lovforslagets enkelte bestemmelser</w:t>
      </w:r>
    </w:p>
    <w:p w:rsidR="001032E1" w:rsidRDefault="001032E1" w:rsidP="00F16005">
      <w:pPr>
        <w:pStyle w:val="Normal-medluft"/>
        <w:jc w:val="center"/>
        <w:rPr>
          <w:i/>
        </w:rPr>
      </w:pPr>
    </w:p>
    <w:p w:rsidR="00F16005" w:rsidRDefault="00F16005" w:rsidP="00F16005">
      <w:pPr>
        <w:pStyle w:val="Normal-medluft"/>
        <w:jc w:val="center"/>
        <w:rPr>
          <w:i/>
        </w:rPr>
      </w:pPr>
      <w:r>
        <w:rPr>
          <w:i/>
        </w:rPr>
        <w:t>Til § 1</w:t>
      </w:r>
    </w:p>
    <w:p w:rsidR="00916603" w:rsidRDefault="001032E1" w:rsidP="00D7040C">
      <w:pPr>
        <w:pStyle w:val="Normal-medluft"/>
      </w:pPr>
      <w:r>
        <w:t>Til nr. 1</w:t>
      </w:r>
    </w:p>
    <w:p w:rsidR="00712F26" w:rsidRPr="00481E8E" w:rsidRDefault="001032E1" w:rsidP="00D7040C">
      <w:pPr>
        <w:pStyle w:val="Normal-medluft"/>
      </w:pPr>
      <w:r w:rsidRPr="00712F26">
        <w:t xml:space="preserve">Det foreslås, at de uddannelsesmæssige krav til </w:t>
      </w:r>
      <w:r w:rsidRPr="00481E8E">
        <w:t>kommissarius, hhv. formanden for en taksationskommission</w:t>
      </w:r>
      <w:r w:rsidR="00BE312A">
        <w:t xml:space="preserve"> på det statslige område</w:t>
      </w:r>
      <w:r w:rsidR="00712F26" w:rsidRPr="00481E8E">
        <w:t>, jf</w:t>
      </w:r>
      <w:r w:rsidR="00712F26">
        <w:t>.</w:t>
      </w:r>
      <w:r w:rsidR="00712F26" w:rsidRPr="00481E8E">
        <w:t xml:space="preserve"> ekspropriationsproceslovens</w:t>
      </w:r>
      <w:r w:rsidRPr="00712F26">
        <w:t xml:space="preserve"> §</w:t>
      </w:r>
      <w:r w:rsidRPr="00481E8E">
        <w:t xml:space="preserve"> 4, 2. pkt., </w:t>
      </w:r>
      <w:r w:rsidRPr="00712F26">
        <w:t xml:space="preserve">og </w:t>
      </w:r>
      <w:r w:rsidRPr="00481E8E">
        <w:t>§ 7, stk. 2, 2. pkt.</w:t>
      </w:r>
      <w:r w:rsidR="00712F26" w:rsidRPr="00481E8E">
        <w:t>, udvides, således at også kandidater med juridiske kvalifikationer, der svarer til en juridisk kandidateksamen</w:t>
      </w:r>
      <w:r w:rsidR="00712F26">
        <w:t>,</w:t>
      </w:r>
      <w:r w:rsidR="00712F26" w:rsidRPr="00481E8E">
        <w:t xml:space="preserve"> kan </w:t>
      </w:r>
      <w:r w:rsidR="00712F26">
        <w:t xml:space="preserve">komme i betragtning til at </w:t>
      </w:r>
      <w:r w:rsidR="00712F26" w:rsidRPr="00481E8E">
        <w:t>varetage disse hverv.</w:t>
      </w:r>
    </w:p>
    <w:p w:rsidR="00075EF4" w:rsidRDefault="00E42D9A" w:rsidP="00D7040C">
      <w:pPr>
        <w:pStyle w:val="Normal-medluft"/>
      </w:pPr>
      <w:r>
        <w:t>Hvervet som kommissarius eller formand for en taksationskommission indebærer en høj grad af juridisk prægede arbejdsopgaver, herunder inden for statsforfatningsret i forhold til ekspropriation, jf. grundlovens § 73, erstatningsret samt almindelig forvaltningsret. Det er således afgørende, at den person, som skal varetage disse hverv, er i besiddelse af juridiske kompetencer, der i fornøden grad sikrer, at sagerne håndteres på en faglig forsvarlig måde. Hidtil er dette sikret ved at kræve, at den person, som skal varetage hvervet, har en juridisk kandid</w:t>
      </w:r>
      <w:r w:rsidR="00075EF4">
        <w:t>ateksamen, hvorved der er sikkerhed for</w:t>
      </w:r>
      <w:r w:rsidR="00833246">
        <w:t xml:space="preserve"> </w:t>
      </w:r>
      <w:r w:rsidR="00075EF4">
        <w:t xml:space="preserve">kendskab til </w:t>
      </w:r>
      <w:r w:rsidR="00833246">
        <w:t xml:space="preserve">de </w:t>
      </w:r>
      <w:r w:rsidR="00075EF4">
        <w:t>juridiske discipliner</w:t>
      </w:r>
      <w:r w:rsidR="00833246">
        <w:t>, der er fagligt relevante for hvervet.</w:t>
      </w:r>
      <w:r w:rsidR="00075EF4">
        <w:t xml:space="preserve"> </w:t>
      </w:r>
    </w:p>
    <w:p w:rsidR="00833246" w:rsidRDefault="00E42D9A" w:rsidP="00D7040C">
      <w:pPr>
        <w:pStyle w:val="Normal-medluft"/>
      </w:pPr>
      <w:r>
        <w:t>Med forslaget vil det være muligt at udpege andre personer end de, som har en juridisk kandidateksamen</w:t>
      </w:r>
      <w:r w:rsidR="00833246">
        <w:t>,</w:t>
      </w:r>
      <w:r>
        <w:t xml:space="preserve"> på den forudsætning, at det efter en konkret individuel vurdering findes, at vedkommende på anden vis har opnået tilsvarende juridiske kvalifikationer. </w:t>
      </w:r>
      <w:r w:rsidR="00075EF4">
        <w:t xml:space="preserve">Der kan ved denne vurdering lægges vægt på en persons øvrige uddannelsesmæssige baggrund, f.eks. </w:t>
      </w:r>
      <w:proofErr w:type="spellStart"/>
      <w:r w:rsidR="00075EF4">
        <w:t>ph.d</w:t>
      </w:r>
      <w:proofErr w:type="spellEnd"/>
      <w:r w:rsidR="00075EF4">
        <w:t>-grader eller doktorgrader, ligesom der kan lægges vægt på andre erhvervsmæssige erfaringer, som har relevans for varetagelsen af disse hverv. Endvidere kan det tillægges betydning for udpegningen, hvis en person i øvrigt har været aktiv som forfatter</w:t>
      </w:r>
      <w:r w:rsidR="00833246">
        <w:t xml:space="preserve"> af fagligt relevante værker</w:t>
      </w:r>
      <w:r w:rsidR="00075EF4">
        <w:t>, f.eks. lærebøger</w:t>
      </w:r>
      <w:r w:rsidR="00833246">
        <w:t xml:space="preserve"> eller</w:t>
      </w:r>
      <w:r w:rsidR="00075EF4">
        <w:t xml:space="preserve"> artikler til tidsskrifter, ligesom undervisningserfaring inden for </w:t>
      </w:r>
      <w:r w:rsidR="00833246">
        <w:t xml:space="preserve">fagligt </w:t>
      </w:r>
      <w:r w:rsidR="00075EF4">
        <w:t xml:space="preserve">relevante fag kan tillægges vægt. Det vil f.eks. ikke udelukke en kandidat til hvervet, at vedkommende er cand. merc. jur., hvis vedkommende </w:t>
      </w:r>
      <w:r w:rsidR="00833246">
        <w:t xml:space="preserve">herudover ved øvrige uddannelsesbeviser eller erhvervsmæssig erfaring kan dokumentere kendskab til relevante juridiske discipliner for hvervet. </w:t>
      </w:r>
      <w:r w:rsidR="00075EF4">
        <w:t>Der er ikke tale om en udtømmende opregning af forhold, som kan tillægges betydning ved den</w:t>
      </w:r>
      <w:r w:rsidR="00833246">
        <w:t xml:space="preserve"> individuelle konkrete</w:t>
      </w:r>
      <w:r w:rsidR="00075EF4">
        <w:t xml:space="preserve"> vurdering</w:t>
      </w:r>
      <w:r w:rsidR="00833246">
        <w:t xml:space="preserve"> af en persons juridiske kvalifikationer</w:t>
      </w:r>
      <w:r w:rsidR="00075EF4">
        <w:t xml:space="preserve">. </w:t>
      </w:r>
    </w:p>
    <w:p w:rsidR="004D2ECF" w:rsidRDefault="00075EF4" w:rsidP="004D2ECF">
      <w:pPr>
        <w:pStyle w:val="Normal-medluft"/>
      </w:pPr>
      <w:r>
        <w:t>Afgørende for en eventuel udpegning til disse hverv er, om en person efter en samlet vurdering findes at have sådanne juridiske kvalifikationer, at vedkommende kan varetage hvervet som kommissarius eller formand for en taksationskommission</w:t>
      </w:r>
      <w:r w:rsidR="00833246">
        <w:t xml:space="preserve"> på en juridisk forsvarlig måde</w:t>
      </w:r>
      <w:r>
        <w:t xml:space="preserve">, og at grundejernes retssikkerhed ved </w:t>
      </w:r>
      <w:r w:rsidR="00833246">
        <w:t xml:space="preserve">behandlingen </w:t>
      </w:r>
      <w:r>
        <w:t>af ekspropriationssagerne derved er fuldt ud betrygget.</w:t>
      </w:r>
      <w:r w:rsidR="004D2ECF">
        <w:t xml:space="preserve"> Det bemærkes i den sammenhæng, at taksationsmyndighedernes afgørelser i både det statslige system efter ekspropriationsprocesloven og i det kommunale system efter vejloven kan indbringes for domstolene. Den gældende mulighed for at få afgørelserne prøvet af en dommer består således også efter de ændringer, som er foreslået i dette lovforslag.</w:t>
      </w:r>
    </w:p>
    <w:p w:rsidR="00712F26" w:rsidRDefault="00712F26" w:rsidP="00D7040C">
      <w:pPr>
        <w:pStyle w:val="Normal-medluft"/>
      </w:pPr>
      <w:r>
        <w:t>Der henvises til afsnit 2 i de almindelige bemærkninger.</w:t>
      </w:r>
    </w:p>
    <w:p w:rsidR="004D2ECF" w:rsidRDefault="004D2ECF" w:rsidP="00D7040C">
      <w:pPr>
        <w:pStyle w:val="Normal-medluft"/>
      </w:pPr>
    </w:p>
    <w:p w:rsidR="004D2ECF" w:rsidRDefault="004D2ECF" w:rsidP="00D7040C">
      <w:pPr>
        <w:pStyle w:val="Normal-medluft"/>
      </w:pPr>
    </w:p>
    <w:p w:rsidR="004D2ECF" w:rsidRDefault="004D2ECF" w:rsidP="00D7040C">
      <w:pPr>
        <w:pStyle w:val="Normal-medluft"/>
      </w:pPr>
    </w:p>
    <w:p w:rsidR="00AF4B96" w:rsidRDefault="00AF4B96" w:rsidP="0044578E">
      <w:pPr>
        <w:pStyle w:val="Normal-medluft"/>
        <w:jc w:val="center"/>
        <w:rPr>
          <w:i/>
        </w:rPr>
      </w:pPr>
      <w:r>
        <w:rPr>
          <w:i/>
        </w:rPr>
        <w:t>Til § 2</w:t>
      </w:r>
    </w:p>
    <w:p w:rsidR="001032E1" w:rsidRDefault="001032E1" w:rsidP="001032E1">
      <w:pPr>
        <w:pStyle w:val="Normal-medluft"/>
      </w:pPr>
      <w:r>
        <w:t>Til nr. 1</w:t>
      </w:r>
    </w:p>
    <w:p w:rsidR="00712F26" w:rsidRPr="003F777E" w:rsidRDefault="00712F26" w:rsidP="00712F26">
      <w:pPr>
        <w:pStyle w:val="Normal-medluft"/>
      </w:pPr>
      <w:r w:rsidRPr="00712F26">
        <w:t xml:space="preserve">Det foreslås, at de uddannelsesmæssige krav til </w:t>
      </w:r>
      <w:r w:rsidRPr="003F777E">
        <w:t xml:space="preserve">formanden for en taksationskommission, </w:t>
      </w:r>
      <w:r>
        <w:t>hhv. en overtaksationskommission</w:t>
      </w:r>
      <w:r w:rsidR="00BE312A">
        <w:t xml:space="preserve"> på det kommunale område</w:t>
      </w:r>
      <w:r>
        <w:t xml:space="preserve">, </w:t>
      </w:r>
      <w:r w:rsidRPr="003F777E">
        <w:t>jf</w:t>
      </w:r>
      <w:r>
        <w:t>.</w:t>
      </w:r>
      <w:r w:rsidRPr="003F777E">
        <w:t xml:space="preserve"> </w:t>
      </w:r>
      <w:r>
        <w:t>vejlovens § 105, stk. 2, 2. pkt., og § 106, stk. 2, 2. pkt.</w:t>
      </w:r>
      <w:r w:rsidRPr="003F777E">
        <w:t>, udvides, således at også kandidater med juridiske kvalifikationer, der svarer til en juridisk kandidateksamen</w:t>
      </w:r>
      <w:r>
        <w:t>,</w:t>
      </w:r>
      <w:r w:rsidRPr="003F777E">
        <w:t xml:space="preserve"> kan </w:t>
      </w:r>
      <w:r>
        <w:t xml:space="preserve">komme i betragtning til at </w:t>
      </w:r>
      <w:r w:rsidRPr="003F777E">
        <w:t>varetage disse hverv.</w:t>
      </w:r>
    </w:p>
    <w:p w:rsidR="00712F26" w:rsidRDefault="00712F26" w:rsidP="00712F26">
      <w:pPr>
        <w:pStyle w:val="Normal-medluft"/>
      </w:pPr>
      <w:r>
        <w:t xml:space="preserve">For så vidt angår den nærmere betydning for udpegningen til disse hverv, henvises til de </w:t>
      </w:r>
      <w:r w:rsidR="00BE312A">
        <w:t xml:space="preserve">tilsvarende </w:t>
      </w:r>
      <w:r>
        <w:t xml:space="preserve">hensyn, </w:t>
      </w:r>
      <w:r w:rsidR="00BE312A">
        <w:t>der</w:t>
      </w:r>
      <w:r>
        <w:t xml:space="preserve"> er beskrevet under den foreslåede § 1, nr. 1. Med de foreslåede ændringer af vejlovens §§ 105 og 106, skabes der endvidere overensstemmelse mellem kravene til udpegning af formænd for kommissioner på hhv. det statslige og det kommunale område.</w:t>
      </w:r>
    </w:p>
    <w:p w:rsidR="00712F26" w:rsidRPr="001032E1" w:rsidRDefault="00712F26" w:rsidP="001032E1">
      <w:pPr>
        <w:pStyle w:val="Normal-medluft"/>
      </w:pPr>
      <w:r>
        <w:t>Der henvises til afsnit 2 i de almindelige bemærkninger.</w:t>
      </w:r>
    </w:p>
    <w:p w:rsidR="0044578E" w:rsidRPr="0044578E" w:rsidRDefault="0044578E" w:rsidP="0044578E">
      <w:pPr>
        <w:pStyle w:val="Normal-medluft"/>
        <w:jc w:val="center"/>
        <w:rPr>
          <w:i/>
        </w:rPr>
      </w:pPr>
      <w:r w:rsidRPr="0044578E">
        <w:rPr>
          <w:i/>
        </w:rPr>
        <w:t>Til § 3</w:t>
      </w:r>
    </w:p>
    <w:p w:rsidR="0044578E" w:rsidRPr="00D7040C" w:rsidRDefault="0044578E" w:rsidP="0044578E">
      <w:pPr>
        <w:pStyle w:val="Normal-medluft"/>
      </w:pPr>
      <w:r>
        <w:t>Med henblik på snarlig udnyttelse af de foreslåedes udvidede anvendelsesområde</w:t>
      </w:r>
      <w:r w:rsidR="00407604">
        <w:t>r</w:t>
      </w:r>
      <w:r>
        <w:t xml:space="preserve"> foreslås det, at loven træder i kraft dagen efter bekendtgørelse i Lovtidende.</w:t>
      </w:r>
    </w:p>
    <w:sectPr w:rsidR="0044578E" w:rsidRPr="00D704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D6E78"/>
    <w:multiLevelType w:val="hybridMultilevel"/>
    <w:tmpl w:val="48CAFF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95E4763"/>
    <w:multiLevelType w:val="hybridMultilevel"/>
    <w:tmpl w:val="CA56EEC2"/>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34A279C7"/>
    <w:multiLevelType w:val="hybridMultilevel"/>
    <w:tmpl w:val="30A22D86"/>
    <w:lvl w:ilvl="0" w:tplc="DE90B93A">
      <w:start w:val="1"/>
      <w:numFmt w:val="bullet"/>
      <w:pStyle w:val="Normal-Punktliste"/>
      <w:lvlText w:val=""/>
      <w:lvlJc w:val="left"/>
      <w:pPr>
        <w:tabs>
          <w:tab w:val="num" w:pos="284"/>
        </w:tabs>
        <w:ind w:left="284" w:hanging="284"/>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604751E4"/>
    <w:multiLevelType w:val="multilevel"/>
    <w:tmpl w:val="840640F4"/>
    <w:lvl w:ilvl="0">
      <w:start w:val="1"/>
      <w:numFmt w:val="decimal"/>
      <w:pStyle w:val="Normal-Talliste"/>
      <w:lvlText w:val="%1."/>
      <w:lvlJc w:val="left"/>
      <w:pPr>
        <w:tabs>
          <w:tab w:val="num" w:pos="227"/>
        </w:tabs>
        <w:ind w:left="227" w:hanging="726"/>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FC91B36"/>
    <w:multiLevelType w:val="hybridMultilevel"/>
    <w:tmpl w:val="BC405C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06"/>
    <w:rsid w:val="0002504F"/>
    <w:rsid w:val="00061259"/>
    <w:rsid w:val="00075EF4"/>
    <w:rsid w:val="00080506"/>
    <w:rsid w:val="000B0A22"/>
    <w:rsid w:val="001032E1"/>
    <w:rsid w:val="00145058"/>
    <w:rsid w:val="00226D91"/>
    <w:rsid w:val="002651A1"/>
    <w:rsid w:val="002A7806"/>
    <w:rsid w:val="00331734"/>
    <w:rsid w:val="00385B78"/>
    <w:rsid w:val="003A1924"/>
    <w:rsid w:val="003E70AD"/>
    <w:rsid w:val="00407604"/>
    <w:rsid w:val="0044578E"/>
    <w:rsid w:val="00454D04"/>
    <w:rsid w:val="00481E8E"/>
    <w:rsid w:val="004D0D8F"/>
    <w:rsid w:val="004D2ECF"/>
    <w:rsid w:val="004F5620"/>
    <w:rsid w:val="005A4894"/>
    <w:rsid w:val="005F09DC"/>
    <w:rsid w:val="005F5A44"/>
    <w:rsid w:val="00606A5D"/>
    <w:rsid w:val="00616D97"/>
    <w:rsid w:val="00681121"/>
    <w:rsid w:val="0068156A"/>
    <w:rsid w:val="00695D50"/>
    <w:rsid w:val="006C25EC"/>
    <w:rsid w:val="00712F26"/>
    <w:rsid w:val="00722E1B"/>
    <w:rsid w:val="0075722D"/>
    <w:rsid w:val="007F6984"/>
    <w:rsid w:val="00807719"/>
    <w:rsid w:val="00817038"/>
    <w:rsid w:val="0082534A"/>
    <w:rsid w:val="00833246"/>
    <w:rsid w:val="00834045"/>
    <w:rsid w:val="00835CA2"/>
    <w:rsid w:val="008C2162"/>
    <w:rsid w:val="008C2A07"/>
    <w:rsid w:val="0090472D"/>
    <w:rsid w:val="00916603"/>
    <w:rsid w:val="009971D5"/>
    <w:rsid w:val="00A3795F"/>
    <w:rsid w:val="00A51482"/>
    <w:rsid w:val="00A92BFE"/>
    <w:rsid w:val="00AF4B96"/>
    <w:rsid w:val="00B30DBC"/>
    <w:rsid w:val="00B3332E"/>
    <w:rsid w:val="00B65788"/>
    <w:rsid w:val="00B66B92"/>
    <w:rsid w:val="00BB6881"/>
    <w:rsid w:val="00BD4CD5"/>
    <w:rsid w:val="00BE312A"/>
    <w:rsid w:val="00C16539"/>
    <w:rsid w:val="00C42656"/>
    <w:rsid w:val="00C66575"/>
    <w:rsid w:val="00C815CC"/>
    <w:rsid w:val="00CF355F"/>
    <w:rsid w:val="00CF5778"/>
    <w:rsid w:val="00D7040C"/>
    <w:rsid w:val="00DD0104"/>
    <w:rsid w:val="00E147E0"/>
    <w:rsid w:val="00E42D9A"/>
    <w:rsid w:val="00EA2DFA"/>
    <w:rsid w:val="00EB381A"/>
    <w:rsid w:val="00EB738B"/>
    <w:rsid w:val="00EC332A"/>
    <w:rsid w:val="00F160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1"/>
    <w:lsdException w:name="FollowedHyperlink" w:uiPriority="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894"/>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qFormat/>
    <w:rsid w:val="00EA2DFA"/>
    <w:pPr>
      <w:keepNext/>
      <w:spacing w:after="280"/>
      <w:outlineLvl w:val="0"/>
    </w:pPr>
    <w:rPr>
      <w:rFonts w:cs="Arial"/>
      <w:b/>
      <w:bCs/>
      <w:kern w:val="32"/>
      <w:szCs w:val="32"/>
    </w:rPr>
  </w:style>
  <w:style w:type="paragraph" w:styleId="Overskrift2">
    <w:name w:val="heading 2"/>
    <w:basedOn w:val="Normal"/>
    <w:next w:val="Normal-medluft"/>
    <w:link w:val="Overskrift2Tegn"/>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Hyper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qFormat/>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rsid w:val="00EA2DFA"/>
    <w:rPr>
      <w:i/>
      <w:iCs/>
    </w:rPr>
  </w:style>
  <w:style w:type="character" w:styleId="Hyperlink">
    <w:name w:val="Hyperlink"/>
    <w:basedOn w:val="Standardskrifttypeiafsnit"/>
    <w:uiPriority w:val="1"/>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qFormat/>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uiPriority w:val="9"/>
    <w:semiHidden/>
    <w:rsid w:val="00EA2DFA"/>
    <w:pPr>
      <w:spacing w:before="20"/>
    </w:pPr>
    <w:rPr>
      <w:caps/>
      <w:color w:val="F9BA04"/>
      <w:sz w:val="40"/>
    </w:rPr>
  </w:style>
  <w:style w:type="character" w:customStyle="1" w:styleId="Normal-EmneChar">
    <w:name w:val="Normal - Emne Char"/>
    <w:basedOn w:val="Standardskrifttypeiafsnit"/>
    <w:link w:val="Normal-Emne"/>
    <w:uiPriority w:val="9"/>
    <w:semiHidden/>
    <w:rsid w:val="00EA2DFA"/>
    <w:rPr>
      <w:rFonts w:ascii="Georgia" w:eastAsiaTheme="minorEastAsia" w:hAnsi="Georgia" w:cs="Georgia"/>
      <w:caps/>
      <w:color w:val="F9BA04"/>
      <w:sz w:val="40"/>
      <w:szCs w:val="21"/>
    </w:rPr>
  </w:style>
  <w:style w:type="paragraph" w:customStyle="1" w:styleId="Normal-medluft">
    <w:name w:val="Normal - med luft"/>
    <w:basedOn w:val="Normal"/>
    <w:rsid w:val="00EA2DFA"/>
    <w:pPr>
      <w:spacing w:after="280"/>
    </w:pPr>
  </w:style>
  <w:style w:type="paragraph" w:customStyle="1" w:styleId="Normal-Punktliste">
    <w:name w:val="Normal - Punktliste"/>
    <w:basedOn w:val="Normal"/>
    <w:qFormat/>
    <w:rsid w:val="00EA2DFA"/>
    <w:pPr>
      <w:numPr>
        <w:numId w:val="1"/>
      </w:numPr>
    </w:pPr>
  </w:style>
  <w:style w:type="paragraph" w:customStyle="1" w:styleId="Normal-Talliste">
    <w:name w:val="Normal - Talliste"/>
    <w:basedOn w:val="Normal"/>
    <w:qFormat/>
    <w:rsid w:val="00EA2DFA"/>
    <w:pPr>
      <w:numPr>
        <w:numId w:val="2"/>
      </w:numPr>
      <w:tabs>
        <w:tab w:val="left" w:pos="567"/>
      </w:tabs>
    </w:pPr>
  </w:style>
  <w:style w:type="character" w:customStyle="1" w:styleId="Overskrift1Tegn">
    <w:name w:val="Overskrift 1 Tegn"/>
    <w:basedOn w:val="Standardskrifttypeiafsnit"/>
    <w:link w:val="Overskrift1"/>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semiHidden/>
    <w:rsid w:val="00EA2DFA"/>
    <w:pPr>
      <w:suppressAutoHyphens/>
    </w:pPr>
    <w:rPr>
      <w:rFonts w:eastAsia="Times New Roman"/>
      <w:szCs w:val="24"/>
      <w:lang w:eastAsia="ar-SA"/>
    </w:rPr>
  </w:style>
  <w:style w:type="paragraph" w:styleId="Sidefod">
    <w:name w:val="footer"/>
    <w:basedOn w:val="Normal"/>
    <w:link w:val="SidefodTegn"/>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rsid w:val="00EA2DFA"/>
    <w:pPr>
      <w:tabs>
        <w:tab w:val="center" w:pos="4819"/>
        <w:tab w:val="right" w:pos="9638"/>
      </w:tabs>
    </w:pPr>
  </w:style>
  <w:style w:type="character" w:customStyle="1" w:styleId="SidehovedTegn">
    <w:name w:val="Sidehoved Tegn"/>
    <w:basedOn w:val="Standardskrifttypeiafsnit"/>
    <w:link w:val="Sidehoved"/>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paragraph" w:customStyle="1" w:styleId="Sluthilsen1">
    <w:name w:val="Sluthilsen1"/>
    <w:basedOn w:val="Normal"/>
    <w:rsid w:val="00EA2DFA"/>
    <w:pPr>
      <w:suppressLineNumbers/>
      <w:suppressAutoHyphens/>
      <w:spacing w:before="680" w:line="100" w:lineRule="atLeast"/>
    </w:pPr>
    <w:rPr>
      <w:rFonts w:eastAsia="Times New Roman"/>
      <w:szCs w:val="24"/>
      <w:lang w:eastAsia="ar-SA"/>
    </w:rPr>
  </w:style>
  <w:style w:type="character" w:styleId="Strk">
    <w:name w:val="Strong"/>
    <w:basedOn w:val="Standardskrifttypeiafsnit"/>
    <w:uiPriority w:val="22"/>
    <w:rsid w:val="00EA2DFA"/>
    <w:rPr>
      <w:b/>
      <w:bCs/>
    </w:rPr>
  </w:style>
  <w:style w:type="paragraph" w:styleId="Strktcitat">
    <w:name w:val="Intense Quote"/>
    <w:basedOn w:val="Normal"/>
    <w:next w:val="Normal"/>
    <w:link w:val="StrktcitatTegn"/>
    <w:uiPriority w:val="30"/>
    <w:qFormat/>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EA2DFA"/>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EA2DFA"/>
    <w:pPr>
      <w:spacing w:line="240" w:lineRule="auto"/>
    </w:pPr>
    <w:rPr>
      <w:sz w:val="19"/>
      <w:szCs w:val="17"/>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table" w:customStyle="1" w:styleId="Trngselskommissionen">
    <w:name w:val="Trængselskommissionen"/>
    <w:basedOn w:val="Tabel-Normal"/>
    <w:uiPriority w:val="99"/>
    <w:rsid w:val="005A4894"/>
    <w:pPr>
      <w:spacing w:after="0" w:line="240" w:lineRule="auto"/>
    </w:pPr>
    <w:rPr>
      <w:rFonts w:ascii="Georgia" w:hAnsi="Georgia"/>
      <w:sz w:val="21"/>
    </w:rPr>
    <w:tblP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57" w:type="dxa"/>
        <w:bottom w:w="57" w:type="dxa"/>
        <w:right w:w="57" w:type="dxa"/>
      </w:tblCellMar>
    </w:tblPr>
    <w:tcPr>
      <w:shd w:val="clear" w:color="auto" w:fill="D2EAF8" w:themeFill="text2"/>
    </w:tcPr>
    <w:tblStylePr w:type="firstRow">
      <w:tblPr/>
      <w:tcPr>
        <w:tcBorders>
          <w:top w:val="nil"/>
          <w:left w:val="nil"/>
          <w:bottom w:val="nil"/>
          <w:right w:val="nil"/>
          <w:insideH w:val="nil"/>
          <w:insideV w:val="nil"/>
        </w:tcBorders>
        <w:shd w:val="clear" w:color="auto" w:fill="00A9E0" w:themeFill="accent1"/>
      </w:tcPr>
    </w:tblStylePr>
  </w:style>
  <w:style w:type="character" w:styleId="Kommentarhenvisning">
    <w:name w:val="annotation reference"/>
    <w:basedOn w:val="Standardskrifttypeiafsnit"/>
    <w:uiPriority w:val="99"/>
    <w:semiHidden/>
    <w:unhideWhenUsed/>
    <w:rsid w:val="00B30DBC"/>
    <w:rPr>
      <w:sz w:val="16"/>
      <w:szCs w:val="16"/>
    </w:rPr>
  </w:style>
  <w:style w:type="paragraph" w:styleId="Kommentartekst">
    <w:name w:val="annotation text"/>
    <w:basedOn w:val="Normal"/>
    <w:link w:val="KommentartekstTegn"/>
    <w:uiPriority w:val="99"/>
    <w:semiHidden/>
    <w:unhideWhenUsed/>
    <w:rsid w:val="00B30DB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30DBC"/>
    <w:rPr>
      <w:rFonts w:ascii="Georgia" w:eastAsiaTheme="minorEastAsia" w:hAnsi="Georg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B30DBC"/>
    <w:rPr>
      <w:b/>
      <w:bCs/>
    </w:rPr>
  </w:style>
  <w:style w:type="character" w:customStyle="1" w:styleId="KommentaremneTegn">
    <w:name w:val="Kommentaremne Tegn"/>
    <w:basedOn w:val="KommentartekstTegn"/>
    <w:link w:val="Kommentaremne"/>
    <w:uiPriority w:val="99"/>
    <w:semiHidden/>
    <w:rsid w:val="00B30DBC"/>
    <w:rPr>
      <w:rFonts w:ascii="Georgia" w:eastAsiaTheme="minorEastAsia" w:hAnsi="Georgia" w:cs="Georgia"/>
      <w:b/>
      <w:bCs/>
      <w:color w:val="0D0D0D" w:themeColor="text1" w:themeTint="F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1"/>
    <w:lsdException w:name="FollowedHyperlink" w:uiPriority="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894"/>
    <w:pPr>
      <w:spacing w:after="0" w:line="280" w:lineRule="atLeast"/>
    </w:pPr>
    <w:rPr>
      <w:rFonts w:ascii="Georgia" w:eastAsiaTheme="minorEastAsia" w:hAnsi="Georgia" w:cs="Georgia"/>
      <w:color w:val="0D0D0D" w:themeColor="text1" w:themeTint="F2"/>
      <w:sz w:val="21"/>
      <w:szCs w:val="21"/>
    </w:rPr>
  </w:style>
  <w:style w:type="paragraph" w:styleId="Overskrift1">
    <w:name w:val="heading 1"/>
    <w:basedOn w:val="Normal"/>
    <w:next w:val="Normal-medluft"/>
    <w:link w:val="Overskrift1Tegn"/>
    <w:qFormat/>
    <w:rsid w:val="00EA2DFA"/>
    <w:pPr>
      <w:keepNext/>
      <w:spacing w:after="280"/>
      <w:outlineLvl w:val="0"/>
    </w:pPr>
    <w:rPr>
      <w:rFonts w:cs="Arial"/>
      <w:b/>
      <w:bCs/>
      <w:kern w:val="32"/>
      <w:szCs w:val="32"/>
    </w:rPr>
  </w:style>
  <w:style w:type="paragraph" w:styleId="Overskrift2">
    <w:name w:val="heading 2"/>
    <w:basedOn w:val="Normal"/>
    <w:next w:val="Normal-medluft"/>
    <w:link w:val="Overskrift2Tegn"/>
    <w:qFormat/>
    <w:rsid w:val="00EA2DFA"/>
    <w:pPr>
      <w:keepNext/>
      <w:spacing w:after="280"/>
      <w:outlineLvl w:val="1"/>
    </w:pPr>
    <w:rPr>
      <w:rFonts w:cs="Arial"/>
      <w:b/>
      <w:bCs/>
      <w:i/>
      <w:iCs/>
      <w:szCs w:val="28"/>
    </w:rPr>
  </w:style>
  <w:style w:type="paragraph" w:styleId="Overskrift3">
    <w:name w:val="heading 3"/>
    <w:basedOn w:val="Normal"/>
    <w:next w:val="Normal-medluft"/>
    <w:link w:val="Overskrift3Tegn"/>
    <w:qFormat/>
    <w:rsid w:val="00EA2DFA"/>
    <w:pPr>
      <w:keepNext/>
      <w:outlineLvl w:val="2"/>
    </w:pPr>
    <w:rPr>
      <w:rFonts w:cs="Arial"/>
      <w:bCs/>
      <w:i/>
      <w:szCs w:val="26"/>
    </w:rPr>
  </w:style>
  <w:style w:type="paragraph" w:styleId="Overskrift4">
    <w:name w:val="heading 4"/>
    <w:basedOn w:val="Normal"/>
    <w:next w:val="Normal"/>
    <w:link w:val="Overskrift4Tegn"/>
    <w:uiPriority w:val="9"/>
    <w:semiHidden/>
    <w:unhideWhenUsed/>
    <w:rsid w:val="00EA2DFA"/>
    <w:pPr>
      <w:keepNext/>
      <w:keepLines/>
      <w:spacing w:before="200"/>
      <w:outlineLvl w:val="3"/>
    </w:pPr>
    <w:rPr>
      <w:rFonts w:eastAsiaTheme="majorEastAsia" w:cstheme="majorBidi"/>
      <w:bCs/>
      <w:iCs/>
    </w:rPr>
  </w:style>
  <w:style w:type="paragraph" w:styleId="Overskrift5">
    <w:name w:val="heading 5"/>
    <w:basedOn w:val="Normal"/>
    <w:next w:val="Normal"/>
    <w:link w:val="Overskrift5Tegn"/>
    <w:uiPriority w:val="9"/>
    <w:semiHidden/>
    <w:unhideWhenUsed/>
    <w:qFormat/>
    <w:rsid w:val="00EA2DFA"/>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unhideWhenUsed/>
    <w:qFormat/>
    <w:rsid w:val="00EA2DFA"/>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unhideWhenUsed/>
    <w:qFormat/>
    <w:rsid w:val="00EA2DFA"/>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unhideWhenUsed/>
    <w:qFormat/>
    <w:rsid w:val="00EA2DFA"/>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unhideWhenUsed/>
    <w:qFormat/>
    <w:rsid w:val="00EA2DFA"/>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EA2DFA"/>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EA2DFA"/>
    <w:rPr>
      <w:rFonts w:ascii="Georgia" w:eastAsiaTheme="minorEastAsia" w:hAnsi="Georgia" w:cs="Consolas"/>
      <w:color w:val="0D0D0D" w:themeColor="text1" w:themeTint="F2"/>
      <w:sz w:val="21"/>
      <w:szCs w:val="21"/>
    </w:rPr>
  </w:style>
  <w:style w:type="character" w:styleId="BesgtHyperlink">
    <w:name w:val="FollowedHyperlink"/>
    <w:basedOn w:val="Standardskrifttypeiafsnit"/>
    <w:uiPriority w:val="1"/>
    <w:rsid w:val="00EA2DFA"/>
    <w:rPr>
      <w:rFonts w:ascii="Georgia" w:hAnsi="Georgia"/>
      <w:color w:val="800080"/>
      <w:u w:val="single"/>
    </w:rPr>
  </w:style>
  <w:style w:type="paragraph" w:styleId="Billedtekst">
    <w:name w:val="caption"/>
    <w:basedOn w:val="Normal"/>
    <w:next w:val="Normal"/>
    <w:uiPriority w:val="35"/>
    <w:semiHidden/>
    <w:unhideWhenUsed/>
    <w:qFormat/>
    <w:rsid w:val="00EA2DFA"/>
    <w:pPr>
      <w:spacing w:line="240" w:lineRule="auto"/>
    </w:pPr>
    <w:rPr>
      <w:b/>
      <w:bCs/>
      <w:color w:val="00A9E0" w:themeColor="accent1"/>
      <w:sz w:val="18"/>
      <w:szCs w:val="18"/>
    </w:rPr>
  </w:style>
  <w:style w:type="paragraph" w:styleId="Bloktekst">
    <w:name w:val="Block Text"/>
    <w:basedOn w:val="Normal"/>
    <w:uiPriority w:val="99"/>
    <w:semiHidden/>
    <w:unhideWhenUsed/>
    <w:rsid w:val="00EA2DFA"/>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character" w:styleId="Bogenstitel">
    <w:name w:val="Book Title"/>
    <w:basedOn w:val="Standardskrifttypeiafsnit"/>
    <w:uiPriority w:val="33"/>
    <w:rsid w:val="00EA2DFA"/>
    <w:rPr>
      <w:b/>
      <w:bCs/>
      <w:smallCaps/>
      <w:spacing w:val="5"/>
    </w:rPr>
  </w:style>
  <w:style w:type="paragraph" w:styleId="Brdtekst">
    <w:name w:val="Body Text"/>
    <w:basedOn w:val="Normal"/>
    <w:link w:val="BrdtekstTegn"/>
    <w:uiPriority w:val="99"/>
    <w:semiHidden/>
    <w:unhideWhenUsed/>
    <w:rsid w:val="00EA2DFA"/>
    <w:pPr>
      <w:spacing w:after="120"/>
    </w:pPr>
  </w:style>
  <w:style w:type="character" w:customStyle="1" w:styleId="BrdtekstTegn">
    <w:name w:val="Brødtekst Tegn"/>
    <w:basedOn w:val="Standardskrifttypeiafsnit"/>
    <w:link w:val="Brdtekst"/>
    <w:uiPriority w:val="99"/>
    <w:semiHidden/>
    <w:rsid w:val="00EA2DFA"/>
    <w:rPr>
      <w:rFonts w:ascii="Georgia" w:eastAsiaTheme="minorEastAsia" w:hAnsi="Georgia" w:cs="Georgia"/>
      <w:color w:val="0D0D0D" w:themeColor="text1" w:themeTint="F2"/>
      <w:sz w:val="21"/>
      <w:szCs w:val="21"/>
    </w:rPr>
  </w:style>
  <w:style w:type="paragraph" w:styleId="Citat">
    <w:name w:val="Quote"/>
    <w:basedOn w:val="Normal"/>
    <w:next w:val="Normal"/>
    <w:link w:val="CitatTegn"/>
    <w:uiPriority w:val="29"/>
    <w:qFormat/>
    <w:rsid w:val="00EA2DFA"/>
    <w:rPr>
      <w:i/>
      <w:iCs/>
      <w:color w:val="000000" w:themeColor="text1"/>
    </w:rPr>
  </w:style>
  <w:style w:type="character" w:customStyle="1" w:styleId="CitatTegn">
    <w:name w:val="Citat Tegn"/>
    <w:basedOn w:val="Standardskrifttypeiafsnit"/>
    <w:link w:val="Citat"/>
    <w:uiPriority w:val="29"/>
    <w:rsid w:val="00EA2DFA"/>
    <w:rPr>
      <w:rFonts w:ascii="Georgia" w:eastAsiaTheme="minorEastAsia" w:hAnsi="Georgia" w:cs="Georgia"/>
      <w:i/>
      <w:iCs/>
      <w:color w:val="000000" w:themeColor="text1"/>
      <w:sz w:val="21"/>
      <w:szCs w:val="21"/>
    </w:rPr>
  </w:style>
  <w:style w:type="paragraph" w:customStyle="1" w:styleId="DokOverskrift">
    <w:name w:val="DokOverskrift"/>
    <w:basedOn w:val="Normal"/>
    <w:next w:val="Normal"/>
    <w:qFormat/>
    <w:rsid w:val="00EA2DFA"/>
    <w:pPr>
      <w:spacing w:after="280"/>
    </w:pPr>
    <w:rPr>
      <w:b/>
      <w:szCs w:val="20"/>
      <w:lang w:eastAsia="da-DK"/>
    </w:rPr>
  </w:style>
  <w:style w:type="character" w:styleId="Fremhv">
    <w:name w:val="Emphasis"/>
    <w:basedOn w:val="Standardskrifttypeiafsnit"/>
    <w:uiPriority w:val="20"/>
    <w:rsid w:val="00EA2DFA"/>
    <w:rPr>
      <w:i/>
      <w:iCs/>
    </w:rPr>
  </w:style>
  <w:style w:type="character" w:styleId="Hyperlink">
    <w:name w:val="Hyperlink"/>
    <w:basedOn w:val="Standardskrifttypeiafsnit"/>
    <w:uiPriority w:val="1"/>
    <w:rsid w:val="00EA2DFA"/>
    <w:rPr>
      <w:rFonts w:ascii="Georgia" w:hAnsi="Georgia"/>
      <w:color w:val="0000FF"/>
      <w:u w:val="single"/>
    </w:rPr>
  </w:style>
  <w:style w:type="paragraph" w:styleId="Indholdsfortegnelse1">
    <w:name w:val="toc 1"/>
    <w:basedOn w:val="Normal"/>
    <w:next w:val="Normal"/>
    <w:autoRedefine/>
    <w:uiPriority w:val="39"/>
    <w:semiHidden/>
    <w:unhideWhenUsed/>
    <w:rsid w:val="00EA2DFA"/>
    <w:pPr>
      <w:spacing w:after="100"/>
    </w:pPr>
  </w:style>
  <w:style w:type="character" w:styleId="Kraftigfremhvning">
    <w:name w:val="Intense Emphasis"/>
    <w:basedOn w:val="Standardskrifttypeiafsnit"/>
    <w:uiPriority w:val="21"/>
    <w:rsid w:val="00EA2DFA"/>
    <w:rPr>
      <w:b/>
      <w:bCs/>
      <w:i/>
      <w:iCs/>
      <w:color w:val="00A9E0" w:themeColor="accent1"/>
    </w:rPr>
  </w:style>
  <w:style w:type="character" w:styleId="Kraftighenvisning">
    <w:name w:val="Intense Reference"/>
    <w:basedOn w:val="Standardskrifttypeiafsnit"/>
    <w:uiPriority w:val="32"/>
    <w:rsid w:val="00EA2DFA"/>
    <w:rPr>
      <w:b/>
      <w:bCs/>
      <w:smallCaps/>
      <w:color w:val="F9BA04" w:themeColor="accent2"/>
      <w:spacing w:val="5"/>
      <w:u w:val="single"/>
    </w:rPr>
  </w:style>
  <w:style w:type="paragraph" w:styleId="Listeafsnit">
    <w:name w:val="List Paragraph"/>
    <w:basedOn w:val="Normal"/>
    <w:uiPriority w:val="34"/>
    <w:qFormat/>
    <w:rsid w:val="00EA2DFA"/>
    <w:pPr>
      <w:contextualSpacing/>
    </w:pPr>
  </w:style>
  <w:style w:type="table" w:styleId="Lysskygge">
    <w:name w:val="Light Shading"/>
    <w:basedOn w:val="Tabel-Normal"/>
    <w:uiPriority w:val="60"/>
    <w:rsid w:val="00EA2DFA"/>
    <w:pPr>
      <w:spacing w:after="0" w:line="240" w:lineRule="auto"/>
    </w:pPr>
    <w:rPr>
      <w:rFonts w:ascii="Georgia" w:eastAsiaTheme="minorEastAsia" w:hAnsi="Georgia" w:cs="Georgia"/>
      <w:color w:val="000000" w:themeColor="text1" w:themeShade="BF"/>
      <w:sz w:val="21"/>
      <w:szCs w:val="2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EA2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A2DFA"/>
    <w:rPr>
      <w:rFonts w:ascii="Tahoma" w:eastAsiaTheme="minorEastAsia" w:hAnsi="Tahoma" w:cs="Tahoma"/>
      <w:color w:val="0D0D0D" w:themeColor="text1" w:themeTint="F2"/>
      <w:sz w:val="16"/>
      <w:szCs w:val="16"/>
    </w:rPr>
  </w:style>
  <w:style w:type="paragraph" w:customStyle="1" w:styleId="Normal-Afdeling">
    <w:name w:val="Normal - Afdeling"/>
    <w:basedOn w:val="Normal"/>
    <w:uiPriority w:val="9"/>
    <w:semiHidden/>
    <w:rsid w:val="00EA2DFA"/>
    <w:pPr>
      <w:spacing w:line="190" w:lineRule="atLeast"/>
    </w:pPr>
    <w:rPr>
      <w:caps/>
      <w:color w:val="00A9E0"/>
      <w:sz w:val="15"/>
    </w:rPr>
  </w:style>
  <w:style w:type="paragraph" w:customStyle="1" w:styleId="Normal-Emne">
    <w:name w:val="Normal - Emne"/>
    <w:basedOn w:val="Normal"/>
    <w:link w:val="Normal-EmneChar"/>
    <w:uiPriority w:val="9"/>
    <w:semiHidden/>
    <w:rsid w:val="00EA2DFA"/>
    <w:pPr>
      <w:spacing w:before="20"/>
    </w:pPr>
    <w:rPr>
      <w:caps/>
      <w:color w:val="F9BA04"/>
      <w:sz w:val="40"/>
    </w:rPr>
  </w:style>
  <w:style w:type="character" w:customStyle="1" w:styleId="Normal-EmneChar">
    <w:name w:val="Normal - Emne Char"/>
    <w:basedOn w:val="Standardskrifttypeiafsnit"/>
    <w:link w:val="Normal-Emne"/>
    <w:uiPriority w:val="9"/>
    <w:semiHidden/>
    <w:rsid w:val="00EA2DFA"/>
    <w:rPr>
      <w:rFonts w:ascii="Georgia" w:eastAsiaTheme="minorEastAsia" w:hAnsi="Georgia" w:cs="Georgia"/>
      <w:caps/>
      <w:color w:val="F9BA04"/>
      <w:sz w:val="40"/>
      <w:szCs w:val="21"/>
    </w:rPr>
  </w:style>
  <w:style w:type="paragraph" w:customStyle="1" w:styleId="Normal-medluft">
    <w:name w:val="Normal - med luft"/>
    <w:basedOn w:val="Normal"/>
    <w:rsid w:val="00EA2DFA"/>
    <w:pPr>
      <w:spacing w:after="280"/>
    </w:pPr>
  </w:style>
  <w:style w:type="paragraph" w:customStyle="1" w:styleId="Normal-Punktliste">
    <w:name w:val="Normal - Punktliste"/>
    <w:basedOn w:val="Normal"/>
    <w:qFormat/>
    <w:rsid w:val="00EA2DFA"/>
    <w:pPr>
      <w:numPr>
        <w:numId w:val="1"/>
      </w:numPr>
    </w:pPr>
  </w:style>
  <w:style w:type="paragraph" w:customStyle="1" w:styleId="Normal-Talliste">
    <w:name w:val="Normal - Talliste"/>
    <w:basedOn w:val="Normal"/>
    <w:qFormat/>
    <w:rsid w:val="00EA2DFA"/>
    <w:pPr>
      <w:numPr>
        <w:numId w:val="2"/>
      </w:numPr>
      <w:tabs>
        <w:tab w:val="left" w:pos="567"/>
      </w:tabs>
    </w:pPr>
  </w:style>
  <w:style w:type="character" w:customStyle="1" w:styleId="Overskrift1Tegn">
    <w:name w:val="Overskrift 1 Tegn"/>
    <w:basedOn w:val="Standardskrifttypeiafsnit"/>
    <w:link w:val="Overskrift1"/>
    <w:rsid w:val="00EA2DFA"/>
    <w:rPr>
      <w:rFonts w:ascii="Georgia" w:eastAsiaTheme="minorEastAsia" w:hAnsi="Georgia" w:cs="Arial"/>
      <w:b/>
      <w:bCs/>
      <w:color w:val="0D0D0D" w:themeColor="text1" w:themeTint="F2"/>
      <w:kern w:val="32"/>
      <w:sz w:val="21"/>
      <w:szCs w:val="32"/>
    </w:rPr>
  </w:style>
  <w:style w:type="paragraph" w:styleId="Overskrift">
    <w:name w:val="TOC Heading"/>
    <w:basedOn w:val="Overskrift1"/>
    <w:next w:val="Normal"/>
    <w:uiPriority w:val="39"/>
    <w:semiHidden/>
    <w:unhideWhenUsed/>
    <w:qFormat/>
    <w:rsid w:val="00EA2DFA"/>
    <w:pPr>
      <w:outlineLvl w:val="9"/>
    </w:pPr>
  </w:style>
  <w:style w:type="character" w:customStyle="1" w:styleId="Overskrift2Tegn">
    <w:name w:val="Overskrift 2 Tegn"/>
    <w:basedOn w:val="Standardskrifttypeiafsnit"/>
    <w:link w:val="Overskrift2"/>
    <w:rsid w:val="00EA2DFA"/>
    <w:rPr>
      <w:rFonts w:ascii="Georgia" w:eastAsiaTheme="minorEastAsia" w:hAnsi="Georgia" w:cs="Arial"/>
      <w:b/>
      <w:bCs/>
      <w:i/>
      <w:iCs/>
      <w:color w:val="0D0D0D" w:themeColor="text1" w:themeTint="F2"/>
      <w:sz w:val="21"/>
      <w:szCs w:val="28"/>
    </w:rPr>
  </w:style>
  <w:style w:type="character" w:customStyle="1" w:styleId="Overskrift3Tegn">
    <w:name w:val="Overskrift 3 Tegn"/>
    <w:basedOn w:val="Standardskrifttypeiafsnit"/>
    <w:link w:val="Overskrift3"/>
    <w:rsid w:val="00EA2DFA"/>
    <w:rPr>
      <w:rFonts w:ascii="Georgia" w:eastAsiaTheme="minorEastAsia" w:hAnsi="Georgia" w:cs="Arial"/>
      <w:bCs/>
      <w:i/>
      <w:color w:val="0D0D0D" w:themeColor="text1" w:themeTint="F2"/>
      <w:sz w:val="21"/>
      <w:szCs w:val="26"/>
    </w:rPr>
  </w:style>
  <w:style w:type="character" w:customStyle="1" w:styleId="Overskrift4Tegn">
    <w:name w:val="Overskrift 4 Tegn"/>
    <w:basedOn w:val="Standardskrifttypeiafsnit"/>
    <w:link w:val="Overskrift4"/>
    <w:uiPriority w:val="9"/>
    <w:semiHidden/>
    <w:rsid w:val="00EA2DFA"/>
    <w:rPr>
      <w:rFonts w:ascii="Georgia" w:eastAsiaTheme="majorEastAsia" w:hAnsi="Georgia" w:cstheme="majorBidi"/>
      <w:bCs/>
      <w:iCs/>
      <w:color w:val="0D0D0D" w:themeColor="text1" w:themeTint="F2"/>
      <w:sz w:val="21"/>
      <w:szCs w:val="21"/>
    </w:rPr>
  </w:style>
  <w:style w:type="character" w:customStyle="1" w:styleId="Overskrift5Tegn">
    <w:name w:val="Overskrift 5 Tegn"/>
    <w:basedOn w:val="Standardskrifttypeiafsnit"/>
    <w:link w:val="Overskrift5"/>
    <w:uiPriority w:val="9"/>
    <w:semiHidden/>
    <w:rsid w:val="00EA2DFA"/>
    <w:rPr>
      <w:rFonts w:ascii="Georgia" w:eastAsiaTheme="majorEastAsia" w:hAnsi="Georg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EA2DFA"/>
    <w:rPr>
      <w:rFonts w:ascii="Georgia" w:eastAsiaTheme="majorEastAsia" w:hAnsi="Georg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EA2DFA"/>
    <w:rPr>
      <w:rFonts w:ascii="Georgia" w:eastAsiaTheme="majorEastAsia" w:hAnsi="Georg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EA2DFA"/>
    <w:rPr>
      <w:rFonts w:ascii="Georgia" w:eastAsiaTheme="majorEastAsia" w:hAnsi="Georgia" w:cstheme="majorBidi"/>
      <w:color w:val="00A9E0"/>
      <w:sz w:val="20"/>
      <w:szCs w:val="20"/>
    </w:rPr>
  </w:style>
  <w:style w:type="character" w:customStyle="1" w:styleId="Overskrift9Tegn">
    <w:name w:val="Overskrift 9 Tegn"/>
    <w:basedOn w:val="Standardskrifttypeiafsnit"/>
    <w:link w:val="Overskrift9"/>
    <w:uiPriority w:val="9"/>
    <w:semiHidden/>
    <w:rsid w:val="00EA2DFA"/>
    <w:rPr>
      <w:rFonts w:ascii="Georgia" w:eastAsiaTheme="majorEastAsia" w:hAnsi="Georgia" w:cstheme="majorBidi"/>
      <w:i/>
      <w:iCs/>
      <w:color w:val="404040" w:themeColor="text1" w:themeTint="BF"/>
      <w:sz w:val="20"/>
      <w:szCs w:val="20"/>
    </w:rPr>
  </w:style>
  <w:style w:type="paragraph" w:customStyle="1" w:styleId="Rammeindhold">
    <w:name w:val="Rammeindhold"/>
    <w:basedOn w:val="Brdtekst"/>
    <w:uiPriority w:val="2"/>
    <w:semiHidden/>
    <w:rsid w:val="00EA2DFA"/>
    <w:pPr>
      <w:suppressAutoHyphens/>
    </w:pPr>
    <w:rPr>
      <w:rFonts w:eastAsia="Times New Roman"/>
      <w:szCs w:val="24"/>
      <w:lang w:eastAsia="ar-SA"/>
    </w:rPr>
  </w:style>
  <w:style w:type="paragraph" w:styleId="Sidefod">
    <w:name w:val="footer"/>
    <w:basedOn w:val="Normal"/>
    <w:link w:val="SidefodTegn"/>
    <w:rsid w:val="00EA2DFA"/>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rsid w:val="00EA2DFA"/>
    <w:rPr>
      <w:rFonts w:ascii="Georgia" w:eastAsiaTheme="minorEastAsia" w:hAnsi="Georgia" w:cs="Georgia"/>
      <w:color w:val="0D0D0D" w:themeColor="text1" w:themeTint="F2"/>
      <w:sz w:val="15"/>
      <w:szCs w:val="21"/>
    </w:rPr>
  </w:style>
  <w:style w:type="paragraph" w:styleId="Sidehoved">
    <w:name w:val="header"/>
    <w:basedOn w:val="Normal"/>
    <w:link w:val="SidehovedTegn"/>
    <w:rsid w:val="00EA2DFA"/>
    <w:pPr>
      <w:tabs>
        <w:tab w:val="center" w:pos="4819"/>
        <w:tab w:val="right" w:pos="9638"/>
      </w:tabs>
    </w:pPr>
  </w:style>
  <w:style w:type="character" w:customStyle="1" w:styleId="SidehovedTegn">
    <w:name w:val="Sidehoved Tegn"/>
    <w:basedOn w:val="Standardskrifttypeiafsnit"/>
    <w:link w:val="Sidehoved"/>
    <w:rsid w:val="00EA2DFA"/>
    <w:rPr>
      <w:rFonts w:ascii="Georgia" w:eastAsiaTheme="minorEastAsia" w:hAnsi="Georgia" w:cs="Georgia"/>
      <w:color w:val="0D0D0D" w:themeColor="text1" w:themeTint="F2"/>
      <w:sz w:val="21"/>
      <w:szCs w:val="21"/>
    </w:rPr>
  </w:style>
  <w:style w:type="character" w:styleId="Sidetal">
    <w:name w:val="page number"/>
    <w:basedOn w:val="Standardskrifttypeiafsnit"/>
    <w:rsid w:val="00EA2DFA"/>
    <w:rPr>
      <w:rFonts w:ascii="Georgia" w:hAnsi="Georgia"/>
      <w:sz w:val="21"/>
    </w:rPr>
  </w:style>
  <w:style w:type="paragraph" w:customStyle="1" w:styleId="Sluthilsen1">
    <w:name w:val="Sluthilsen1"/>
    <w:basedOn w:val="Normal"/>
    <w:rsid w:val="00EA2DFA"/>
    <w:pPr>
      <w:suppressLineNumbers/>
      <w:suppressAutoHyphens/>
      <w:spacing w:before="680" w:line="100" w:lineRule="atLeast"/>
    </w:pPr>
    <w:rPr>
      <w:rFonts w:eastAsia="Times New Roman"/>
      <w:szCs w:val="24"/>
      <w:lang w:eastAsia="ar-SA"/>
    </w:rPr>
  </w:style>
  <w:style w:type="character" w:styleId="Strk">
    <w:name w:val="Strong"/>
    <w:basedOn w:val="Standardskrifttypeiafsnit"/>
    <w:uiPriority w:val="22"/>
    <w:rsid w:val="00EA2DFA"/>
    <w:rPr>
      <w:b/>
      <w:bCs/>
    </w:rPr>
  </w:style>
  <w:style w:type="paragraph" w:styleId="Strktcitat">
    <w:name w:val="Intense Quote"/>
    <w:basedOn w:val="Normal"/>
    <w:next w:val="Normal"/>
    <w:link w:val="StrktcitatTegn"/>
    <w:uiPriority w:val="30"/>
    <w:qFormat/>
    <w:rsid w:val="00EA2DFA"/>
    <w:pPr>
      <w:pBdr>
        <w:bottom w:val="single" w:sz="4" w:space="4" w:color="00A9E0"/>
      </w:pBdr>
      <w:spacing w:before="200" w:after="280"/>
      <w:ind w:left="936" w:right="936"/>
    </w:pPr>
    <w:rPr>
      <w:b/>
      <w:bCs/>
      <w:i/>
      <w:iCs/>
      <w:color w:val="00A9E0"/>
    </w:rPr>
  </w:style>
  <w:style w:type="character" w:customStyle="1" w:styleId="StrktcitatTegn">
    <w:name w:val="Stærkt citat Tegn"/>
    <w:basedOn w:val="Standardskrifttypeiafsnit"/>
    <w:link w:val="Strktcitat"/>
    <w:uiPriority w:val="30"/>
    <w:rsid w:val="00EA2DFA"/>
    <w:rPr>
      <w:rFonts w:ascii="Georgia" w:eastAsiaTheme="minorEastAsia" w:hAnsi="Georgia" w:cs="Georgia"/>
      <w:b/>
      <w:bCs/>
      <w:i/>
      <w:iCs/>
      <w:color w:val="00A9E0"/>
      <w:sz w:val="21"/>
      <w:szCs w:val="21"/>
    </w:rPr>
  </w:style>
  <w:style w:type="character" w:styleId="Svagfremhvning">
    <w:name w:val="Subtle Emphasis"/>
    <w:basedOn w:val="Standardskrifttypeiafsnit"/>
    <w:uiPriority w:val="19"/>
    <w:rsid w:val="00EA2DFA"/>
    <w:rPr>
      <w:i/>
      <w:iCs/>
      <w:color w:val="808080" w:themeColor="text1" w:themeTint="7F"/>
    </w:rPr>
  </w:style>
  <w:style w:type="character" w:styleId="Svaghenvisning">
    <w:name w:val="Subtle Reference"/>
    <w:basedOn w:val="Standardskrifttypeiafsnit"/>
    <w:uiPriority w:val="31"/>
    <w:rsid w:val="00EA2DFA"/>
    <w:rPr>
      <w:smallCaps/>
      <w:color w:val="F9BA04" w:themeColor="accent2"/>
      <w:u w:val="single"/>
    </w:rPr>
  </w:style>
  <w:style w:type="table" w:styleId="Tabel-Gitter">
    <w:name w:val="Table Grid"/>
    <w:basedOn w:val="Tabel-Normal"/>
    <w:rsid w:val="00EA2DFA"/>
    <w:pPr>
      <w:spacing w:after="0" w:line="280" w:lineRule="atLeast"/>
      <w:jc w:val="right"/>
    </w:pPr>
    <w:rPr>
      <w:rFonts w:ascii="Georgia" w:eastAsia="Times New Roman" w:hAnsi="Georgia" w:cs="Times New Roman"/>
      <w:color w:val="0D0D0D" w:themeColor="text1" w:themeTint="F2"/>
      <w:sz w:val="19"/>
      <w:szCs w:val="20"/>
      <w:lang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EA2DFA"/>
    <w:pPr>
      <w:spacing w:after="0" w:line="24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EA2DFA"/>
    <w:pPr>
      <w:spacing w:line="240" w:lineRule="auto"/>
    </w:pPr>
    <w:rPr>
      <w:sz w:val="19"/>
      <w:szCs w:val="17"/>
    </w:rPr>
  </w:style>
  <w:style w:type="paragraph" w:customStyle="1" w:styleId="Template-Adresse">
    <w:name w:val="Template - Adresse"/>
    <w:basedOn w:val="Normal"/>
    <w:semiHidden/>
    <w:rsid w:val="00EA2DFA"/>
    <w:pPr>
      <w:spacing w:line="190" w:lineRule="atLeast"/>
    </w:pPr>
    <w:rPr>
      <w:noProof/>
      <w:sz w:val="15"/>
    </w:rPr>
  </w:style>
  <w:style w:type="paragraph" w:customStyle="1" w:styleId="Template-Notat">
    <w:name w:val="Template - Notat"/>
    <w:basedOn w:val="Normal"/>
    <w:link w:val="Template-NotatChar"/>
    <w:uiPriority w:val="9"/>
    <w:semiHidden/>
    <w:rsid w:val="00EA2DFA"/>
    <w:pPr>
      <w:spacing w:before="40" w:line="400" w:lineRule="atLeast"/>
    </w:pPr>
    <w:rPr>
      <w:caps/>
      <w:color w:val="auto"/>
      <w:sz w:val="24"/>
    </w:rPr>
  </w:style>
  <w:style w:type="character" w:customStyle="1" w:styleId="Template-NotatChar">
    <w:name w:val="Template - Notat Char"/>
    <w:basedOn w:val="Standardskrifttypeiafsnit"/>
    <w:link w:val="Template-Notat"/>
    <w:uiPriority w:val="9"/>
    <w:semiHidden/>
    <w:rsid w:val="00EA2DFA"/>
    <w:rPr>
      <w:rFonts w:ascii="Georgia" w:eastAsiaTheme="minorEastAsia" w:hAnsi="Georgia" w:cs="Georgia"/>
      <w:caps/>
      <w:sz w:val="24"/>
      <w:szCs w:val="21"/>
    </w:rPr>
  </w:style>
  <w:style w:type="paragraph" w:styleId="Titel">
    <w:name w:val="Title"/>
    <w:basedOn w:val="Normal"/>
    <w:next w:val="Normal"/>
    <w:link w:val="TitelTegn"/>
    <w:uiPriority w:val="10"/>
    <w:rsid w:val="00EA2DFA"/>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rsid w:val="00EA2DFA"/>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rsid w:val="00EA2DFA"/>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rsid w:val="00EA2DFA"/>
    <w:rPr>
      <w:rFonts w:asciiTheme="majorHAnsi" w:eastAsiaTheme="majorEastAsia" w:hAnsiTheme="majorHAnsi" w:cstheme="majorBidi"/>
      <w:i/>
      <w:iCs/>
      <w:color w:val="00A9E0" w:themeColor="accent1"/>
      <w:spacing w:val="15"/>
      <w:sz w:val="24"/>
      <w:szCs w:val="24"/>
    </w:rPr>
  </w:style>
  <w:style w:type="table" w:customStyle="1" w:styleId="Trngselskommissionen">
    <w:name w:val="Trængselskommissionen"/>
    <w:basedOn w:val="Tabel-Normal"/>
    <w:uiPriority w:val="99"/>
    <w:rsid w:val="005A4894"/>
    <w:pPr>
      <w:spacing w:after="0" w:line="240" w:lineRule="auto"/>
    </w:pPr>
    <w:rPr>
      <w:rFonts w:ascii="Georgia" w:hAnsi="Georgia"/>
      <w:sz w:val="21"/>
    </w:rPr>
    <w:tblP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57" w:type="dxa"/>
        <w:left w:w="57" w:type="dxa"/>
        <w:bottom w:w="57" w:type="dxa"/>
        <w:right w:w="57" w:type="dxa"/>
      </w:tblCellMar>
    </w:tblPr>
    <w:tcPr>
      <w:shd w:val="clear" w:color="auto" w:fill="D2EAF8" w:themeFill="text2"/>
    </w:tcPr>
    <w:tblStylePr w:type="firstRow">
      <w:tblPr/>
      <w:tcPr>
        <w:tcBorders>
          <w:top w:val="nil"/>
          <w:left w:val="nil"/>
          <w:bottom w:val="nil"/>
          <w:right w:val="nil"/>
          <w:insideH w:val="nil"/>
          <w:insideV w:val="nil"/>
        </w:tcBorders>
        <w:shd w:val="clear" w:color="auto" w:fill="00A9E0" w:themeFill="accent1"/>
      </w:tcPr>
    </w:tblStylePr>
  </w:style>
  <w:style w:type="character" w:styleId="Kommentarhenvisning">
    <w:name w:val="annotation reference"/>
    <w:basedOn w:val="Standardskrifttypeiafsnit"/>
    <w:uiPriority w:val="99"/>
    <w:semiHidden/>
    <w:unhideWhenUsed/>
    <w:rsid w:val="00B30DBC"/>
    <w:rPr>
      <w:sz w:val="16"/>
      <w:szCs w:val="16"/>
    </w:rPr>
  </w:style>
  <w:style w:type="paragraph" w:styleId="Kommentartekst">
    <w:name w:val="annotation text"/>
    <w:basedOn w:val="Normal"/>
    <w:link w:val="KommentartekstTegn"/>
    <w:uiPriority w:val="99"/>
    <w:semiHidden/>
    <w:unhideWhenUsed/>
    <w:rsid w:val="00B30DB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30DBC"/>
    <w:rPr>
      <w:rFonts w:ascii="Georgia" w:eastAsiaTheme="minorEastAsia" w:hAnsi="Georg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B30DBC"/>
    <w:rPr>
      <w:b/>
      <w:bCs/>
    </w:rPr>
  </w:style>
  <w:style w:type="character" w:customStyle="1" w:styleId="KommentaremneTegn">
    <w:name w:val="Kommentaremne Tegn"/>
    <w:basedOn w:val="KommentartekstTegn"/>
    <w:link w:val="Kommentaremne"/>
    <w:uiPriority w:val="99"/>
    <w:semiHidden/>
    <w:rsid w:val="00B30DBC"/>
    <w:rPr>
      <w:rFonts w:ascii="Georgia" w:eastAsiaTheme="minorEastAsia" w:hAnsi="Georgia" w:cs="Georgia"/>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AppData\Local\cBrain\F2\.tmp\c2030e82-f8d1-40a0-ba80-df9b634f6f31.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c2030e82-f8d1-40a0-ba80-df9b634f6f31</Template>
  <TotalTime>69</TotalTime>
  <Pages>7</Pages>
  <Words>1713</Words>
  <Characters>10452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TRM Morten Lorentzen</dc:creator>
  <cp:lastModifiedBy>TRM Morten Lorentzen</cp:lastModifiedBy>
  <cp:revision>3</cp:revision>
  <cp:lastPrinted>2015-07-13T12:57:00Z</cp:lastPrinted>
  <dcterms:created xsi:type="dcterms:W3CDTF">2015-07-13T12:56:00Z</dcterms:created>
  <dcterms:modified xsi:type="dcterms:W3CDTF">2015-07-13T14:52:00Z</dcterms:modified>
</cp:coreProperties>
</file>