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1"/>
        <w:tblOverlap w:val="never"/>
        <w:tblW w:w="138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  <w:gridCol w:w="1836"/>
        <w:gridCol w:w="2967"/>
      </w:tblGrid>
      <w:tr w:rsidR="00953410" w:rsidRPr="006979FC" w14:paraId="0AC15CDF" w14:textId="77777777" w:rsidTr="004F4B96">
        <w:trPr>
          <w:gridAfter w:val="2"/>
          <w:wAfter w:w="4803" w:type="dxa"/>
          <w:cantSplit/>
          <w:trHeight w:val="2600"/>
        </w:trPr>
        <w:tc>
          <w:tcPr>
            <w:tcW w:w="7116" w:type="dxa"/>
          </w:tcPr>
          <w:p w14:paraId="4A30282F" w14:textId="77777777" w:rsidR="00953410" w:rsidRPr="006979FC" w:rsidRDefault="00953410" w:rsidP="004F4B96"/>
        </w:tc>
        <w:tc>
          <w:tcPr>
            <w:tcW w:w="1939" w:type="dxa"/>
          </w:tcPr>
          <w:p w14:paraId="34826DF7" w14:textId="77777777" w:rsidR="00953410" w:rsidRPr="006979FC" w:rsidRDefault="00953410" w:rsidP="004F4B96">
            <w:pPr>
              <w:ind w:right="-1759"/>
            </w:pPr>
          </w:p>
        </w:tc>
      </w:tr>
      <w:tr w:rsidR="007E19D4" w:rsidRPr="00286F70" w14:paraId="1E8EE323" w14:textId="77777777" w:rsidTr="004F4B96">
        <w:trPr>
          <w:cantSplit/>
          <w:trHeight w:val="793"/>
        </w:trPr>
        <w:tc>
          <w:tcPr>
            <w:tcW w:w="10891" w:type="dxa"/>
            <w:gridSpan w:val="3"/>
          </w:tcPr>
          <w:p w14:paraId="16CA76F0" w14:textId="77777777" w:rsidR="007E19D4" w:rsidRPr="006E281D" w:rsidRDefault="007E19D4" w:rsidP="004F4B96">
            <w:pPr>
              <w:pStyle w:val="DocumentHeading"/>
              <w:rPr>
                <w:sz w:val="32"/>
              </w:rPr>
            </w:pPr>
            <w:r w:rsidRPr="006E281D">
              <w:rPr>
                <w:sz w:val="32"/>
              </w:rPr>
              <w:t>Kommentering af udkast til Havstrategiens</w:t>
            </w:r>
            <w:r>
              <w:rPr>
                <w:sz w:val="32"/>
              </w:rPr>
              <w:t xml:space="preserve"> </w:t>
            </w:r>
            <w:r w:rsidRPr="006E281D">
              <w:rPr>
                <w:sz w:val="32"/>
              </w:rPr>
              <w:t>overvågningsprogram 2021-26</w:t>
            </w:r>
          </w:p>
        </w:tc>
        <w:tc>
          <w:tcPr>
            <w:tcW w:w="2967" w:type="dxa"/>
          </w:tcPr>
          <w:p w14:paraId="7041921A" w14:textId="77777777" w:rsidR="007E19D4" w:rsidRPr="00286F70" w:rsidRDefault="007E19D4" w:rsidP="004F4B96"/>
        </w:tc>
      </w:tr>
    </w:tbl>
    <w:p w14:paraId="6AAC7A92" w14:textId="0B4C69ED" w:rsidR="007E19D4" w:rsidRDefault="004F4B96" w:rsidP="007E19D4">
      <w:pPr>
        <w:pStyle w:val="Overskrift1"/>
      </w:pPr>
      <w:r>
        <w:br w:type="textWrapping" w:clear="all"/>
      </w:r>
    </w:p>
    <w:p w14:paraId="75E73077" w14:textId="0494E19C" w:rsidR="007E19D4" w:rsidRPr="0049472B" w:rsidRDefault="007E19D4" w:rsidP="007E19D4">
      <w:pPr>
        <w:pStyle w:val="Overskrift1"/>
        <w:rPr>
          <w:sz w:val="28"/>
          <w:szCs w:val="28"/>
        </w:rPr>
      </w:pPr>
      <w:r w:rsidRPr="0049472B">
        <w:rPr>
          <w:sz w:val="28"/>
          <w:szCs w:val="28"/>
        </w:rPr>
        <w:t xml:space="preserve">Kommentarer indleveret af: </w:t>
      </w:r>
      <w:r w:rsidR="00E666FA">
        <w:rPr>
          <w:sz w:val="28"/>
          <w:szCs w:val="28"/>
        </w:rPr>
        <w:t>__</w:t>
      </w:r>
      <w:r w:rsidR="001D1C0C" w:rsidRPr="001D1C0C">
        <w:rPr>
          <w:rFonts w:cs="Times New Roman"/>
          <w:b w:val="0"/>
          <w:szCs w:val="22"/>
        </w:rPr>
        <w:t>SGAV</w:t>
      </w:r>
      <w:r w:rsidR="001D1C0C">
        <w:rPr>
          <w:rFonts w:cs="Times New Roman"/>
          <w:b w:val="0"/>
          <w:szCs w:val="22"/>
        </w:rPr>
        <w:t xml:space="preserve"> </w:t>
      </w:r>
      <w:r w:rsidR="001D1C0C" w:rsidRPr="001D1C0C">
        <w:rPr>
          <w:rFonts w:cs="Times New Roman"/>
          <w:b w:val="0"/>
          <w:szCs w:val="22"/>
        </w:rPr>
        <w:t>Fyn</w:t>
      </w:r>
      <w:r w:rsidR="00E666FA">
        <w:rPr>
          <w:sz w:val="28"/>
          <w:szCs w:val="28"/>
        </w:rPr>
        <w:t>________________________</w:t>
      </w:r>
    </w:p>
    <w:p w14:paraId="47AB9DDD" w14:textId="6A5FB715" w:rsidR="00E666FA" w:rsidRDefault="00E666FA" w:rsidP="00E666FA">
      <w:r>
        <w:tab/>
      </w:r>
      <w:r>
        <w:tab/>
      </w:r>
      <w:r>
        <w:tab/>
      </w:r>
      <w:r>
        <w:tab/>
        <w:t>(N</w:t>
      </w:r>
      <w:r w:rsidR="004F4B96">
        <w:t>avn</w:t>
      </w:r>
      <w:r w:rsidR="00226864">
        <w:t>,</w:t>
      </w:r>
      <w:r w:rsidR="004F4B96">
        <w:t xml:space="preserve"> organisation</w:t>
      </w:r>
      <w:r w:rsidR="00226864">
        <w:t xml:space="preserve"> og kontaktinformation</w:t>
      </w:r>
      <w:r w:rsidR="004F4B96">
        <w:t>)</w:t>
      </w:r>
    </w:p>
    <w:p w14:paraId="413B47FB" w14:textId="1DD40553" w:rsidR="007E19D4" w:rsidRDefault="007E19D4" w:rsidP="007E19D4"/>
    <w:p w14:paraId="06EC3FEA" w14:textId="77777777" w:rsidR="00E666FA" w:rsidRDefault="00E666FA" w:rsidP="007E19D4"/>
    <w:p w14:paraId="6DCEF42D" w14:textId="77777777" w:rsidR="007E19D4" w:rsidRPr="00084BFF" w:rsidRDefault="007E19D4" w:rsidP="007E19D4"/>
    <w:tbl>
      <w:tblPr>
        <w:tblStyle w:val="Tabel-Gitter"/>
        <w:tblW w:w="13331" w:type="dxa"/>
        <w:tblLook w:val="04A0" w:firstRow="1" w:lastRow="0" w:firstColumn="1" w:lastColumn="0" w:noHBand="0" w:noVBand="1"/>
      </w:tblPr>
      <w:tblGrid>
        <w:gridCol w:w="3267"/>
        <w:gridCol w:w="10064"/>
      </w:tblGrid>
      <w:tr w:rsidR="007E19D4" w:rsidRPr="006E281D" w14:paraId="49203249" w14:textId="77777777" w:rsidTr="00F77DF8">
        <w:trPr>
          <w:trHeight w:val="716"/>
        </w:trPr>
        <w:tc>
          <w:tcPr>
            <w:tcW w:w="3267" w:type="dxa"/>
            <w:hideMark/>
          </w:tcPr>
          <w:p w14:paraId="377A5F8E" w14:textId="77777777" w:rsidR="007E19D4" w:rsidRPr="00486820" w:rsidRDefault="007E19D4" w:rsidP="00F77DF8">
            <w:pPr>
              <w:rPr>
                <w:sz w:val="32"/>
                <w:szCs w:val="32"/>
              </w:rPr>
            </w:pPr>
            <w:r w:rsidRPr="00486820">
              <w:rPr>
                <w:bCs/>
                <w:i/>
                <w:sz w:val="22"/>
                <w:szCs w:val="22"/>
              </w:rPr>
              <w:t>Titel på produkt</w:t>
            </w:r>
          </w:p>
        </w:tc>
        <w:tc>
          <w:tcPr>
            <w:tcW w:w="10064" w:type="dxa"/>
          </w:tcPr>
          <w:p w14:paraId="6CB09224" w14:textId="6D667233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 w:rsidRPr="006E281D">
              <w:rPr>
                <w:bCs/>
                <w:sz w:val="22"/>
                <w:szCs w:val="22"/>
              </w:rPr>
              <w:t>Danmark</w:t>
            </w:r>
            <w:r>
              <w:rPr>
                <w:bCs/>
                <w:sz w:val="22"/>
                <w:szCs w:val="22"/>
              </w:rPr>
              <w:t>s</w:t>
            </w:r>
            <w:r w:rsidRPr="006E281D">
              <w:rPr>
                <w:bCs/>
                <w:sz w:val="22"/>
                <w:szCs w:val="22"/>
              </w:rPr>
              <w:t xml:space="preserve"> havstrategi </w:t>
            </w:r>
            <w:r>
              <w:rPr>
                <w:bCs/>
                <w:sz w:val="22"/>
                <w:szCs w:val="22"/>
              </w:rPr>
              <w:t>I</w:t>
            </w:r>
            <w:r w:rsidR="00F50C45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I </w:t>
            </w:r>
            <w:r w:rsidRPr="006E281D">
              <w:rPr>
                <w:bCs/>
                <w:sz w:val="22"/>
                <w:szCs w:val="22"/>
              </w:rPr>
              <w:t>– anden del</w:t>
            </w:r>
          </w:p>
          <w:p w14:paraId="4CE35AD3" w14:textId="77777777" w:rsidR="007E19D4" w:rsidRPr="006E281D" w:rsidRDefault="007E19D4" w:rsidP="00F77D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Overv</w:t>
            </w:r>
            <w:r w:rsidRPr="006E281D">
              <w:rPr>
                <w:bCs/>
                <w:sz w:val="22"/>
                <w:szCs w:val="22"/>
              </w:rPr>
              <w:t>ågningsprogram</w:t>
            </w:r>
          </w:p>
        </w:tc>
      </w:tr>
      <w:tr w:rsidR="007E19D4" w:rsidRPr="006A4D63" w14:paraId="54CA0FE3" w14:textId="77777777" w:rsidTr="00F77DF8">
        <w:trPr>
          <w:trHeight w:val="233"/>
        </w:trPr>
        <w:tc>
          <w:tcPr>
            <w:tcW w:w="3267" w:type="dxa"/>
            <w:hideMark/>
          </w:tcPr>
          <w:p w14:paraId="7335E7FE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t xml:space="preserve">Kontaktpersoner </w:t>
            </w:r>
          </w:p>
        </w:tc>
        <w:tc>
          <w:tcPr>
            <w:tcW w:w="10064" w:type="dxa"/>
          </w:tcPr>
          <w:p w14:paraId="29DB153A" w14:textId="0035F256" w:rsidR="007E19D4" w:rsidRPr="006A4D63" w:rsidRDefault="00F50C45" w:rsidP="00F77DF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Frank Jensen, </w:t>
            </w:r>
            <w:hyperlink r:id="rId7" w:history="1">
              <w:r w:rsidRPr="00EF3696">
                <w:rPr>
                  <w:rStyle w:val="Hyperlink"/>
                  <w:bCs/>
                  <w:sz w:val="22"/>
                  <w:szCs w:val="22"/>
                </w:rPr>
                <w:t>fje@mst.dk</w:t>
              </w:r>
            </w:hyperlink>
            <w:r>
              <w:rPr>
                <w:bCs/>
                <w:sz w:val="22"/>
                <w:szCs w:val="22"/>
              </w:rPr>
              <w:t>, 4061 3832</w:t>
            </w:r>
          </w:p>
        </w:tc>
      </w:tr>
      <w:tr w:rsidR="007E19D4" w14:paraId="10BDF8B5" w14:textId="77777777" w:rsidTr="00F77DF8">
        <w:trPr>
          <w:trHeight w:val="468"/>
        </w:trPr>
        <w:tc>
          <w:tcPr>
            <w:tcW w:w="3267" w:type="dxa"/>
            <w:hideMark/>
          </w:tcPr>
          <w:p w14:paraId="66D04BAF" w14:textId="77777777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486820">
              <w:rPr>
                <w:bCs/>
                <w:i/>
                <w:sz w:val="22"/>
                <w:szCs w:val="22"/>
              </w:rPr>
              <w:t>Deadline for fremsendelse af kommentarer</w:t>
            </w:r>
          </w:p>
        </w:tc>
        <w:tc>
          <w:tcPr>
            <w:tcW w:w="10064" w:type="dxa"/>
            <w:hideMark/>
          </w:tcPr>
          <w:p w14:paraId="5FF458B5" w14:textId="77777777" w:rsidR="007E19D4" w:rsidRDefault="007E19D4" w:rsidP="00F77DF8">
            <w:pPr>
              <w:rPr>
                <w:b/>
                <w:bCs/>
                <w:i/>
                <w:sz w:val="22"/>
                <w:szCs w:val="22"/>
              </w:rPr>
            </w:pPr>
          </w:p>
          <w:p w14:paraId="3BFBF351" w14:textId="1F07AEC5" w:rsidR="007E19D4" w:rsidRPr="00486820" w:rsidRDefault="007E19D4" w:rsidP="00F77DF8">
            <w:pPr>
              <w:rPr>
                <w:bCs/>
                <w:i/>
                <w:sz w:val="22"/>
                <w:szCs w:val="22"/>
              </w:rPr>
            </w:pPr>
            <w:r w:rsidRPr="00C55253">
              <w:rPr>
                <w:bCs/>
                <w:i/>
                <w:sz w:val="22"/>
                <w:szCs w:val="22"/>
              </w:rPr>
              <w:t>1</w:t>
            </w:r>
            <w:r w:rsidR="00C55253" w:rsidRPr="00C55253">
              <w:rPr>
                <w:bCs/>
                <w:i/>
                <w:sz w:val="22"/>
                <w:szCs w:val="22"/>
              </w:rPr>
              <w:t>2</w:t>
            </w:r>
            <w:r w:rsidRPr="00C55253">
              <w:rPr>
                <w:bCs/>
                <w:i/>
                <w:sz w:val="22"/>
                <w:szCs w:val="22"/>
              </w:rPr>
              <w:t>.0</w:t>
            </w:r>
            <w:r w:rsidR="00C55253" w:rsidRPr="00C55253">
              <w:rPr>
                <w:bCs/>
                <w:i/>
                <w:sz w:val="22"/>
                <w:szCs w:val="22"/>
              </w:rPr>
              <w:t>5</w:t>
            </w:r>
            <w:r w:rsidRPr="00C55253">
              <w:rPr>
                <w:bCs/>
                <w:i/>
                <w:sz w:val="22"/>
                <w:szCs w:val="22"/>
              </w:rPr>
              <w:t>.202</w:t>
            </w:r>
            <w:r w:rsidR="00C55253" w:rsidRPr="00C55253">
              <w:rPr>
                <w:bCs/>
                <w:i/>
                <w:sz w:val="22"/>
                <w:szCs w:val="22"/>
              </w:rPr>
              <w:t>6</w:t>
            </w:r>
          </w:p>
          <w:p w14:paraId="4BB242EA" w14:textId="77777777" w:rsidR="007E19D4" w:rsidRDefault="007E19D4" w:rsidP="00F77DF8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39864192" w14:textId="7F75845C" w:rsidR="007E19D4" w:rsidRDefault="007E19D4" w:rsidP="007E19D4">
      <w:pPr>
        <w:pStyle w:val="Overskrift1"/>
      </w:pPr>
      <w:r>
        <w:br w:type="page"/>
      </w:r>
      <w:r>
        <w:lastRenderedPageBreak/>
        <w:t>Generelle kommentarer</w:t>
      </w:r>
    </w:p>
    <w:p w14:paraId="6E8E63A4" w14:textId="77777777" w:rsidR="007E19D4" w:rsidRPr="008164C2" w:rsidRDefault="007E19D4" w:rsidP="007E19D4"/>
    <w:tbl>
      <w:tblPr>
        <w:tblStyle w:val="Tabel-Gitter2"/>
        <w:tblW w:w="1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0138"/>
      </w:tblGrid>
      <w:tr w:rsidR="007E19D4" w:rsidRPr="00C65F75" w14:paraId="33DFCAB3" w14:textId="77777777" w:rsidTr="00F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701B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Vedrørende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A71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Kommentar</w:t>
            </w:r>
          </w:p>
        </w:tc>
      </w:tr>
      <w:tr w:rsidR="007E19D4" w14:paraId="15601CD7" w14:textId="77777777" w:rsidTr="00F77DF8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337" w14:textId="78F5E917" w:rsidR="007E19D4" w:rsidRPr="00464BB5" w:rsidRDefault="004769C5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>Kapitlerne Havstrategiovervågning og Anden NOVANA overvågning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4D3" w14:textId="7D1CB081" w:rsidR="007E19D4" w:rsidRPr="00464BB5" w:rsidRDefault="004769C5" w:rsidP="00F77DF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A</w:t>
            </w:r>
            <w:r w:rsidR="00464BB5" w:rsidRPr="00464BB5">
              <w:rPr>
                <w:b w:val="0"/>
                <w:color w:val="000000" w:themeColor="text1"/>
              </w:rPr>
              <w:t>fsnitsind</w:t>
            </w:r>
            <w:r w:rsidR="00464BB5">
              <w:rPr>
                <w:b w:val="0"/>
                <w:color w:val="000000" w:themeColor="text1"/>
              </w:rPr>
              <w:t>d</w:t>
            </w:r>
            <w:r w:rsidR="00464BB5" w:rsidRPr="00464BB5">
              <w:rPr>
                <w:b w:val="0"/>
                <w:color w:val="000000" w:themeColor="text1"/>
              </w:rPr>
              <w:t>eling</w:t>
            </w:r>
            <w:r>
              <w:rPr>
                <w:b w:val="0"/>
                <w:color w:val="000000" w:themeColor="text1"/>
              </w:rPr>
              <w:t xml:space="preserve"> bruges ikke</w:t>
            </w:r>
            <w:r w:rsidR="00464BB5" w:rsidRPr="00464BB5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konsekvent i afsnittene ”Havstrategiovervågning” og ”Anden NOVANA overvågning”</w:t>
            </w:r>
            <w:r w:rsidR="00464BB5" w:rsidRPr="00464BB5">
              <w:rPr>
                <w:b w:val="0"/>
                <w:color w:val="000000" w:themeColor="text1"/>
              </w:rPr>
              <w:t>. Fx beskrives al overvågning tilknyttet HD, VRD og HSD under afsnittet ”Havstrategiovervågning”</w:t>
            </w:r>
            <w:r w:rsidR="00464BB5">
              <w:rPr>
                <w:b w:val="0"/>
                <w:color w:val="000000" w:themeColor="text1"/>
              </w:rPr>
              <w:t xml:space="preserve"> i nogle kapitler</w:t>
            </w:r>
            <w:r w:rsidR="00464BB5" w:rsidRPr="00464BB5">
              <w:rPr>
                <w:b w:val="0"/>
                <w:color w:val="000000" w:themeColor="text1"/>
              </w:rPr>
              <w:t>, mens der i andre kapitler kun beskrives HSD overvågning i dette afsnit</w:t>
            </w:r>
            <w:r>
              <w:rPr>
                <w:b w:val="0"/>
                <w:color w:val="000000" w:themeColor="text1"/>
              </w:rPr>
              <w:t>, og den resterende VRD- og HD-overvågning beskrives i ”Anden NOVANA overvågning”</w:t>
            </w:r>
            <w:r w:rsidR="00464BB5" w:rsidRPr="00464BB5">
              <w:rPr>
                <w:b w:val="0"/>
                <w:color w:val="000000" w:themeColor="text1"/>
              </w:rPr>
              <w:t>.</w:t>
            </w:r>
          </w:p>
        </w:tc>
      </w:tr>
      <w:tr w:rsidR="007E19D4" w14:paraId="3F13E91A" w14:textId="77777777" w:rsidTr="00F77D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1B3" w14:textId="5B16D6D0" w:rsidR="007E19D4" w:rsidRPr="002B1608" w:rsidRDefault="00ED2168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>HSD-overvågning/NOVANA-overvågning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F57" w14:textId="2439A1C7" w:rsidR="007E19D4" w:rsidRPr="00C80165" w:rsidRDefault="00ED2168" w:rsidP="00F77DF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D</w:t>
            </w:r>
            <w:r w:rsidR="00C80165">
              <w:rPr>
                <w:b w:val="0"/>
                <w:color w:val="000000" w:themeColor="text1"/>
              </w:rPr>
              <w:t>e</w:t>
            </w:r>
            <w:r w:rsidR="001A449F">
              <w:rPr>
                <w:b w:val="0"/>
                <w:color w:val="000000" w:themeColor="text1"/>
              </w:rPr>
              <w:t>t</w:t>
            </w:r>
            <w:r w:rsidR="00C80165">
              <w:rPr>
                <w:b w:val="0"/>
                <w:color w:val="000000" w:themeColor="text1"/>
              </w:rPr>
              <w:t xml:space="preserve"> </w:t>
            </w:r>
            <w:r w:rsidR="001A449F">
              <w:rPr>
                <w:b w:val="0"/>
                <w:color w:val="000000" w:themeColor="text1"/>
              </w:rPr>
              <w:t>fremgår</w:t>
            </w:r>
            <w:r>
              <w:rPr>
                <w:b w:val="0"/>
                <w:color w:val="000000" w:themeColor="text1"/>
              </w:rPr>
              <w:t xml:space="preserve"> flere steder</w:t>
            </w:r>
            <w:r w:rsidR="001A449F">
              <w:rPr>
                <w:b w:val="0"/>
                <w:color w:val="000000" w:themeColor="text1"/>
              </w:rPr>
              <w:t>, at der er</w:t>
            </w:r>
            <w:r w:rsidR="00C80165">
              <w:rPr>
                <w:b w:val="0"/>
                <w:color w:val="000000" w:themeColor="text1"/>
              </w:rPr>
              <w:t xml:space="preserve"> HSD-</w:t>
            </w:r>
            <w:r w:rsidR="001A449F">
              <w:rPr>
                <w:b w:val="0"/>
                <w:color w:val="000000" w:themeColor="text1"/>
              </w:rPr>
              <w:t xml:space="preserve"> overvågning og der er NOVANA-overvågning. Det skal </w:t>
            </w:r>
            <w:r>
              <w:rPr>
                <w:b w:val="0"/>
                <w:color w:val="000000" w:themeColor="text1"/>
              </w:rPr>
              <w:t>indledningsvist slås fast eller defineres, at HSD-overvågningen er en del af NOVANA. Og når der nu faktisk arbejdes med overskrifterne HSD-overvågning og Anden NOVANA-overvågning, skal dette bare konsekvent overføres til tekst/tabeller/figurer.</w:t>
            </w:r>
          </w:p>
        </w:tc>
      </w:tr>
      <w:tr w:rsidR="007E19D4" w:rsidRPr="00C9308F" w14:paraId="5E497E77" w14:textId="77777777" w:rsidTr="00F77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4E1" w14:textId="77777777" w:rsidR="007E19D4" w:rsidRPr="00C55253" w:rsidRDefault="007E19D4" w:rsidP="00F77DF8">
            <w:pPr>
              <w:autoSpaceDE w:val="0"/>
              <w:autoSpaceDN w:val="0"/>
              <w:adjustRightInd w:val="0"/>
              <w:rPr>
                <w:rFonts w:cs="Tahoma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527" w14:textId="77777777" w:rsidR="007E19D4" w:rsidRPr="00C55253" w:rsidRDefault="007E19D4" w:rsidP="00F77DF8">
            <w:pPr>
              <w:rPr>
                <w:bCs w:val="0"/>
                <w:color w:val="000000" w:themeColor="text1"/>
              </w:rPr>
            </w:pPr>
          </w:p>
        </w:tc>
      </w:tr>
    </w:tbl>
    <w:p w14:paraId="142A2247" w14:textId="77777777" w:rsidR="007E19D4" w:rsidRDefault="007E19D4" w:rsidP="007E19D4">
      <w:pPr>
        <w:pStyle w:val="Overskrift1"/>
      </w:pPr>
      <w:r>
        <w:t>Specifikke kommentarer</w:t>
      </w:r>
    </w:p>
    <w:p w14:paraId="2F71B817" w14:textId="77777777" w:rsidR="007E19D4" w:rsidRDefault="007E19D4" w:rsidP="007E19D4"/>
    <w:p w14:paraId="38B009F8" w14:textId="77777777" w:rsidR="007E19D4" w:rsidRPr="008164C2" w:rsidRDefault="007E19D4" w:rsidP="007E19D4"/>
    <w:tbl>
      <w:tblPr>
        <w:tblStyle w:val="Tabel-Gitter2"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149"/>
        <w:gridCol w:w="2301"/>
        <w:gridCol w:w="4735"/>
        <w:gridCol w:w="4239"/>
      </w:tblGrid>
      <w:tr w:rsidR="007E19D4" w:rsidRPr="008164C2" w14:paraId="320A7B12" w14:textId="77777777" w:rsidTr="00F77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119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C67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Side og linje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599C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Vedrørende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8660" w14:textId="77777777" w:rsidR="007E19D4" w:rsidRPr="00C65F75" w:rsidRDefault="007E19D4" w:rsidP="00F77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C65F75">
              <w:rPr>
                <w:i/>
                <w:sz w:val="18"/>
                <w:szCs w:val="18"/>
              </w:rPr>
              <w:t>Kommentar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60B" w14:textId="77777777" w:rsidR="007E19D4" w:rsidRPr="00C65F75" w:rsidRDefault="007E19D4" w:rsidP="00F77DF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Eventuelt f</w:t>
            </w:r>
            <w:r w:rsidRPr="00C65F75">
              <w:rPr>
                <w:i/>
                <w:sz w:val="18"/>
                <w:szCs w:val="18"/>
              </w:rPr>
              <w:t xml:space="preserve">orslag til erstatning/ændring/aktion </w:t>
            </w:r>
          </w:p>
        </w:tc>
      </w:tr>
      <w:tr w:rsidR="00FA04EC" w:rsidRPr="00D37986" w14:paraId="6DE70A7B" w14:textId="77777777" w:rsidTr="00D1720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C13" w14:textId="0CDBA984" w:rsidR="00FA04EC" w:rsidRPr="00D37986" w:rsidRDefault="00FA04EC" w:rsidP="00FA04EC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EF7" w14:textId="1D1E88AD" w:rsidR="00FA04EC" w:rsidRPr="00D37986" w:rsidRDefault="00FA04EC" w:rsidP="00FA04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sz w:val="22"/>
                <w:szCs w:val="22"/>
              </w:rPr>
              <w:t xml:space="preserve">Side 11 Figur 3.1,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916" w14:textId="6BC8CBAE" w:rsidR="00FA04EC" w:rsidRPr="00D37986" w:rsidRDefault="00FA04EC" w:rsidP="00FA04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  <w:r w:rsidRPr="00D37986">
              <w:rPr>
                <w:bCs/>
              </w:rPr>
              <w:t>Figur 3.1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30A" w14:textId="1378B76D" w:rsidR="00FA04EC" w:rsidRPr="00D37986" w:rsidRDefault="00FA04EC" w:rsidP="00FA0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37986">
              <w:rPr>
                <w:rFonts w:cs="BookAntiqua"/>
              </w:rPr>
              <w:t>Indsæt farvekode</w:t>
            </w:r>
            <w:r w:rsidR="00641783" w:rsidRPr="00D37986">
              <w:rPr>
                <w:rFonts w:cs="BookAntiqua"/>
              </w:rPr>
              <w:t>/forklaring</w:t>
            </w:r>
            <w:r w:rsidRPr="00D37986">
              <w:rPr>
                <w:rFonts w:cs="BookAntiqua"/>
              </w:rPr>
              <w:t xml:space="preserve"> i figur for Natura 2000 områder og Natura 2000 fuglebeskyttelsesområder.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C7F" w14:textId="77777777" w:rsidR="00FA04EC" w:rsidRPr="00D37986" w:rsidRDefault="00FA04EC" w:rsidP="00FA04EC">
            <w:pPr>
              <w:rPr>
                <w:color w:val="000000" w:themeColor="text1"/>
              </w:rPr>
            </w:pPr>
          </w:p>
        </w:tc>
      </w:tr>
      <w:tr w:rsidR="007E19D4" w:rsidRPr="00D37986" w14:paraId="32BCF9EB" w14:textId="77777777" w:rsidTr="00D1720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86C" w14:textId="226BB904" w:rsidR="007E19D4" w:rsidRPr="00D37986" w:rsidRDefault="00FA04EC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1A3" w14:textId="376E1C55" w:rsidR="00FB7C79" w:rsidRPr="00D37986" w:rsidRDefault="00D17206" w:rsidP="00C712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>p. 12, næstnederste og nederste linje</w:t>
            </w:r>
            <w:r w:rsidR="00C71219" w:rsidRPr="00D37986">
              <w:rPr>
                <w:rFonts w:cs="Tahoma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5A1" w14:textId="0FFA3CE2" w:rsidR="007E19D4" w:rsidRPr="00D37986" w:rsidRDefault="00D17206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>Sprogligt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DE2" w14:textId="01CBFDA6" w:rsidR="007E19D4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37986">
              <w:rPr>
                <w:bCs/>
                <w:color w:val="000000" w:themeColor="text1"/>
              </w:rPr>
              <w:t>Der står</w:t>
            </w:r>
            <w:r w:rsidR="00D17206" w:rsidRPr="00D37986">
              <w:rPr>
                <w:bCs/>
                <w:color w:val="000000" w:themeColor="text1"/>
              </w:rPr>
              <w:t>: ’…af de eksisterende overvågningsaktiviteter, den eksisterende overvågningsaktivitet</w:t>
            </w:r>
          </w:p>
          <w:p w14:paraId="11272B43" w14:textId="77777777" w:rsidR="00216FAB" w:rsidRPr="00D37986" w:rsidRDefault="00216FAB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55B825C8" w14:textId="22459262" w:rsidR="00D17206" w:rsidRPr="00D37986" w:rsidRDefault="00D17206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37986">
              <w:rPr>
                <w:bCs/>
                <w:color w:val="000000" w:themeColor="text1"/>
              </w:rPr>
              <w:t xml:space="preserve">’gergrafiske’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971" w14:textId="57B8A06D" w:rsidR="007E19D4" w:rsidRPr="00D37986" w:rsidRDefault="00502889" w:rsidP="00F77DF8">
            <w:pPr>
              <w:rPr>
                <w:bCs w:val="0"/>
                <w:color w:val="000000" w:themeColor="text1"/>
              </w:rPr>
            </w:pPr>
            <w:r w:rsidRPr="00D37986">
              <w:rPr>
                <w:b w:val="0"/>
                <w:bCs w:val="0"/>
                <w:color w:val="000000" w:themeColor="text1"/>
              </w:rPr>
              <w:t>Tilføj ’</w:t>
            </w:r>
            <w:proofErr w:type="spellStart"/>
            <w:r w:rsidRPr="00D37986">
              <w:rPr>
                <w:b w:val="0"/>
                <w:bCs w:val="0"/>
                <w:color w:val="000000" w:themeColor="text1"/>
              </w:rPr>
              <w:t>eller</w:t>
            </w:r>
            <w:r w:rsidR="00216FAB" w:rsidRPr="00D37986">
              <w:rPr>
                <w:b w:val="0"/>
                <w:bCs w:val="0"/>
                <w:color w:val="000000" w:themeColor="text1"/>
              </w:rPr>
              <w:t>’</w:t>
            </w:r>
            <w:r w:rsidR="00216FAB" w:rsidRPr="00D37986">
              <w:rPr>
                <w:b w:val="0"/>
                <w:color w:val="000000" w:themeColor="text1"/>
              </w:rPr>
              <w:t>…af</w:t>
            </w:r>
            <w:proofErr w:type="spellEnd"/>
            <w:r w:rsidR="00216FAB" w:rsidRPr="00D37986">
              <w:rPr>
                <w:b w:val="0"/>
                <w:color w:val="000000" w:themeColor="text1"/>
              </w:rPr>
              <w:t xml:space="preserve"> de eksisterende overvågningsaktiviteter, </w:t>
            </w:r>
            <w:r w:rsidR="00216FAB" w:rsidRPr="00D37986">
              <w:rPr>
                <w:bCs w:val="0"/>
                <w:color w:val="000000" w:themeColor="text1"/>
              </w:rPr>
              <w:t xml:space="preserve">eller </w:t>
            </w:r>
            <w:r w:rsidR="00216FAB" w:rsidRPr="00D37986">
              <w:rPr>
                <w:b w:val="0"/>
                <w:color w:val="000000" w:themeColor="text1"/>
              </w:rPr>
              <w:t>den eksisterende overvågningsaktivitet</w:t>
            </w:r>
          </w:p>
          <w:p w14:paraId="69ED7907" w14:textId="77777777" w:rsidR="00216FAB" w:rsidRPr="00D37986" w:rsidRDefault="00216FAB" w:rsidP="00F77DF8">
            <w:pPr>
              <w:rPr>
                <w:bCs w:val="0"/>
                <w:color w:val="000000" w:themeColor="text1"/>
              </w:rPr>
            </w:pPr>
          </w:p>
          <w:p w14:paraId="148E50C3" w14:textId="0E8C6920" w:rsidR="00216FAB" w:rsidRPr="00D37986" w:rsidRDefault="00216FAB" w:rsidP="00F77DF8">
            <w:pPr>
              <w:rPr>
                <w:b w:val="0"/>
              </w:rPr>
            </w:pPr>
            <w:r w:rsidRPr="00D37986">
              <w:rPr>
                <w:b w:val="0"/>
                <w:color w:val="000000" w:themeColor="text1"/>
              </w:rPr>
              <w:t>ændres til ’geografiske’</w:t>
            </w:r>
          </w:p>
        </w:tc>
      </w:tr>
      <w:tr w:rsidR="007E19D4" w:rsidRPr="00D37986" w14:paraId="14D84184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53D" w14:textId="7FFFFBE7" w:rsidR="007E19D4" w:rsidRPr="00D37986" w:rsidRDefault="00FA04EC" w:rsidP="00F77DF8">
            <w:pPr>
              <w:autoSpaceDE w:val="0"/>
              <w:autoSpaceDN w:val="0"/>
              <w:rPr>
                <w:rFonts w:cs="BookAntiqua"/>
                <w:sz w:val="22"/>
                <w:szCs w:val="22"/>
              </w:rPr>
            </w:pPr>
            <w:r w:rsidRPr="00D37986">
              <w:rPr>
                <w:rFonts w:cs="BookAntiqua"/>
                <w:sz w:val="22"/>
                <w:szCs w:val="22"/>
              </w:rPr>
              <w:lastRenderedPageBreak/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8F8" w14:textId="1641A74C" w:rsidR="007E19D4" w:rsidRPr="00D37986" w:rsidRDefault="00533578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p. 13, l. 5</w:t>
            </w:r>
            <w:r w:rsidR="00C71219" w:rsidRPr="00D37986">
              <w:rPr>
                <w:rFonts w:cs="BookAntiqua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AB1" w14:textId="3BAFF708" w:rsidR="007E19D4" w:rsidRPr="00D37986" w:rsidRDefault="00533578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Sprogligt</w:t>
            </w:r>
          </w:p>
          <w:p w14:paraId="0CA7F806" w14:textId="77777777" w:rsidR="007E19D4" w:rsidRPr="00D37986" w:rsidRDefault="007E19D4" w:rsidP="00F77DF8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AFD" w14:textId="3F0C713E" w:rsidR="007E19D4" w:rsidRPr="00D37986" w:rsidRDefault="00533578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>Der står: ’….en del af Det Nationale Over-</w:t>
            </w:r>
            <w:proofErr w:type="spellStart"/>
            <w:r w:rsidRPr="00D37986">
              <w:rPr>
                <w:color w:val="000000" w:themeColor="text1"/>
              </w:rPr>
              <w:t>vågningsprogram</w:t>
            </w:r>
            <w:proofErr w:type="spellEnd"/>
            <w:r w:rsidRPr="00D37986">
              <w:rPr>
                <w:color w:val="000000" w:themeColor="text1"/>
              </w:rPr>
              <w:t xml:space="preserve"> for Vandmiljø og Natur (NOVANA Nye aktiviteter…’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736" w14:textId="60E94684" w:rsidR="007E19D4" w:rsidRPr="00D37986" w:rsidRDefault="00502889" w:rsidP="00F77DF8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  <w:lang w:val="nb-NO"/>
              </w:rPr>
              <w:t>Ret til</w:t>
            </w:r>
            <w:r w:rsidR="00533578" w:rsidRPr="00D37986">
              <w:rPr>
                <w:b w:val="0"/>
                <w:bCs w:val="0"/>
                <w:color w:val="000000" w:themeColor="text1"/>
              </w:rPr>
              <w:t>: ’….en del af Det Nationale Over-</w:t>
            </w:r>
            <w:proofErr w:type="spellStart"/>
            <w:r w:rsidR="00533578" w:rsidRPr="00D37986">
              <w:rPr>
                <w:b w:val="0"/>
                <w:bCs w:val="0"/>
                <w:color w:val="000000" w:themeColor="text1"/>
              </w:rPr>
              <w:t>vågningsprogram</w:t>
            </w:r>
            <w:proofErr w:type="spellEnd"/>
            <w:r w:rsidR="00533578" w:rsidRPr="00D37986">
              <w:rPr>
                <w:b w:val="0"/>
                <w:bCs w:val="0"/>
                <w:color w:val="000000" w:themeColor="text1"/>
              </w:rPr>
              <w:t xml:space="preserve"> for Vandmiljø og Natur (NOVANA</w:t>
            </w:r>
            <w:r w:rsidR="00533578" w:rsidRPr="00D37986">
              <w:rPr>
                <w:color w:val="000000" w:themeColor="text1"/>
              </w:rPr>
              <w:t>).</w:t>
            </w:r>
            <w:r w:rsidR="00533578" w:rsidRPr="00D37986">
              <w:rPr>
                <w:b w:val="0"/>
                <w:bCs w:val="0"/>
                <w:color w:val="000000" w:themeColor="text1"/>
              </w:rPr>
              <w:t xml:space="preserve">  Nye aktiviteter…’</w:t>
            </w:r>
          </w:p>
        </w:tc>
      </w:tr>
      <w:tr w:rsidR="007E19D4" w:rsidRPr="00D37986" w14:paraId="2118BD66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D6" w14:textId="4C738326" w:rsidR="007E19D4" w:rsidRPr="00D37986" w:rsidRDefault="00FA04EC" w:rsidP="00F77DF8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103" w14:textId="6FBBCDD9" w:rsidR="007E19D4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>p. 14, næstnederste afsnit</w:t>
            </w:r>
            <w:r w:rsidR="00C71219" w:rsidRPr="00D37986"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ADC" w14:textId="0A22B774" w:rsidR="007E19D4" w:rsidRPr="00D37986" w:rsidRDefault="00502889" w:rsidP="0050288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Sprogligt</w:t>
            </w:r>
          </w:p>
          <w:p w14:paraId="266013E8" w14:textId="77777777" w:rsidR="007E19D4" w:rsidRPr="00D37986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09F" w14:textId="77777777" w:rsidR="006E33DE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>Der står:</w:t>
            </w:r>
            <w:r w:rsidRPr="00D37986">
              <w:t xml:space="preserve"> ’</w:t>
            </w:r>
            <w:r w:rsidRPr="00D37986">
              <w:rPr>
                <w:i/>
                <w:iCs/>
                <w:color w:val="000000" w:themeColor="text1"/>
              </w:rPr>
              <w:t>Indikatorer</w:t>
            </w:r>
            <w:r w:rsidRPr="00D37986">
              <w:rPr>
                <w:color w:val="000000" w:themeColor="text1"/>
              </w:rPr>
              <w:t xml:space="preserve">: Til hvert kriterie er der knyttet en eller flere indikatorer med henblik på, at målopfyldelsen kan overvåges og vurderes. Der fastlægges derudover indikatorer, der kan anvendes til at vurdere miljøtilstanden.’ </w:t>
            </w:r>
          </w:p>
          <w:p w14:paraId="4EE87A08" w14:textId="0038F2B3" w:rsidR="007E19D4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 xml:space="preserve">Det er uklart om der her skelnes mellem indikatorer, der kan vurdere målopfyldelse og vurdere tilstanden.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B13" w14:textId="3E919C6C" w:rsidR="007E19D4" w:rsidRPr="00D37986" w:rsidRDefault="00502889" w:rsidP="00F77DF8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  <w:lang w:val="nb-NO"/>
              </w:rPr>
              <w:t>Præciser.</w:t>
            </w:r>
          </w:p>
        </w:tc>
      </w:tr>
      <w:tr w:rsidR="007E19D4" w:rsidRPr="00D37986" w14:paraId="00349D75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F32" w14:textId="3D518116" w:rsidR="007E19D4" w:rsidRPr="00D37986" w:rsidRDefault="00FA04EC" w:rsidP="00F77DF8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365" w14:textId="12D4E35D" w:rsidR="007E19D4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>p. 15, l. 4</w:t>
            </w:r>
            <w:r w:rsidR="00C71219" w:rsidRPr="00D37986"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BFE" w14:textId="77777777" w:rsidR="00502889" w:rsidRPr="00D37986" w:rsidRDefault="00502889" w:rsidP="0050288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Sprogligt</w:t>
            </w:r>
          </w:p>
          <w:p w14:paraId="2B55488D" w14:textId="77777777" w:rsidR="007E19D4" w:rsidRPr="00D37986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CD216B" w14:textId="77777777" w:rsidR="007E19D4" w:rsidRPr="00D37986" w:rsidRDefault="007E19D4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155" w14:textId="4D727E8F" w:rsidR="007E19D4" w:rsidRPr="00D37986" w:rsidRDefault="0050288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>Der står: ’…</w:t>
            </w:r>
            <w:r w:rsidRPr="00D37986">
              <w:t xml:space="preserve"> </w:t>
            </w:r>
            <w:r w:rsidRPr="00D37986">
              <w:rPr>
                <w:color w:val="000000" w:themeColor="text1"/>
              </w:rPr>
              <w:t>ved at adresse så mange som..’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AD8" w14:textId="315C2E12" w:rsidR="007E19D4" w:rsidRPr="00D37986" w:rsidRDefault="00502889" w:rsidP="00F77DF8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  <w:lang w:val="nb-NO"/>
              </w:rPr>
              <w:t xml:space="preserve">Ret til: </w:t>
            </w:r>
            <w:r w:rsidRPr="00D37986">
              <w:rPr>
                <w:b w:val="0"/>
                <w:bCs w:val="0"/>
                <w:color w:val="000000" w:themeColor="text1"/>
              </w:rPr>
              <w:t>’…</w:t>
            </w:r>
            <w:r w:rsidRPr="00D37986">
              <w:rPr>
                <w:b w:val="0"/>
                <w:bCs w:val="0"/>
              </w:rPr>
              <w:t xml:space="preserve"> </w:t>
            </w:r>
            <w:r w:rsidRPr="00D37986">
              <w:rPr>
                <w:b w:val="0"/>
                <w:bCs w:val="0"/>
                <w:color w:val="000000" w:themeColor="text1"/>
              </w:rPr>
              <w:t>ved at adresse</w:t>
            </w:r>
            <w:r w:rsidRPr="00D37986">
              <w:rPr>
                <w:color w:val="000000" w:themeColor="text1"/>
              </w:rPr>
              <w:t>re</w:t>
            </w:r>
            <w:r w:rsidRPr="00D37986">
              <w:rPr>
                <w:b w:val="0"/>
                <w:bCs w:val="0"/>
                <w:color w:val="000000" w:themeColor="text1"/>
              </w:rPr>
              <w:t xml:space="preserve"> så mange som</w:t>
            </w:r>
            <w:r w:rsidR="006E33DE" w:rsidRPr="00D37986">
              <w:rPr>
                <w:b w:val="0"/>
                <w:bCs w:val="0"/>
                <w:color w:val="000000" w:themeColor="text1"/>
              </w:rPr>
              <w:t>.</w:t>
            </w:r>
            <w:r w:rsidRPr="00D37986">
              <w:rPr>
                <w:b w:val="0"/>
                <w:bCs w:val="0"/>
                <w:color w:val="000000" w:themeColor="text1"/>
              </w:rPr>
              <w:t>..’</w:t>
            </w:r>
          </w:p>
        </w:tc>
      </w:tr>
      <w:tr w:rsidR="007E19D4" w:rsidRPr="00D37986" w14:paraId="3833F3E0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4F0" w14:textId="6713C7EB" w:rsidR="007E19D4" w:rsidRPr="00D37986" w:rsidRDefault="00FA04EC" w:rsidP="00F77DF8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750" w14:textId="405F1B7B" w:rsidR="007E19D4" w:rsidRPr="00D37986" w:rsidRDefault="00C71219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 xml:space="preserve">p. 20, afsnit 4.4 Anden NOVANA </w:t>
            </w:r>
            <w:proofErr w:type="spellStart"/>
            <w:r w:rsidRPr="00D37986">
              <w:rPr>
                <w:rFonts w:cs="Tahoma"/>
              </w:rPr>
              <w:t>overvågn</w:t>
            </w:r>
            <w:proofErr w:type="spellEnd"/>
            <w:r w:rsidRPr="00D37986">
              <w:rPr>
                <w:rFonts w:cs="Tahoma"/>
              </w:rPr>
              <w:t xml:space="preserve"> </w:t>
            </w:r>
            <w:proofErr w:type="spellStart"/>
            <w:r w:rsidRPr="00D37986">
              <w:rPr>
                <w:rFonts w:cs="Tahoma"/>
              </w:rPr>
              <w:t>ing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E1E" w14:textId="77777777" w:rsidR="007E19D4" w:rsidRPr="00D37986" w:rsidRDefault="007E19D4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</w:p>
          <w:p w14:paraId="674A2EBB" w14:textId="34ABDBCF" w:rsidR="007E19D4" w:rsidRPr="00D37986" w:rsidRDefault="00C71219" w:rsidP="00F77D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 xml:space="preserve">Overvågning af </w:t>
            </w:r>
            <w:r w:rsidR="001C3FE2" w:rsidRPr="00D37986">
              <w:rPr>
                <w:rFonts w:cs="Tahoma"/>
              </w:rPr>
              <w:t xml:space="preserve">bundfauna på </w:t>
            </w:r>
            <w:r w:rsidRPr="00D37986">
              <w:rPr>
                <w:rFonts w:cs="Tahoma"/>
              </w:rPr>
              <w:t>vadeflader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31D" w14:textId="681BAA2C" w:rsidR="007E19D4" w:rsidRPr="00D37986" w:rsidRDefault="00C71219" w:rsidP="00F77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 xml:space="preserve">Det er ikke nødvendigvis relevant at tage med her, men </w:t>
            </w:r>
            <w:r w:rsidR="001773DF" w:rsidRPr="00D37986">
              <w:rPr>
                <w:color w:val="000000" w:themeColor="text1"/>
              </w:rPr>
              <w:t>vi vil blot</w:t>
            </w:r>
            <w:r w:rsidRPr="00D37986">
              <w:rPr>
                <w:color w:val="000000" w:themeColor="text1"/>
              </w:rPr>
              <w:t xml:space="preserve"> nævne at der under NOVANA-programmet i 2025 er igangsat overvågning af bundfauna på vadeflader (naturtype </w:t>
            </w:r>
            <w:r w:rsidR="006E33DE" w:rsidRPr="00D37986">
              <w:rPr>
                <w:color w:val="000000" w:themeColor="text1"/>
              </w:rPr>
              <w:t xml:space="preserve">1140 </w:t>
            </w:r>
            <w:r w:rsidRPr="00D37986">
              <w:rPr>
                <w:color w:val="000000" w:themeColor="text1"/>
              </w:rPr>
              <w:t xml:space="preserve">under Habitatdirektivet) i relation til fødegrundlag for fugle (under </w:t>
            </w:r>
            <w:proofErr w:type="spellStart"/>
            <w:r w:rsidRPr="00D37986">
              <w:rPr>
                <w:color w:val="000000" w:themeColor="text1"/>
              </w:rPr>
              <w:t>fuglebeskyttesesdirektivet</w:t>
            </w:r>
            <w:proofErr w:type="spellEnd"/>
            <w:r w:rsidRPr="00D37986">
              <w:rPr>
                <w:color w:val="000000" w:themeColor="text1"/>
              </w:rPr>
              <w:t>). Overvågningen, som planlægges at fortsætte mindst NOVANA 2023-27 programmet ud, er initieret i et samarbejde mellem MST og SGAV</w:t>
            </w:r>
            <w:r w:rsidR="008D7068" w:rsidRPr="00D37986">
              <w:rPr>
                <w:color w:val="000000" w:themeColor="text1"/>
              </w:rPr>
              <w:t xml:space="preserve"> på baggrund af anbefalinger fra AU</w:t>
            </w:r>
            <w:r w:rsidRPr="00D37986">
              <w:rPr>
                <w:color w:val="000000" w:themeColor="text1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795" w14:textId="77777777" w:rsidR="007E19D4" w:rsidRPr="00D37986" w:rsidRDefault="007E19D4" w:rsidP="00F77DF8">
            <w:pPr>
              <w:rPr>
                <w:b w:val="0"/>
                <w:bCs w:val="0"/>
                <w:lang w:val="nb-NO"/>
              </w:rPr>
            </w:pPr>
          </w:p>
        </w:tc>
      </w:tr>
      <w:tr w:rsidR="002F1799" w:rsidRPr="00D37986" w14:paraId="7E489285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7DC" w14:textId="53A2B1DF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lastRenderedPageBreak/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7C1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Side 30, afsnit 6.2</w:t>
            </w:r>
          </w:p>
          <w:p w14:paraId="6F65F4AC" w14:textId="1BAE23E3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BB4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D8C" w14:textId="555ED632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>Vurderinger for kriterierne D1C1 og D1C2 beskrives. Er der ikke vurderinger for D1C4 og D1C5? Anvendes vurderinger fra habitatdirektivets artikel 17 ikke i den sammenhæng?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6CD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1F7858FD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C66" w14:textId="2F89A95A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0FE" w14:textId="02A38C04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>s. 31 Afsnit 6.4</w:t>
            </w:r>
            <w:r w:rsidRPr="00D37986">
              <w:rPr>
                <w:sz w:val="22"/>
                <w:szCs w:val="22"/>
              </w:rPr>
              <w:br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53E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49D" w14:textId="74161F8F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 xml:space="preserve">"Dette omfatter arterne hav-lampret, flodlampret, stavsild, laks, snæbel og helt" </w:t>
            </w:r>
            <w:r w:rsidRPr="00D37986">
              <w:rPr>
                <w:sz w:val="22"/>
                <w:szCs w:val="22"/>
              </w:rPr>
              <w:br/>
            </w:r>
            <w:r w:rsidRPr="00D37986">
              <w:rPr>
                <w:sz w:val="22"/>
                <w:szCs w:val="22"/>
              </w:rPr>
              <w:br/>
              <w:t>Majsild er ikke nævnt? Den overvåges også</w:t>
            </w:r>
            <w:r w:rsidRPr="00D37986">
              <w:rPr>
                <w:sz w:val="22"/>
                <w:szCs w:val="22"/>
              </w:rPr>
              <w:br/>
            </w:r>
            <w:r w:rsidRPr="00D37986">
              <w:rPr>
                <w:sz w:val="22"/>
                <w:szCs w:val="22"/>
              </w:rPr>
              <w:br/>
              <w:t>Der er ikke en særskilt overvågning af helt (ingen Teknisk Anvisning), den registreres i det omfang den findes ved en almindelig fiskeundersøgelse. Hvorvidt der skal være en særskilt overvågning ift. habitatdirektivet er under afklaring i samarbejde med Fagdatacenteret (DCE) via et igangværende projekt der afsluttes ved udgangen af 2026.</w:t>
            </w:r>
            <w:r w:rsidRPr="00D37986">
              <w:rPr>
                <w:sz w:val="22"/>
                <w:szCs w:val="22"/>
              </w:rPr>
              <w:br/>
            </w:r>
            <w:r w:rsidRPr="00D37986">
              <w:rPr>
                <w:sz w:val="22"/>
                <w:szCs w:val="22"/>
              </w:rPr>
              <w:br/>
              <w:t>DTU Aqua gennemfører årlige undersøgelser af laksebestanden jf. forvaltningsplanen for de danske laksebestande (</w:t>
            </w:r>
            <w:hyperlink r:id="rId8" w:tgtFrame="_blank" w:history="1">
              <w:r w:rsidRPr="00D37986">
                <w:rPr>
                  <w:sz w:val="22"/>
                  <w:szCs w:val="22"/>
                </w:rPr>
                <w:t>https://www.fiskepleje.dk/fiskebiologi/laks/laksekvote/lakseforvaltning</w:t>
              </w:r>
            </w:hyperlink>
            <w:r w:rsidRPr="00D37986">
              <w:rPr>
                <w:sz w:val="22"/>
                <w:szCs w:val="22"/>
              </w:rPr>
              <w:t xml:space="preserve">). SGAV har dermed ingen særskilt overvågning af laks, </w:t>
            </w:r>
            <w:r w:rsidRPr="00D37986">
              <w:rPr>
                <w:sz w:val="22"/>
                <w:szCs w:val="22"/>
              </w:rPr>
              <w:lastRenderedPageBreak/>
              <w:t>den registreres kun i det omfang den findes ved en almindelig fiskeundersøgelse.</w:t>
            </w:r>
            <w:r w:rsidRPr="00D37986">
              <w:rPr>
                <w:sz w:val="22"/>
                <w:szCs w:val="22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3BF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2C6DE54F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BDE" w14:textId="65C7A5AB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FB1" w14:textId="573F330B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>S. 31 Afsnit 6.4</w:t>
            </w:r>
            <w:r w:rsidRPr="00D37986">
              <w:rPr>
                <w:sz w:val="22"/>
                <w:szCs w:val="22"/>
              </w:rPr>
              <w:br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6A8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C7D" w14:textId="77777777" w:rsidR="0036025D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"Ved en undersøgelse artsbestemmes, længemåles og tælles de fangne fisk."</w:t>
            </w:r>
            <w:r w:rsidRPr="00D37986">
              <w:rPr>
                <w:sz w:val="22"/>
                <w:szCs w:val="22"/>
              </w:rPr>
              <w:br/>
            </w:r>
            <w:r w:rsidRPr="00D37986">
              <w:rPr>
                <w:sz w:val="22"/>
                <w:szCs w:val="22"/>
              </w:rPr>
              <w:br/>
              <w:t>Der opmåles hvor der enten er tale om NOVANA Kontrol stationer (alle arter opmåles) eller hvor der er tale om NOVANA Operationelle stationer, Ørredindeks, her måles dog kun laks/ørred, ikke øvrige arter, disse optælles - det samme gælder NOVANA Operationelle,  Artsindeks, her optælles arterne.</w:t>
            </w:r>
          </w:p>
          <w:p w14:paraId="718958EE" w14:textId="77777777" w:rsidR="0036025D" w:rsidRPr="00D37986" w:rsidRDefault="0036025D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F80E086" w14:textId="5053B854" w:rsidR="002F1799" w:rsidRPr="00D37986" w:rsidRDefault="0036025D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>Og i øvrigt skal det ikke være længdemåles og ikke længemåles?</w:t>
            </w:r>
            <w:r w:rsidR="002F1799" w:rsidRPr="00D37986">
              <w:rPr>
                <w:sz w:val="22"/>
                <w:szCs w:val="22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82F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32249CDF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C8F" w14:textId="65D56727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F08" w14:textId="2E9612AD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 xml:space="preserve">p. 38, 2. afsnit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414" w14:textId="2511C9B5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 xml:space="preserve">Overvågning af meso- og </w:t>
            </w:r>
            <w:proofErr w:type="spellStart"/>
            <w:r w:rsidRPr="00D37986">
              <w:t>mikrozooplankton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99B" w14:textId="170F5BD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>Der står: Nordsøen overvåges 11 stationer to gange årligt (se Figur 7.1).’</w:t>
            </w:r>
          </w:p>
          <w:p w14:paraId="5C00EC58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724A5A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E87C64" w14:textId="77777777" w:rsidR="008D5FEF" w:rsidRPr="00D37986" w:rsidRDefault="008D5FEF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B53C2FD" w14:textId="77777777" w:rsidR="008D5FEF" w:rsidRPr="00D37986" w:rsidRDefault="008D5FEF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7A4291B1" w14:textId="77777777" w:rsidR="008D5FEF" w:rsidRPr="00D37986" w:rsidRDefault="008D5FEF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8351319" w14:textId="77777777" w:rsidR="008D5FEF" w:rsidRPr="00D37986" w:rsidRDefault="008D5FEF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EFEF691" w14:textId="172A70DD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color w:val="000000" w:themeColor="text1"/>
              </w:rPr>
              <w:t>Der står: ’</w:t>
            </w:r>
            <w:proofErr w:type="spellStart"/>
            <w:r w:rsidRPr="00D37986">
              <w:t>Mesozooplankton</w:t>
            </w:r>
            <w:proofErr w:type="spellEnd"/>
            <w:r w:rsidRPr="00D37986">
              <w:t xml:space="preserve"> overvåges udelukkende gennem havstrategien.’</w:t>
            </w:r>
          </w:p>
          <w:p w14:paraId="7741436B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1B6E14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B5CD0A" w14:textId="06F1822B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t>Der står: ’ Dog foretages selve prøveindsamlingen ved de kystnære stationer af SGAV.’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F18" w14:textId="2E8A4A50" w:rsidR="002F1799" w:rsidRPr="00D37986" w:rsidRDefault="008D5FEF" w:rsidP="008D5FEF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  <w:lang w:val="nb-NO"/>
              </w:rPr>
              <w:lastRenderedPageBreak/>
              <w:t>Erstat med: I Nordsøen overvåges 12 stationer årligt, 10 af disse stationer ligger i den åbne Nordsø og overvåges 2 gange årligt, og de 2 resterende er kystnære, henholdsvis Hirtshals og en station ud for Ringkøbing Fjord, som overvåges 20 gange årligt.</w:t>
            </w:r>
          </w:p>
          <w:p w14:paraId="3810FF03" w14:textId="77777777" w:rsidR="002F1799" w:rsidRPr="00D37986" w:rsidRDefault="002F1799" w:rsidP="002F1799">
            <w:pPr>
              <w:rPr>
                <w:lang w:val="nb-NO"/>
              </w:rPr>
            </w:pPr>
          </w:p>
          <w:p w14:paraId="661B832D" w14:textId="18BA2458" w:rsidR="002F1799" w:rsidRPr="00D37986" w:rsidRDefault="002F1799" w:rsidP="002F1799">
            <w:r w:rsidRPr="00D37986">
              <w:rPr>
                <w:b w:val="0"/>
                <w:bCs w:val="0"/>
                <w:lang w:val="nb-NO"/>
              </w:rPr>
              <w:lastRenderedPageBreak/>
              <w:t xml:space="preserve">Tilføj: </w:t>
            </w:r>
            <w:r w:rsidRPr="00D37986">
              <w:rPr>
                <w:b w:val="0"/>
                <w:bCs w:val="0"/>
                <w:color w:val="000000" w:themeColor="text1"/>
              </w:rPr>
              <w:t>’</w:t>
            </w:r>
            <w:proofErr w:type="spellStart"/>
            <w:r w:rsidRPr="00D37986">
              <w:rPr>
                <w:b w:val="0"/>
                <w:bCs w:val="0"/>
              </w:rPr>
              <w:t>Mesozooplankton</w:t>
            </w:r>
            <w:proofErr w:type="spellEnd"/>
            <w:r w:rsidRPr="00D37986">
              <w:rPr>
                <w:b w:val="0"/>
                <w:bCs w:val="0"/>
              </w:rPr>
              <w:t xml:space="preserve"> </w:t>
            </w:r>
            <w:r w:rsidRPr="00D37986">
              <w:t xml:space="preserve">og </w:t>
            </w:r>
            <w:proofErr w:type="spellStart"/>
            <w:r w:rsidRPr="00D37986">
              <w:t>mikrozooplankton</w:t>
            </w:r>
            <w:proofErr w:type="spellEnd"/>
            <w:r w:rsidRPr="00D37986">
              <w:rPr>
                <w:b w:val="0"/>
                <w:bCs w:val="0"/>
              </w:rPr>
              <w:t xml:space="preserve"> overvåges udelukkende gennem havstrategien.’</w:t>
            </w:r>
          </w:p>
          <w:p w14:paraId="11C06C3F" w14:textId="77777777" w:rsidR="002F1799" w:rsidRPr="00D37986" w:rsidRDefault="002F1799" w:rsidP="002F1799"/>
          <w:p w14:paraId="2A87ADD5" w14:textId="4D933869" w:rsidR="002F1799" w:rsidRPr="00D37986" w:rsidRDefault="002B535A" w:rsidP="002F1799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</w:rPr>
              <w:t>Irrelevant, bør slettes.</w:t>
            </w:r>
          </w:p>
        </w:tc>
      </w:tr>
      <w:tr w:rsidR="002F1799" w:rsidRPr="00D37986" w14:paraId="7A8BFFF0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447" w14:textId="72A22E05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9CC" w14:textId="4E5753FC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 xml:space="preserve">Side 38, linje 15 til 20,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048" w14:textId="376609FF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37986">
              <w:rPr>
                <w:bCs/>
              </w:rPr>
              <w:t>Antal stationer, beskrivelsen heraf.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455" w14:textId="6A30AFD3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rFonts w:cs="BookAntiqua"/>
              </w:rPr>
              <w:t xml:space="preserve">Jeg tæller 28 </w:t>
            </w:r>
            <w:proofErr w:type="spellStart"/>
            <w:r w:rsidRPr="00D37986">
              <w:rPr>
                <w:rFonts w:cs="BookAntiqua"/>
              </w:rPr>
              <w:t>fytoplankton</w:t>
            </w:r>
            <w:proofErr w:type="spellEnd"/>
            <w:r w:rsidRPr="00D37986">
              <w:rPr>
                <w:rFonts w:cs="BookAntiqua"/>
              </w:rPr>
              <w:t xml:space="preserve"> stationer på kortet, men 17 kontrolstationer i de indre danske farvande + 11 Nordsø stationer + 2 kystnære </w:t>
            </w:r>
            <w:proofErr w:type="spellStart"/>
            <w:r w:rsidRPr="00D37986">
              <w:rPr>
                <w:rFonts w:cs="BookAntiqua"/>
              </w:rPr>
              <w:t>nordsø</w:t>
            </w:r>
            <w:proofErr w:type="spellEnd"/>
            <w:r w:rsidRPr="00D37986">
              <w:rPr>
                <w:rFonts w:cs="BookAntiqua"/>
              </w:rPr>
              <w:t xml:space="preserve"> stationer + Ringkøbing Fjord stationen giver 31.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42E" w14:textId="77777777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>Forslag til omformulering:</w:t>
            </w:r>
          </w:p>
          <w:p w14:paraId="5F73DA56" w14:textId="64713AD2" w:rsidR="002F1799" w:rsidRPr="00D37986" w:rsidRDefault="002F1799" w:rsidP="002F1799">
            <w:pPr>
              <w:rPr>
                <w:lang w:val="nb-NO"/>
              </w:rPr>
            </w:pPr>
            <w:proofErr w:type="spellStart"/>
            <w:r w:rsidRPr="00D37986">
              <w:rPr>
                <w:b w:val="0"/>
              </w:rPr>
              <w:t>Fytoplankton</w:t>
            </w:r>
            <w:proofErr w:type="spellEnd"/>
            <w:r w:rsidRPr="00D37986">
              <w:rPr>
                <w:b w:val="0"/>
              </w:rPr>
              <w:t xml:space="preserve"> diversitet overvåges 20 gange årligt på 1</w:t>
            </w:r>
            <w:r w:rsidR="00DC476B" w:rsidRPr="00D37986">
              <w:rPr>
                <w:b w:val="0"/>
              </w:rPr>
              <w:t>8</w:t>
            </w:r>
            <w:r w:rsidRPr="00D37986">
              <w:rPr>
                <w:b w:val="0"/>
              </w:rPr>
              <w:t xml:space="preserve"> stationer</w:t>
            </w:r>
            <w:r w:rsidR="00DC476B" w:rsidRPr="00D37986">
              <w:rPr>
                <w:b w:val="0"/>
              </w:rPr>
              <w:t xml:space="preserve"> fordelt i de danske farvandsområder</w:t>
            </w:r>
            <w:r w:rsidRPr="00D37986">
              <w:rPr>
                <w:b w:val="0"/>
              </w:rPr>
              <w:t>. I den åbne del af Nordsøen overvåges 1</w:t>
            </w:r>
            <w:r w:rsidR="002B535A" w:rsidRPr="00D37986">
              <w:rPr>
                <w:b w:val="0"/>
              </w:rPr>
              <w:t>0</w:t>
            </w:r>
            <w:r w:rsidRPr="00D37986">
              <w:rPr>
                <w:b w:val="0"/>
              </w:rPr>
              <w:t xml:space="preserve"> stationer en gang årligt. Der vil muligvis blive tale om justeringer af frekvensen og/eller prøvestationerne </w:t>
            </w:r>
            <w:proofErr w:type="spellStart"/>
            <w:r w:rsidRPr="00D37986">
              <w:rPr>
                <w:b w:val="0"/>
              </w:rPr>
              <w:t>ifm</w:t>
            </w:r>
            <w:proofErr w:type="spellEnd"/>
            <w:r w:rsidRPr="00D37986">
              <w:rPr>
                <w:b w:val="0"/>
              </w:rPr>
              <w:t xml:space="preserve"> den endelige fastlæggelse af programmet.</w:t>
            </w:r>
          </w:p>
        </w:tc>
      </w:tr>
      <w:tr w:rsidR="002F1799" w:rsidRPr="00D37986" w14:paraId="3515359B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B49" w14:textId="2D7B8D83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DA0" w14:textId="073DBBEC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sz w:val="22"/>
                <w:szCs w:val="22"/>
              </w:rPr>
              <w:t xml:space="preserve">Side 39, linje 5,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E194" w14:textId="4DF56B68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37986">
              <w:rPr>
                <w:bCs/>
              </w:rPr>
              <w:t>Figur reference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510" w14:textId="5B265E4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rPr>
                <w:rFonts w:cs="BookAntiqua"/>
              </w:rPr>
              <w:t>Hvilken figur? Hvis der menes figur 3.1, så viser den ikke noget med klorofyl-a eller 132 overvågningsstationer. Figur 1 er på side 70 og viser ”kortlagte beskyttede havstrategiområder i perioden 2021-2024”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66E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0BA213A6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A1D" w14:textId="67F1B917" w:rsidR="002F1799" w:rsidRPr="00D37986" w:rsidRDefault="002F1799" w:rsidP="002F1799">
            <w:pPr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BD3" w14:textId="665F0A40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t xml:space="preserve">39. Afsnit 7.3.1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ABB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986">
              <w:t>Østersøen (Arkona) og Bornholm</w:t>
            </w:r>
          </w:p>
          <w:p w14:paraId="2DCBA012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406" w14:textId="77BCCE44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color w:val="000000" w:themeColor="text1"/>
              </w:rPr>
              <w:t>Stationerne Østersøen, Arkona (99000052) og Bornholm (99000049) nævnes ikke i forbindelse med halvering</w:t>
            </w:r>
            <w:r w:rsidR="003235FD" w:rsidRPr="00D37986">
              <w:rPr>
                <w:color w:val="000000" w:themeColor="text1"/>
              </w:rPr>
              <w:t xml:space="preserve"> af </w:t>
            </w:r>
            <w:proofErr w:type="spellStart"/>
            <w:r w:rsidR="003235FD" w:rsidRPr="00D37986">
              <w:rPr>
                <w:color w:val="000000" w:themeColor="text1"/>
              </w:rPr>
              <w:t>mesozooplankton</w:t>
            </w:r>
            <w:proofErr w:type="spellEnd"/>
            <w:r w:rsidRPr="00D37986">
              <w:rPr>
                <w:color w:val="000000" w:themeColor="text1"/>
              </w:rPr>
              <w:t>. Sker der ikke ændringer for disse stationer?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0F0" w14:textId="68ABA832" w:rsidR="002F1799" w:rsidRPr="00D37986" w:rsidRDefault="002F1799" w:rsidP="002F1799">
            <w:pPr>
              <w:rPr>
                <w:lang w:val="nb-NO"/>
              </w:rPr>
            </w:pPr>
            <w:r w:rsidRPr="00D37986">
              <w:rPr>
                <w:b w:val="0"/>
                <w:lang w:val="nb-NO"/>
              </w:rPr>
              <w:t>Afklar kommentar</w:t>
            </w:r>
          </w:p>
        </w:tc>
      </w:tr>
      <w:tr w:rsidR="002F1799" w:rsidRPr="00D37986" w14:paraId="72757107" w14:textId="77777777" w:rsidTr="004F345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51C" w14:textId="6313800C" w:rsidR="002F1799" w:rsidRPr="00D37986" w:rsidRDefault="002F1799" w:rsidP="002F1799">
            <w:pPr>
              <w:autoSpaceDE w:val="0"/>
              <w:autoSpaceDN w:val="0"/>
              <w:rPr>
                <w:rFonts w:cs="BookAntiqua"/>
                <w:sz w:val="22"/>
                <w:szCs w:val="22"/>
              </w:rPr>
            </w:pPr>
            <w:r w:rsidRPr="00D37986">
              <w:rPr>
                <w:rFonts w:cs="BookAntiqua"/>
                <w:sz w:val="22"/>
                <w:szCs w:val="22"/>
              </w:rPr>
              <w:lastRenderedPageBreak/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B5D" w14:textId="671917F5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39. Afsnit 7.3.1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09B" w14:textId="77777777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proofErr w:type="spellStart"/>
            <w:r w:rsidRPr="00D37986">
              <w:rPr>
                <w:rFonts w:cs="BookAntiqua"/>
              </w:rPr>
              <w:t>mikrozooplankton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989" w14:textId="072284B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Halveret frekvens vurderes ikke at have betydning for efterlevelsen af Danmarks direktivforpligtelser – men med halveringen haves en væsentlig forringelse i datamængden til beskrivelsen af mikro og </w:t>
            </w:r>
            <w:proofErr w:type="spellStart"/>
            <w:r w:rsidRPr="00D37986">
              <w:rPr>
                <w:rFonts w:cs="BookAntiqua"/>
              </w:rPr>
              <w:t>mesozooplankton</w:t>
            </w:r>
            <w:proofErr w:type="spellEnd"/>
            <w:r w:rsidRPr="00D37986">
              <w:rPr>
                <w:rFonts w:cs="BookAntiqua"/>
              </w:rPr>
              <w:t xml:space="preserve"> sammensætningen samt fordoblet risiko for at gå glip af dokumentation af eventuelle opblomstringer og deres betydning for forekomsten af </w:t>
            </w:r>
            <w:proofErr w:type="spellStart"/>
            <w:r w:rsidRPr="00D37986">
              <w:rPr>
                <w:rFonts w:cs="BookAntiqua"/>
              </w:rPr>
              <w:t>fytoplankton</w:t>
            </w:r>
            <w:proofErr w:type="spellEnd"/>
            <w:r w:rsidRPr="00D37986">
              <w:rPr>
                <w:rFonts w:cs="BookAntiqua"/>
              </w:rPr>
              <w:t xml:space="preserve">. </w:t>
            </w:r>
          </w:p>
          <w:p w14:paraId="524A7510" w14:textId="0D79C813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  <w:p w14:paraId="13FD2B8A" w14:textId="501FAE74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Desuden forekommer rationalet for de ’forskellige halveringer’ umiddelbart vanskelige at forstå. Fx rammer halveringen kun </w:t>
            </w:r>
            <w:proofErr w:type="spellStart"/>
            <w:r w:rsidRPr="00D37986">
              <w:rPr>
                <w:rFonts w:cs="BookAntiqua"/>
              </w:rPr>
              <w:t>mesozooplankton</w:t>
            </w:r>
            <w:proofErr w:type="spellEnd"/>
            <w:r w:rsidRPr="00D37986">
              <w:rPr>
                <w:rFonts w:cs="BookAntiqua"/>
              </w:rPr>
              <w:t xml:space="preserve">, men ikke </w:t>
            </w:r>
            <w:proofErr w:type="spellStart"/>
            <w:r w:rsidRPr="00D37986">
              <w:rPr>
                <w:rFonts w:cs="BookAntiqua"/>
              </w:rPr>
              <w:t>mikrozooplankton</w:t>
            </w:r>
            <w:proofErr w:type="spellEnd"/>
            <w:r w:rsidRPr="00D37986">
              <w:rPr>
                <w:rFonts w:cs="BookAntiqua"/>
              </w:rPr>
              <w:t xml:space="preserve">, for den kystnære Vesterhavsstation, mens Hirtshalsstationen er ’intakt’. Mens det for de 10 Nordsøstationer gælder, at det er </w:t>
            </w:r>
            <w:proofErr w:type="spellStart"/>
            <w:r w:rsidRPr="00D37986">
              <w:rPr>
                <w:rFonts w:cs="BookAntiqua"/>
              </w:rPr>
              <w:t>fytoplankton</w:t>
            </w:r>
            <w:proofErr w:type="spellEnd"/>
            <w:r w:rsidRPr="00D37986">
              <w:rPr>
                <w:rFonts w:cs="BookAntiqua"/>
              </w:rPr>
              <w:t xml:space="preserve"> der halveres, </w:t>
            </w:r>
            <w:proofErr w:type="spellStart"/>
            <w:r w:rsidRPr="00D37986">
              <w:rPr>
                <w:rFonts w:cs="BookAntiqua"/>
              </w:rPr>
              <w:t>mikrozooplankton</w:t>
            </w:r>
            <w:proofErr w:type="spellEnd"/>
            <w:r w:rsidRPr="00D37986">
              <w:rPr>
                <w:rFonts w:cs="BookAntiqua"/>
              </w:rPr>
              <w:t xml:space="preserve"> der elimineres og </w:t>
            </w:r>
            <w:proofErr w:type="spellStart"/>
            <w:r w:rsidRPr="00D37986">
              <w:rPr>
                <w:rFonts w:cs="BookAntiqua"/>
              </w:rPr>
              <w:t>mesozooplankton</w:t>
            </w:r>
            <w:proofErr w:type="spellEnd"/>
            <w:r w:rsidRPr="00D37986">
              <w:rPr>
                <w:rFonts w:cs="BookAntiqua"/>
              </w:rPr>
              <w:t xml:space="preserve"> der bibeholdes; i sidstnævnte tilfælde vil der være én prøvetagningsomgang hvor </w:t>
            </w:r>
            <w:proofErr w:type="spellStart"/>
            <w:r w:rsidRPr="00D37986">
              <w:rPr>
                <w:rFonts w:cs="BookAntiqua"/>
              </w:rPr>
              <w:t>mesozooplankton</w:t>
            </w:r>
            <w:proofErr w:type="spellEnd"/>
            <w:r w:rsidRPr="00D37986">
              <w:rPr>
                <w:rFonts w:cs="BookAntiqua"/>
              </w:rPr>
              <w:t xml:space="preserve"> er det eneste planktonelement, der overvåges.</w:t>
            </w:r>
          </w:p>
          <w:p w14:paraId="57158496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  <w:p w14:paraId="6F8C43D5" w14:textId="2E3A44E6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Der har ved Havforskermøder og andre faglige fora været enighed om, at der er behov for bedre forståelse for de dynamikker, der ligger bag </w:t>
            </w:r>
            <w:r w:rsidRPr="00D37986">
              <w:rPr>
                <w:rFonts w:cs="BookAntiqua"/>
              </w:rPr>
              <w:lastRenderedPageBreak/>
              <w:t xml:space="preserve">udviklingen i </w:t>
            </w:r>
            <w:proofErr w:type="spellStart"/>
            <w:r w:rsidRPr="00D37986">
              <w:rPr>
                <w:rFonts w:cs="BookAntiqua"/>
              </w:rPr>
              <w:t>fytoplankton</w:t>
            </w:r>
            <w:proofErr w:type="spellEnd"/>
            <w:r w:rsidRPr="00D37986">
              <w:rPr>
                <w:rFonts w:cs="BookAntiqua"/>
              </w:rPr>
              <w:t xml:space="preserve">, klorofyl og primærproduktion og her er der gentagne gange blevet understreget nødvendigheden af adgang til  </w:t>
            </w:r>
            <w:proofErr w:type="spellStart"/>
            <w:r w:rsidRPr="00D37986">
              <w:rPr>
                <w:rFonts w:cs="BookAntiqua"/>
              </w:rPr>
              <w:t>mesozooplanktondata</w:t>
            </w:r>
            <w:proofErr w:type="spellEnd"/>
            <w:r w:rsidRPr="00D37986">
              <w:rPr>
                <w:rFonts w:cs="BookAntiqua"/>
              </w:rPr>
              <w:t xml:space="preserve">. </w:t>
            </w:r>
          </w:p>
          <w:p w14:paraId="4E3831A2" w14:textId="73133E4F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032" w14:textId="77777777" w:rsidR="002F1799" w:rsidRPr="00D37986" w:rsidRDefault="002F1799" w:rsidP="002F1799">
            <w:pPr>
              <w:rPr>
                <w:b w:val="0"/>
                <w:lang w:val="nb-NO"/>
              </w:rPr>
            </w:pPr>
            <w:r w:rsidRPr="00D37986">
              <w:rPr>
                <w:b w:val="0"/>
                <w:lang w:val="nb-NO"/>
              </w:rPr>
              <w:lastRenderedPageBreak/>
              <w:t>Forholde sig mere konkret til konsekvensen af en halvering</w:t>
            </w:r>
          </w:p>
        </w:tc>
      </w:tr>
      <w:tr w:rsidR="002F1799" w:rsidRPr="00D37986" w14:paraId="47DE84AA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773" w14:textId="4C9DBB68" w:rsidR="002F1799" w:rsidRPr="00D37986" w:rsidRDefault="002F1799" w:rsidP="002F1799">
            <w:pPr>
              <w:rPr>
                <w:sz w:val="22"/>
                <w:szCs w:val="22"/>
                <w:lang w:val="nb-NO"/>
              </w:rPr>
            </w:pPr>
            <w:r w:rsidRPr="00D37986">
              <w:rPr>
                <w:sz w:val="22"/>
                <w:szCs w:val="22"/>
                <w:lang w:val="nb-NO"/>
              </w:rPr>
              <w:t>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40F" w14:textId="48B9029F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rFonts w:cs="Tahoma"/>
              </w:rPr>
              <w:t xml:space="preserve">40. Afsnit 7.6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AFD" w14:textId="77777777" w:rsidR="002F1799" w:rsidRPr="00D37986" w:rsidRDefault="002F1799" w:rsidP="002F179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proofErr w:type="spellStart"/>
            <w:r w:rsidRPr="00D37986">
              <w:rPr>
                <w:rFonts w:cs="Tahoma"/>
              </w:rPr>
              <w:t>Mesozooplanktondata</w:t>
            </w:r>
            <w:proofErr w:type="spellEnd"/>
            <w:r w:rsidRPr="00D37986">
              <w:rPr>
                <w:rFonts w:cs="Tahoma"/>
              </w:rPr>
              <w:t xml:space="preserve"> i </w:t>
            </w:r>
            <w:proofErr w:type="spellStart"/>
            <w:r w:rsidRPr="00D37986">
              <w:rPr>
                <w:rFonts w:cs="Tahoma"/>
              </w:rPr>
              <w:t>VanDa</w:t>
            </w:r>
            <w:proofErr w:type="spellEnd"/>
          </w:p>
          <w:p w14:paraId="5749691F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8E5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 xml:space="preserve">Der veksles mellem brug af planktondata og </w:t>
            </w:r>
            <w:proofErr w:type="spellStart"/>
            <w:r w:rsidRPr="00D37986">
              <w:rPr>
                <w:color w:val="000000" w:themeColor="text1"/>
              </w:rPr>
              <w:t>mesozooplankton</w:t>
            </w:r>
            <w:proofErr w:type="spellEnd"/>
            <w:r w:rsidRPr="00D37986">
              <w:rPr>
                <w:color w:val="000000" w:themeColor="text1"/>
              </w:rPr>
              <w:t xml:space="preserve"> data. Der bør skrives </w:t>
            </w:r>
            <w:proofErr w:type="spellStart"/>
            <w:r w:rsidRPr="00D37986">
              <w:rPr>
                <w:color w:val="000000" w:themeColor="text1"/>
              </w:rPr>
              <w:t>mesozooplankton</w:t>
            </w:r>
            <w:proofErr w:type="spellEnd"/>
            <w:r w:rsidRPr="00D37986">
              <w:rPr>
                <w:color w:val="000000" w:themeColor="text1"/>
              </w:rPr>
              <w:t xml:space="preserve"> konsekvent, da </w:t>
            </w:r>
            <w:proofErr w:type="spellStart"/>
            <w:r w:rsidRPr="00D37986">
              <w:rPr>
                <w:color w:val="000000" w:themeColor="text1"/>
              </w:rPr>
              <w:t>fytoplankton</w:t>
            </w:r>
            <w:proofErr w:type="spellEnd"/>
            <w:r w:rsidRPr="00D37986">
              <w:rPr>
                <w:color w:val="000000" w:themeColor="text1"/>
              </w:rPr>
              <w:t xml:space="preserve"> og </w:t>
            </w:r>
            <w:proofErr w:type="spellStart"/>
            <w:r w:rsidRPr="00D37986">
              <w:rPr>
                <w:color w:val="000000" w:themeColor="text1"/>
              </w:rPr>
              <w:t>mikrozooplankton</w:t>
            </w:r>
            <w:proofErr w:type="spellEnd"/>
            <w:r w:rsidRPr="00D37986">
              <w:rPr>
                <w:color w:val="000000" w:themeColor="text1"/>
              </w:rPr>
              <w:t xml:space="preserve"> data konsolideres i et andet projekt. </w:t>
            </w:r>
          </w:p>
          <w:p w14:paraId="3652A5E6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2FE" w14:textId="77777777" w:rsidR="002F1799" w:rsidRPr="00D37986" w:rsidRDefault="002F1799" w:rsidP="002F1799">
            <w:pPr>
              <w:rPr>
                <w:bCs w:val="0"/>
                <w:lang w:val="nb-NO"/>
              </w:rPr>
            </w:pPr>
            <w:r w:rsidRPr="00D37986">
              <w:rPr>
                <w:b w:val="0"/>
                <w:lang w:val="nb-NO"/>
              </w:rPr>
              <w:t>Vær mere tydelig på at det handler om mesozooplanktondata</w:t>
            </w:r>
          </w:p>
          <w:p w14:paraId="33CC8008" w14:textId="77777777" w:rsidR="002F1799" w:rsidRPr="00D37986" w:rsidRDefault="002F1799" w:rsidP="002F1799">
            <w:pPr>
              <w:rPr>
                <w:b w:val="0"/>
                <w:lang w:val="nb-NO"/>
              </w:rPr>
            </w:pPr>
          </w:p>
          <w:p w14:paraId="475890DE" w14:textId="77777777" w:rsidR="002F1799" w:rsidRPr="00D37986" w:rsidRDefault="002F1799" w:rsidP="002F1799">
            <w:pPr>
              <w:rPr>
                <w:b w:val="0"/>
                <w:lang w:val="nb-NO"/>
              </w:rPr>
            </w:pPr>
          </w:p>
          <w:p w14:paraId="2BBA65F2" w14:textId="77777777" w:rsidR="002F1799" w:rsidRPr="00D37986" w:rsidRDefault="002F1799" w:rsidP="002F1799">
            <w:pPr>
              <w:rPr>
                <w:b w:val="0"/>
                <w:lang w:val="nb-NO"/>
              </w:rPr>
            </w:pPr>
          </w:p>
          <w:p w14:paraId="28E5D1D4" w14:textId="77777777" w:rsidR="002F1799" w:rsidRPr="00D37986" w:rsidRDefault="002F1799" w:rsidP="002F1799">
            <w:pPr>
              <w:rPr>
                <w:bCs w:val="0"/>
                <w:lang w:val="nb-NO"/>
              </w:rPr>
            </w:pPr>
          </w:p>
          <w:p w14:paraId="1BB34804" w14:textId="0695D4E0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1917D4FE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E75" w14:textId="199462D5" w:rsidR="002F1799" w:rsidRPr="00D37986" w:rsidRDefault="002F1799" w:rsidP="002F1799">
            <w:pPr>
              <w:rPr>
                <w:sz w:val="22"/>
                <w:szCs w:val="22"/>
                <w:lang w:val="nb-NO"/>
              </w:rPr>
            </w:pPr>
            <w:r w:rsidRPr="00D37986">
              <w:rPr>
                <w:sz w:val="22"/>
                <w:szCs w:val="22"/>
                <w:lang w:val="nb-NO"/>
              </w:rPr>
              <w:t>1</w:t>
            </w:r>
            <w:r w:rsidR="002C3D92" w:rsidRPr="00D37986">
              <w:rPr>
                <w:sz w:val="22"/>
                <w:szCs w:val="22"/>
                <w:lang w:val="nb-NO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FC5" w14:textId="7CA667D2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 xml:space="preserve">40 Afsnit 7.6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B48" w14:textId="0B8C5B5D" w:rsidR="002F1799" w:rsidRPr="00D37986" w:rsidRDefault="002F1799" w:rsidP="002F179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r w:rsidRPr="00D37986">
              <w:rPr>
                <w:rFonts w:cs="Tahoma"/>
              </w:rPr>
              <w:t xml:space="preserve">Primærproduktion i </w:t>
            </w:r>
            <w:proofErr w:type="spellStart"/>
            <w:r w:rsidRPr="00D37986">
              <w:rPr>
                <w:rFonts w:cs="Tahoma"/>
              </w:rPr>
              <w:t>VanDa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697" w14:textId="2299C0B9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 xml:space="preserve">Det skrives, at primærproduktion er tilgængeligt i </w:t>
            </w:r>
            <w:proofErr w:type="spellStart"/>
            <w:r w:rsidRPr="00D37986">
              <w:rPr>
                <w:color w:val="000000" w:themeColor="text1"/>
              </w:rPr>
              <w:t>VanDa</w:t>
            </w:r>
            <w:proofErr w:type="spellEnd"/>
            <w:r w:rsidRPr="00D37986">
              <w:rPr>
                <w:color w:val="000000" w:themeColor="text1"/>
              </w:rPr>
              <w:t xml:space="preserve">. Dette er ikke korrekt, data er ikke tilgængelige i nogen database.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C19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10DE7704" w14:textId="77777777" w:rsidTr="00F77DF8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603" w14:textId="5DB9ECCD" w:rsidR="002F1799" w:rsidRPr="00D37986" w:rsidRDefault="002F1799" w:rsidP="002F1799">
            <w:pPr>
              <w:rPr>
                <w:sz w:val="22"/>
                <w:szCs w:val="22"/>
                <w:lang w:val="nb-NO"/>
              </w:rPr>
            </w:pPr>
            <w:r w:rsidRPr="00D37986">
              <w:rPr>
                <w:sz w:val="22"/>
                <w:szCs w:val="22"/>
                <w:lang w:val="nb-NO"/>
              </w:rPr>
              <w:t>1</w:t>
            </w:r>
            <w:r w:rsidR="002C3D92" w:rsidRPr="00D37986">
              <w:rPr>
                <w:sz w:val="22"/>
                <w:szCs w:val="22"/>
                <w:lang w:val="nb-NO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E57" w14:textId="16E9F03B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rFonts w:cs="Tahoma"/>
              </w:rPr>
              <w:t xml:space="preserve">40. Afsnit 7.6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C26" w14:textId="77777777" w:rsidR="002F1799" w:rsidRPr="00D37986" w:rsidRDefault="002F1799" w:rsidP="002F179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</w:rPr>
            </w:pPr>
            <w:proofErr w:type="spellStart"/>
            <w:r w:rsidRPr="00D37986">
              <w:rPr>
                <w:rFonts w:cs="Tahoma"/>
              </w:rPr>
              <w:t>Mesozooplanktondata</w:t>
            </w:r>
            <w:proofErr w:type="spellEnd"/>
            <w:r w:rsidRPr="00D37986">
              <w:rPr>
                <w:rFonts w:cs="Tahoma"/>
              </w:rPr>
              <w:t xml:space="preserve"> i </w:t>
            </w:r>
            <w:proofErr w:type="spellStart"/>
            <w:r w:rsidRPr="00D37986">
              <w:rPr>
                <w:rFonts w:cs="Tahoma"/>
              </w:rPr>
              <w:t>VanDa</w:t>
            </w:r>
            <w:proofErr w:type="spellEnd"/>
          </w:p>
          <w:p w14:paraId="047BC3DD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A1D" w14:textId="47C303F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color w:val="000000" w:themeColor="text1"/>
              </w:rPr>
              <w:t xml:space="preserve">Det skrives sidst i første afsnit at ”planktondata vil dog ikke være tilgængeligt i </w:t>
            </w:r>
            <w:proofErr w:type="spellStart"/>
            <w:r w:rsidRPr="00D37986">
              <w:rPr>
                <w:color w:val="000000" w:themeColor="text1"/>
              </w:rPr>
              <w:t>VanDa</w:t>
            </w:r>
            <w:proofErr w:type="spellEnd"/>
            <w:r w:rsidRPr="00D37986">
              <w:rPr>
                <w:color w:val="000000" w:themeColor="text1"/>
              </w:rPr>
              <w:t xml:space="preserve">”. Målet med konsolideringsprojektet er vel også at få kvalitetssikrede data i </w:t>
            </w:r>
            <w:proofErr w:type="spellStart"/>
            <w:r w:rsidRPr="00D37986">
              <w:rPr>
                <w:color w:val="000000" w:themeColor="text1"/>
              </w:rPr>
              <w:t>VanDa</w:t>
            </w:r>
            <w:proofErr w:type="spellEnd"/>
            <w:r w:rsidRPr="00D37986">
              <w:rPr>
                <w:color w:val="000000" w:themeColor="text1"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02F" w14:textId="1F7C05BB" w:rsidR="002F1799" w:rsidRPr="00D37986" w:rsidRDefault="002F1799" w:rsidP="002F1799">
            <w:pPr>
              <w:rPr>
                <w:lang w:val="nb-NO"/>
              </w:rPr>
            </w:pPr>
            <w:r w:rsidRPr="00D37986">
              <w:rPr>
                <w:b w:val="0"/>
                <w:lang w:val="nb-NO"/>
              </w:rPr>
              <w:t>Mesozooplanktondata skal vel være i VanDa? Forklar</w:t>
            </w:r>
          </w:p>
        </w:tc>
      </w:tr>
      <w:tr w:rsidR="002F1799" w:rsidRPr="00D37986" w14:paraId="7D9678EE" w14:textId="77777777" w:rsidTr="00F77DF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E58" w14:textId="61FF8F5D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CD0" w14:textId="0A46C96D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  <w:r w:rsidRPr="00D37986">
              <w:rPr>
                <w:rFonts w:cs="Tahoma"/>
                <w:bCs/>
              </w:rPr>
              <w:t>Tabel 8 side 42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F0B" w14:textId="0DA3CD63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DC6" w14:textId="4DFBD970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bCs/>
                <w:color w:val="000000" w:themeColor="text1"/>
              </w:rPr>
              <w:t>I kolonnen hvor overvågningen er beskrevet refereres der til NOVANA overvågning, men denne titel bruges ikke konsekvent, og det er ikke klart hvad der præcist indgår i denne overvågning. Menes der både (</w:t>
            </w:r>
            <w:proofErr w:type="spellStart"/>
            <w:r w:rsidRPr="00D37986">
              <w:rPr>
                <w:bCs/>
                <w:color w:val="000000" w:themeColor="text1"/>
              </w:rPr>
              <w:t>eDNA-</w:t>
            </w:r>
            <w:proofErr w:type="spellEnd"/>
            <w:r w:rsidRPr="00D37986">
              <w:rPr>
                <w:bCs/>
                <w:color w:val="000000" w:themeColor="text1"/>
              </w:rPr>
              <w:t xml:space="preserve">)overvågning på etablerede NOVANA-stationer samt forekomst af </w:t>
            </w:r>
            <w:r w:rsidRPr="00D37986">
              <w:rPr>
                <w:bCs/>
                <w:color w:val="000000" w:themeColor="text1"/>
              </w:rPr>
              <w:lastRenderedPageBreak/>
              <w:t xml:space="preserve">ikke-hjemmehørende arter ifm. hel almindelig (konventionel) NOVANA-artsovervågning? Er havneovervågning ikke også en del af NOVANA?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A88" w14:textId="595F3DA1" w:rsidR="002F1799" w:rsidRPr="00D37986" w:rsidRDefault="002F1799" w:rsidP="002F1799">
            <w:pPr>
              <w:rPr>
                <w:b w:val="0"/>
                <w:bCs w:val="0"/>
                <w:lang w:val="nb-NO"/>
              </w:rPr>
            </w:pPr>
            <w:r w:rsidRPr="00D37986">
              <w:rPr>
                <w:b w:val="0"/>
                <w:bCs w:val="0"/>
                <w:lang w:val="nb-NO"/>
              </w:rPr>
              <w:lastRenderedPageBreak/>
              <w:t xml:space="preserve">Brug NOVANA konsekvent eller uddyb hvilken overvågning der ligger bag ordet NOVANA. </w:t>
            </w:r>
          </w:p>
        </w:tc>
      </w:tr>
      <w:tr w:rsidR="002F1799" w:rsidRPr="00D37986" w14:paraId="4DB106C0" w14:textId="77777777" w:rsidTr="00F77DF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C01" w14:textId="47108B34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929" w14:textId="0F243DFE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/>
              </w:rPr>
            </w:pPr>
            <w:r w:rsidRPr="00D37986">
              <w:rPr>
                <w:sz w:val="22"/>
                <w:szCs w:val="22"/>
              </w:rPr>
              <w:t>Side 46 afsnit 8.4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B0B" w14:textId="77777777" w:rsidR="002F1799" w:rsidRPr="00D37986" w:rsidRDefault="002F1799" w:rsidP="002F1799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3F8" w14:textId="5B469CD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D37986">
              <w:rPr>
                <w:rFonts w:cs="BookAntiqua"/>
              </w:rPr>
              <w:t xml:space="preserve">Det beskrives i indledningen at </w:t>
            </w:r>
            <w:r w:rsidRPr="00D37986">
              <w:rPr>
                <w:rFonts w:cs="BookAntiqua"/>
                <w:i/>
                <w:iCs/>
              </w:rPr>
              <w:t>” Sekundære kriterier kan indgå supplerende til primære kriterier, men inddragelse er kun påkrævet, hvis der er risiko for, at god miljøtilstand ikke kan opnås eller opretholdes i forbindelse med et primært kriterie.”</w:t>
            </w:r>
            <w:r w:rsidRPr="00D37986">
              <w:rPr>
                <w:rFonts w:cs="BookAntiqua"/>
              </w:rPr>
              <w:t xml:space="preserve"> Overvågningen af NIS på NOVANA stationer via </w:t>
            </w:r>
            <w:proofErr w:type="spellStart"/>
            <w:r w:rsidRPr="00D37986">
              <w:rPr>
                <w:rFonts w:cs="BookAntiqua"/>
              </w:rPr>
              <w:t>eDNA</w:t>
            </w:r>
            <w:proofErr w:type="spellEnd"/>
            <w:r w:rsidRPr="00D37986">
              <w:rPr>
                <w:rFonts w:cs="BookAntiqua"/>
              </w:rPr>
              <w:t xml:space="preserve"> er et sekundært kriterie under D2C2, og det ønskes at stoppe denne overvågning. Det fremgår af tabel 9, at D2C2 er i ukendt tilstand. Bør denne overvågning ikke opretholdes, hvis beskrivelsen fra indledningen om sekundære kriterier skal opretholdes?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C2A" w14:textId="77777777" w:rsidR="002F1799" w:rsidRPr="00D37986" w:rsidRDefault="002F1799" w:rsidP="002F1799">
            <w:pPr>
              <w:rPr>
                <w:lang w:val="nb-NO"/>
              </w:rPr>
            </w:pPr>
          </w:p>
        </w:tc>
      </w:tr>
      <w:tr w:rsidR="002F1799" w:rsidRPr="00D37986" w14:paraId="08757E04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763" w14:textId="7E34D413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D6E" w14:textId="7C6AE69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Afsnit 8.3 side 46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534" w14:textId="06736FB2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9A0" w14:textId="321A9DC3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37986">
              <w:rPr>
                <w:color w:val="000000" w:themeColor="text1"/>
              </w:rPr>
              <w:t>Linket til bruttolisten henviser til en hjemmeside som SGAV administrerer, er dette korrekt?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1E1" w14:textId="77777777" w:rsidR="002F1799" w:rsidRPr="00D37986" w:rsidRDefault="002F1799" w:rsidP="002F1799">
            <w:pPr>
              <w:rPr>
                <w:b w:val="0"/>
                <w:bCs w:val="0"/>
              </w:rPr>
            </w:pPr>
          </w:p>
        </w:tc>
      </w:tr>
      <w:tr w:rsidR="002F1799" w:rsidRPr="00D37986" w14:paraId="1F1FF76D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AE0" w14:textId="0D606E0F" w:rsidR="002F1799" w:rsidRPr="00D37986" w:rsidRDefault="002F1799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</w:t>
            </w:r>
            <w:r w:rsidR="002C3D92" w:rsidRPr="00D37986"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86C" w14:textId="2C1D9E0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Afsnit 8.5 side 46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826" w14:textId="1590C18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FBF" w14:textId="4E31FFF5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D37986">
              <w:rPr>
                <w:rFonts w:cs="BookAntiqua"/>
              </w:rPr>
              <w:t>Der udføres ikke overvågning af fiskebestande i det marine delprogram under NOVANA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21D" w14:textId="77777777" w:rsidR="002F1799" w:rsidRPr="00D37986" w:rsidRDefault="002F1799" w:rsidP="002F1799">
            <w:pPr>
              <w:rPr>
                <w:b w:val="0"/>
              </w:rPr>
            </w:pPr>
          </w:p>
        </w:tc>
      </w:tr>
      <w:tr w:rsidR="002F1799" w:rsidRPr="00D37986" w14:paraId="10738278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F3C" w14:textId="7CB029F1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2C6" w14:textId="07444498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Side 47 afsnit 8.7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5B0" w14:textId="0464C42C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37986">
              <w:rPr>
                <w:b/>
              </w:rPr>
              <w:t>Kvalitetssikring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005" w14:textId="28C6817C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Kvalitetssikringen af NOVANA data følger også </w:t>
            </w:r>
            <w:proofErr w:type="spellStart"/>
            <w:r w:rsidRPr="00D37986">
              <w:rPr>
                <w:rFonts w:cs="BookAntiqua"/>
              </w:rPr>
              <w:t>SGAVs</w:t>
            </w:r>
            <w:proofErr w:type="spellEnd"/>
            <w:r w:rsidRPr="00D37986">
              <w:rPr>
                <w:rFonts w:cs="BookAntiqua"/>
              </w:rPr>
              <w:t xml:space="preserve"> retningslinjer. Kvalitetssikringen er beskrevet i </w:t>
            </w:r>
            <w:proofErr w:type="spellStart"/>
            <w:r w:rsidRPr="00D37986">
              <w:rPr>
                <w:rFonts w:cs="BookAntiqua"/>
              </w:rPr>
              <w:t>dTA’erne</w:t>
            </w:r>
            <w:proofErr w:type="spellEnd"/>
            <w:r w:rsidRPr="00D37986">
              <w:rPr>
                <w:rFonts w:cs="BookAntiqua"/>
              </w:rPr>
              <w:t xml:space="preserve">, som ligger offentligt tilgængelige på </w:t>
            </w:r>
            <w:proofErr w:type="spellStart"/>
            <w:r w:rsidRPr="00D37986">
              <w:rPr>
                <w:rFonts w:cs="BookAntiqua"/>
              </w:rPr>
              <w:t>SGAV’s</w:t>
            </w:r>
            <w:proofErr w:type="spellEnd"/>
            <w:r w:rsidRPr="00D37986">
              <w:rPr>
                <w:rFonts w:cs="BookAntiqua"/>
              </w:rPr>
              <w:t xml:space="preserve"> hjemmeside.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CE9" w14:textId="26FAB8A8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 xml:space="preserve">Tilføj SGAV til sætningen </w:t>
            </w:r>
            <w:r w:rsidRPr="00D37986">
              <w:rPr>
                <w:b w:val="0"/>
                <w:i/>
                <w:iCs/>
              </w:rPr>
              <w:t xml:space="preserve">” Disse data gennemgår løbende kvalitetssikring efter Styrelsen for Grøn Arealomlægning og </w:t>
            </w:r>
            <w:r w:rsidRPr="00D37986">
              <w:rPr>
                <w:b w:val="0"/>
                <w:i/>
                <w:iCs/>
              </w:rPr>
              <w:lastRenderedPageBreak/>
              <w:t>Vandmiljø og Miljøstyrelsens retningslinjer…”</w:t>
            </w:r>
          </w:p>
        </w:tc>
      </w:tr>
      <w:tr w:rsidR="002F1799" w:rsidRPr="00D37986" w14:paraId="53C828DE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D2" w14:textId="52EA0C2A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EDB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Tabel 11, p. 55</w:t>
            </w:r>
          </w:p>
          <w:p w14:paraId="0160004C" w14:textId="61082AB9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044" w14:textId="179891C5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37986">
              <w:rPr>
                <w:b/>
              </w:rPr>
              <w:t>Overvågning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46E" w14:textId="4CDAF819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Overvågningskolonnen er tom. Hvilket kan undre, da der bliver foretaget overvågning relateret indikatorerne/kriterierne, fx biomasse af </w:t>
            </w:r>
            <w:proofErr w:type="spellStart"/>
            <w:r w:rsidRPr="00D37986">
              <w:rPr>
                <w:rFonts w:cs="BookAntiqua"/>
              </w:rPr>
              <w:t>fyto</w:t>
            </w:r>
            <w:proofErr w:type="spellEnd"/>
            <w:r w:rsidRPr="00D37986">
              <w:rPr>
                <w:rFonts w:cs="BookAntiqua"/>
              </w:rPr>
              <w:t xml:space="preserve">-, mikrozoo- og </w:t>
            </w:r>
            <w:proofErr w:type="spellStart"/>
            <w:r w:rsidRPr="00D37986">
              <w:rPr>
                <w:rFonts w:cs="BookAntiqua"/>
              </w:rPr>
              <w:t>mesozooplankton</w:t>
            </w:r>
            <w:proofErr w:type="spellEnd"/>
            <w:r w:rsidRPr="00D37986">
              <w:rPr>
                <w:rFonts w:cs="BookAntiqua"/>
              </w:rPr>
              <w:t>, bundfauna, primærproduktion.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28F" w14:textId="64A07BBD" w:rsidR="002F1799" w:rsidRPr="00D37986" w:rsidRDefault="002F1799" w:rsidP="002F1799">
            <w:pPr>
              <w:rPr>
                <w:b w:val="0"/>
                <w:bCs w:val="0"/>
              </w:rPr>
            </w:pPr>
            <w:r w:rsidRPr="00D37986">
              <w:rPr>
                <w:b w:val="0"/>
                <w:bCs w:val="0"/>
              </w:rPr>
              <w:t>Nævn den relevante overvågning, alternativt nævn i tabeloverskriften at der henvises til andre kapitler mht. relevant overvågning</w:t>
            </w:r>
          </w:p>
        </w:tc>
      </w:tr>
      <w:tr w:rsidR="002F1799" w:rsidRPr="00D37986" w14:paraId="2DDA8AF0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E8F" w14:textId="2472679B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323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Tabel 13, p. 60. </w:t>
            </w:r>
          </w:p>
          <w:p w14:paraId="2B30EC7A" w14:textId="115BDB31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6B6" w14:textId="24E75FBA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37986">
              <w:rPr>
                <w:sz w:val="22"/>
                <w:szCs w:val="22"/>
              </w:rPr>
              <w:t>Tabeltekst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50C" w14:textId="74790DB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Der står: ’HELCOM dækker over Bælthavet og den sydlige del af Øresund.’ Det forekommer at være en ufuldstændig beskrivelse.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84A" w14:textId="428BCBE5" w:rsidR="002F1799" w:rsidRPr="00D37986" w:rsidRDefault="002F1799" w:rsidP="002F1799">
            <w:pPr>
              <w:rPr>
                <w:b w:val="0"/>
                <w:bCs w:val="0"/>
              </w:rPr>
            </w:pPr>
            <w:r w:rsidRPr="00D37986">
              <w:rPr>
                <w:b w:val="0"/>
                <w:bCs w:val="0"/>
              </w:rPr>
              <w:t>Præciser</w:t>
            </w:r>
          </w:p>
        </w:tc>
      </w:tr>
      <w:tr w:rsidR="002F1799" w:rsidRPr="00D37986" w14:paraId="7A2FFFBE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EB2" w14:textId="3AFE94C7" w:rsidR="002F1799" w:rsidRPr="00D37986" w:rsidRDefault="002F1799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</w:t>
            </w:r>
            <w:r w:rsidR="002C3D92" w:rsidRPr="00D37986"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150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Side 61, figur 11.1</w:t>
            </w:r>
          </w:p>
          <w:p w14:paraId="5DE5A93D" w14:textId="0BF4B46E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C8D" w14:textId="54CABF72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37986">
              <w:rPr>
                <w:bCs/>
              </w:rPr>
              <w:t>Figurtekst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C93" w14:textId="45B909DE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Havstrategi er også NOVANA overvågning, dertil skrives NOVANA med stort ikke småt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497" w14:textId="77777777" w:rsidR="002F1799" w:rsidRPr="00D37986" w:rsidRDefault="002F1799" w:rsidP="002F1799">
            <w:pPr>
              <w:rPr>
                <w:b w:val="0"/>
              </w:rPr>
            </w:pPr>
          </w:p>
        </w:tc>
      </w:tr>
      <w:tr w:rsidR="002F1799" w:rsidRPr="00D37986" w14:paraId="596C546B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D90" w14:textId="7D103EC0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80" w14:textId="0ED7304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p. 61, afsnit </w:t>
            </w:r>
            <w:r w:rsidRPr="00D37986">
              <w:rPr>
                <w:i/>
                <w:iCs/>
                <w:sz w:val="22"/>
                <w:szCs w:val="22"/>
              </w:rPr>
              <w:t>Vandkemi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7AF" w14:textId="7777777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BE6" w14:textId="5B4B2A4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Det anføres, at der kun er 22 HSD-stationer der overvåges for vandkemiske parametre. Men det er kun en formel (</w:t>
            </w:r>
            <w:proofErr w:type="spellStart"/>
            <w:r w:rsidRPr="00D37986">
              <w:rPr>
                <w:sz w:val="22"/>
                <w:szCs w:val="22"/>
              </w:rPr>
              <w:t>financieringsrelateret</w:t>
            </w:r>
            <w:proofErr w:type="spellEnd"/>
            <w:r w:rsidRPr="00D37986">
              <w:rPr>
                <w:sz w:val="22"/>
                <w:szCs w:val="22"/>
              </w:rPr>
              <w:t>) betegnelse, for at kunne adskille HSD-overvågningen fra den identiske VRD-overvågning, der pågår ’i forvejen’. Denne HSD-overvågning er således supplerende. Mange VRD-stationerne ligger udenfor 1-sømilsområdet, og vil derfor indgå i datagrundlaget for havstrategien. VRD-overvågningen beskrives ganske vist i det efterfølgende kapitel (Anden NOVANA-</w:t>
            </w:r>
            <w:r w:rsidRPr="00D37986">
              <w:rPr>
                <w:sz w:val="22"/>
                <w:szCs w:val="22"/>
              </w:rPr>
              <w:lastRenderedPageBreak/>
              <w:t xml:space="preserve">overvågning), men det er forvirrende og uhensigtsmæssigt at det samlede grundlag først bliver præsenteret til sidst.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2E6" w14:textId="26EA58E8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lastRenderedPageBreak/>
              <w:t>Overvej at samle beskrivelsen i et afsnit (hvor man fint kan udskille hvad der er havstrategistationer)</w:t>
            </w:r>
          </w:p>
        </w:tc>
      </w:tr>
      <w:tr w:rsidR="002F1799" w:rsidRPr="00D37986" w14:paraId="7C3FC3D5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BF5" w14:textId="1B3D02C2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C0E" w14:textId="5E6F2BA9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p. 62, afsnit Ilt og p. 63 afsnit Ilt</w:t>
            </w:r>
          </w:p>
          <w:p w14:paraId="480102CE" w14:textId="45BA9A54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9A4" w14:textId="7777777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C7E" w14:textId="739961F6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Det er uhensigtsmæssigt at beskrive den samlede iltsvindsovervågning p. 62 med henvisning til kun havstrategistationer (lignende problematik som kommentar ovenfor). Selv om der henvises til ilt-afsnittet i næste kapitel (Anden NOVANA-overvågning), er det forvirrende og misvisende tangerende til fejlagtigt at beskrive og adskille det det på denne måde.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78B" w14:textId="0E6EA564" w:rsidR="002F1799" w:rsidRPr="00D37986" w:rsidRDefault="002F1799" w:rsidP="002F1799">
            <w:pPr>
              <w:rPr>
                <w:b w:val="0"/>
                <w:bCs w:val="0"/>
              </w:rPr>
            </w:pPr>
            <w:r w:rsidRPr="00D37986">
              <w:rPr>
                <w:b w:val="0"/>
                <w:bCs w:val="0"/>
                <w:sz w:val="22"/>
                <w:szCs w:val="22"/>
              </w:rPr>
              <w:t>Nøjes med at beskrive den samlede iltsvindsovervågning ét sted (og er det nødvendigt med et ilt-afsnit i begge kapitler, beskriv den samlede iltsvindsovervågning ét sted og henvis her til det andet sted).</w:t>
            </w:r>
          </w:p>
        </w:tc>
      </w:tr>
      <w:tr w:rsidR="002F1799" w:rsidRPr="00D37986" w14:paraId="7043C002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83A" w14:textId="5AC0CC27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7375FF" w:rsidRPr="00D37986">
              <w:rPr>
                <w:rFonts w:cs="Tahoma"/>
                <w:sz w:val="22"/>
                <w:szCs w:val="22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07A" w14:textId="7E9BBD1A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Side 63, afsnit </w:t>
            </w:r>
            <w:r w:rsidRPr="00D37986">
              <w:rPr>
                <w:i/>
                <w:iCs/>
                <w:sz w:val="22"/>
                <w:szCs w:val="22"/>
              </w:rPr>
              <w:t>ilt</w:t>
            </w:r>
            <w:r w:rsidRPr="00D37986">
              <w:rPr>
                <w:sz w:val="22"/>
                <w:szCs w:val="22"/>
              </w:rPr>
              <w:t>, linje 2</w:t>
            </w:r>
          </w:p>
          <w:p w14:paraId="011DCC5C" w14:textId="22BF75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D3E" w14:textId="7777777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9B9" w14:textId="5EC348FE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En supplerende iltsvindsstation starter i overvågning i april, men det typiske er juni/juli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0A8" w14:textId="77777777" w:rsidR="002F1799" w:rsidRPr="00D37986" w:rsidRDefault="002F1799" w:rsidP="002F1799">
            <w:pPr>
              <w:rPr>
                <w:b w:val="0"/>
              </w:rPr>
            </w:pPr>
          </w:p>
        </w:tc>
      </w:tr>
      <w:tr w:rsidR="002F1799" w:rsidRPr="00D37986" w14:paraId="36D59053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576" w14:textId="04E96143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7375FF" w:rsidRPr="00D37986"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925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p. 69</w:t>
            </w:r>
          </w:p>
          <w:p w14:paraId="08FBA307" w14:textId="7777777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D37986">
              <w:rPr>
                <w:sz w:val="22"/>
                <w:szCs w:val="22"/>
              </w:rPr>
              <w:t>sidsteafsnit</w:t>
            </w:r>
            <w:proofErr w:type="spellEnd"/>
            <w:r w:rsidRPr="00D37986">
              <w:rPr>
                <w:sz w:val="22"/>
                <w:szCs w:val="22"/>
              </w:rPr>
              <w:t xml:space="preserve"> og p. 70, fig. 1</w:t>
            </w:r>
          </w:p>
          <w:p w14:paraId="029B6960" w14:textId="260A0DC1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29F" w14:textId="7777777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0D4" w14:textId="44FB1503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Der henvises til en fig. 2, som tilsyneladende ikke findes. Så er det muligvis fig.1, der menes men der er i teksten henvist til et gråt område, der ikke kan ses på fig. 1. Og bør fig. 1 ikke hedde figur 6.1?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EEF" w14:textId="77777777" w:rsidR="002F1799" w:rsidRPr="00D37986" w:rsidRDefault="002F1799" w:rsidP="002F1799">
            <w:pPr>
              <w:rPr>
                <w:b w:val="0"/>
              </w:rPr>
            </w:pPr>
          </w:p>
        </w:tc>
      </w:tr>
      <w:tr w:rsidR="002F1799" w:rsidRPr="00D37986" w14:paraId="4D00286F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2E2" w14:textId="783314A9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DD767C" w:rsidRPr="00D37986"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8CD" w14:textId="284879B7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Side 74, linje 10.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C01" w14:textId="7DB37715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96F" w14:textId="0B084038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 xml:space="preserve">Sætningen slutter med to </w:t>
            </w:r>
            <w:proofErr w:type="spellStart"/>
            <w:r w:rsidRPr="00D37986">
              <w:rPr>
                <w:rFonts w:cs="BookAntiqua"/>
              </w:rPr>
              <w:t>punktnummer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492" w14:textId="13B25A26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>Slet det ene</w:t>
            </w:r>
          </w:p>
        </w:tc>
      </w:tr>
      <w:tr w:rsidR="002F1799" w:rsidRPr="00D37986" w14:paraId="5C811EC0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FE6" w14:textId="272FDDB6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DD767C" w:rsidRPr="00D37986"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CB8" w14:textId="40991A40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Side 74,  linje 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873" w14:textId="29470FD1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C7C" w14:textId="767029D6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Er tabelhenvisningen korrekt? Burde det ikke være tabel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2DD" w14:textId="1BAE05A2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>Ret tabelhenvisning</w:t>
            </w:r>
          </w:p>
        </w:tc>
      </w:tr>
      <w:tr w:rsidR="002F1799" w:rsidRPr="00D37986" w14:paraId="1A587C85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3D6" w14:textId="69420603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lastRenderedPageBreak/>
              <w:t>3</w:t>
            </w:r>
            <w:r w:rsidR="00DD767C" w:rsidRPr="00D37986"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909" w14:textId="24EF2E82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>Side 74,  linje 15-17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BE7" w14:textId="77777777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826" w14:textId="2892BEAB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Antiqua"/>
              </w:rPr>
            </w:pPr>
            <w:r w:rsidRPr="00D37986">
              <w:rPr>
                <w:rFonts w:cs="BookAntiqua"/>
              </w:rPr>
              <w:t>Sætningen ”</w:t>
            </w:r>
            <w:r w:rsidRPr="00D37986">
              <w:rPr>
                <w:sz w:val="22"/>
                <w:szCs w:val="22"/>
              </w:rPr>
              <w:t xml:space="preserve"> </w:t>
            </w:r>
            <w:r w:rsidRPr="00D37986">
              <w:rPr>
                <w:sz w:val="18"/>
                <w:szCs w:val="18"/>
              </w:rPr>
              <w:t>Det er særligt for deskriptor 7, at der ikke er defineret primære kriterier, men at der kun er defineret sekundære kriterier</w:t>
            </w:r>
            <w:r w:rsidRPr="00D37986">
              <w:rPr>
                <w:rFonts w:cs="BookAntiqua"/>
              </w:rPr>
              <w:t>” fremgår to gange i streg.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B5F" w14:textId="4C231DC9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>Slet den ene sætning</w:t>
            </w:r>
          </w:p>
        </w:tc>
      </w:tr>
      <w:tr w:rsidR="002F1799" w:rsidRPr="00D37986" w14:paraId="410D06EA" w14:textId="77777777" w:rsidTr="00F77DF8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599" w14:textId="49ADDECD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DD767C" w:rsidRPr="00D37986"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7F" w14:textId="6ABE6F71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s. 83-84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D5B" w14:textId="154C74D2" w:rsidR="002F1799" w:rsidRPr="00D37986" w:rsidRDefault="002F1799" w:rsidP="002F1799">
            <w:pPr>
              <w:pStyle w:val="Kommentar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DAD" w14:textId="77777777" w:rsidR="004769C5" w:rsidRPr="00D37986" w:rsidRDefault="004769C5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I teksten står der </w:t>
            </w:r>
            <w:r w:rsidRPr="00D37986">
              <w:rPr>
                <w:i/>
                <w:iCs/>
                <w:sz w:val="22"/>
                <w:szCs w:val="22"/>
              </w:rPr>
              <w:t xml:space="preserve">”Overvågning i marine vandområder fokuserer på sediment og </w:t>
            </w:r>
            <w:proofErr w:type="spellStart"/>
            <w:r w:rsidRPr="00D37986">
              <w:rPr>
                <w:i/>
                <w:iCs/>
                <w:sz w:val="22"/>
                <w:szCs w:val="22"/>
              </w:rPr>
              <w:t>biota</w:t>
            </w:r>
            <w:proofErr w:type="spellEnd"/>
            <w:r w:rsidRPr="00D37986">
              <w:rPr>
                <w:i/>
                <w:iCs/>
                <w:sz w:val="22"/>
                <w:szCs w:val="22"/>
              </w:rPr>
              <w:t>.”</w:t>
            </w:r>
          </w:p>
          <w:p w14:paraId="47608B11" w14:textId="3E8ECD4E" w:rsidR="002F1799" w:rsidRPr="00D37986" w:rsidRDefault="002F1799" w:rsidP="002F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sz w:val="22"/>
                <w:szCs w:val="22"/>
              </w:rPr>
              <w:t xml:space="preserve">Når man lige har læst de overstående linjer i afsnit 14.4, kan denne sætning misforstås, således man også kunne tro, at der laves overvågning i saltvand.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14D" w14:textId="0DDD8D99" w:rsidR="002F1799" w:rsidRPr="00D37986" w:rsidRDefault="002F1799" w:rsidP="002F1799">
            <w:pPr>
              <w:rPr>
                <w:b w:val="0"/>
              </w:rPr>
            </w:pPr>
            <w:r w:rsidRPr="00D37986">
              <w:rPr>
                <w:b w:val="0"/>
              </w:rPr>
              <w:t>Erstat ”fokuserer” med et andet ord, f.eks. ”er udelukkende baseret”</w:t>
            </w:r>
          </w:p>
        </w:tc>
      </w:tr>
      <w:tr w:rsidR="002F1799" w14:paraId="1BA9A82B" w14:textId="77777777" w:rsidTr="00F77D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E6D" w14:textId="481F3C76" w:rsidR="002F1799" w:rsidRPr="00D37986" w:rsidRDefault="002C3D92" w:rsidP="002F1799">
            <w:p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D37986">
              <w:rPr>
                <w:rFonts w:cs="Tahoma"/>
                <w:sz w:val="22"/>
                <w:szCs w:val="22"/>
              </w:rPr>
              <w:t>3</w:t>
            </w:r>
            <w:r w:rsidR="00DD767C" w:rsidRPr="00D37986"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266" w14:textId="26C62316" w:rsidR="002F1799" w:rsidRPr="00D37986" w:rsidRDefault="002F1799" w:rsidP="002F17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b w:val="0"/>
                <w:bCs w:val="0"/>
                <w:sz w:val="22"/>
                <w:szCs w:val="22"/>
              </w:rPr>
              <w:t xml:space="preserve">s. 84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C10" w14:textId="57E188A9" w:rsidR="002F1799" w:rsidRPr="00D37986" w:rsidRDefault="002F1799" w:rsidP="002F1799">
            <w:pPr>
              <w:pStyle w:val="Kommentarteks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b w:val="0"/>
                <w:bCs w:val="0"/>
                <w:sz w:val="22"/>
                <w:szCs w:val="22"/>
              </w:rPr>
              <w:t>Der er i alt 72 kontrolstationer i marine områder: 40 for muslinger, 20 for fisk, 4 for sediment og 8 for skrubber.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538" w14:textId="5C5A5493" w:rsidR="004769C5" w:rsidRPr="00D37986" w:rsidRDefault="004769C5" w:rsidP="002F17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37986">
              <w:rPr>
                <w:b w:val="0"/>
                <w:bCs w:val="0"/>
                <w:sz w:val="22"/>
                <w:szCs w:val="22"/>
              </w:rPr>
              <w:t xml:space="preserve">I teksten står der </w:t>
            </w:r>
            <w:r w:rsidRPr="00D37986">
              <w:rPr>
                <w:b w:val="0"/>
                <w:bCs w:val="0"/>
                <w:i/>
                <w:iCs/>
                <w:sz w:val="22"/>
                <w:szCs w:val="22"/>
              </w:rPr>
              <w:t>” Der er i alt 72 kontrolstationer i marine områder: 40 for muslinger, 20 for fisk, 4 for sediment og 8 for skrubber.”</w:t>
            </w:r>
          </w:p>
          <w:p w14:paraId="448FF910" w14:textId="50C7BE88" w:rsidR="002F1799" w:rsidRPr="00D37986" w:rsidRDefault="002F1799" w:rsidP="002F17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D37986">
              <w:rPr>
                <w:b w:val="0"/>
                <w:bCs w:val="0"/>
                <w:sz w:val="22"/>
                <w:szCs w:val="22"/>
              </w:rPr>
              <w:t>Der er 20 KO stationer på muslinger, de overvåges to gange i perioden (40 prøver). Ligeledes for fisk, overvåges kontrolstationerne 2 gange i perioden, dvs. der er 4 skrubbe og 10 ålekvabbestationer.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057" w14:textId="77777777" w:rsidR="002F1799" w:rsidRDefault="002F1799" w:rsidP="002F1799"/>
        </w:tc>
      </w:tr>
    </w:tbl>
    <w:p w14:paraId="2863D1DD" w14:textId="77777777" w:rsidR="007E19D4" w:rsidRPr="00286F70" w:rsidRDefault="007E19D4" w:rsidP="007E19D4"/>
    <w:p w14:paraId="4CC202EF" w14:textId="77777777" w:rsidR="00730F9B" w:rsidRPr="00953410" w:rsidRDefault="00730F9B" w:rsidP="00953410">
      <w:pPr>
        <w:ind w:right="-1759"/>
      </w:pPr>
    </w:p>
    <w:sectPr w:rsidR="00730F9B" w:rsidRPr="00953410" w:rsidSect="007E19D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041" w:bottom="3175" w:left="1701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2C35" w14:textId="77777777" w:rsidR="00E30B17" w:rsidRDefault="00E30B17">
      <w:r>
        <w:separator/>
      </w:r>
    </w:p>
  </w:endnote>
  <w:endnote w:type="continuationSeparator" w:id="0">
    <w:p w14:paraId="2CAB0D72" w14:textId="77777777" w:rsidR="00E30B17" w:rsidRDefault="00E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6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AF854C9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EFA0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53410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6D97" w14:textId="77777777" w:rsidR="00EE0137" w:rsidRPr="00956D3A" w:rsidRDefault="003E51BD" w:rsidP="00EE0137">
    <w:pPr>
      <w:pStyle w:val="Template-Address"/>
    </w:pPr>
    <w:bookmarkStart w:id="1" w:name="XIF_MMFirstAddressLine"/>
    <w:bookmarkStart w:id="2" w:name="XIF_MMSecondAddressLine"/>
    <w:bookmarkStart w:id="3" w:name="OFF_WebHIF"/>
    <w:r w:rsidRPr="00D33F53">
      <w:t xml:space="preserve">Miljøstyrelsen </w:t>
    </w:r>
    <w:r w:rsidRPr="0000398F">
      <w:t xml:space="preserve">• </w:t>
    </w:r>
    <w:bookmarkStart w:id="4" w:name="OFF_AddressAHIF"/>
    <w:r w:rsidRPr="00F06D51">
      <w:t>Lerchesgade 35</w:t>
    </w:r>
    <w:r w:rsidRPr="0000398F">
      <w:t xml:space="preserve"> </w:t>
    </w:r>
    <w:bookmarkEnd w:id="4"/>
    <w:r w:rsidRPr="0000398F">
      <w:rPr>
        <w:vanish/>
      </w:rPr>
      <w:t xml:space="preserve">• </w:t>
    </w:r>
    <w:bookmarkStart w:id="5" w:name="OFF_AddressB"/>
    <w:bookmarkStart w:id="6" w:name="OFF_AddressBHIF"/>
    <w:bookmarkEnd w:id="5"/>
    <w:r w:rsidRPr="0000398F">
      <w:rPr>
        <w:vanish/>
      </w:rPr>
      <w:t xml:space="preserve"> </w:t>
    </w:r>
    <w:bookmarkEnd w:id="6"/>
    <w:r w:rsidRPr="0000398F">
      <w:rPr>
        <w:vanish/>
      </w:rPr>
      <w:t xml:space="preserve">• </w:t>
    </w:r>
    <w:bookmarkStart w:id="7" w:name="OFF_AddressC"/>
    <w:bookmarkStart w:id="8" w:name="OFF_AddressCHIF"/>
    <w:bookmarkEnd w:id="7"/>
    <w:r w:rsidRPr="0000398F">
      <w:rPr>
        <w:vanish/>
      </w:rPr>
      <w:t xml:space="preserve"> </w:t>
    </w:r>
    <w:bookmarkEnd w:id="8"/>
    <w:r w:rsidRPr="0000398F">
      <w:t xml:space="preserve">• </w:t>
    </w:r>
    <w:bookmarkStart w:id="9" w:name="OFF_AddressD"/>
    <w:bookmarkStart w:id="10" w:name="OFF_AddressDHIF"/>
    <w:r w:rsidRPr="0000398F">
      <w:t>5000</w:t>
    </w:r>
    <w:bookmarkEnd w:id="9"/>
    <w:r w:rsidRPr="0000398F">
      <w:t xml:space="preserve"> </w:t>
    </w:r>
    <w:bookmarkStart w:id="11" w:name="OFF_City"/>
    <w:r w:rsidRPr="0000398F">
      <w:t>Odense C</w:t>
    </w:r>
    <w:bookmarkEnd w:id="11"/>
    <w:r w:rsidRPr="0000398F">
      <w:t xml:space="preserve"> </w:t>
    </w:r>
    <w:bookmarkEnd w:id="10"/>
    <w:r w:rsidRPr="0000398F">
      <w:t>•</w:t>
    </w:r>
    <w:r>
      <w:t xml:space="preserve"> </w:t>
    </w:r>
    <w:bookmarkStart w:id="12" w:name="LAN_Phone"/>
    <w:bookmarkStart w:id="13" w:name="OFF_PhoneHIF"/>
    <w:bookmarkEnd w:id="1"/>
  </w:p>
  <w:p w14:paraId="14C6113A" w14:textId="77777777" w:rsidR="005A300F" w:rsidRPr="00F06D51" w:rsidRDefault="00B8592C" w:rsidP="00A3576C">
    <w:pPr>
      <w:pStyle w:val="Template-Address10000"/>
    </w:pPr>
    <w:r w:rsidRPr="00F06D51">
      <w:t>Tlf.</w:t>
    </w:r>
    <w:bookmarkEnd w:id="12"/>
    <w:r w:rsidRPr="00F06D51">
      <w:t xml:space="preserve"> </w:t>
    </w:r>
    <w:bookmarkStart w:id="14" w:name="OFF_Phone"/>
    <w:r w:rsidRPr="00F06D51">
      <w:t>72 54 40 00</w:t>
    </w:r>
    <w:bookmarkEnd w:id="14"/>
    <w:r w:rsidRPr="00F06D51">
      <w:t xml:space="preserve"> </w:t>
    </w:r>
    <w:bookmarkEnd w:id="13"/>
    <w:r w:rsidRPr="00F06D51">
      <w:rPr>
        <w:vanish/>
      </w:rPr>
      <w:t xml:space="preserve">• </w:t>
    </w:r>
    <w:bookmarkStart w:id="15" w:name="LAN_Fax"/>
    <w:bookmarkStart w:id="16" w:name="OFF_FaxHIF"/>
    <w:r w:rsidRPr="00F06D51">
      <w:rPr>
        <w:vanish/>
      </w:rPr>
      <w:t>Fax</w:t>
    </w:r>
    <w:bookmarkEnd w:id="15"/>
    <w:r w:rsidRPr="00F06D51">
      <w:rPr>
        <w:vanish/>
      </w:rPr>
      <w:t xml:space="preserve"> </w:t>
    </w:r>
    <w:bookmarkStart w:id="17" w:name="OFF_Fax"/>
    <w:bookmarkEnd w:id="17"/>
    <w:r w:rsidRPr="00F06D51">
      <w:rPr>
        <w:vanish/>
      </w:rPr>
      <w:t xml:space="preserve"> </w:t>
    </w:r>
    <w:bookmarkEnd w:id="16"/>
    <w:r w:rsidRPr="00F06D51">
      <w:t xml:space="preserve">• </w:t>
    </w:r>
    <w:bookmarkStart w:id="18" w:name="OFF_CVRHIF"/>
    <w:r w:rsidRPr="00F06D51">
      <w:t xml:space="preserve">CVR </w:t>
    </w:r>
    <w:bookmarkStart w:id="19" w:name="OFF_CVR"/>
    <w:r w:rsidRPr="00F06D51">
      <w:t>25798376</w:t>
    </w:r>
    <w:bookmarkEnd w:id="19"/>
    <w:r w:rsidRPr="00F06D51">
      <w:t xml:space="preserve"> </w:t>
    </w:r>
    <w:bookmarkEnd w:id="18"/>
    <w:r w:rsidRPr="00F06D51">
      <w:t xml:space="preserve">• </w:t>
    </w:r>
    <w:bookmarkStart w:id="20" w:name="OFF_EANHIF"/>
    <w:r w:rsidRPr="00F06D51">
      <w:t xml:space="preserve">EAN </w:t>
    </w:r>
    <w:bookmarkStart w:id="21" w:name="OFF_EAN"/>
    <w:r w:rsidRPr="00F06D51">
      <w:t>5798000860810</w:t>
    </w:r>
    <w:bookmarkEnd w:id="21"/>
    <w:r w:rsidRPr="00F06D51">
      <w:t xml:space="preserve"> </w:t>
    </w:r>
    <w:bookmarkEnd w:id="20"/>
    <w:r w:rsidRPr="00F06D51">
      <w:t xml:space="preserve">• </w:t>
    </w:r>
    <w:bookmarkStart w:id="22" w:name="OFF_Email"/>
    <w:bookmarkStart w:id="23" w:name="OFF_EmailHIF"/>
    <w:r w:rsidRPr="00F06D51">
      <w:t>mst@mst.dk</w:t>
    </w:r>
    <w:bookmarkEnd w:id="22"/>
    <w:r w:rsidRPr="00F06D51">
      <w:t xml:space="preserve"> </w:t>
    </w:r>
    <w:bookmarkEnd w:id="23"/>
    <w:r w:rsidRPr="00F06D51">
      <w:t xml:space="preserve">• </w:t>
    </w:r>
    <w:bookmarkStart w:id="24" w:name="OFF_Web"/>
    <w:r w:rsidRPr="00F06D51">
      <w:t>www.mst.dk</w:t>
    </w:r>
    <w:bookmarkEnd w:id="24"/>
    <w:r w:rsidR="00EE0137" w:rsidRPr="00946EE3">
      <w:t xml:space="preserve"> </w:t>
    </w:r>
    <w:bookmarkEnd w:id="2"/>
    <w:bookmarkEnd w:id="3"/>
  </w:p>
  <w:p w14:paraId="0D8F899B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8491" w14:textId="77777777" w:rsidR="00E30B17" w:rsidRDefault="00E30B17">
      <w:r>
        <w:separator/>
      </w:r>
    </w:p>
  </w:footnote>
  <w:footnote w:type="continuationSeparator" w:id="0">
    <w:p w14:paraId="52A3FC65" w14:textId="77777777" w:rsidR="00E30B17" w:rsidRDefault="00E3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457" w14:textId="77777777" w:rsidR="000E717B" w:rsidRDefault="000E717B">
    <w:pPr>
      <w:pStyle w:val="Sidehoved"/>
    </w:pPr>
    <w:bookmarkStart w:id="0" w:name="BIT_PrimaryHeader"/>
  </w:p>
  <w:bookmarkEnd w:id="0"/>
  <w:p w14:paraId="59F5CB58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09BF" w14:textId="77777777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7B3DD7" wp14:editId="4F0048E1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199CA9F1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506A21EE" w14:textId="77777777" w:rsidR="00411D14" w:rsidRPr="003E51BD" w:rsidRDefault="00411D14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</w:p>
                              <w:p w14:paraId="12A4971B" w14:textId="72763209" w:rsidR="005A300F" w:rsidRPr="00C42863" w:rsidRDefault="00B8592C" w:rsidP="00563DC0">
                                <w:r w:rsidRPr="00C42863">
                                  <w:t xml:space="preserve">J.nr. </w:t>
                                </w:r>
                                <w:r w:rsidR="004F4B96">
                                  <w:t>2026-</w:t>
                                </w:r>
                                <w:r w:rsidR="004366EA">
                                  <w:t>18094</w:t>
                                </w:r>
                              </w:p>
                              <w:p w14:paraId="4F45B303" w14:textId="77777777" w:rsidR="005A300F" w:rsidRPr="00C42863" w:rsidRDefault="00B8592C" w:rsidP="00563DC0">
                                <w:r w:rsidRPr="00C42863">
                                  <w:t xml:space="preserve">Ref. </w:t>
                                </w:r>
                                <w:proofErr w:type="spellStart"/>
                                <w:r w:rsidRPr="00C42863">
                                  <w:t>fje</w:t>
                                </w:r>
                                <w:proofErr w:type="spellEnd"/>
                              </w:p>
                              <w:p w14:paraId="3FF14984" w14:textId="77777777" w:rsidR="005A300F" w:rsidRPr="00095830" w:rsidRDefault="00B8592C" w:rsidP="00563DC0">
                                <w:r w:rsidRPr="00C42863">
                                  <w:t>Den 27. januar 2026</w:t>
                                </w:r>
                              </w:p>
                              <w:p w14:paraId="269E151C" w14:textId="77777777"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2A304311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B3DD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199CA9F1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506A21EE" w14:textId="77777777" w:rsidR="00411D14" w:rsidRPr="003E51BD" w:rsidRDefault="00411D14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</w:p>
                        <w:p w14:paraId="12A4971B" w14:textId="72763209" w:rsidR="005A300F" w:rsidRPr="00C42863" w:rsidRDefault="00B8592C" w:rsidP="00563DC0">
                          <w:r w:rsidRPr="00C42863">
                            <w:t xml:space="preserve">J.nr. </w:t>
                          </w:r>
                          <w:r w:rsidR="004F4B96">
                            <w:t>2026-</w:t>
                          </w:r>
                          <w:r w:rsidR="004366EA">
                            <w:t>18094</w:t>
                          </w:r>
                        </w:p>
                        <w:p w14:paraId="4F45B303" w14:textId="77777777" w:rsidR="005A300F" w:rsidRPr="00C42863" w:rsidRDefault="00B8592C" w:rsidP="00563DC0">
                          <w:r w:rsidRPr="00C42863">
                            <w:t xml:space="preserve">Ref. </w:t>
                          </w:r>
                          <w:proofErr w:type="spellStart"/>
                          <w:r w:rsidRPr="00C42863">
                            <w:t>fje</w:t>
                          </w:r>
                          <w:proofErr w:type="spellEnd"/>
                        </w:p>
                        <w:p w14:paraId="3FF14984" w14:textId="77777777" w:rsidR="005A300F" w:rsidRPr="00095830" w:rsidRDefault="00B8592C" w:rsidP="00563DC0">
                          <w:r w:rsidRPr="00C42863">
                            <w:t>Den 27. januar 2026</w:t>
                          </w:r>
                        </w:p>
                        <w:p w14:paraId="269E151C" w14:textId="77777777"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2A304311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18CA4AE" w14:textId="77777777" w:rsidR="00C02650" w:rsidRDefault="003E51BD" w:rsidP="007E1CD7">
    <w:pPr>
      <w:pStyle w:val="DocumentName"/>
      <w:tabs>
        <w:tab w:val="clear" w:pos="9638"/>
        <w:tab w:val="right" w:pos="7230"/>
      </w:tabs>
      <w:rPr>
        <w:caps w:val="0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58F8CF9B" wp14:editId="58000983">
          <wp:simplePos x="0" y="0"/>
          <wp:positionH relativeFrom="page">
            <wp:posOffset>8099425</wp:posOffset>
          </wp:positionH>
          <wp:positionV relativeFrom="topMargin">
            <wp:posOffset>90170</wp:posOffset>
          </wp:positionV>
          <wp:extent cx="2294255" cy="843915"/>
          <wp:effectExtent l="0" t="0" r="0" b="0"/>
          <wp:wrapNone/>
          <wp:docPr id="3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8130292">
    <w:abstractNumId w:val="10"/>
  </w:num>
  <w:num w:numId="2" w16cid:durableId="1041248556">
    <w:abstractNumId w:val="7"/>
  </w:num>
  <w:num w:numId="3" w16cid:durableId="232543061">
    <w:abstractNumId w:val="6"/>
  </w:num>
  <w:num w:numId="4" w16cid:durableId="821822143">
    <w:abstractNumId w:val="5"/>
  </w:num>
  <w:num w:numId="5" w16cid:durableId="562985877">
    <w:abstractNumId w:val="4"/>
  </w:num>
  <w:num w:numId="6" w16cid:durableId="1040130568">
    <w:abstractNumId w:val="11"/>
  </w:num>
  <w:num w:numId="7" w16cid:durableId="735738508">
    <w:abstractNumId w:val="3"/>
  </w:num>
  <w:num w:numId="8" w16cid:durableId="1663704519">
    <w:abstractNumId w:val="2"/>
  </w:num>
  <w:num w:numId="9" w16cid:durableId="491071187">
    <w:abstractNumId w:val="1"/>
  </w:num>
  <w:num w:numId="10" w16cid:durableId="1107387252">
    <w:abstractNumId w:val="0"/>
  </w:num>
  <w:num w:numId="11" w16cid:durableId="563299295">
    <w:abstractNumId w:val="9"/>
  </w:num>
  <w:num w:numId="12" w16cid:durableId="1969165329">
    <w:abstractNumId w:val="13"/>
  </w:num>
  <w:num w:numId="13" w16cid:durableId="1626353260">
    <w:abstractNumId w:val="12"/>
  </w:num>
  <w:num w:numId="14" w16cid:durableId="949051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4D54"/>
    <w:rsid w:val="0001528D"/>
    <w:rsid w:val="000166A0"/>
    <w:rsid w:val="000256D9"/>
    <w:rsid w:val="00030051"/>
    <w:rsid w:val="00037E7E"/>
    <w:rsid w:val="00054D51"/>
    <w:rsid w:val="00060BC5"/>
    <w:rsid w:val="000647F2"/>
    <w:rsid w:val="00066A0C"/>
    <w:rsid w:val="00070BA1"/>
    <w:rsid w:val="00073466"/>
    <w:rsid w:val="00074F1A"/>
    <w:rsid w:val="000758FD"/>
    <w:rsid w:val="00081BF6"/>
    <w:rsid w:val="00082404"/>
    <w:rsid w:val="000825EC"/>
    <w:rsid w:val="00096AA1"/>
    <w:rsid w:val="000A1C92"/>
    <w:rsid w:val="000A26F5"/>
    <w:rsid w:val="000A71D2"/>
    <w:rsid w:val="000A7219"/>
    <w:rsid w:val="000B26E7"/>
    <w:rsid w:val="000B2E5E"/>
    <w:rsid w:val="000B5461"/>
    <w:rsid w:val="000B65ED"/>
    <w:rsid w:val="000C0294"/>
    <w:rsid w:val="000C0594"/>
    <w:rsid w:val="000C13E6"/>
    <w:rsid w:val="000C3107"/>
    <w:rsid w:val="000C3D52"/>
    <w:rsid w:val="000C45B7"/>
    <w:rsid w:val="000C5E02"/>
    <w:rsid w:val="000C62D3"/>
    <w:rsid w:val="000D0F4C"/>
    <w:rsid w:val="000D1CF4"/>
    <w:rsid w:val="000D1D7F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3C3"/>
    <w:rsid w:val="00114DE6"/>
    <w:rsid w:val="001210A9"/>
    <w:rsid w:val="001227B4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636F0"/>
    <w:rsid w:val="00165939"/>
    <w:rsid w:val="001743E7"/>
    <w:rsid w:val="001773DF"/>
    <w:rsid w:val="0018769C"/>
    <w:rsid w:val="001A43C2"/>
    <w:rsid w:val="001A449F"/>
    <w:rsid w:val="001A4D56"/>
    <w:rsid w:val="001A58BF"/>
    <w:rsid w:val="001A6CB5"/>
    <w:rsid w:val="001A7272"/>
    <w:rsid w:val="001A7E4B"/>
    <w:rsid w:val="001B3F10"/>
    <w:rsid w:val="001B72A9"/>
    <w:rsid w:val="001C2544"/>
    <w:rsid w:val="001C3FE2"/>
    <w:rsid w:val="001C417D"/>
    <w:rsid w:val="001C4328"/>
    <w:rsid w:val="001C6975"/>
    <w:rsid w:val="001C7630"/>
    <w:rsid w:val="001D1196"/>
    <w:rsid w:val="001D19D8"/>
    <w:rsid w:val="001D1C0C"/>
    <w:rsid w:val="001D4303"/>
    <w:rsid w:val="001D672F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0763"/>
    <w:rsid w:val="00211AC9"/>
    <w:rsid w:val="00212497"/>
    <w:rsid w:val="00212ED7"/>
    <w:rsid w:val="00216FAB"/>
    <w:rsid w:val="002239C6"/>
    <w:rsid w:val="00225534"/>
    <w:rsid w:val="00226864"/>
    <w:rsid w:val="00235C1F"/>
    <w:rsid w:val="002366E2"/>
    <w:rsid w:val="00236CA9"/>
    <w:rsid w:val="00251538"/>
    <w:rsid w:val="002533C7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84AC4"/>
    <w:rsid w:val="00293240"/>
    <w:rsid w:val="002933E6"/>
    <w:rsid w:val="0029629D"/>
    <w:rsid w:val="002A29B1"/>
    <w:rsid w:val="002A7860"/>
    <w:rsid w:val="002B535A"/>
    <w:rsid w:val="002B54D4"/>
    <w:rsid w:val="002C042D"/>
    <w:rsid w:val="002C3733"/>
    <w:rsid w:val="002C3D92"/>
    <w:rsid w:val="002C4595"/>
    <w:rsid w:val="002C4D00"/>
    <w:rsid w:val="002D00C9"/>
    <w:rsid w:val="002D03C2"/>
    <w:rsid w:val="002D268E"/>
    <w:rsid w:val="002D7F0F"/>
    <w:rsid w:val="002F177C"/>
    <w:rsid w:val="002F1799"/>
    <w:rsid w:val="003001A2"/>
    <w:rsid w:val="003005AD"/>
    <w:rsid w:val="003033ED"/>
    <w:rsid w:val="00310C3C"/>
    <w:rsid w:val="00313642"/>
    <w:rsid w:val="00315AC9"/>
    <w:rsid w:val="00320951"/>
    <w:rsid w:val="003209AA"/>
    <w:rsid w:val="00322BBE"/>
    <w:rsid w:val="003235FD"/>
    <w:rsid w:val="00326ED5"/>
    <w:rsid w:val="00331970"/>
    <w:rsid w:val="00334562"/>
    <w:rsid w:val="00341FCF"/>
    <w:rsid w:val="00343A37"/>
    <w:rsid w:val="00345FA9"/>
    <w:rsid w:val="00350582"/>
    <w:rsid w:val="003537C5"/>
    <w:rsid w:val="00353B4E"/>
    <w:rsid w:val="003558D9"/>
    <w:rsid w:val="003568B6"/>
    <w:rsid w:val="0036025D"/>
    <w:rsid w:val="00362EAC"/>
    <w:rsid w:val="003636D3"/>
    <w:rsid w:val="00365BC4"/>
    <w:rsid w:val="00367A74"/>
    <w:rsid w:val="003819FF"/>
    <w:rsid w:val="00385C06"/>
    <w:rsid w:val="00386D0C"/>
    <w:rsid w:val="00395749"/>
    <w:rsid w:val="003A3350"/>
    <w:rsid w:val="003A3369"/>
    <w:rsid w:val="003A44A9"/>
    <w:rsid w:val="003B6C74"/>
    <w:rsid w:val="003C67E6"/>
    <w:rsid w:val="003D3CB2"/>
    <w:rsid w:val="003D518E"/>
    <w:rsid w:val="003D7E52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07FD0"/>
    <w:rsid w:val="00411D14"/>
    <w:rsid w:val="0041385B"/>
    <w:rsid w:val="00414BA2"/>
    <w:rsid w:val="00415BC0"/>
    <w:rsid w:val="004208E6"/>
    <w:rsid w:val="004232F9"/>
    <w:rsid w:val="00433A1E"/>
    <w:rsid w:val="004366EA"/>
    <w:rsid w:val="00440668"/>
    <w:rsid w:val="00441CD3"/>
    <w:rsid w:val="00442162"/>
    <w:rsid w:val="004421D7"/>
    <w:rsid w:val="00447B83"/>
    <w:rsid w:val="00450475"/>
    <w:rsid w:val="00457882"/>
    <w:rsid w:val="00460B5A"/>
    <w:rsid w:val="00464BB5"/>
    <w:rsid w:val="0046600E"/>
    <w:rsid w:val="00467E79"/>
    <w:rsid w:val="00476722"/>
    <w:rsid w:val="004769C5"/>
    <w:rsid w:val="00481EEB"/>
    <w:rsid w:val="004830C6"/>
    <w:rsid w:val="0048414C"/>
    <w:rsid w:val="0048667B"/>
    <w:rsid w:val="00486F50"/>
    <w:rsid w:val="00495993"/>
    <w:rsid w:val="004977F2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E7FE7"/>
    <w:rsid w:val="004F4B96"/>
    <w:rsid w:val="004F57FD"/>
    <w:rsid w:val="004F7C92"/>
    <w:rsid w:val="005009DC"/>
    <w:rsid w:val="00500EFC"/>
    <w:rsid w:val="00501E2E"/>
    <w:rsid w:val="00502889"/>
    <w:rsid w:val="00506A90"/>
    <w:rsid w:val="00510C26"/>
    <w:rsid w:val="00516F2E"/>
    <w:rsid w:val="0051781E"/>
    <w:rsid w:val="00520971"/>
    <w:rsid w:val="00521F79"/>
    <w:rsid w:val="005267CB"/>
    <w:rsid w:val="00531869"/>
    <w:rsid w:val="00533578"/>
    <w:rsid w:val="00535B7D"/>
    <w:rsid w:val="00544426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5658"/>
    <w:rsid w:val="00596C25"/>
    <w:rsid w:val="00596EDF"/>
    <w:rsid w:val="005A01E1"/>
    <w:rsid w:val="005A0290"/>
    <w:rsid w:val="005A1F29"/>
    <w:rsid w:val="005A29CB"/>
    <w:rsid w:val="005A300F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46FA"/>
    <w:rsid w:val="005F4C83"/>
    <w:rsid w:val="005F61FB"/>
    <w:rsid w:val="00604DC5"/>
    <w:rsid w:val="006064D6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783"/>
    <w:rsid w:val="00641AE1"/>
    <w:rsid w:val="00652C71"/>
    <w:rsid w:val="00655780"/>
    <w:rsid w:val="00656732"/>
    <w:rsid w:val="00656763"/>
    <w:rsid w:val="00656C96"/>
    <w:rsid w:val="00662E5B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A4CED"/>
    <w:rsid w:val="006B7D72"/>
    <w:rsid w:val="006D09A7"/>
    <w:rsid w:val="006E321B"/>
    <w:rsid w:val="006E33DE"/>
    <w:rsid w:val="006E7F1D"/>
    <w:rsid w:val="006F3EB3"/>
    <w:rsid w:val="006F4DCD"/>
    <w:rsid w:val="00702FF2"/>
    <w:rsid w:val="00703B66"/>
    <w:rsid w:val="00705204"/>
    <w:rsid w:val="00705800"/>
    <w:rsid w:val="00705EAB"/>
    <w:rsid w:val="00706519"/>
    <w:rsid w:val="00720D43"/>
    <w:rsid w:val="007225E4"/>
    <w:rsid w:val="00723455"/>
    <w:rsid w:val="00724762"/>
    <w:rsid w:val="007249D4"/>
    <w:rsid w:val="00724D6D"/>
    <w:rsid w:val="00730F9B"/>
    <w:rsid w:val="0073474C"/>
    <w:rsid w:val="0073754C"/>
    <w:rsid w:val="007375FF"/>
    <w:rsid w:val="007426E6"/>
    <w:rsid w:val="0074716F"/>
    <w:rsid w:val="0074737F"/>
    <w:rsid w:val="00751E72"/>
    <w:rsid w:val="00753673"/>
    <w:rsid w:val="007540BD"/>
    <w:rsid w:val="00757676"/>
    <w:rsid w:val="00762205"/>
    <w:rsid w:val="0076323D"/>
    <w:rsid w:val="00764201"/>
    <w:rsid w:val="0077532B"/>
    <w:rsid w:val="00781CB3"/>
    <w:rsid w:val="007830BE"/>
    <w:rsid w:val="007912B3"/>
    <w:rsid w:val="00793DDC"/>
    <w:rsid w:val="007940C9"/>
    <w:rsid w:val="00796312"/>
    <w:rsid w:val="007B0C5F"/>
    <w:rsid w:val="007B1B23"/>
    <w:rsid w:val="007B21FA"/>
    <w:rsid w:val="007B2ADE"/>
    <w:rsid w:val="007B3940"/>
    <w:rsid w:val="007B7E65"/>
    <w:rsid w:val="007D492E"/>
    <w:rsid w:val="007E0C49"/>
    <w:rsid w:val="007E19D4"/>
    <w:rsid w:val="007E1CD7"/>
    <w:rsid w:val="007E3A3B"/>
    <w:rsid w:val="007E51F2"/>
    <w:rsid w:val="007E5E97"/>
    <w:rsid w:val="007E7688"/>
    <w:rsid w:val="007F4A4B"/>
    <w:rsid w:val="007F770C"/>
    <w:rsid w:val="00802CB9"/>
    <w:rsid w:val="00807BA4"/>
    <w:rsid w:val="00815829"/>
    <w:rsid w:val="00821133"/>
    <w:rsid w:val="00824B77"/>
    <w:rsid w:val="00825DDD"/>
    <w:rsid w:val="008324B0"/>
    <w:rsid w:val="00833A82"/>
    <w:rsid w:val="00835F21"/>
    <w:rsid w:val="008407EC"/>
    <w:rsid w:val="008424B6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C6A32"/>
    <w:rsid w:val="008D1674"/>
    <w:rsid w:val="008D5FEF"/>
    <w:rsid w:val="008D7068"/>
    <w:rsid w:val="008E3990"/>
    <w:rsid w:val="008F17E5"/>
    <w:rsid w:val="008F272E"/>
    <w:rsid w:val="008F6B2B"/>
    <w:rsid w:val="00905C37"/>
    <w:rsid w:val="00906916"/>
    <w:rsid w:val="00922AC3"/>
    <w:rsid w:val="0092514B"/>
    <w:rsid w:val="009264AA"/>
    <w:rsid w:val="009326A2"/>
    <w:rsid w:val="00944EE8"/>
    <w:rsid w:val="009461F0"/>
    <w:rsid w:val="00946EE3"/>
    <w:rsid w:val="00953410"/>
    <w:rsid w:val="009601F5"/>
    <w:rsid w:val="00963E43"/>
    <w:rsid w:val="00970F21"/>
    <w:rsid w:val="009710F9"/>
    <w:rsid w:val="00975F3B"/>
    <w:rsid w:val="00983139"/>
    <w:rsid w:val="0098382A"/>
    <w:rsid w:val="009943CD"/>
    <w:rsid w:val="00994809"/>
    <w:rsid w:val="00994E91"/>
    <w:rsid w:val="009C0EE4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9F7491"/>
    <w:rsid w:val="00A011F0"/>
    <w:rsid w:val="00A03CE6"/>
    <w:rsid w:val="00A03E48"/>
    <w:rsid w:val="00A07447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58F9"/>
    <w:rsid w:val="00A77855"/>
    <w:rsid w:val="00A85ECD"/>
    <w:rsid w:val="00A923E2"/>
    <w:rsid w:val="00A964CE"/>
    <w:rsid w:val="00A96C60"/>
    <w:rsid w:val="00A975FD"/>
    <w:rsid w:val="00AA4437"/>
    <w:rsid w:val="00AB363A"/>
    <w:rsid w:val="00AC35D6"/>
    <w:rsid w:val="00AC5D44"/>
    <w:rsid w:val="00AD678B"/>
    <w:rsid w:val="00AE247A"/>
    <w:rsid w:val="00AE41A1"/>
    <w:rsid w:val="00AE5A17"/>
    <w:rsid w:val="00AF5AF6"/>
    <w:rsid w:val="00B00FF0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56C63"/>
    <w:rsid w:val="00B6487D"/>
    <w:rsid w:val="00B67E21"/>
    <w:rsid w:val="00B734BB"/>
    <w:rsid w:val="00B77950"/>
    <w:rsid w:val="00B80700"/>
    <w:rsid w:val="00B81B85"/>
    <w:rsid w:val="00B8592C"/>
    <w:rsid w:val="00B86940"/>
    <w:rsid w:val="00B87347"/>
    <w:rsid w:val="00B90A33"/>
    <w:rsid w:val="00B912F1"/>
    <w:rsid w:val="00B91712"/>
    <w:rsid w:val="00B91D48"/>
    <w:rsid w:val="00B932C3"/>
    <w:rsid w:val="00BA144A"/>
    <w:rsid w:val="00BA7059"/>
    <w:rsid w:val="00BB0A09"/>
    <w:rsid w:val="00BB27DA"/>
    <w:rsid w:val="00BB40C8"/>
    <w:rsid w:val="00BB6985"/>
    <w:rsid w:val="00BC31CE"/>
    <w:rsid w:val="00BC50E4"/>
    <w:rsid w:val="00BC56EA"/>
    <w:rsid w:val="00BC6602"/>
    <w:rsid w:val="00BD0CD0"/>
    <w:rsid w:val="00BD787B"/>
    <w:rsid w:val="00BE0CE4"/>
    <w:rsid w:val="00BE177F"/>
    <w:rsid w:val="00BE7D68"/>
    <w:rsid w:val="00BF101A"/>
    <w:rsid w:val="00C02650"/>
    <w:rsid w:val="00C03ED1"/>
    <w:rsid w:val="00C064BC"/>
    <w:rsid w:val="00C1503E"/>
    <w:rsid w:val="00C15484"/>
    <w:rsid w:val="00C16955"/>
    <w:rsid w:val="00C21584"/>
    <w:rsid w:val="00C2184A"/>
    <w:rsid w:val="00C22C94"/>
    <w:rsid w:val="00C26117"/>
    <w:rsid w:val="00C3559B"/>
    <w:rsid w:val="00C36254"/>
    <w:rsid w:val="00C41BBD"/>
    <w:rsid w:val="00C42863"/>
    <w:rsid w:val="00C44620"/>
    <w:rsid w:val="00C53B6A"/>
    <w:rsid w:val="00C53C18"/>
    <w:rsid w:val="00C53CED"/>
    <w:rsid w:val="00C55253"/>
    <w:rsid w:val="00C57362"/>
    <w:rsid w:val="00C57CA7"/>
    <w:rsid w:val="00C617FE"/>
    <w:rsid w:val="00C62A76"/>
    <w:rsid w:val="00C64F3D"/>
    <w:rsid w:val="00C7051E"/>
    <w:rsid w:val="00C70BEA"/>
    <w:rsid w:val="00C71219"/>
    <w:rsid w:val="00C71B04"/>
    <w:rsid w:val="00C766CC"/>
    <w:rsid w:val="00C76B7D"/>
    <w:rsid w:val="00C80165"/>
    <w:rsid w:val="00C8406C"/>
    <w:rsid w:val="00C87AAA"/>
    <w:rsid w:val="00C94E96"/>
    <w:rsid w:val="00CA543F"/>
    <w:rsid w:val="00CA6429"/>
    <w:rsid w:val="00CA6ADF"/>
    <w:rsid w:val="00CB5B2E"/>
    <w:rsid w:val="00CB5C14"/>
    <w:rsid w:val="00CC12A8"/>
    <w:rsid w:val="00CC3891"/>
    <w:rsid w:val="00CC6892"/>
    <w:rsid w:val="00CD1861"/>
    <w:rsid w:val="00CD31FE"/>
    <w:rsid w:val="00CD3C4A"/>
    <w:rsid w:val="00CD4F1D"/>
    <w:rsid w:val="00CE0B1D"/>
    <w:rsid w:val="00CE148C"/>
    <w:rsid w:val="00CE1EC6"/>
    <w:rsid w:val="00CE5201"/>
    <w:rsid w:val="00CE72C1"/>
    <w:rsid w:val="00CF1627"/>
    <w:rsid w:val="00CF5EFE"/>
    <w:rsid w:val="00CF760D"/>
    <w:rsid w:val="00D008ED"/>
    <w:rsid w:val="00D01984"/>
    <w:rsid w:val="00D01EDA"/>
    <w:rsid w:val="00D16472"/>
    <w:rsid w:val="00D17206"/>
    <w:rsid w:val="00D23CFF"/>
    <w:rsid w:val="00D321C9"/>
    <w:rsid w:val="00D33ED1"/>
    <w:rsid w:val="00D353A2"/>
    <w:rsid w:val="00D37986"/>
    <w:rsid w:val="00D37FC2"/>
    <w:rsid w:val="00D43DB0"/>
    <w:rsid w:val="00D50FEA"/>
    <w:rsid w:val="00D52B1F"/>
    <w:rsid w:val="00D570C5"/>
    <w:rsid w:val="00D65E69"/>
    <w:rsid w:val="00D7331B"/>
    <w:rsid w:val="00D922CF"/>
    <w:rsid w:val="00D92335"/>
    <w:rsid w:val="00D951B4"/>
    <w:rsid w:val="00D95558"/>
    <w:rsid w:val="00DA32B3"/>
    <w:rsid w:val="00DA6734"/>
    <w:rsid w:val="00DB2F9D"/>
    <w:rsid w:val="00DB5271"/>
    <w:rsid w:val="00DB56B3"/>
    <w:rsid w:val="00DC476B"/>
    <w:rsid w:val="00DC50EB"/>
    <w:rsid w:val="00DC6662"/>
    <w:rsid w:val="00DC6F9A"/>
    <w:rsid w:val="00DD767C"/>
    <w:rsid w:val="00DE24BE"/>
    <w:rsid w:val="00DE5B21"/>
    <w:rsid w:val="00DE7479"/>
    <w:rsid w:val="00DF128B"/>
    <w:rsid w:val="00DF2F94"/>
    <w:rsid w:val="00DF4165"/>
    <w:rsid w:val="00E1113C"/>
    <w:rsid w:val="00E11688"/>
    <w:rsid w:val="00E17E2E"/>
    <w:rsid w:val="00E26EAA"/>
    <w:rsid w:val="00E27CC3"/>
    <w:rsid w:val="00E30B17"/>
    <w:rsid w:val="00E30FCA"/>
    <w:rsid w:val="00E36F97"/>
    <w:rsid w:val="00E42057"/>
    <w:rsid w:val="00E44C4F"/>
    <w:rsid w:val="00E44F7C"/>
    <w:rsid w:val="00E62BEE"/>
    <w:rsid w:val="00E63075"/>
    <w:rsid w:val="00E644BF"/>
    <w:rsid w:val="00E666FA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2168"/>
    <w:rsid w:val="00ED48AE"/>
    <w:rsid w:val="00EE0137"/>
    <w:rsid w:val="00EE5FEF"/>
    <w:rsid w:val="00EE65A7"/>
    <w:rsid w:val="00EF48EC"/>
    <w:rsid w:val="00EF58B4"/>
    <w:rsid w:val="00EF6016"/>
    <w:rsid w:val="00F03131"/>
    <w:rsid w:val="00F0434E"/>
    <w:rsid w:val="00F05E03"/>
    <w:rsid w:val="00F101A4"/>
    <w:rsid w:val="00F2061A"/>
    <w:rsid w:val="00F30057"/>
    <w:rsid w:val="00F34750"/>
    <w:rsid w:val="00F35DBF"/>
    <w:rsid w:val="00F378DF"/>
    <w:rsid w:val="00F46114"/>
    <w:rsid w:val="00F47B3A"/>
    <w:rsid w:val="00F50C45"/>
    <w:rsid w:val="00F602C8"/>
    <w:rsid w:val="00F6114F"/>
    <w:rsid w:val="00F62463"/>
    <w:rsid w:val="00F62595"/>
    <w:rsid w:val="00F62E33"/>
    <w:rsid w:val="00F640D9"/>
    <w:rsid w:val="00F7168A"/>
    <w:rsid w:val="00F71C13"/>
    <w:rsid w:val="00F73898"/>
    <w:rsid w:val="00F77228"/>
    <w:rsid w:val="00F85944"/>
    <w:rsid w:val="00F90567"/>
    <w:rsid w:val="00F91352"/>
    <w:rsid w:val="00F922ED"/>
    <w:rsid w:val="00F95BE0"/>
    <w:rsid w:val="00FA04EC"/>
    <w:rsid w:val="00FB683C"/>
    <w:rsid w:val="00FB7ADE"/>
    <w:rsid w:val="00FB7C79"/>
    <w:rsid w:val="00FC164F"/>
    <w:rsid w:val="00FD2036"/>
    <w:rsid w:val="00FE45B3"/>
    <w:rsid w:val="00FE7E77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F9DC4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F5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kepleje.dk/fiskebiologi/laks/laksekvote/lakseforvaltnin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je@mst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1965</Words>
  <Characters>11692</Characters>
  <Application>Microsoft Office Word</Application>
  <DocSecurity>0</DocSecurity>
  <Lines>584</Lines>
  <Paragraphs>210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Tina Buchholt Høj</cp:lastModifiedBy>
  <cp:revision>2</cp:revision>
  <cp:lastPrinted>2005-05-20T12:11:00Z</cp:lastPrinted>
  <dcterms:created xsi:type="dcterms:W3CDTF">2026-07-03T08:34:00Z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