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AE659" w14:textId="77777777" w:rsidR="00F42218" w:rsidRPr="00F42218" w:rsidRDefault="00F42218" w:rsidP="00F42218">
      <w:pPr>
        <w:spacing w:before="200" w:after="200"/>
        <w:jc w:val="center"/>
        <w:rPr>
          <w:rFonts w:ascii="Times New Roman" w:eastAsia="Times New Roman" w:hAnsi="Times New Roman" w:cs="Times New Roman"/>
          <w:color w:val="212529"/>
          <w:sz w:val="26"/>
          <w:szCs w:val="26"/>
          <w:lang w:eastAsia="da-DK"/>
        </w:rPr>
      </w:pPr>
      <w:r w:rsidRPr="00F42218">
        <w:rPr>
          <w:rFonts w:ascii="Times New Roman" w:eastAsia="Times New Roman" w:hAnsi="Times New Roman" w:cs="Times New Roman"/>
          <w:color w:val="212529"/>
          <w:sz w:val="26"/>
          <w:szCs w:val="26"/>
          <w:lang w:eastAsia="da-DK"/>
        </w:rPr>
        <w:t>Bekendtgørelse om takster for administration pr. 1. januar 2027 efter lov om arbejdsskadesikring og lov om sikring mod følger af arbejdsskade</w:t>
      </w:r>
    </w:p>
    <w:p w14:paraId="4DBC12E2" w14:textId="77777777" w:rsidR="00F42218" w:rsidRDefault="00F42218" w:rsidP="00F42218">
      <w:pPr>
        <w:spacing w:after="0"/>
        <w:ind w:firstLine="240"/>
        <w:rPr>
          <w:rFonts w:ascii="Times New Roman" w:eastAsia="Times New Roman" w:hAnsi="Times New Roman" w:cs="Times New Roman"/>
          <w:color w:val="212529"/>
          <w:sz w:val="26"/>
          <w:szCs w:val="26"/>
          <w:lang w:eastAsia="da-DK"/>
        </w:rPr>
      </w:pPr>
    </w:p>
    <w:p w14:paraId="7323BB2C" w14:textId="0BDD8ECD" w:rsidR="00F42218" w:rsidRPr="00F42218" w:rsidRDefault="00F42218" w:rsidP="00F42218">
      <w:pPr>
        <w:spacing w:after="0"/>
        <w:ind w:firstLine="240"/>
        <w:rPr>
          <w:rFonts w:ascii="Times New Roman" w:eastAsia="Times New Roman" w:hAnsi="Times New Roman" w:cs="Times New Roman"/>
          <w:color w:val="212529"/>
          <w:sz w:val="26"/>
          <w:szCs w:val="26"/>
          <w:lang w:eastAsia="da-DK"/>
        </w:rPr>
      </w:pPr>
      <w:r w:rsidRPr="00F42218">
        <w:rPr>
          <w:rFonts w:ascii="Times New Roman" w:eastAsia="Times New Roman" w:hAnsi="Times New Roman" w:cs="Times New Roman"/>
          <w:color w:val="212529"/>
          <w:sz w:val="26"/>
          <w:szCs w:val="26"/>
          <w:lang w:eastAsia="da-DK"/>
        </w:rPr>
        <w:t>I medfør af § 59, stk. 4, sidste pkt., og § 81, stk. 3, i lov om arbejdsskadesikring, jf. lovbekendtgørelse nr. 667 af 8. juli 2026,</w:t>
      </w:r>
      <w:r w:rsidRPr="00F42218" w:rsidDel="008D300B">
        <w:rPr>
          <w:rFonts w:ascii="Times New Roman" w:eastAsia="Times New Roman" w:hAnsi="Times New Roman" w:cs="Times New Roman"/>
          <w:color w:val="212529"/>
          <w:sz w:val="26"/>
          <w:szCs w:val="26"/>
          <w:lang w:eastAsia="da-DK"/>
        </w:rPr>
        <w:t xml:space="preserve"> </w:t>
      </w:r>
      <w:r w:rsidRPr="00F42218">
        <w:rPr>
          <w:rFonts w:ascii="Times New Roman" w:eastAsia="Times New Roman" w:hAnsi="Times New Roman" w:cs="Times New Roman"/>
          <w:color w:val="212529"/>
          <w:sz w:val="26"/>
          <w:szCs w:val="26"/>
          <w:lang w:eastAsia="da-DK"/>
        </w:rPr>
        <w:t>og § 53 A, stk. 1, i lov om sikring mod følger af arbejdsskade, jf. lovbekendtgørelse nr. 943 af 16. oktober 2000, og efter indstilling fra bestyrelsen for Arbejdsmarkedets Erhvervssikring og efter forhandling med social- og boligministeren fastsættes:</w:t>
      </w:r>
    </w:p>
    <w:p w14:paraId="3CD074D4" w14:textId="77777777" w:rsidR="00F42218" w:rsidRPr="00F42218" w:rsidRDefault="00F42218" w:rsidP="00F42218">
      <w:pPr>
        <w:spacing w:before="300" w:after="100"/>
        <w:jc w:val="center"/>
        <w:rPr>
          <w:rFonts w:ascii="Times New Roman" w:eastAsia="Times New Roman" w:hAnsi="Times New Roman" w:cs="Times New Roman"/>
          <w:i/>
          <w:iCs/>
          <w:color w:val="212529"/>
          <w:sz w:val="26"/>
          <w:szCs w:val="26"/>
          <w:lang w:eastAsia="da-DK"/>
        </w:rPr>
      </w:pPr>
      <w:r w:rsidRPr="00F42218">
        <w:rPr>
          <w:rFonts w:ascii="Times New Roman" w:eastAsia="Times New Roman" w:hAnsi="Times New Roman" w:cs="Times New Roman"/>
          <w:i/>
          <w:iCs/>
          <w:color w:val="212529"/>
          <w:sz w:val="26"/>
          <w:szCs w:val="26"/>
          <w:lang w:eastAsia="da-DK"/>
        </w:rPr>
        <w:t>Takster for Arbejdsmarkedets Erhvervssikrings og Ankestyrelsens administration</w:t>
      </w:r>
    </w:p>
    <w:p w14:paraId="241ECDF2" w14:textId="77777777" w:rsidR="00F42218" w:rsidRPr="00F42218" w:rsidRDefault="00F42218" w:rsidP="00F42218">
      <w:pPr>
        <w:spacing w:before="200" w:after="0"/>
        <w:ind w:firstLine="240"/>
        <w:rPr>
          <w:rFonts w:ascii="Times New Roman" w:eastAsia="Times New Roman" w:hAnsi="Times New Roman" w:cs="Times New Roman"/>
          <w:color w:val="212529"/>
          <w:sz w:val="26"/>
          <w:szCs w:val="26"/>
          <w:lang w:eastAsia="da-DK"/>
        </w:rPr>
      </w:pPr>
      <w:r w:rsidRPr="00F42218">
        <w:rPr>
          <w:rFonts w:ascii="Times New Roman" w:eastAsia="Times New Roman" w:hAnsi="Times New Roman" w:cs="Times New Roman"/>
          <w:b/>
          <w:bCs/>
          <w:color w:val="212529"/>
          <w:sz w:val="26"/>
          <w:szCs w:val="26"/>
          <w:lang w:eastAsia="da-DK"/>
        </w:rPr>
        <w:t>§ 1.</w:t>
      </w:r>
      <w:r w:rsidRPr="00F42218">
        <w:rPr>
          <w:rFonts w:ascii="Times New Roman" w:eastAsia="Times New Roman" w:hAnsi="Times New Roman" w:cs="Times New Roman"/>
          <w:color w:val="212529"/>
          <w:sz w:val="26"/>
          <w:szCs w:val="26"/>
          <w:lang w:eastAsia="da-DK"/>
        </w:rPr>
        <w:t> Betalingen for Arbejdsmarkedets Erhvervssikrings administration af sager, jf. § 2, stk. 1, nr. 1 og 3, og stk. 2, i lov om den selvejende institution Arbejdsmarkedets Erhvervssikring, jf. lovbekendtgørelse nr. 668 af 8. juli 2026, udgør 4.807 kr. pr. delafgørelse.</w:t>
      </w:r>
    </w:p>
    <w:p w14:paraId="4CCF8A17" w14:textId="77777777" w:rsidR="00F42218" w:rsidRPr="00F42218" w:rsidRDefault="00F42218" w:rsidP="00F42218">
      <w:pPr>
        <w:spacing w:before="200" w:after="0"/>
        <w:ind w:firstLine="240"/>
        <w:rPr>
          <w:rFonts w:ascii="Times New Roman" w:eastAsia="Times New Roman" w:hAnsi="Times New Roman" w:cs="Times New Roman"/>
          <w:color w:val="212529"/>
          <w:sz w:val="26"/>
          <w:szCs w:val="26"/>
          <w:lang w:eastAsia="da-DK"/>
        </w:rPr>
      </w:pPr>
      <w:r w:rsidRPr="00F42218">
        <w:rPr>
          <w:rFonts w:ascii="Times New Roman" w:eastAsia="Times New Roman" w:hAnsi="Times New Roman" w:cs="Times New Roman"/>
          <w:b/>
          <w:bCs/>
          <w:color w:val="212529"/>
          <w:sz w:val="26"/>
          <w:szCs w:val="26"/>
          <w:lang w:eastAsia="da-DK"/>
        </w:rPr>
        <w:t>§ 2.</w:t>
      </w:r>
      <w:r w:rsidRPr="00F42218">
        <w:rPr>
          <w:rFonts w:ascii="Times New Roman" w:eastAsia="Times New Roman" w:hAnsi="Times New Roman" w:cs="Times New Roman"/>
          <w:color w:val="212529"/>
          <w:sz w:val="26"/>
          <w:szCs w:val="26"/>
          <w:lang w:eastAsia="da-DK"/>
        </w:rPr>
        <w:t> Betalingen for Arbejdsmarkedets Erhvervssikrings administration af sager efter lov nr. 336 af 2. april 2014 om erstatning og godtgørelse til udsendte soldater og andre statsansatte med sent diagnosticeret posttraumatisk belastningsreaktion, jf. § 2, stk. 1, nr. 2, i lov om den selvejende institution Arbejdsmarkedets Erhvervssikring, jf. lovbekendtgørelse nr. 668 af 8. juli 2026, udgør 4.807 kr. pr. sag.</w:t>
      </w:r>
    </w:p>
    <w:p w14:paraId="50F171A4" w14:textId="77777777" w:rsidR="00F42218" w:rsidRPr="00F42218" w:rsidRDefault="00F42218" w:rsidP="00F42218">
      <w:pPr>
        <w:spacing w:before="200" w:after="0"/>
        <w:ind w:firstLine="240"/>
        <w:rPr>
          <w:rFonts w:ascii="Times New Roman" w:eastAsia="Times New Roman" w:hAnsi="Times New Roman" w:cs="Times New Roman"/>
          <w:color w:val="212529"/>
          <w:sz w:val="26"/>
          <w:szCs w:val="26"/>
          <w:lang w:eastAsia="da-DK"/>
        </w:rPr>
      </w:pPr>
      <w:r w:rsidRPr="00F42218">
        <w:rPr>
          <w:rFonts w:ascii="Times New Roman" w:eastAsia="Times New Roman" w:hAnsi="Times New Roman" w:cs="Times New Roman"/>
          <w:b/>
          <w:bCs/>
          <w:color w:val="212529"/>
          <w:sz w:val="26"/>
          <w:szCs w:val="26"/>
          <w:lang w:eastAsia="da-DK"/>
        </w:rPr>
        <w:t>§ 3.</w:t>
      </w:r>
      <w:r w:rsidRPr="00F42218">
        <w:rPr>
          <w:rFonts w:ascii="Times New Roman" w:eastAsia="Times New Roman" w:hAnsi="Times New Roman" w:cs="Times New Roman"/>
          <w:color w:val="212529"/>
          <w:sz w:val="26"/>
          <w:szCs w:val="26"/>
          <w:lang w:eastAsia="da-DK"/>
        </w:rPr>
        <w:t> De i § 1 og § 2 anførte takster betales for behandling af førstegangsanmeldelser, genoptagelsesanmodninger samt de af Arbejdsmarkedets Erhvervssikrings fastsatte revisioner af allerede afgjorte sager.</w:t>
      </w:r>
    </w:p>
    <w:p w14:paraId="59A17FE3" w14:textId="77777777" w:rsidR="00F42218" w:rsidRPr="00F42218" w:rsidRDefault="00F42218" w:rsidP="00F42218">
      <w:pPr>
        <w:spacing w:before="200" w:after="0"/>
        <w:ind w:firstLine="240"/>
        <w:rPr>
          <w:rFonts w:ascii="Times New Roman" w:eastAsia="Times New Roman" w:hAnsi="Times New Roman" w:cs="Times New Roman"/>
          <w:color w:val="212529"/>
          <w:sz w:val="26"/>
          <w:szCs w:val="26"/>
          <w:lang w:eastAsia="da-DK"/>
        </w:rPr>
      </w:pPr>
      <w:r w:rsidRPr="00F42218">
        <w:rPr>
          <w:rFonts w:ascii="Times New Roman" w:eastAsia="Times New Roman" w:hAnsi="Times New Roman" w:cs="Times New Roman"/>
          <w:b/>
          <w:bCs/>
          <w:color w:val="212529"/>
          <w:sz w:val="26"/>
          <w:szCs w:val="26"/>
          <w:lang w:eastAsia="da-DK"/>
        </w:rPr>
        <w:t>§ 4.</w:t>
      </w:r>
      <w:r w:rsidRPr="00F42218">
        <w:rPr>
          <w:rFonts w:ascii="Times New Roman" w:eastAsia="Times New Roman" w:hAnsi="Times New Roman" w:cs="Times New Roman"/>
          <w:color w:val="212529"/>
          <w:sz w:val="26"/>
          <w:szCs w:val="26"/>
          <w:lang w:eastAsia="da-DK"/>
        </w:rPr>
        <w:t> Betalingen for Ankestyrelsens administration af sager oprettet 1. januar 2027 eller senere udgør 10.700 kr. pr. delafgørelse.</w:t>
      </w:r>
    </w:p>
    <w:p w14:paraId="23B4031B" w14:textId="77777777" w:rsidR="00F42218" w:rsidRPr="00F42218" w:rsidRDefault="00F42218" w:rsidP="00F42218">
      <w:pPr>
        <w:spacing w:before="300" w:after="100"/>
        <w:jc w:val="center"/>
        <w:rPr>
          <w:rFonts w:ascii="Times New Roman" w:eastAsia="Times New Roman" w:hAnsi="Times New Roman" w:cs="Times New Roman"/>
          <w:i/>
          <w:iCs/>
          <w:color w:val="212529"/>
          <w:sz w:val="26"/>
          <w:szCs w:val="26"/>
          <w:lang w:eastAsia="da-DK"/>
        </w:rPr>
      </w:pPr>
      <w:r w:rsidRPr="00F42218">
        <w:rPr>
          <w:rFonts w:ascii="Times New Roman" w:eastAsia="Times New Roman" w:hAnsi="Times New Roman" w:cs="Times New Roman"/>
          <w:i/>
          <w:iCs/>
          <w:color w:val="212529"/>
          <w:sz w:val="26"/>
          <w:szCs w:val="26"/>
          <w:lang w:eastAsia="da-DK"/>
        </w:rPr>
        <w:t>Udtalelser</w:t>
      </w:r>
    </w:p>
    <w:p w14:paraId="4BE7DBE7" w14:textId="77777777" w:rsidR="00F42218" w:rsidRPr="00F42218" w:rsidRDefault="00F42218" w:rsidP="00F42218">
      <w:pPr>
        <w:spacing w:before="200" w:after="0"/>
        <w:ind w:firstLine="240"/>
        <w:rPr>
          <w:rFonts w:ascii="Times New Roman" w:eastAsia="Times New Roman" w:hAnsi="Times New Roman" w:cs="Times New Roman"/>
          <w:color w:val="212529"/>
          <w:sz w:val="26"/>
          <w:szCs w:val="26"/>
          <w:lang w:eastAsia="da-DK"/>
        </w:rPr>
      </w:pPr>
      <w:r w:rsidRPr="00F42218">
        <w:rPr>
          <w:rFonts w:ascii="Times New Roman" w:eastAsia="Times New Roman" w:hAnsi="Times New Roman" w:cs="Times New Roman"/>
          <w:b/>
          <w:bCs/>
          <w:color w:val="212529"/>
          <w:sz w:val="26"/>
          <w:szCs w:val="26"/>
          <w:lang w:eastAsia="da-DK"/>
        </w:rPr>
        <w:t>§ 5.</w:t>
      </w:r>
      <w:r w:rsidRPr="00F42218">
        <w:rPr>
          <w:rFonts w:ascii="Times New Roman" w:eastAsia="Times New Roman" w:hAnsi="Times New Roman" w:cs="Times New Roman"/>
          <w:color w:val="212529"/>
          <w:sz w:val="26"/>
          <w:szCs w:val="26"/>
          <w:lang w:eastAsia="da-DK"/>
        </w:rPr>
        <w:t> Betalingen for Arbejdsmarkedets Erhvervssikrings udtalelser efter § 81, stk. 1, i lov om arbejdsskadesikring, jf. lovbekendtgørelse nr. 667 af 8. juli 2026, og efter § 10 i erstatningsansvarsloven, jf. lovbekendtgørelse nr. 1080 af 30. august 2025, sker efter følgende takster:</w:t>
      </w:r>
    </w:p>
    <w:p w14:paraId="18EC167F" w14:textId="523B95AD" w:rsidR="00F42218" w:rsidRPr="00F42218" w:rsidRDefault="00F42218" w:rsidP="00F42218">
      <w:pPr>
        <w:spacing w:after="0"/>
        <w:ind w:left="100"/>
        <w:rPr>
          <w:rFonts w:ascii="Times New Roman" w:eastAsia="Times New Roman" w:hAnsi="Times New Roman" w:cs="Times New Roman"/>
          <w:color w:val="212529"/>
          <w:sz w:val="26"/>
          <w:szCs w:val="26"/>
          <w:lang w:eastAsia="da-DK"/>
        </w:rPr>
      </w:pPr>
      <w:r w:rsidRPr="00F42218">
        <w:rPr>
          <w:rFonts w:ascii="Times New Roman" w:eastAsia="Times New Roman" w:hAnsi="Times New Roman" w:cs="Times New Roman"/>
          <w:color w:val="212529"/>
          <w:sz w:val="26"/>
          <w:szCs w:val="26"/>
          <w:lang w:eastAsia="da-DK"/>
        </w:rPr>
        <w:t>1) Udtalelse om erhvervsevnetab: 2</w:t>
      </w:r>
      <w:r w:rsidR="00571966">
        <w:rPr>
          <w:rFonts w:ascii="Times New Roman" w:eastAsia="Times New Roman" w:hAnsi="Times New Roman" w:cs="Times New Roman"/>
          <w:color w:val="212529"/>
          <w:sz w:val="26"/>
          <w:szCs w:val="26"/>
          <w:lang w:eastAsia="da-DK"/>
        </w:rPr>
        <w:t>8.000</w:t>
      </w:r>
      <w:r w:rsidRPr="00F42218">
        <w:rPr>
          <w:rFonts w:ascii="Times New Roman" w:eastAsia="Times New Roman" w:hAnsi="Times New Roman" w:cs="Times New Roman"/>
          <w:color w:val="212529"/>
          <w:sz w:val="26"/>
          <w:szCs w:val="26"/>
          <w:lang w:eastAsia="da-DK"/>
        </w:rPr>
        <w:t xml:space="preserve"> kr.</w:t>
      </w:r>
    </w:p>
    <w:p w14:paraId="3427B6FE" w14:textId="12DC6189" w:rsidR="00F42218" w:rsidRPr="00F42218" w:rsidRDefault="00F42218" w:rsidP="00F42218">
      <w:pPr>
        <w:spacing w:after="0"/>
        <w:ind w:left="100"/>
        <w:rPr>
          <w:rFonts w:ascii="Times New Roman" w:eastAsia="Times New Roman" w:hAnsi="Times New Roman" w:cs="Times New Roman"/>
          <w:color w:val="212529"/>
          <w:sz w:val="26"/>
          <w:szCs w:val="26"/>
          <w:lang w:eastAsia="da-DK"/>
        </w:rPr>
      </w:pPr>
      <w:r w:rsidRPr="00F42218">
        <w:rPr>
          <w:rFonts w:ascii="Times New Roman" w:eastAsia="Times New Roman" w:hAnsi="Times New Roman" w:cs="Times New Roman"/>
          <w:color w:val="212529"/>
          <w:sz w:val="26"/>
          <w:szCs w:val="26"/>
          <w:lang w:eastAsia="da-DK"/>
        </w:rPr>
        <w:t>2) Øvrige udtalelser: 1</w:t>
      </w:r>
      <w:r w:rsidR="00571966">
        <w:rPr>
          <w:rFonts w:ascii="Times New Roman" w:eastAsia="Times New Roman" w:hAnsi="Times New Roman" w:cs="Times New Roman"/>
          <w:color w:val="212529"/>
          <w:sz w:val="26"/>
          <w:szCs w:val="26"/>
          <w:lang w:eastAsia="da-DK"/>
        </w:rPr>
        <w:t>1.000</w:t>
      </w:r>
      <w:r w:rsidRPr="00F42218">
        <w:rPr>
          <w:rFonts w:ascii="Times New Roman" w:eastAsia="Times New Roman" w:hAnsi="Times New Roman" w:cs="Times New Roman"/>
          <w:color w:val="212529"/>
          <w:sz w:val="26"/>
          <w:szCs w:val="26"/>
          <w:lang w:eastAsia="da-DK"/>
        </w:rPr>
        <w:t xml:space="preserve"> kr.</w:t>
      </w:r>
    </w:p>
    <w:p w14:paraId="72A3F23B" w14:textId="77777777" w:rsidR="00F42218" w:rsidRPr="00F42218" w:rsidRDefault="00F42218" w:rsidP="00F42218">
      <w:pPr>
        <w:spacing w:after="0"/>
        <w:ind w:firstLine="240"/>
        <w:rPr>
          <w:rFonts w:ascii="Times New Roman" w:eastAsia="Times New Roman" w:hAnsi="Times New Roman" w:cs="Times New Roman"/>
          <w:color w:val="212529"/>
          <w:sz w:val="26"/>
          <w:szCs w:val="26"/>
          <w:lang w:eastAsia="da-DK"/>
        </w:rPr>
      </w:pPr>
      <w:r w:rsidRPr="00F42218">
        <w:rPr>
          <w:rFonts w:ascii="Times New Roman" w:eastAsia="Times New Roman" w:hAnsi="Times New Roman" w:cs="Times New Roman"/>
          <w:i/>
          <w:iCs/>
          <w:color w:val="212529"/>
          <w:sz w:val="26"/>
          <w:szCs w:val="26"/>
          <w:lang w:eastAsia="da-DK"/>
        </w:rPr>
        <w:t>Stk. 2.</w:t>
      </w:r>
      <w:r w:rsidRPr="00F42218">
        <w:rPr>
          <w:rFonts w:ascii="Times New Roman" w:eastAsia="Times New Roman" w:hAnsi="Times New Roman" w:cs="Times New Roman"/>
          <w:color w:val="212529"/>
          <w:sz w:val="26"/>
          <w:szCs w:val="26"/>
          <w:lang w:eastAsia="da-DK"/>
        </w:rPr>
        <w:t> Den i stk. 1, nr. 1, anførte takst anvendes også særskilt for udtalelser om, hvorvidt det på nærmere angivne tidspunkter på grundlag af nærmere anførte sagsakter var muligt at skønne midlertidigt eller endeligt over skadelidtes fremtidige erhvervsevne, uanset om der samtidig anmodes om andre udtalelser.</w:t>
      </w:r>
    </w:p>
    <w:p w14:paraId="1690B7F9" w14:textId="77777777" w:rsidR="00F42218" w:rsidRPr="00F42218" w:rsidRDefault="00F42218" w:rsidP="00F42218">
      <w:pPr>
        <w:spacing w:after="0"/>
        <w:ind w:firstLine="240"/>
        <w:rPr>
          <w:rFonts w:ascii="Times New Roman" w:eastAsia="Times New Roman" w:hAnsi="Times New Roman" w:cs="Times New Roman"/>
          <w:color w:val="212529"/>
          <w:sz w:val="26"/>
          <w:szCs w:val="26"/>
          <w:lang w:eastAsia="da-DK"/>
        </w:rPr>
      </w:pPr>
      <w:r w:rsidRPr="00F42218">
        <w:rPr>
          <w:rFonts w:ascii="Times New Roman" w:eastAsia="Times New Roman" w:hAnsi="Times New Roman" w:cs="Times New Roman"/>
          <w:i/>
          <w:iCs/>
          <w:color w:val="212529"/>
          <w:sz w:val="26"/>
          <w:szCs w:val="26"/>
          <w:lang w:eastAsia="da-DK"/>
        </w:rPr>
        <w:t>Stk. 3.</w:t>
      </w:r>
      <w:r w:rsidRPr="00F42218">
        <w:rPr>
          <w:rFonts w:ascii="Times New Roman" w:eastAsia="Times New Roman" w:hAnsi="Times New Roman" w:cs="Times New Roman"/>
          <w:color w:val="212529"/>
          <w:sz w:val="26"/>
          <w:szCs w:val="26"/>
          <w:lang w:eastAsia="da-DK"/>
        </w:rPr>
        <w:t> Beløb efter stk. 1 og 2 indbetales samtidig med anmodningen om udtalelsen.</w:t>
      </w:r>
    </w:p>
    <w:p w14:paraId="48EE8CB8" w14:textId="77777777" w:rsidR="00F42218" w:rsidRPr="00F42218" w:rsidRDefault="00F42218" w:rsidP="00F42218">
      <w:pPr>
        <w:spacing w:before="300" w:after="100"/>
        <w:jc w:val="center"/>
        <w:rPr>
          <w:rFonts w:ascii="Times New Roman" w:eastAsia="Times New Roman" w:hAnsi="Times New Roman" w:cs="Times New Roman"/>
          <w:i/>
          <w:iCs/>
          <w:color w:val="212529"/>
          <w:sz w:val="26"/>
          <w:szCs w:val="26"/>
          <w:lang w:eastAsia="da-DK"/>
        </w:rPr>
      </w:pPr>
      <w:r w:rsidRPr="00F42218">
        <w:rPr>
          <w:rFonts w:ascii="Times New Roman" w:eastAsia="Times New Roman" w:hAnsi="Times New Roman" w:cs="Times New Roman"/>
          <w:i/>
          <w:iCs/>
          <w:color w:val="212529"/>
          <w:sz w:val="26"/>
          <w:szCs w:val="26"/>
          <w:lang w:eastAsia="da-DK"/>
        </w:rPr>
        <w:lastRenderedPageBreak/>
        <w:t>Ikrafttræden</w:t>
      </w:r>
    </w:p>
    <w:p w14:paraId="029950B4" w14:textId="77777777" w:rsidR="00F42218" w:rsidRPr="00F42218" w:rsidRDefault="00F42218" w:rsidP="00F42218">
      <w:pPr>
        <w:spacing w:before="200" w:after="0"/>
        <w:ind w:firstLine="240"/>
        <w:rPr>
          <w:rFonts w:ascii="Times New Roman" w:eastAsia="Times New Roman" w:hAnsi="Times New Roman" w:cs="Times New Roman"/>
          <w:color w:val="212529"/>
          <w:sz w:val="26"/>
          <w:szCs w:val="26"/>
          <w:lang w:eastAsia="da-DK"/>
        </w:rPr>
      </w:pPr>
      <w:r w:rsidRPr="00F42218">
        <w:rPr>
          <w:rFonts w:ascii="Times New Roman" w:eastAsia="Times New Roman" w:hAnsi="Times New Roman" w:cs="Times New Roman"/>
          <w:b/>
          <w:bCs/>
          <w:color w:val="212529"/>
          <w:sz w:val="26"/>
          <w:szCs w:val="26"/>
          <w:lang w:eastAsia="da-DK"/>
        </w:rPr>
        <w:t>§ 6.</w:t>
      </w:r>
      <w:r w:rsidRPr="00F42218">
        <w:rPr>
          <w:rFonts w:ascii="Times New Roman" w:eastAsia="Times New Roman" w:hAnsi="Times New Roman" w:cs="Times New Roman"/>
          <w:color w:val="212529"/>
          <w:sz w:val="26"/>
          <w:szCs w:val="26"/>
          <w:lang w:eastAsia="da-DK"/>
        </w:rPr>
        <w:t> Bekendtgørelsen træder i kraft den 1. januar 2027.</w:t>
      </w:r>
    </w:p>
    <w:p w14:paraId="4EB9C568" w14:textId="77777777" w:rsidR="00F42218" w:rsidRPr="00F42218" w:rsidRDefault="00F42218" w:rsidP="00F42218">
      <w:pPr>
        <w:spacing w:after="0"/>
        <w:ind w:firstLine="240"/>
        <w:rPr>
          <w:rFonts w:ascii="Times New Roman" w:eastAsia="Times New Roman" w:hAnsi="Times New Roman" w:cs="Times New Roman"/>
          <w:color w:val="212529"/>
          <w:sz w:val="26"/>
          <w:szCs w:val="26"/>
          <w:lang w:eastAsia="da-DK"/>
        </w:rPr>
      </w:pPr>
      <w:r w:rsidRPr="00F42218">
        <w:rPr>
          <w:rFonts w:ascii="Times New Roman" w:eastAsia="Times New Roman" w:hAnsi="Times New Roman" w:cs="Times New Roman"/>
          <w:i/>
          <w:iCs/>
          <w:color w:val="212529"/>
          <w:sz w:val="26"/>
          <w:szCs w:val="26"/>
          <w:lang w:eastAsia="da-DK"/>
        </w:rPr>
        <w:t>Stk. 2.</w:t>
      </w:r>
      <w:r w:rsidRPr="00F42218">
        <w:rPr>
          <w:rFonts w:ascii="Times New Roman" w:eastAsia="Times New Roman" w:hAnsi="Times New Roman" w:cs="Times New Roman"/>
          <w:color w:val="212529"/>
          <w:sz w:val="26"/>
          <w:szCs w:val="26"/>
          <w:lang w:eastAsia="da-DK"/>
        </w:rPr>
        <w:t> Bekendtgørelse nr. 1692 af 17. december 2025 om takster for administration pr. 1. januar 2026 efter lov om arbejdsskadesikring og lov om sikring mod følger af arbejdsskade ophæves.</w:t>
      </w:r>
    </w:p>
    <w:p w14:paraId="47D71394" w14:textId="51C426E7" w:rsidR="00F42218" w:rsidRPr="00F42218" w:rsidRDefault="00F42218" w:rsidP="00F42218">
      <w:pPr>
        <w:spacing w:before="120" w:after="0"/>
        <w:jc w:val="center"/>
        <w:rPr>
          <w:rFonts w:ascii="Times New Roman" w:eastAsia="Times New Roman" w:hAnsi="Times New Roman" w:cs="Times New Roman"/>
          <w:i/>
          <w:iCs/>
          <w:color w:val="212529"/>
          <w:sz w:val="26"/>
          <w:szCs w:val="26"/>
          <w:lang w:eastAsia="da-DK"/>
        </w:rPr>
      </w:pPr>
      <w:r w:rsidRPr="00F42218">
        <w:rPr>
          <w:rFonts w:ascii="Times New Roman" w:eastAsia="Times New Roman" w:hAnsi="Times New Roman" w:cs="Times New Roman"/>
          <w:i/>
          <w:iCs/>
          <w:color w:val="212529"/>
          <w:sz w:val="26"/>
          <w:szCs w:val="26"/>
          <w:lang w:eastAsia="da-DK"/>
        </w:rPr>
        <w:t>Beskæftigelsesministeriet, den XX</w:t>
      </w:r>
    </w:p>
    <w:p w14:paraId="2116FBB8" w14:textId="77777777" w:rsidR="00F42218" w:rsidRPr="00F42218" w:rsidRDefault="00F42218" w:rsidP="00F42218">
      <w:pPr>
        <w:spacing w:before="120" w:after="0"/>
        <w:jc w:val="center"/>
        <w:rPr>
          <w:rFonts w:ascii="Times New Roman" w:eastAsia="Times New Roman" w:hAnsi="Times New Roman" w:cs="Times New Roman"/>
          <w:color w:val="212529"/>
          <w:sz w:val="26"/>
          <w:szCs w:val="26"/>
          <w:lang w:eastAsia="da-DK"/>
        </w:rPr>
      </w:pPr>
      <w:r w:rsidRPr="00F42218">
        <w:rPr>
          <w:rFonts w:ascii="Times New Roman" w:eastAsia="Times New Roman" w:hAnsi="Times New Roman" w:cs="Times New Roman"/>
          <w:color w:val="212529"/>
          <w:sz w:val="26"/>
          <w:szCs w:val="26"/>
          <w:lang w:eastAsia="da-DK"/>
        </w:rPr>
        <w:t>Ane Halsboe-Jørgensen</w:t>
      </w:r>
    </w:p>
    <w:p w14:paraId="09C38B5A" w14:textId="77777777" w:rsidR="00F42218" w:rsidRPr="000C1E6A" w:rsidRDefault="00F42218" w:rsidP="00F42218">
      <w:pPr>
        <w:spacing w:after="0"/>
        <w:jc w:val="right"/>
        <w:rPr>
          <w:rFonts w:ascii="Questa-Regular" w:eastAsia="Times New Roman" w:hAnsi="Questa-Regular" w:cs="Segoe UI"/>
          <w:color w:val="212529"/>
          <w:sz w:val="23"/>
          <w:szCs w:val="23"/>
          <w:lang w:eastAsia="da-DK"/>
        </w:rPr>
      </w:pPr>
      <w:r w:rsidRPr="00F42218">
        <w:rPr>
          <w:rFonts w:ascii="Times New Roman" w:eastAsia="Times New Roman" w:hAnsi="Times New Roman" w:cs="Times New Roman"/>
          <w:color w:val="212529"/>
          <w:sz w:val="26"/>
          <w:szCs w:val="26"/>
          <w:lang w:eastAsia="da-DK"/>
        </w:rPr>
        <w:t>/ Marianne Sørensen</w:t>
      </w:r>
    </w:p>
    <w:p w14:paraId="2DC5B671" w14:textId="77777777" w:rsidR="00F42218" w:rsidRPr="0071247C" w:rsidRDefault="00F42218" w:rsidP="00F42218"/>
    <w:p w14:paraId="07A2F72A" w14:textId="54EE22D3" w:rsidR="002604CF" w:rsidRPr="00882894" w:rsidRDefault="002604CF" w:rsidP="00F42218">
      <w:pPr>
        <w:ind w:firstLine="238"/>
        <w:jc w:val="center"/>
        <w:rPr>
          <w:rFonts w:ascii="Times New Roman" w:hAnsi="Times New Roman" w:cs="Times New Roman"/>
          <w:sz w:val="26"/>
          <w:szCs w:val="26"/>
        </w:rPr>
      </w:pPr>
    </w:p>
    <w:sectPr w:rsidR="002604CF" w:rsidRPr="00882894">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3F8C7" w14:textId="77777777" w:rsidR="008304DE" w:rsidRDefault="008304DE" w:rsidP="00962115">
      <w:pPr>
        <w:spacing w:after="0" w:line="240" w:lineRule="auto"/>
      </w:pPr>
      <w:r>
        <w:separator/>
      </w:r>
    </w:p>
  </w:endnote>
  <w:endnote w:type="continuationSeparator" w:id="0">
    <w:p w14:paraId="47CBBA5D" w14:textId="77777777" w:rsidR="008304DE" w:rsidRDefault="008304DE" w:rsidP="00962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Questa-Regular">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A6B43" w14:textId="77777777" w:rsidR="008304DE" w:rsidRDefault="008304DE" w:rsidP="00962115">
      <w:pPr>
        <w:spacing w:after="0" w:line="240" w:lineRule="auto"/>
      </w:pPr>
      <w:r>
        <w:separator/>
      </w:r>
    </w:p>
  </w:footnote>
  <w:footnote w:type="continuationSeparator" w:id="0">
    <w:p w14:paraId="5866102D" w14:textId="77777777" w:rsidR="008304DE" w:rsidRDefault="008304DE" w:rsidP="009621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07BE3"/>
    <w:multiLevelType w:val="hybridMultilevel"/>
    <w:tmpl w:val="A84862B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 w15:restartNumberingAfterBreak="0">
    <w:nsid w:val="0547288E"/>
    <w:multiLevelType w:val="hybridMultilevel"/>
    <w:tmpl w:val="B2C00172"/>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9A5106E"/>
    <w:multiLevelType w:val="hybridMultilevel"/>
    <w:tmpl w:val="DBBE8BA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 w15:restartNumberingAfterBreak="0">
    <w:nsid w:val="22816927"/>
    <w:multiLevelType w:val="hybridMultilevel"/>
    <w:tmpl w:val="97A2B85E"/>
    <w:lvl w:ilvl="0" w:tplc="04060003">
      <w:start w:val="1"/>
      <w:numFmt w:val="bullet"/>
      <w:lvlText w:val="o"/>
      <w:lvlJc w:val="left"/>
      <w:pPr>
        <w:ind w:left="1800" w:hanging="360"/>
      </w:pPr>
      <w:rPr>
        <w:rFonts w:ascii="Courier New" w:hAnsi="Courier New" w:cs="Courier New" w:hint="default"/>
      </w:rPr>
    </w:lvl>
    <w:lvl w:ilvl="1" w:tplc="04060003">
      <w:start w:val="1"/>
      <w:numFmt w:val="bullet"/>
      <w:lvlText w:val="o"/>
      <w:lvlJc w:val="left"/>
      <w:pPr>
        <w:ind w:left="2520" w:hanging="360"/>
      </w:pPr>
      <w:rPr>
        <w:rFonts w:ascii="Courier New" w:hAnsi="Courier New" w:cs="Courier New" w:hint="default"/>
      </w:rPr>
    </w:lvl>
    <w:lvl w:ilvl="2" w:tplc="04060005">
      <w:start w:val="1"/>
      <w:numFmt w:val="bullet"/>
      <w:lvlText w:val=""/>
      <w:lvlJc w:val="left"/>
      <w:pPr>
        <w:ind w:left="3240" w:hanging="360"/>
      </w:pPr>
      <w:rPr>
        <w:rFonts w:ascii="Wingdings" w:hAnsi="Wingdings" w:hint="default"/>
      </w:rPr>
    </w:lvl>
    <w:lvl w:ilvl="3" w:tplc="04060001">
      <w:start w:val="1"/>
      <w:numFmt w:val="bullet"/>
      <w:lvlText w:val=""/>
      <w:lvlJc w:val="left"/>
      <w:pPr>
        <w:ind w:left="3960" w:hanging="360"/>
      </w:pPr>
      <w:rPr>
        <w:rFonts w:ascii="Symbol" w:hAnsi="Symbol" w:hint="default"/>
      </w:rPr>
    </w:lvl>
    <w:lvl w:ilvl="4" w:tplc="04060003">
      <w:start w:val="1"/>
      <w:numFmt w:val="bullet"/>
      <w:lvlText w:val="o"/>
      <w:lvlJc w:val="left"/>
      <w:pPr>
        <w:ind w:left="4680" w:hanging="360"/>
      </w:pPr>
      <w:rPr>
        <w:rFonts w:ascii="Courier New" w:hAnsi="Courier New" w:cs="Courier New" w:hint="default"/>
      </w:rPr>
    </w:lvl>
    <w:lvl w:ilvl="5" w:tplc="04060005">
      <w:start w:val="1"/>
      <w:numFmt w:val="bullet"/>
      <w:lvlText w:val=""/>
      <w:lvlJc w:val="left"/>
      <w:pPr>
        <w:ind w:left="5400" w:hanging="360"/>
      </w:pPr>
      <w:rPr>
        <w:rFonts w:ascii="Wingdings" w:hAnsi="Wingdings" w:hint="default"/>
      </w:rPr>
    </w:lvl>
    <w:lvl w:ilvl="6" w:tplc="04060001">
      <w:start w:val="1"/>
      <w:numFmt w:val="bullet"/>
      <w:lvlText w:val=""/>
      <w:lvlJc w:val="left"/>
      <w:pPr>
        <w:ind w:left="6120" w:hanging="360"/>
      </w:pPr>
      <w:rPr>
        <w:rFonts w:ascii="Symbol" w:hAnsi="Symbol" w:hint="default"/>
      </w:rPr>
    </w:lvl>
    <w:lvl w:ilvl="7" w:tplc="04060003">
      <w:start w:val="1"/>
      <w:numFmt w:val="bullet"/>
      <w:lvlText w:val="o"/>
      <w:lvlJc w:val="left"/>
      <w:pPr>
        <w:ind w:left="6840" w:hanging="360"/>
      </w:pPr>
      <w:rPr>
        <w:rFonts w:ascii="Courier New" w:hAnsi="Courier New" w:cs="Courier New" w:hint="default"/>
      </w:rPr>
    </w:lvl>
    <w:lvl w:ilvl="8" w:tplc="04060005">
      <w:start w:val="1"/>
      <w:numFmt w:val="bullet"/>
      <w:lvlText w:val=""/>
      <w:lvlJc w:val="left"/>
      <w:pPr>
        <w:ind w:left="7560" w:hanging="360"/>
      </w:pPr>
      <w:rPr>
        <w:rFonts w:ascii="Wingdings" w:hAnsi="Wingdings" w:hint="default"/>
      </w:rPr>
    </w:lvl>
  </w:abstractNum>
  <w:abstractNum w:abstractNumId="4" w15:restartNumberingAfterBreak="0">
    <w:nsid w:val="3DC455C1"/>
    <w:multiLevelType w:val="hybridMultilevel"/>
    <w:tmpl w:val="EAFE907C"/>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943302103">
    <w:abstractNumId w:val="1"/>
  </w:num>
  <w:num w:numId="2" w16cid:durableId="848787409">
    <w:abstractNumId w:val="4"/>
  </w:num>
  <w:num w:numId="3" w16cid:durableId="973831208">
    <w:abstractNumId w:val="0"/>
  </w:num>
  <w:num w:numId="4" w16cid:durableId="171073655">
    <w:abstractNumId w:val="2"/>
  </w:num>
  <w:num w:numId="5" w16cid:durableId="14126548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DateAndTime/>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5-09-26T10:49:49.7354478+02:00&quot;,&quot;Checksum&quot;:&quot;5c52812554599e407c5ce15df0a47e21&quot;,&quot;IsAccessible&quot;:false,&quot;Settings&quot;:{&quot;CreatePdfUa&quot;:0}}"/>
    <w:docVar w:name="Encrypted_CloudStatistics_StoryID" w:val="uhyx8YyMRB15QYZbquWiG3IuHRgP/ihqHTKdr7EWdUX/bCvv8GEjtJ+j2QEyqPAe"/>
  </w:docVars>
  <w:rsids>
    <w:rsidRoot w:val="009E52FB"/>
    <w:rsid w:val="000259C4"/>
    <w:rsid w:val="00057DDA"/>
    <w:rsid w:val="0008443F"/>
    <w:rsid w:val="000D2549"/>
    <w:rsid w:val="00155BC4"/>
    <w:rsid w:val="001E2E95"/>
    <w:rsid w:val="002445DE"/>
    <w:rsid w:val="00251CE4"/>
    <w:rsid w:val="002604CF"/>
    <w:rsid w:val="00266D81"/>
    <w:rsid w:val="00277EE8"/>
    <w:rsid w:val="002E08AD"/>
    <w:rsid w:val="002E2902"/>
    <w:rsid w:val="002E7437"/>
    <w:rsid w:val="00302C12"/>
    <w:rsid w:val="00351EC1"/>
    <w:rsid w:val="00380189"/>
    <w:rsid w:val="003C4017"/>
    <w:rsid w:val="003D4003"/>
    <w:rsid w:val="003D7CC8"/>
    <w:rsid w:val="004268E4"/>
    <w:rsid w:val="004411AA"/>
    <w:rsid w:val="004B5496"/>
    <w:rsid w:val="00545E62"/>
    <w:rsid w:val="00563F6E"/>
    <w:rsid w:val="00564AF1"/>
    <w:rsid w:val="00571966"/>
    <w:rsid w:val="00585F1E"/>
    <w:rsid w:val="005951A3"/>
    <w:rsid w:val="005F681D"/>
    <w:rsid w:val="00600352"/>
    <w:rsid w:val="00604444"/>
    <w:rsid w:val="00626427"/>
    <w:rsid w:val="0063519E"/>
    <w:rsid w:val="006B4F03"/>
    <w:rsid w:val="006C6B21"/>
    <w:rsid w:val="006F35F0"/>
    <w:rsid w:val="007022EE"/>
    <w:rsid w:val="007249D4"/>
    <w:rsid w:val="0073094C"/>
    <w:rsid w:val="007346F2"/>
    <w:rsid w:val="00744C6E"/>
    <w:rsid w:val="007452CB"/>
    <w:rsid w:val="00772428"/>
    <w:rsid w:val="007B0472"/>
    <w:rsid w:val="007C04F1"/>
    <w:rsid w:val="007C121D"/>
    <w:rsid w:val="007D7AE1"/>
    <w:rsid w:val="007F2753"/>
    <w:rsid w:val="007F791D"/>
    <w:rsid w:val="0082028A"/>
    <w:rsid w:val="008304DE"/>
    <w:rsid w:val="00882894"/>
    <w:rsid w:val="0090528E"/>
    <w:rsid w:val="00914A2E"/>
    <w:rsid w:val="00932D73"/>
    <w:rsid w:val="00942C7B"/>
    <w:rsid w:val="00962115"/>
    <w:rsid w:val="00964FD1"/>
    <w:rsid w:val="009775B1"/>
    <w:rsid w:val="009E52FB"/>
    <w:rsid w:val="009F6F69"/>
    <w:rsid w:val="00A008FF"/>
    <w:rsid w:val="00A44FF2"/>
    <w:rsid w:val="00A510E7"/>
    <w:rsid w:val="00B26621"/>
    <w:rsid w:val="00B57BBC"/>
    <w:rsid w:val="00B84499"/>
    <w:rsid w:val="00B91807"/>
    <w:rsid w:val="00BC5F22"/>
    <w:rsid w:val="00BC798D"/>
    <w:rsid w:val="00BD3254"/>
    <w:rsid w:val="00C719F4"/>
    <w:rsid w:val="00C734E2"/>
    <w:rsid w:val="00C7389C"/>
    <w:rsid w:val="00C85E9F"/>
    <w:rsid w:val="00C90009"/>
    <w:rsid w:val="00CB44E5"/>
    <w:rsid w:val="00CC1C5F"/>
    <w:rsid w:val="00D01649"/>
    <w:rsid w:val="00D26952"/>
    <w:rsid w:val="00D448EA"/>
    <w:rsid w:val="00D8167A"/>
    <w:rsid w:val="00DA51CC"/>
    <w:rsid w:val="00DC7BBF"/>
    <w:rsid w:val="00DF7C0B"/>
    <w:rsid w:val="00E013C9"/>
    <w:rsid w:val="00E27EEA"/>
    <w:rsid w:val="00E46BE2"/>
    <w:rsid w:val="00E6045C"/>
    <w:rsid w:val="00E625FF"/>
    <w:rsid w:val="00E62FAA"/>
    <w:rsid w:val="00EF0E31"/>
    <w:rsid w:val="00EF1A3F"/>
    <w:rsid w:val="00EF6CD9"/>
    <w:rsid w:val="00F07C01"/>
    <w:rsid w:val="00F42218"/>
    <w:rsid w:val="00F9097C"/>
    <w:rsid w:val="00FB3111"/>
    <w:rsid w:val="00FC2EC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942917"/>
  <w15:chartTrackingRefBased/>
  <w15:docId w15:val="{C3F6C22A-0656-44C5-87EC-B3AA30F7C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626427"/>
    <w:pPr>
      <w:spacing w:after="0" w:line="240" w:lineRule="auto"/>
      <w:jc w:val="center"/>
      <w:outlineLvl w:val="0"/>
    </w:pPr>
    <w:rPr>
      <w:rFonts w:ascii="Times New Roman" w:hAnsi="Times New Roman" w:cs="Times New Roman"/>
      <w:b/>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Fodnotetekst">
    <w:name w:val="footnote text"/>
    <w:basedOn w:val="Normal"/>
    <w:link w:val="FodnotetekstTegn"/>
    <w:uiPriority w:val="99"/>
    <w:semiHidden/>
    <w:unhideWhenUsed/>
    <w:rsid w:val="00962115"/>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962115"/>
    <w:rPr>
      <w:sz w:val="20"/>
      <w:szCs w:val="20"/>
    </w:rPr>
  </w:style>
  <w:style w:type="character" w:styleId="Fodnotehenvisning">
    <w:name w:val="footnote reference"/>
    <w:basedOn w:val="Standardskrifttypeiafsnit"/>
    <w:uiPriority w:val="99"/>
    <w:semiHidden/>
    <w:unhideWhenUsed/>
    <w:rsid w:val="00962115"/>
    <w:rPr>
      <w:vertAlign w:val="superscript"/>
    </w:rPr>
  </w:style>
  <w:style w:type="character" w:styleId="Kommentarhenvisning">
    <w:name w:val="annotation reference"/>
    <w:basedOn w:val="Standardskrifttypeiafsnit"/>
    <w:uiPriority w:val="99"/>
    <w:semiHidden/>
    <w:unhideWhenUsed/>
    <w:rsid w:val="00A44FF2"/>
    <w:rPr>
      <w:sz w:val="16"/>
      <w:szCs w:val="16"/>
    </w:rPr>
  </w:style>
  <w:style w:type="paragraph" w:styleId="Kommentartekst">
    <w:name w:val="annotation text"/>
    <w:basedOn w:val="Normal"/>
    <w:link w:val="KommentartekstTegn"/>
    <w:uiPriority w:val="99"/>
    <w:unhideWhenUsed/>
    <w:rsid w:val="00A44FF2"/>
    <w:pPr>
      <w:spacing w:line="240" w:lineRule="auto"/>
    </w:pPr>
    <w:rPr>
      <w:sz w:val="20"/>
      <w:szCs w:val="20"/>
    </w:rPr>
  </w:style>
  <w:style w:type="character" w:customStyle="1" w:styleId="KommentartekstTegn">
    <w:name w:val="Kommentartekst Tegn"/>
    <w:basedOn w:val="Standardskrifttypeiafsnit"/>
    <w:link w:val="Kommentartekst"/>
    <w:uiPriority w:val="99"/>
    <w:rsid w:val="00A44FF2"/>
    <w:rPr>
      <w:sz w:val="20"/>
      <w:szCs w:val="20"/>
    </w:rPr>
  </w:style>
  <w:style w:type="paragraph" w:styleId="Kommentaremne">
    <w:name w:val="annotation subject"/>
    <w:basedOn w:val="Kommentartekst"/>
    <w:next w:val="Kommentartekst"/>
    <w:link w:val="KommentaremneTegn"/>
    <w:uiPriority w:val="99"/>
    <w:semiHidden/>
    <w:unhideWhenUsed/>
    <w:rsid w:val="00A44FF2"/>
    <w:rPr>
      <w:b/>
      <w:bCs/>
    </w:rPr>
  </w:style>
  <w:style w:type="character" w:customStyle="1" w:styleId="KommentaremneTegn">
    <w:name w:val="Kommentaremne Tegn"/>
    <w:basedOn w:val="KommentartekstTegn"/>
    <w:link w:val="Kommentaremne"/>
    <w:uiPriority w:val="99"/>
    <w:semiHidden/>
    <w:rsid w:val="00A44FF2"/>
    <w:rPr>
      <w:b/>
      <w:bCs/>
      <w:sz w:val="20"/>
      <w:szCs w:val="20"/>
    </w:rPr>
  </w:style>
  <w:style w:type="paragraph" w:styleId="Markeringsbobletekst">
    <w:name w:val="Balloon Text"/>
    <w:basedOn w:val="Normal"/>
    <w:link w:val="MarkeringsbobletekstTegn"/>
    <w:uiPriority w:val="99"/>
    <w:semiHidden/>
    <w:unhideWhenUsed/>
    <w:rsid w:val="00A44FF2"/>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A44FF2"/>
    <w:rPr>
      <w:rFonts w:ascii="Segoe UI" w:hAnsi="Segoe UI" w:cs="Segoe UI"/>
      <w:sz w:val="18"/>
      <w:szCs w:val="18"/>
    </w:rPr>
  </w:style>
  <w:style w:type="paragraph" w:styleId="Listeafsnit">
    <w:name w:val="List Paragraph"/>
    <w:basedOn w:val="Normal"/>
    <w:uiPriority w:val="34"/>
    <w:qFormat/>
    <w:rsid w:val="00302C12"/>
    <w:pPr>
      <w:ind w:left="720"/>
      <w:contextualSpacing/>
    </w:pPr>
  </w:style>
  <w:style w:type="character" w:styleId="Hyperlink">
    <w:name w:val="Hyperlink"/>
    <w:basedOn w:val="Standardskrifttypeiafsnit"/>
    <w:uiPriority w:val="99"/>
    <w:unhideWhenUsed/>
    <w:rsid w:val="00251CE4"/>
    <w:rPr>
      <w:color w:val="0563C1" w:themeColor="hyperlink"/>
      <w:u w:val="single"/>
    </w:rPr>
  </w:style>
  <w:style w:type="character" w:styleId="Ulstomtale">
    <w:name w:val="Unresolved Mention"/>
    <w:basedOn w:val="Standardskrifttypeiafsnit"/>
    <w:uiPriority w:val="99"/>
    <w:semiHidden/>
    <w:unhideWhenUsed/>
    <w:rsid w:val="00251CE4"/>
    <w:rPr>
      <w:color w:val="605E5C"/>
      <w:shd w:val="clear" w:color="auto" w:fill="E1DFDD"/>
    </w:rPr>
  </w:style>
  <w:style w:type="character" w:styleId="BesgtLink">
    <w:name w:val="FollowedHyperlink"/>
    <w:basedOn w:val="Standardskrifttypeiafsnit"/>
    <w:uiPriority w:val="99"/>
    <w:semiHidden/>
    <w:unhideWhenUsed/>
    <w:rsid w:val="00251CE4"/>
    <w:rPr>
      <w:color w:val="954F72" w:themeColor="followedHyperlink"/>
      <w:u w:val="single"/>
    </w:rPr>
  </w:style>
  <w:style w:type="paragraph" w:styleId="Sidehoved">
    <w:name w:val="header"/>
    <w:basedOn w:val="Normal"/>
    <w:link w:val="SidehovedTegn"/>
    <w:uiPriority w:val="99"/>
    <w:unhideWhenUsed/>
    <w:rsid w:val="002E743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E7437"/>
  </w:style>
  <w:style w:type="paragraph" w:styleId="Sidefod">
    <w:name w:val="footer"/>
    <w:basedOn w:val="Normal"/>
    <w:link w:val="SidefodTegn"/>
    <w:uiPriority w:val="99"/>
    <w:unhideWhenUsed/>
    <w:rsid w:val="002E743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E7437"/>
  </w:style>
  <w:style w:type="character" w:customStyle="1" w:styleId="Overskrift1Tegn">
    <w:name w:val="Overskrift 1 Tegn"/>
    <w:basedOn w:val="Standardskrifttypeiafsnit"/>
    <w:link w:val="Overskrift1"/>
    <w:uiPriority w:val="9"/>
    <w:rsid w:val="00626427"/>
    <w:rPr>
      <w:rFonts w:ascii="Times New Roman" w:hAnsi="Times New Roman" w:cs="Times New Roman"/>
      <w:b/>
      <w:sz w:val="26"/>
      <w:szCs w:val="26"/>
    </w:rPr>
  </w:style>
  <w:style w:type="paragraph" w:styleId="Korrektur">
    <w:name w:val="Revision"/>
    <w:hidden/>
    <w:uiPriority w:val="99"/>
    <w:semiHidden/>
    <w:rsid w:val="007F791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212331">
      <w:bodyDiv w:val="1"/>
      <w:marLeft w:val="0"/>
      <w:marRight w:val="0"/>
      <w:marTop w:val="0"/>
      <w:marBottom w:val="0"/>
      <w:divBdr>
        <w:top w:val="none" w:sz="0" w:space="0" w:color="auto"/>
        <w:left w:val="none" w:sz="0" w:space="0" w:color="auto"/>
        <w:bottom w:val="none" w:sz="0" w:space="0" w:color="auto"/>
        <w:right w:val="none" w:sz="0" w:space="0" w:color="auto"/>
      </w:divBdr>
    </w:div>
    <w:div w:id="188573470">
      <w:bodyDiv w:val="1"/>
      <w:marLeft w:val="0"/>
      <w:marRight w:val="0"/>
      <w:marTop w:val="0"/>
      <w:marBottom w:val="0"/>
      <w:divBdr>
        <w:top w:val="none" w:sz="0" w:space="0" w:color="auto"/>
        <w:left w:val="none" w:sz="0" w:space="0" w:color="auto"/>
        <w:bottom w:val="none" w:sz="0" w:space="0" w:color="auto"/>
        <w:right w:val="none" w:sz="0" w:space="0" w:color="auto"/>
      </w:divBdr>
    </w:div>
    <w:div w:id="240214225">
      <w:bodyDiv w:val="1"/>
      <w:marLeft w:val="0"/>
      <w:marRight w:val="0"/>
      <w:marTop w:val="0"/>
      <w:marBottom w:val="0"/>
      <w:divBdr>
        <w:top w:val="none" w:sz="0" w:space="0" w:color="auto"/>
        <w:left w:val="none" w:sz="0" w:space="0" w:color="auto"/>
        <w:bottom w:val="none" w:sz="0" w:space="0" w:color="auto"/>
        <w:right w:val="none" w:sz="0" w:space="0" w:color="auto"/>
      </w:divBdr>
    </w:div>
    <w:div w:id="306789959">
      <w:bodyDiv w:val="1"/>
      <w:marLeft w:val="0"/>
      <w:marRight w:val="0"/>
      <w:marTop w:val="0"/>
      <w:marBottom w:val="0"/>
      <w:divBdr>
        <w:top w:val="none" w:sz="0" w:space="0" w:color="auto"/>
        <w:left w:val="none" w:sz="0" w:space="0" w:color="auto"/>
        <w:bottom w:val="none" w:sz="0" w:space="0" w:color="auto"/>
        <w:right w:val="none" w:sz="0" w:space="0" w:color="auto"/>
      </w:divBdr>
    </w:div>
    <w:div w:id="323092540">
      <w:bodyDiv w:val="1"/>
      <w:marLeft w:val="0"/>
      <w:marRight w:val="0"/>
      <w:marTop w:val="0"/>
      <w:marBottom w:val="0"/>
      <w:divBdr>
        <w:top w:val="none" w:sz="0" w:space="0" w:color="auto"/>
        <w:left w:val="none" w:sz="0" w:space="0" w:color="auto"/>
        <w:bottom w:val="none" w:sz="0" w:space="0" w:color="auto"/>
        <w:right w:val="none" w:sz="0" w:space="0" w:color="auto"/>
      </w:divBdr>
    </w:div>
    <w:div w:id="430901205">
      <w:bodyDiv w:val="1"/>
      <w:marLeft w:val="0"/>
      <w:marRight w:val="0"/>
      <w:marTop w:val="0"/>
      <w:marBottom w:val="0"/>
      <w:divBdr>
        <w:top w:val="none" w:sz="0" w:space="0" w:color="auto"/>
        <w:left w:val="none" w:sz="0" w:space="0" w:color="auto"/>
        <w:bottom w:val="none" w:sz="0" w:space="0" w:color="auto"/>
        <w:right w:val="none" w:sz="0" w:space="0" w:color="auto"/>
      </w:divBdr>
    </w:div>
    <w:div w:id="451097094">
      <w:bodyDiv w:val="1"/>
      <w:marLeft w:val="0"/>
      <w:marRight w:val="0"/>
      <w:marTop w:val="0"/>
      <w:marBottom w:val="0"/>
      <w:divBdr>
        <w:top w:val="none" w:sz="0" w:space="0" w:color="auto"/>
        <w:left w:val="none" w:sz="0" w:space="0" w:color="auto"/>
        <w:bottom w:val="none" w:sz="0" w:space="0" w:color="auto"/>
        <w:right w:val="none" w:sz="0" w:space="0" w:color="auto"/>
      </w:divBdr>
    </w:div>
    <w:div w:id="492721104">
      <w:bodyDiv w:val="1"/>
      <w:marLeft w:val="0"/>
      <w:marRight w:val="0"/>
      <w:marTop w:val="0"/>
      <w:marBottom w:val="0"/>
      <w:divBdr>
        <w:top w:val="none" w:sz="0" w:space="0" w:color="auto"/>
        <w:left w:val="none" w:sz="0" w:space="0" w:color="auto"/>
        <w:bottom w:val="none" w:sz="0" w:space="0" w:color="auto"/>
        <w:right w:val="none" w:sz="0" w:space="0" w:color="auto"/>
      </w:divBdr>
    </w:div>
    <w:div w:id="743844563">
      <w:bodyDiv w:val="1"/>
      <w:marLeft w:val="0"/>
      <w:marRight w:val="0"/>
      <w:marTop w:val="0"/>
      <w:marBottom w:val="0"/>
      <w:divBdr>
        <w:top w:val="none" w:sz="0" w:space="0" w:color="auto"/>
        <w:left w:val="none" w:sz="0" w:space="0" w:color="auto"/>
        <w:bottom w:val="none" w:sz="0" w:space="0" w:color="auto"/>
        <w:right w:val="none" w:sz="0" w:space="0" w:color="auto"/>
      </w:divBdr>
    </w:div>
    <w:div w:id="805851177">
      <w:bodyDiv w:val="1"/>
      <w:marLeft w:val="0"/>
      <w:marRight w:val="0"/>
      <w:marTop w:val="0"/>
      <w:marBottom w:val="0"/>
      <w:divBdr>
        <w:top w:val="none" w:sz="0" w:space="0" w:color="auto"/>
        <w:left w:val="none" w:sz="0" w:space="0" w:color="auto"/>
        <w:bottom w:val="none" w:sz="0" w:space="0" w:color="auto"/>
        <w:right w:val="none" w:sz="0" w:space="0" w:color="auto"/>
      </w:divBdr>
    </w:div>
    <w:div w:id="865413451">
      <w:bodyDiv w:val="1"/>
      <w:marLeft w:val="0"/>
      <w:marRight w:val="0"/>
      <w:marTop w:val="0"/>
      <w:marBottom w:val="0"/>
      <w:divBdr>
        <w:top w:val="none" w:sz="0" w:space="0" w:color="auto"/>
        <w:left w:val="none" w:sz="0" w:space="0" w:color="auto"/>
        <w:bottom w:val="none" w:sz="0" w:space="0" w:color="auto"/>
        <w:right w:val="none" w:sz="0" w:space="0" w:color="auto"/>
      </w:divBdr>
    </w:div>
    <w:div w:id="971255860">
      <w:bodyDiv w:val="1"/>
      <w:marLeft w:val="0"/>
      <w:marRight w:val="0"/>
      <w:marTop w:val="0"/>
      <w:marBottom w:val="0"/>
      <w:divBdr>
        <w:top w:val="none" w:sz="0" w:space="0" w:color="auto"/>
        <w:left w:val="none" w:sz="0" w:space="0" w:color="auto"/>
        <w:bottom w:val="none" w:sz="0" w:space="0" w:color="auto"/>
        <w:right w:val="none" w:sz="0" w:space="0" w:color="auto"/>
      </w:divBdr>
    </w:div>
    <w:div w:id="1361083239">
      <w:bodyDiv w:val="1"/>
      <w:marLeft w:val="0"/>
      <w:marRight w:val="0"/>
      <w:marTop w:val="0"/>
      <w:marBottom w:val="0"/>
      <w:divBdr>
        <w:top w:val="none" w:sz="0" w:space="0" w:color="auto"/>
        <w:left w:val="none" w:sz="0" w:space="0" w:color="auto"/>
        <w:bottom w:val="none" w:sz="0" w:space="0" w:color="auto"/>
        <w:right w:val="none" w:sz="0" w:space="0" w:color="auto"/>
      </w:divBdr>
    </w:div>
    <w:div w:id="1412701759">
      <w:bodyDiv w:val="1"/>
      <w:marLeft w:val="0"/>
      <w:marRight w:val="0"/>
      <w:marTop w:val="0"/>
      <w:marBottom w:val="0"/>
      <w:divBdr>
        <w:top w:val="none" w:sz="0" w:space="0" w:color="auto"/>
        <w:left w:val="none" w:sz="0" w:space="0" w:color="auto"/>
        <w:bottom w:val="none" w:sz="0" w:space="0" w:color="auto"/>
        <w:right w:val="none" w:sz="0" w:space="0" w:color="auto"/>
      </w:divBdr>
    </w:div>
    <w:div w:id="1431389640">
      <w:bodyDiv w:val="1"/>
      <w:marLeft w:val="0"/>
      <w:marRight w:val="0"/>
      <w:marTop w:val="0"/>
      <w:marBottom w:val="0"/>
      <w:divBdr>
        <w:top w:val="none" w:sz="0" w:space="0" w:color="auto"/>
        <w:left w:val="none" w:sz="0" w:space="0" w:color="auto"/>
        <w:bottom w:val="none" w:sz="0" w:space="0" w:color="auto"/>
        <w:right w:val="none" w:sz="0" w:space="0" w:color="auto"/>
      </w:divBdr>
    </w:div>
    <w:div w:id="1476410997">
      <w:bodyDiv w:val="1"/>
      <w:marLeft w:val="0"/>
      <w:marRight w:val="0"/>
      <w:marTop w:val="0"/>
      <w:marBottom w:val="0"/>
      <w:divBdr>
        <w:top w:val="none" w:sz="0" w:space="0" w:color="auto"/>
        <w:left w:val="none" w:sz="0" w:space="0" w:color="auto"/>
        <w:bottom w:val="none" w:sz="0" w:space="0" w:color="auto"/>
        <w:right w:val="none" w:sz="0" w:space="0" w:color="auto"/>
      </w:divBdr>
    </w:div>
    <w:div w:id="1741444448">
      <w:bodyDiv w:val="1"/>
      <w:marLeft w:val="0"/>
      <w:marRight w:val="0"/>
      <w:marTop w:val="0"/>
      <w:marBottom w:val="0"/>
      <w:divBdr>
        <w:top w:val="none" w:sz="0" w:space="0" w:color="auto"/>
        <w:left w:val="none" w:sz="0" w:space="0" w:color="auto"/>
        <w:bottom w:val="none" w:sz="0" w:space="0" w:color="auto"/>
        <w:right w:val="none" w:sz="0" w:space="0" w:color="auto"/>
      </w:divBdr>
    </w:div>
    <w:div w:id="1842432526">
      <w:bodyDiv w:val="1"/>
      <w:marLeft w:val="0"/>
      <w:marRight w:val="0"/>
      <w:marTop w:val="0"/>
      <w:marBottom w:val="0"/>
      <w:divBdr>
        <w:top w:val="none" w:sz="0" w:space="0" w:color="auto"/>
        <w:left w:val="none" w:sz="0" w:space="0" w:color="auto"/>
        <w:bottom w:val="none" w:sz="0" w:space="0" w:color="auto"/>
        <w:right w:val="none" w:sz="0" w:space="0" w:color="auto"/>
      </w:divBdr>
    </w:div>
    <w:div w:id="2019454783">
      <w:bodyDiv w:val="1"/>
      <w:marLeft w:val="0"/>
      <w:marRight w:val="0"/>
      <w:marTop w:val="0"/>
      <w:marBottom w:val="0"/>
      <w:divBdr>
        <w:top w:val="none" w:sz="0" w:space="0" w:color="auto"/>
        <w:left w:val="none" w:sz="0" w:space="0" w:color="auto"/>
        <w:bottom w:val="none" w:sz="0" w:space="0" w:color="auto"/>
        <w:right w:val="none" w:sz="0" w:space="0" w:color="auto"/>
      </w:divBdr>
    </w:div>
    <w:div w:id="2106073395">
      <w:bodyDiv w:val="1"/>
      <w:marLeft w:val="0"/>
      <w:marRight w:val="0"/>
      <w:marTop w:val="0"/>
      <w:marBottom w:val="0"/>
      <w:divBdr>
        <w:top w:val="none" w:sz="0" w:space="0" w:color="auto"/>
        <w:left w:val="none" w:sz="0" w:space="0" w:color="auto"/>
        <w:bottom w:val="none" w:sz="0" w:space="0" w:color="auto"/>
        <w:right w:val="none" w:sz="0" w:space="0" w:color="auto"/>
      </w:divBdr>
    </w:div>
    <w:div w:id="214716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AB382-0E1C-459F-9501-76FFC9DA6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384</Words>
  <Characters>2346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Skabelon for hovedbekendtgørelse</vt:lpstr>
    </vt:vector>
  </TitlesOfParts>
  <Company/>
  <LinksUpToDate>false</LinksUpToDate>
  <CharactersWithSpaces>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Skabelon for hovedbekendtgørelse</dc:title>
  <dc:subject/>
  <dc:creator>Rikke Breitenstein Nissen</dc:creator>
  <cp:keywords/>
  <dc:description/>
  <cp:lastModifiedBy>Rikke Breitenstein Nissen</cp:lastModifiedBy>
  <cp:revision>2</cp:revision>
  <dcterms:created xsi:type="dcterms:W3CDTF">2026-10-29T15:26:00Z</dcterms:created>
  <dcterms:modified xsi:type="dcterms:W3CDTF">2026-10-29T15:26:00Z</dcterms:modified>
</cp:coreProperties>
</file>