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37"/>
        <w:gridCol w:w="1944"/>
      </w:tblGrid>
      <w:tr w:rsidR="003F1498" w:rsidRPr="00F65F56" w14:paraId="50CA7BAD" w14:textId="77777777" w:rsidTr="001B5C99">
        <w:trPr>
          <w:cantSplit/>
          <w:trHeight w:val="851"/>
        </w:trPr>
        <w:tc>
          <w:tcPr>
            <w:tcW w:w="7137" w:type="dxa"/>
          </w:tcPr>
          <w:p w14:paraId="2B8942FF" w14:textId="77777777" w:rsidR="003F1498" w:rsidRPr="00374C74" w:rsidRDefault="003F1498">
            <w:pPr>
              <w:pStyle w:val="DocumentHeading"/>
              <w:rPr>
                <w:b w:val="0"/>
              </w:rPr>
            </w:pPr>
          </w:p>
        </w:tc>
        <w:tc>
          <w:tcPr>
            <w:tcW w:w="1944" w:type="dxa"/>
          </w:tcPr>
          <w:p w14:paraId="18AAD5E2" w14:textId="77777777" w:rsidR="003F1498" w:rsidRDefault="003F1498" w:rsidP="00095EE7">
            <w:pPr>
              <w:pStyle w:val="DocumentHeading"/>
              <w:jc w:val="center"/>
            </w:pPr>
          </w:p>
          <w:p w14:paraId="4BDBF81E" w14:textId="77777777" w:rsidR="000E7A0E" w:rsidRPr="000E7A0E" w:rsidRDefault="000E7A0E" w:rsidP="000E7A0E">
            <w:pPr>
              <w:jc w:val="center"/>
            </w:pPr>
          </w:p>
        </w:tc>
      </w:tr>
    </w:tbl>
    <w:p w14:paraId="02F78174" w14:textId="77777777" w:rsidR="001B5C99" w:rsidRDefault="001B5C99" w:rsidP="002A2B70">
      <w:pPr>
        <w:pStyle w:val="Brdtekst"/>
        <w:jc w:val="both"/>
        <w:rPr>
          <w:b/>
          <w:bCs/>
          <w:sz w:val="28"/>
          <w:szCs w:val="28"/>
        </w:rPr>
      </w:pPr>
    </w:p>
    <w:p w14:paraId="6C2DFE4E" w14:textId="77777777" w:rsidR="001B5C99" w:rsidRDefault="001B5C99" w:rsidP="003562CD">
      <w:pPr>
        <w:pStyle w:val="Brdtekst"/>
        <w:jc w:val="both"/>
        <w:rPr>
          <w:b/>
          <w:bCs/>
          <w:sz w:val="28"/>
          <w:szCs w:val="28"/>
        </w:rPr>
      </w:pPr>
    </w:p>
    <w:p w14:paraId="3B81D4E6" w14:textId="319B9BE9" w:rsidR="002A2B70" w:rsidRPr="00580A63" w:rsidRDefault="00FC202C" w:rsidP="003562CD">
      <w:pPr>
        <w:pStyle w:val="Brdtekst"/>
        <w:jc w:val="both"/>
        <w:rPr>
          <w:b/>
          <w:bCs/>
          <w:sz w:val="28"/>
          <w:szCs w:val="28"/>
        </w:rPr>
      </w:pPr>
      <w:r>
        <w:rPr>
          <w:b/>
          <w:bCs/>
          <w:sz w:val="28"/>
          <w:szCs w:val="28"/>
        </w:rPr>
        <w:t>Bilag I – Indhentning af oplysninger om erhvervsøkonomiske konsekvenser af</w:t>
      </w:r>
      <w:r w:rsidR="004F3517">
        <w:rPr>
          <w:b/>
          <w:bCs/>
          <w:sz w:val="28"/>
          <w:szCs w:val="28"/>
        </w:rPr>
        <w:t xml:space="preserve"> European </w:t>
      </w:r>
      <w:r w:rsidR="002F115D">
        <w:rPr>
          <w:b/>
          <w:bCs/>
          <w:sz w:val="28"/>
          <w:szCs w:val="28"/>
        </w:rPr>
        <w:t>Biotech Act</w:t>
      </w:r>
      <w:r w:rsidR="004F3517">
        <w:rPr>
          <w:b/>
          <w:bCs/>
          <w:sz w:val="28"/>
          <w:szCs w:val="28"/>
        </w:rPr>
        <w:t xml:space="preserve"> I</w:t>
      </w:r>
    </w:p>
    <w:p w14:paraId="7ED14EF2" w14:textId="77777777" w:rsidR="002A2B70" w:rsidRDefault="002A2B70" w:rsidP="003562CD">
      <w:pPr>
        <w:jc w:val="both"/>
        <w:rPr>
          <w:b/>
          <w:highlight w:val="yellow"/>
        </w:rPr>
      </w:pPr>
    </w:p>
    <w:p w14:paraId="5587F52C" w14:textId="6288313D" w:rsidR="00EE781F" w:rsidRDefault="00EE781F" w:rsidP="00EE781F">
      <w:r>
        <w:t>Til brug for den politiske proces i Danmark skal de erhvervsøkonomiske omkostninger ved European Biotech Act I (ny forordning) opgøres for danske virksomheder. Opgørelsen af de erhvervsøkonomiske omkostninger følger den metode, der er beskrevet i Erhvervsministeriets vejledning.</w:t>
      </w:r>
      <w:r>
        <w:rPr>
          <w:rStyle w:val="Fodnotehenvisning"/>
        </w:rPr>
        <w:footnoteReference w:id="1"/>
      </w:r>
      <w:r>
        <w:t xml:space="preserve"> Styrelsen for Fødevarer, Landbrug og Fiskeri skal derfor anmode jer om at vurdere de økonomiske konsekvenser (positive og negative) i forhold til efterlevelse af den kommende Biotech Act I. Det drejer sig i denne sammenhæng om følgende:</w:t>
      </w:r>
    </w:p>
    <w:p w14:paraId="5BD58375" w14:textId="77777777" w:rsidR="00EE781F" w:rsidRDefault="00EE781F" w:rsidP="00EE781F"/>
    <w:p w14:paraId="2920FD9E" w14:textId="06F630D2" w:rsidR="00EE781F" w:rsidRDefault="00EE781F" w:rsidP="00EE781F">
      <w:pPr>
        <w:pStyle w:val="Opstilling-punkttegn"/>
        <w:numPr>
          <w:ilvl w:val="0"/>
          <w:numId w:val="0"/>
        </w:numPr>
      </w:pPr>
      <w:r>
        <w:rPr>
          <w:u w:val="single"/>
        </w:rPr>
        <w:t>Ø</w:t>
      </w:r>
      <w:r w:rsidRPr="00B0602A">
        <w:rPr>
          <w:u w:val="single"/>
        </w:rPr>
        <w:t>vrige</w:t>
      </w:r>
      <w:r w:rsidRPr="000179BE">
        <w:rPr>
          <w:u w:val="single"/>
        </w:rPr>
        <w:t xml:space="preserve"> efterlevelseskonsekvenser</w:t>
      </w:r>
      <w:r>
        <w:rPr>
          <w:u w:val="single"/>
        </w:rPr>
        <w:t>.</w:t>
      </w:r>
      <w:r>
        <w:t xml:space="preserve"> Disse omfatter ændringer i virksomhedernes omkostninger, som følger direkte af reguleringen, dvs. af Biotech Act I. Det er omkostningerne for de virksomheder, der konkret skal efterleve reguleringen, </w:t>
      </w:r>
      <w:r w:rsidRPr="00EA2344">
        <w:t>der skal opgøres</w:t>
      </w:r>
      <w:r>
        <w:t>, i dette tilfælde de umiddelbart berørte virksomheder i biotek-branchen</w:t>
      </w:r>
      <w:r w:rsidRPr="00EA2344">
        <w:t xml:space="preserve">. </w:t>
      </w:r>
      <w:r>
        <w:t>De øvrige efterlevelsesomkostninger</w:t>
      </w:r>
      <w:r>
        <w:rPr>
          <w:i/>
        </w:rPr>
        <w:t xml:space="preserve"> </w:t>
      </w:r>
      <w:r w:rsidRPr="001249EE">
        <w:t>b</w:t>
      </w:r>
      <w:r w:rsidRPr="00EB3451">
        <w:t>estår af:</w:t>
      </w:r>
    </w:p>
    <w:p w14:paraId="71AE4F44" w14:textId="77777777" w:rsidR="00EE781F" w:rsidRPr="00EB3451" w:rsidRDefault="00EE781F" w:rsidP="00EE781F">
      <w:pPr>
        <w:pStyle w:val="Opstilling-punkttegn"/>
        <w:numPr>
          <w:ilvl w:val="0"/>
          <w:numId w:val="0"/>
        </w:numPr>
      </w:pPr>
    </w:p>
    <w:p w14:paraId="4723DEBC" w14:textId="77777777" w:rsidR="00EE781F" w:rsidRPr="005F24C3" w:rsidRDefault="00EE781F" w:rsidP="00EE781F">
      <w:pPr>
        <w:tabs>
          <w:tab w:val="left" w:pos="284"/>
        </w:tabs>
      </w:pPr>
      <w:r>
        <w:t>•</w:t>
      </w:r>
      <w:r>
        <w:tab/>
        <w:t>Direkte omkostninger, dvs. udgifter og besparelser</w:t>
      </w:r>
    </w:p>
    <w:p w14:paraId="4624B607" w14:textId="77777777" w:rsidR="00EE781F" w:rsidRDefault="00EE781F" w:rsidP="00EE781F">
      <w:pPr>
        <w:tabs>
          <w:tab w:val="left" w:pos="284"/>
        </w:tabs>
        <w:ind w:left="284" w:hanging="284"/>
      </w:pPr>
      <w:r>
        <w:t>•</w:t>
      </w:r>
      <w:r>
        <w:tab/>
        <w:t>Tab ved produktionsbegrænsninger, der følger direkte af reguleringen</w:t>
      </w:r>
    </w:p>
    <w:p w14:paraId="0967FB52" w14:textId="77777777" w:rsidR="00EE781F" w:rsidRDefault="00EE781F" w:rsidP="00EE781F">
      <w:pPr>
        <w:tabs>
          <w:tab w:val="left" w:pos="284"/>
        </w:tabs>
        <w:ind w:left="284" w:hanging="284"/>
      </w:pPr>
    </w:p>
    <w:p w14:paraId="752124EB" w14:textId="77777777" w:rsidR="00EE781F" w:rsidRDefault="00EE781F" w:rsidP="00EE781F">
      <w:r>
        <w:t xml:space="preserve">Omkostningerne skal opgøres netto, dvs. hvis der er gevinster eller besparelser forbundet med reguleringen, modregnes disse. Omkostningerne opgøres her desuden, uanset om der er mulighed for at overvælte hele eller dele af eventuelle omkostningsstigninger på virksomhedernes kunder. </w:t>
      </w:r>
    </w:p>
    <w:p w14:paraId="13924B0D" w14:textId="77777777" w:rsidR="00EE781F" w:rsidRPr="004E16E3" w:rsidRDefault="00EE781F" w:rsidP="00EE781F"/>
    <w:p w14:paraId="6E55F8FA" w14:textId="77777777" w:rsidR="00EE781F" w:rsidRDefault="00EE781F" w:rsidP="00EE781F">
      <w:r>
        <w:t>Omkostningerne bedes fordelt på:</w:t>
      </w:r>
    </w:p>
    <w:p w14:paraId="733D850E" w14:textId="77777777" w:rsidR="00EE781F" w:rsidRDefault="00EE781F" w:rsidP="00EE781F">
      <w:pPr>
        <w:tabs>
          <w:tab w:val="left" w:pos="284"/>
        </w:tabs>
      </w:pPr>
    </w:p>
    <w:p w14:paraId="1A265C34" w14:textId="77777777" w:rsidR="00EE781F" w:rsidRPr="005F24C3" w:rsidRDefault="00EE781F" w:rsidP="00EE781F">
      <w:pPr>
        <w:tabs>
          <w:tab w:val="left" w:pos="709"/>
        </w:tabs>
        <w:ind w:firstLine="284"/>
      </w:pPr>
      <w:r>
        <w:t>•</w:t>
      </w:r>
      <w:r>
        <w:tab/>
      </w:r>
      <w:r w:rsidRPr="005F24C3">
        <w:t>omstillingsomkostninger (afholdes én gang</w:t>
      </w:r>
      <w:r>
        <w:t xml:space="preserve"> før ikrafttræden</w:t>
      </w:r>
      <w:r w:rsidRPr="005F24C3">
        <w:t>)</w:t>
      </w:r>
    </w:p>
    <w:p w14:paraId="4CAC02F1" w14:textId="77777777" w:rsidR="00EE781F" w:rsidRDefault="00EE781F" w:rsidP="00EE781F">
      <w:pPr>
        <w:tabs>
          <w:tab w:val="left" w:pos="709"/>
        </w:tabs>
        <w:ind w:firstLine="284"/>
      </w:pPr>
      <w:r w:rsidRPr="005F24C3">
        <w:t>•</w:t>
      </w:r>
      <w:r w:rsidRPr="005F24C3">
        <w:tab/>
        <w:t xml:space="preserve">løbende </w:t>
      </w:r>
      <w:r>
        <w:t>omkostninger (afholdes løbende efter ikrafttræden)</w:t>
      </w:r>
      <w:r>
        <w:br/>
      </w:r>
    </w:p>
    <w:p w14:paraId="7DF9BF66" w14:textId="77777777" w:rsidR="00EE781F" w:rsidRDefault="00EE781F" w:rsidP="00EE781F">
      <w:r>
        <w:t xml:space="preserve">Ved </w:t>
      </w:r>
      <w:r w:rsidRPr="000042D9">
        <w:rPr>
          <w:i/>
        </w:rPr>
        <w:t>omstillingsomkostninger</w:t>
      </w:r>
      <w:r>
        <w:t xml:space="preserve"> forstås omkostninger, der kun afholdes i forbindelse med overgangen til den nye regulering, dvs. før den er trådt i kraft. Ved </w:t>
      </w:r>
      <w:r w:rsidRPr="000042D9">
        <w:rPr>
          <w:i/>
        </w:rPr>
        <w:t>løbende omkostninger</w:t>
      </w:r>
      <w:r w:rsidRPr="000042D9">
        <w:t xml:space="preserve"> </w:t>
      </w:r>
      <w:r>
        <w:t xml:space="preserve">forstås årlige meromkostninger, der afholdes fremover </w:t>
      </w:r>
      <w:r w:rsidRPr="009427EF">
        <w:rPr>
          <w:i/>
        </w:rPr>
        <w:t>efter</w:t>
      </w:r>
      <w:r>
        <w:t xml:space="preserve"> overgangen til den nye regulering, både driftsomkostninger og investeringer. </w:t>
      </w:r>
    </w:p>
    <w:p w14:paraId="7130A2D0" w14:textId="77777777" w:rsidR="00EE781F" w:rsidRDefault="00EE781F" w:rsidP="00EE781F"/>
    <w:p w14:paraId="73D3F92D" w14:textId="77777777" w:rsidR="00EE781F" w:rsidRDefault="00EE781F" w:rsidP="00EE781F">
      <w:r w:rsidRPr="00FA38B7">
        <w:rPr>
          <w:u w:val="single"/>
        </w:rPr>
        <w:t>Adfærdsvirkninger</w:t>
      </w:r>
      <w:r>
        <w:rPr>
          <w:u w:val="single"/>
        </w:rPr>
        <w:t>.</w:t>
      </w:r>
      <w:r w:rsidRPr="00F73307">
        <w:t xml:space="preserve"> </w:t>
      </w:r>
      <w:r>
        <w:t>Adfærdsvirkninger vedrører konsekvenser, der følger af ændret adfærd som følge af ændrede konkurrenceforhold, m.v., som f.eks. lukning af virksomheder. Dette skal kun beskrives kvalitativt.</w:t>
      </w:r>
    </w:p>
    <w:p w14:paraId="260B180E" w14:textId="77777777" w:rsidR="00EE781F" w:rsidRDefault="00EE781F" w:rsidP="00EE781F">
      <w:pPr>
        <w:rPr>
          <w:u w:val="single"/>
        </w:rPr>
      </w:pPr>
    </w:p>
    <w:p w14:paraId="12A6895C" w14:textId="77777777" w:rsidR="00EE781F" w:rsidRDefault="00EE781F" w:rsidP="00EE781F">
      <w:r>
        <w:rPr>
          <w:u w:val="single"/>
        </w:rPr>
        <w:lastRenderedPageBreak/>
        <w:t>Afledte effekter i økonomien som helhed</w:t>
      </w:r>
      <w:r>
        <w:t xml:space="preserve">. Her beskrives konsekvenser i øvrige dele af økonomien, f.eks. overvæltning af omkostninger på virksomhedernes købere. Disse konsekvenser beskrives kun kvalitativt. </w:t>
      </w:r>
    </w:p>
    <w:p w14:paraId="19F051B6" w14:textId="3BCC77EB" w:rsidR="00EE781F" w:rsidRDefault="00EE781F" w:rsidP="00EE781F">
      <w:pPr>
        <w:rPr>
          <w:b/>
          <w:bCs/>
          <w:u w:val="single"/>
        </w:rPr>
      </w:pPr>
      <w:r>
        <w:br/>
        <w:t xml:space="preserve">Bemærk, at hvis en virksomhed </w:t>
      </w:r>
      <w:r w:rsidRPr="001249EE">
        <w:rPr>
          <w:i/>
        </w:rPr>
        <w:t>allerede</w:t>
      </w:r>
      <w:r>
        <w:t xml:space="preserve"> </w:t>
      </w:r>
      <w:r w:rsidR="00323399">
        <w:t xml:space="preserve">har </w:t>
      </w:r>
      <w:r>
        <w:t>ændret sin adfærd, så den efterlever reguleringen, skal omkostninger forbundet hermed ikke medregnes.</w:t>
      </w:r>
    </w:p>
    <w:p w14:paraId="337B6AF1" w14:textId="77777777" w:rsidR="00EE781F" w:rsidRDefault="00EE781F" w:rsidP="00EE781F"/>
    <w:p w14:paraId="2229A643" w14:textId="77777777" w:rsidR="00EE781F" w:rsidRPr="00245045" w:rsidRDefault="00EE781F" w:rsidP="003562CD">
      <w:pPr>
        <w:jc w:val="both"/>
        <w:rPr>
          <w:b/>
          <w:highlight w:val="yellow"/>
        </w:rPr>
      </w:pPr>
    </w:p>
    <w:sectPr w:rsidR="00EE781F" w:rsidRPr="00245045" w:rsidSect="00147799">
      <w:headerReference w:type="default" r:id="rId11"/>
      <w:footerReference w:type="even" r:id="rId12"/>
      <w:footerReference w:type="default" r:id="rId13"/>
      <w:headerReference w:type="first" r:id="rId14"/>
      <w:footerReference w:type="first" r:id="rId15"/>
      <w:pgSz w:w="11906" w:h="16838" w:code="9"/>
      <w:pgMar w:top="2041" w:right="1418"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02A7" w14:textId="77777777" w:rsidR="00721CA7" w:rsidRDefault="00721CA7">
      <w:r>
        <w:separator/>
      </w:r>
    </w:p>
  </w:endnote>
  <w:endnote w:type="continuationSeparator" w:id="0">
    <w:p w14:paraId="4E19A899" w14:textId="77777777" w:rsidR="00721CA7" w:rsidRDefault="0072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DC35"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65F56">
      <w:rPr>
        <w:rStyle w:val="Sidetal"/>
        <w:noProof/>
      </w:rPr>
      <w:t>8</w:t>
    </w:r>
    <w:r>
      <w:rPr>
        <w:rStyle w:val="Sidetal"/>
      </w:rPr>
      <w:fldChar w:fldCharType="end"/>
    </w:r>
  </w:p>
  <w:p w14:paraId="2368C64E"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FE85" w14:textId="77777777" w:rsidR="00B9206E" w:rsidRPr="001E6E42" w:rsidRDefault="001E6E42" w:rsidP="00ED57EF">
    <w:pPr>
      <w:pStyle w:val="Sidefod"/>
      <w:ind w:right="0"/>
      <w:jc w:val="right"/>
    </w:pPr>
    <w:r>
      <w:rPr>
        <w:rStyle w:val="Sidetal"/>
      </w:rPr>
      <w:fldChar w:fldCharType="begin"/>
    </w:r>
    <w:r>
      <w:rPr>
        <w:rStyle w:val="Sidetal"/>
      </w:rPr>
      <w:instrText xml:space="preserve"> PAGE </w:instrText>
    </w:r>
    <w:r>
      <w:rPr>
        <w:rStyle w:val="Sidetal"/>
      </w:rPr>
      <w:fldChar w:fldCharType="separate"/>
    </w:r>
    <w:r w:rsidR="00D46518">
      <w:rPr>
        <w:rStyle w:val="Sidetal"/>
        <w:noProof/>
      </w:rPr>
      <w:t>2</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7401" w14:textId="77777777" w:rsidR="0048667B" w:rsidRDefault="0048667B">
    <w:pPr>
      <w:pStyle w:val="Sidefod"/>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7A47" w14:textId="77777777" w:rsidR="00721CA7" w:rsidRDefault="00721CA7">
      <w:r>
        <w:separator/>
      </w:r>
    </w:p>
  </w:footnote>
  <w:footnote w:type="continuationSeparator" w:id="0">
    <w:p w14:paraId="50535402" w14:textId="77777777" w:rsidR="00721CA7" w:rsidRDefault="00721CA7">
      <w:r>
        <w:continuationSeparator/>
      </w:r>
    </w:p>
  </w:footnote>
  <w:footnote w:id="1">
    <w:p w14:paraId="5BD24FE0" w14:textId="77777777" w:rsidR="00EE781F" w:rsidRDefault="00EE781F" w:rsidP="00EE781F">
      <w:pPr>
        <w:pStyle w:val="Fodnotetekst"/>
      </w:pPr>
      <w:r w:rsidRPr="001249EE">
        <w:footnoteRef/>
      </w:r>
      <w:r>
        <w:t xml:space="preserve"> </w:t>
      </w:r>
      <w:r w:rsidRPr="001249EE">
        <w:t xml:space="preserve">Erhvervs- og Vækstministeriet: "Vejledning om erhvervsøkonomiske konsekvensvurderinger", januar 2015. </w:t>
      </w:r>
      <w:hyperlink r:id="rId1" w:history="1">
        <w:r w:rsidRPr="008A508D">
          <w:rPr>
            <w:rStyle w:val="Hyperlink"/>
          </w:rPr>
          <w:t>https://erhvervsstyrelsen.dk/vejledning-erhvervsoekonomiske-konsekvensvurderinger</w:t>
        </w:r>
      </w:hyperlink>
    </w:p>
    <w:p w14:paraId="2E4F2855" w14:textId="77777777" w:rsidR="00EE781F" w:rsidRPr="00377E48" w:rsidRDefault="00EE781F" w:rsidP="00EE781F">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66FE" w14:textId="77777777" w:rsidR="000E717B" w:rsidRDefault="000E717B">
    <w:pPr>
      <w:pStyle w:val="Sidehoved"/>
    </w:pPr>
  </w:p>
  <w:p w14:paraId="7345CCA7"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3946" w14:textId="77777777" w:rsidR="00D94743" w:rsidRPr="00C176BA" w:rsidRDefault="00F65F56" w:rsidP="00D94743">
    <w:bookmarkStart w:id="0" w:name="BIT_DocumentName"/>
    <w:bookmarkEnd w:id="0"/>
    <w:r>
      <w:rPr>
        <w:noProof/>
      </w:rPr>
      <w:drawing>
        <wp:anchor distT="0" distB="0" distL="114300" distR="114300" simplePos="0" relativeHeight="251660288" behindDoc="0" locked="1" layoutInCell="1" allowOverlap="1" wp14:anchorId="74B6AD3A" wp14:editId="1F208302">
          <wp:simplePos x="0" y="0"/>
          <wp:positionH relativeFrom="rightMargin">
            <wp:align>right</wp:align>
          </wp:positionH>
          <wp:positionV relativeFrom="page">
            <wp:posOffset>431800</wp:posOffset>
          </wp:positionV>
          <wp:extent cx="2627630" cy="526415"/>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30" cy="526415"/>
                  </a:xfrm>
                  <a:prstGeom prst="rect">
                    <a:avLst/>
                  </a:prstGeom>
                </pic:spPr>
              </pic:pic>
            </a:graphicData>
          </a:graphic>
          <wp14:sizeRelH relativeFrom="page">
            <wp14:pctWidth>0</wp14:pctWidth>
          </wp14:sizeRelH>
          <wp14:sizeRelV relativeFrom="page">
            <wp14:pctHeight>0</wp14:pctHeight>
          </wp14:sizeRelV>
        </wp:anchor>
      </w:drawing>
    </w:r>
    <w:r w:rsidR="00D94743" w:rsidRPr="00C176BA">
      <w:rPr>
        <w:noProof/>
      </w:rPr>
      <mc:AlternateContent>
        <mc:Choice Requires="wps">
          <w:drawing>
            <wp:anchor distT="0" distB="0" distL="114300" distR="114300" simplePos="0" relativeHeight="251659264" behindDoc="0" locked="1" layoutInCell="1" allowOverlap="1" wp14:anchorId="3D4E9DCC" wp14:editId="0C086C2F">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D94743" w14:paraId="32A71FEA" w14:textId="77777777">
                            <w:trPr>
                              <w:cantSplit/>
                              <w:trHeight w:val="2778"/>
                            </w:trPr>
                            <w:tc>
                              <w:tcPr>
                                <w:tcW w:w="2755" w:type="dxa"/>
                                <w:tcMar>
                                  <w:top w:w="34" w:type="dxa"/>
                                  <w:left w:w="0" w:type="dxa"/>
                                  <w:bottom w:w="28" w:type="dxa"/>
                                  <w:right w:w="0" w:type="dxa"/>
                                </w:tcMar>
                              </w:tcPr>
                              <w:p w14:paraId="3A2B0F15" w14:textId="466979FF" w:rsidR="00D94743" w:rsidRPr="007116B6" w:rsidRDefault="00F65F56">
                                <w:pPr>
                                  <w:pStyle w:val="Kolofontekst"/>
                                  <w:rPr>
                                    <w:rFonts w:asciiTheme="minorHAnsi" w:hAnsiTheme="minorHAnsi"/>
                                    <w:szCs w:val="20"/>
                                  </w:rPr>
                                </w:pPr>
                                <w:bookmarkStart w:id="1" w:name="LAN_CaseNo"/>
                                <w:bookmarkStart w:id="2" w:name="HIF_dossier_f2casenumber"/>
                                <w:r w:rsidRPr="007116B6">
                                  <w:rPr>
                                    <w:rFonts w:asciiTheme="minorHAnsi" w:hAnsiTheme="minorHAnsi"/>
                                    <w:szCs w:val="20"/>
                                  </w:rPr>
                                  <w:t>J.</w:t>
                                </w:r>
                                <w:r w:rsidRPr="00421731">
                                  <w:rPr>
                                    <w:rFonts w:asciiTheme="minorHAnsi" w:hAnsiTheme="minorHAnsi"/>
                                    <w:szCs w:val="20"/>
                                  </w:rPr>
                                  <w:t>nr.</w:t>
                                </w:r>
                                <w:bookmarkEnd w:id="1"/>
                                <w:r w:rsidR="00374C74" w:rsidRPr="00421731">
                                  <w:rPr>
                                    <w:rFonts w:asciiTheme="minorHAnsi" w:hAnsiTheme="minorHAnsi"/>
                                    <w:szCs w:val="20"/>
                                  </w:rPr>
                                  <w:t xml:space="preserve"> </w:t>
                                </w:r>
                                <w:r w:rsidR="004E1FEB" w:rsidRPr="004E1FEB">
                                  <w:rPr>
                                    <w:rFonts w:asciiTheme="minorHAnsi" w:hAnsiTheme="minorHAnsi"/>
                                    <w:szCs w:val="20"/>
                                  </w:rPr>
                                  <w:t>2026-44131</w:t>
                                </w:r>
                              </w:p>
                              <w:p w14:paraId="20EE6176" w14:textId="03ABB214" w:rsidR="00D94743" w:rsidRDefault="00F65F56" w:rsidP="00171E78">
                                <w:pPr>
                                  <w:pStyle w:val="Kolofontekst"/>
                                  <w:rPr>
                                    <w:rFonts w:asciiTheme="minorHAnsi" w:hAnsiTheme="minorHAnsi"/>
                                    <w:szCs w:val="20"/>
                                  </w:rPr>
                                </w:pPr>
                                <w:bookmarkStart w:id="3" w:name="FLD_DocumentDate"/>
                                <w:bookmarkEnd w:id="2"/>
                                <w:r w:rsidRPr="006F7211">
                                  <w:rPr>
                                    <w:rFonts w:asciiTheme="minorHAnsi" w:hAnsiTheme="minorHAnsi"/>
                                    <w:szCs w:val="20"/>
                                  </w:rPr>
                                  <w:t xml:space="preserve">Den </w:t>
                                </w:r>
                                <w:bookmarkEnd w:id="3"/>
                                <w:r w:rsidR="00385A45">
                                  <w:rPr>
                                    <w:rFonts w:asciiTheme="minorHAnsi" w:hAnsiTheme="minorHAnsi"/>
                                    <w:szCs w:val="20"/>
                                  </w:rPr>
                                  <w:t>26</w:t>
                                </w:r>
                                <w:r w:rsidR="00296EBA">
                                  <w:rPr>
                                    <w:rFonts w:asciiTheme="minorHAnsi" w:hAnsiTheme="minorHAnsi"/>
                                    <w:szCs w:val="20"/>
                                  </w:rPr>
                                  <w:t xml:space="preserve">. </w:t>
                                </w:r>
                                <w:r w:rsidR="00385A45">
                                  <w:rPr>
                                    <w:rFonts w:asciiTheme="minorHAnsi" w:hAnsiTheme="minorHAnsi"/>
                                    <w:szCs w:val="20"/>
                                  </w:rPr>
                                  <w:t>marts</w:t>
                                </w:r>
                                <w:r w:rsidR="002D6A8D">
                                  <w:rPr>
                                    <w:rFonts w:asciiTheme="minorHAnsi" w:hAnsiTheme="minorHAnsi"/>
                                    <w:szCs w:val="20"/>
                                  </w:rPr>
                                  <w:t xml:space="preserve"> 202</w:t>
                                </w:r>
                                <w:r w:rsidR="003562CD">
                                  <w:rPr>
                                    <w:rFonts w:asciiTheme="minorHAnsi" w:hAnsiTheme="minorHAnsi"/>
                                    <w:szCs w:val="20"/>
                                  </w:rPr>
                                  <w:t>6</w:t>
                                </w:r>
                              </w:p>
                              <w:p w14:paraId="741DB49F" w14:textId="77777777" w:rsidR="006F7211" w:rsidRPr="006F7211" w:rsidRDefault="006F7211" w:rsidP="00095EE7">
                                <w:pPr>
                                  <w:pStyle w:val="Kolofontekst"/>
                                  <w:rPr>
                                    <w:rFonts w:asciiTheme="minorHAnsi" w:hAnsiTheme="minorHAnsi"/>
                                    <w:szCs w:val="20"/>
                                  </w:rPr>
                                </w:pPr>
                              </w:p>
                            </w:tc>
                          </w:tr>
                        </w:tbl>
                        <w:p w14:paraId="50801A11" w14:textId="77777777" w:rsidR="00D94743" w:rsidRDefault="00D94743" w:rsidP="00D947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E9DCC"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kuWwIAAC4FAAAOAAAAZHJzL2Uyb0RvYy54bWysVE1v2zAMvQ/YfxB0X+22WDAEdYqsRYcB&#10;RVssHXpWZKkxJosaxcTOfv0o2U6KbpcOu8i0+Pj1SOrism+d2BmMDfhKnp6UUhivoW78cyW/P958&#10;+CRFJOVr5cCbSu5NlJeL9+8uujA3Z7ABVxsU7MTHeRcquSEK86KIemNaFU8gGM9KC9gq4l98LmpU&#10;HXtvXXFWlrOiA6wDgjYx8u31oJSL7N9ao+ne2mhIuEpybpRPzOc6ncXiQs2fUYVNo8c01D9k0arG&#10;c9CDq2tFSmyx+cNV22iECJZONLQFWNtok2vgak7LV9WsNiqYXAuTE8OBpvj/3Oq73So8oKD+M/Tc&#10;wERIF+I88mWqp7fYpi9nKljPFO4PtJmehOZLznxWlqzSrDs7n6W/5Kc4mgeM9MVAK5JQSeS+ZLrU&#10;7jbSAJ0gKZqHm8a53BvnRVfJ2fnHMhscNOzc+YQ1ucujm2PqWaK9Mwnj/DdjRVPnCtJFni9z5VDs&#10;FE+G0tp4ysVnv4xOKMtJvMVwxB+zeovxUMcUGTwdjNvGA+bqX6Vd/5hStgOeOX9RdxKpX/djS9dQ&#10;77nTCMMSxKBvGu7GrYr0oJCnnjvIm0z3fFgHzDqMkhQbwF9/u094HkbWStHxFlUy/twqNFK4r57H&#10;NK3cJOAkrCfBb9srYPpP+Y0IOotsgOQm0SK0T7zgyxSFVcprjlVJmsQrGnaZHwhtlssM4sUKim79&#10;KujkOnUjzdZj/6QwjANIPLt3MO2Xmr+awwGbLD0stwS2yUOaCB1YHInmpcxjPj4gaetf/mfU8Zlb&#10;/AYAAP//AwBQSwMEFAAGAAgAAAAhAOYa4XHeAAAACAEAAA8AAABkcnMvZG93bnJldi54bWxMj0tP&#10;wzAQhO9I/AdrkbhRO6DSNMSpEI8bz7ZIcHPiJYnwI7KdNPx7lhMcZ2c18025ma1hE4bYeychWwhg&#10;6Bqve9dK2O/uz3JgMSmnlfEOJXxjhE11fFSqQvuDe8Vpm1pGIS4WSkKX0lBwHpsOrYoLP6Aj79MH&#10;qxLJ0HId1IHCreHnQlxyq3pHDZ0a8KbD5ms7WgnmPYaHWqSP6bZ9TC/PfHy7y56kPD2Zr6+AJZzT&#10;3zP84hM6VMRU+9HpyIwEGpLous7XwMi+yFZLYLWE5UrkwKuS/x9Q/QAAAP//AwBQSwECLQAUAAYA&#10;CAAAACEAtoM4kv4AAADhAQAAEwAAAAAAAAAAAAAAAAAAAAAAW0NvbnRlbnRfVHlwZXNdLnhtbFBL&#10;AQItABQABgAIAAAAIQA4/SH/1gAAAJQBAAALAAAAAAAAAAAAAAAAAC8BAABfcmVscy8ucmVsc1BL&#10;AQItABQABgAIAAAAIQBlRqkuWwIAAC4FAAAOAAAAAAAAAAAAAAAAAC4CAABkcnMvZTJvRG9jLnht&#10;bFBLAQItABQABgAIAAAAIQDmGuFx3gAAAAgBAAAPAAAAAAAAAAAAAAAAALUEAABkcnMvZG93bnJl&#10;di54bWxQSwUGAAAAAAQABADzAAAAwA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D94743" w14:paraId="32A71FEA" w14:textId="77777777">
                      <w:trPr>
                        <w:cantSplit/>
                        <w:trHeight w:val="2778"/>
                      </w:trPr>
                      <w:tc>
                        <w:tcPr>
                          <w:tcW w:w="2755" w:type="dxa"/>
                          <w:tcMar>
                            <w:top w:w="34" w:type="dxa"/>
                            <w:left w:w="0" w:type="dxa"/>
                            <w:bottom w:w="28" w:type="dxa"/>
                            <w:right w:w="0" w:type="dxa"/>
                          </w:tcMar>
                        </w:tcPr>
                        <w:p w14:paraId="3A2B0F15" w14:textId="466979FF" w:rsidR="00D94743" w:rsidRPr="007116B6" w:rsidRDefault="00F65F56">
                          <w:pPr>
                            <w:pStyle w:val="Kolofontekst"/>
                            <w:rPr>
                              <w:rFonts w:asciiTheme="minorHAnsi" w:hAnsiTheme="minorHAnsi"/>
                              <w:szCs w:val="20"/>
                            </w:rPr>
                          </w:pPr>
                          <w:bookmarkStart w:id="4" w:name="LAN_CaseNo"/>
                          <w:bookmarkStart w:id="5" w:name="HIF_dossier_f2casenumber"/>
                          <w:r w:rsidRPr="007116B6">
                            <w:rPr>
                              <w:rFonts w:asciiTheme="minorHAnsi" w:hAnsiTheme="minorHAnsi"/>
                              <w:szCs w:val="20"/>
                            </w:rPr>
                            <w:t>J.</w:t>
                          </w:r>
                          <w:r w:rsidRPr="00421731">
                            <w:rPr>
                              <w:rFonts w:asciiTheme="minorHAnsi" w:hAnsiTheme="minorHAnsi"/>
                              <w:szCs w:val="20"/>
                            </w:rPr>
                            <w:t>nr.</w:t>
                          </w:r>
                          <w:bookmarkEnd w:id="4"/>
                          <w:r w:rsidR="00374C74" w:rsidRPr="00421731">
                            <w:rPr>
                              <w:rFonts w:asciiTheme="minorHAnsi" w:hAnsiTheme="minorHAnsi"/>
                              <w:szCs w:val="20"/>
                            </w:rPr>
                            <w:t xml:space="preserve"> </w:t>
                          </w:r>
                          <w:r w:rsidR="004E1FEB" w:rsidRPr="004E1FEB">
                            <w:rPr>
                              <w:rFonts w:asciiTheme="minorHAnsi" w:hAnsiTheme="minorHAnsi"/>
                              <w:szCs w:val="20"/>
                            </w:rPr>
                            <w:t>2026-44131</w:t>
                          </w:r>
                        </w:p>
                        <w:p w14:paraId="20EE6176" w14:textId="03ABB214" w:rsidR="00D94743" w:rsidRDefault="00F65F56" w:rsidP="00171E78">
                          <w:pPr>
                            <w:pStyle w:val="Kolofontekst"/>
                            <w:rPr>
                              <w:rFonts w:asciiTheme="minorHAnsi" w:hAnsiTheme="minorHAnsi"/>
                              <w:szCs w:val="20"/>
                            </w:rPr>
                          </w:pPr>
                          <w:bookmarkStart w:id="6" w:name="FLD_DocumentDate"/>
                          <w:bookmarkEnd w:id="5"/>
                          <w:r w:rsidRPr="006F7211">
                            <w:rPr>
                              <w:rFonts w:asciiTheme="minorHAnsi" w:hAnsiTheme="minorHAnsi"/>
                              <w:szCs w:val="20"/>
                            </w:rPr>
                            <w:t xml:space="preserve">Den </w:t>
                          </w:r>
                          <w:bookmarkEnd w:id="6"/>
                          <w:r w:rsidR="00385A45">
                            <w:rPr>
                              <w:rFonts w:asciiTheme="minorHAnsi" w:hAnsiTheme="minorHAnsi"/>
                              <w:szCs w:val="20"/>
                            </w:rPr>
                            <w:t>26</w:t>
                          </w:r>
                          <w:r w:rsidR="00296EBA">
                            <w:rPr>
                              <w:rFonts w:asciiTheme="minorHAnsi" w:hAnsiTheme="minorHAnsi"/>
                              <w:szCs w:val="20"/>
                            </w:rPr>
                            <w:t xml:space="preserve">. </w:t>
                          </w:r>
                          <w:r w:rsidR="00385A45">
                            <w:rPr>
                              <w:rFonts w:asciiTheme="minorHAnsi" w:hAnsiTheme="minorHAnsi"/>
                              <w:szCs w:val="20"/>
                            </w:rPr>
                            <w:t>marts</w:t>
                          </w:r>
                          <w:r w:rsidR="002D6A8D">
                            <w:rPr>
                              <w:rFonts w:asciiTheme="minorHAnsi" w:hAnsiTheme="minorHAnsi"/>
                              <w:szCs w:val="20"/>
                            </w:rPr>
                            <w:t xml:space="preserve"> 202</w:t>
                          </w:r>
                          <w:r w:rsidR="003562CD">
                            <w:rPr>
                              <w:rFonts w:asciiTheme="minorHAnsi" w:hAnsiTheme="minorHAnsi"/>
                              <w:szCs w:val="20"/>
                            </w:rPr>
                            <w:t>6</w:t>
                          </w:r>
                        </w:p>
                        <w:p w14:paraId="741DB49F" w14:textId="77777777" w:rsidR="006F7211" w:rsidRPr="006F7211" w:rsidRDefault="006F7211" w:rsidP="00095EE7">
                          <w:pPr>
                            <w:pStyle w:val="Kolofontekst"/>
                            <w:rPr>
                              <w:rFonts w:asciiTheme="minorHAnsi" w:hAnsiTheme="minorHAnsi"/>
                              <w:szCs w:val="20"/>
                            </w:rPr>
                          </w:pPr>
                        </w:p>
                      </w:tc>
                    </w:tr>
                  </w:tbl>
                  <w:p w14:paraId="50801A11" w14:textId="77777777" w:rsidR="00D94743" w:rsidRDefault="00D94743" w:rsidP="00D94743"/>
                </w:txbxContent>
              </v:textbox>
              <w10:wrap anchorx="margin" anchory="page"/>
              <w10:anchorlock/>
            </v:shape>
          </w:pict>
        </mc:Fallback>
      </mc:AlternateContent>
    </w:r>
  </w:p>
  <w:p w14:paraId="7F2D042C" w14:textId="77777777" w:rsidR="00A51DBA" w:rsidRDefault="00A51DBA"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0844980"/>
    <w:multiLevelType w:val="multilevel"/>
    <w:tmpl w:val="73BEA892"/>
    <w:lvl w:ilvl="0">
      <w:start w:val="1"/>
      <w:numFmt w:val="decimal"/>
      <w:suff w:val="space"/>
      <w:lvlText w:val="Punkt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34F789D"/>
    <w:multiLevelType w:val="multilevel"/>
    <w:tmpl w:val="7B5CD3E6"/>
    <w:lvl w:ilvl="0">
      <w:start w:val="1"/>
      <w:numFmt w:val="bullet"/>
      <w:pStyle w:val="Faktaboks-Bullet"/>
      <w:lvlText w:val=""/>
      <w:lvlJc w:val="left"/>
      <w:pPr>
        <w:tabs>
          <w:tab w:val="num" w:pos="397"/>
        </w:tabs>
        <w:ind w:left="567" w:hanging="170"/>
      </w:pPr>
      <w:rPr>
        <w:rFonts w:ascii="Symbol" w:hAnsi="Symbol" w:hint="default"/>
      </w:rPr>
    </w:lvl>
    <w:lvl w:ilvl="1">
      <w:start w:val="1"/>
      <w:numFmt w:val="bullet"/>
      <w:lvlText w:val=""/>
      <w:lvlJc w:val="left"/>
      <w:pPr>
        <w:tabs>
          <w:tab w:val="num" w:pos="567"/>
        </w:tabs>
        <w:ind w:left="737" w:hanging="170"/>
      </w:pPr>
      <w:rPr>
        <w:rFonts w:ascii="Symbol" w:hAnsi="Symbol" w:hint="default"/>
        <w:color w:val="auto"/>
      </w:rPr>
    </w:lvl>
    <w:lvl w:ilvl="2">
      <w:start w:val="1"/>
      <w:numFmt w:val="bullet"/>
      <w:lvlText w:val=""/>
      <w:lvlJc w:val="left"/>
      <w:pPr>
        <w:tabs>
          <w:tab w:val="num" w:pos="737"/>
        </w:tabs>
        <w:ind w:left="907" w:hanging="170"/>
      </w:pPr>
      <w:rPr>
        <w:rFonts w:ascii="Symbol" w:hAnsi="Symbol" w:hint="default"/>
      </w:rPr>
    </w:lvl>
    <w:lvl w:ilvl="3">
      <w:start w:val="1"/>
      <w:numFmt w:val="bullet"/>
      <w:lvlText w:val=""/>
      <w:lvlJc w:val="left"/>
      <w:pPr>
        <w:tabs>
          <w:tab w:val="num" w:pos="907"/>
        </w:tabs>
        <w:ind w:left="1077" w:hanging="170"/>
      </w:pPr>
      <w:rPr>
        <w:rFonts w:ascii="Symbol" w:hAnsi="Symbol" w:hint="default"/>
      </w:rPr>
    </w:lvl>
    <w:lvl w:ilvl="4">
      <w:start w:val="1"/>
      <w:numFmt w:val="bullet"/>
      <w:lvlText w:val=""/>
      <w:lvlJc w:val="left"/>
      <w:pPr>
        <w:tabs>
          <w:tab w:val="num" w:pos="1077"/>
        </w:tabs>
        <w:ind w:left="1247" w:hanging="170"/>
      </w:pPr>
      <w:rPr>
        <w:rFonts w:ascii="Symbol" w:hAnsi="Symbol" w:hint="default"/>
      </w:rPr>
    </w:lvl>
    <w:lvl w:ilvl="5">
      <w:start w:val="1"/>
      <w:numFmt w:val="bullet"/>
      <w:lvlText w:val=""/>
      <w:lvlJc w:val="left"/>
      <w:pPr>
        <w:tabs>
          <w:tab w:val="num" w:pos="1247"/>
        </w:tabs>
        <w:ind w:left="1417" w:hanging="170"/>
      </w:pPr>
      <w:rPr>
        <w:rFonts w:ascii="Symbol" w:hAnsi="Symbol" w:hint="default"/>
      </w:rPr>
    </w:lvl>
    <w:lvl w:ilvl="6">
      <w:start w:val="1"/>
      <w:numFmt w:val="bullet"/>
      <w:lvlText w:val=""/>
      <w:lvlJc w:val="left"/>
      <w:pPr>
        <w:tabs>
          <w:tab w:val="num" w:pos="1417"/>
        </w:tabs>
        <w:ind w:left="1587" w:hanging="170"/>
      </w:pPr>
      <w:rPr>
        <w:rFonts w:ascii="Symbol" w:hAnsi="Symbol" w:hint="default"/>
      </w:rPr>
    </w:lvl>
    <w:lvl w:ilvl="7">
      <w:start w:val="1"/>
      <w:numFmt w:val="bullet"/>
      <w:lvlText w:val=""/>
      <w:lvlJc w:val="left"/>
      <w:pPr>
        <w:tabs>
          <w:tab w:val="num" w:pos="1587"/>
        </w:tabs>
        <w:ind w:left="1757" w:hanging="170"/>
      </w:pPr>
      <w:rPr>
        <w:rFonts w:ascii="Symbol" w:hAnsi="Symbol" w:hint="default"/>
      </w:rPr>
    </w:lvl>
    <w:lvl w:ilvl="8">
      <w:start w:val="1"/>
      <w:numFmt w:val="bullet"/>
      <w:lvlText w:val=""/>
      <w:lvlJc w:val="left"/>
      <w:pPr>
        <w:tabs>
          <w:tab w:val="num" w:pos="1757"/>
        </w:tabs>
        <w:ind w:left="1927" w:hanging="170"/>
      </w:pPr>
      <w:rPr>
        <w:rFonts w:ascii="Symbol" w:hAnsi="Symbol" w:hint="default"/>
      </w:rPr>
    </w:lvl>
  </w:abstractNum>
  <w:abstractNum w:abstractNumId="16" w15:restartNumberingAfterBreak="0">
    <w:nsid w:val="751F6B4F"/>
    <w:multiLevelType w:val="hybridMultilevel"/>
    <w:tmpl w:val="24844A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75582252">
    <w:abstractNumId w:val="10"/>
  </w:num>
  <w:num w:numId="2" w16cid:durableId="1679380730">
    <w:abstractNumId w:val="7"/>
  </w:num>
  <w:num w:numId="3" w16cid:durableId="1903323773">
    <w:abstractNumId w:val="6"/>
  </w:num>
  <w:num w:numId="4" w16cid:durableId="285746204">
    <w:abstractNumId w:val="5"/>
  </w:num>
  <w:num w:numId="5" w16cid:durableId="2037584851">
    <w:abstractNumId w:val="4"/>
  </w:num>
  <w:num w:numId="6" w16cid:durableId="375858591">
    <w:abstractNumId w:val="11"/>
  </w:num>
  <w:num w:numId="7" w16cid:durableId="355354790">
    <w:abstractNumId w:val="3"/>
  </w:num>
  <w:num w:numId="8" w16cid:durableId="1594389517">
    <w:abstractNumId w:val="2"/>
  </w:num>
  <w:num w:numId="9" w16cid:durableId="1074205367">
    <w:abstractNumId w:val="1"/>
  </w:num>
  <w:num w:numId="10" w16cid:durableId="895817345">
    <w:abstractNumId w:val="0"/>
  </w:num>
  <w:num w:numId="11" w16cid:durableId="1586455059">
    <w:abstractNumId w:val="9"/>
  </w:num>
  <w:num w:numId="12" w16cid:durableId="633103900">
    <w:abstractNumId w:val="14"/>
  </w:num>
  <w:num w:numId="13" w16cid:durableId="441876332">
    <w:abstractNumId w:val="12"/>
  </w:num>
  <w:num w:numId="14" w16cid:durableId="1016660331">
    <w:abstractNumId w:val="8"/>
  </w:num>
  <w:num w:numId="15" w16cid:durableId="10105202">
    <w:abstractNumId w:val="15"/>
  </w:num>
  <w:num w:numId="16" w16cid:durableId="1707558171">
    <w:abstractNumId w:val="13"/>
  </w:num>
  <w:num w:numId="17" w16cid:durableId="3263719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forms" w:enforcement="0"/>
  <w:defaultTabStop w:val="1304"/>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Qx+FeH2x7nhx4Hp8D2VRnNkncSdFewoPWvyBFUojCCnfz8zhG/emAofUAQRpnmKs"/>
  </w:docVars>
  <w:rsids>
    <w:rsidRoot w:val="00F65F56"/>
    <w:rsid w:val="00002EA0"/>
    <w:rsid w:val="00003636"/>
    <w:rsid w:val="00005FAA"/>
    <w:rsid w:val="00012578"/>
    <w:rsid w:val="0001457C"/>
    <w:rsid w:val="00014A9D"/>
    <w:rsid w:val="0001528D"/>
    <w:rsid w:val="000166A0"/>
    <w:rsid w:val="00017215"/>
    <w:rsid w:val="00021D88"/>
    <w:rsid w:val="00030051"/>
    <w:rsid w:val="00034E9A"/>
    <w:rsid w:val="00035999"/>
    <w:rsid w:val="00037E7E"/>
    <w:rsid w:val="00054310"/>
    <w:rsid w:val="00060BC5"/>
    <w:rsid w:val="000647F2"/>
    <w:rsid w:val="00070BA1"/>
    <w:rsid w:val="00073466"/>
    <w:rsid w:val="00073714"/>
    <w:rsid w:val="00074CCB"/>
    <w:rsid w:val="00074F1A"/>
    <w:rsid w:val="000758FD"/>
    <w:rsid w:val="00082404"/>
    <w:rsid w:val="000825EC"/>
    <w:rsid w:val="00085E23"/>
    <w:rsid w:val="00095EE7"/>
    <w:rsid w:val="00096AA1"/>
    <w:rsid w:val="000A025F"/>
    <w:rsid w:val="000A10CC"/>
    <w:rsid w:val="000A1C92"/>
    <w:rsid w:val="000A207A"/>
    <w:rsid w:val="000A26F5"/>
    <w:rsid w:val="000A7219"/>
    <w:rsid w:val="000B01F9"/>
    <w:rsid w:val="000B0E53"/>
    <w:rsid w:val="000B26E7"/>
    <w:rsid w:val="000B2E5E"/>
    <w:rsid w:val="000B3C00"/>
    <w:rsid w:val="000B5461"/>
    <w:rsid w:val="000B7F4A"/>
    <w:rsid w:val="000C0594"/>
    <w:rsid w:val="000C13E6"/>
    <w:rsid w:val="000C3D52"/>
    <w:rsid w:val="000C45B7"/>
    <w:rsid w:val="000C62D3"/>
    <w:rsid w:val="000D0F4C"/>
    <w:rsid w:val="000D1CF4"/>
    <w:rsid w:val="000D30D0"/>
    <w:rsid w:val="000D5FBF"/>
    <w:rsid w:val="000D600E"/>
    <w:rsid w:val="000E350C"/>
    <w:rsid w:val="000E3992"/>
    <w:rsid w:val="000E3F6A"/>
    <w:rsid w:val="000E47A4"/>
    <w:rsid w:val="000E717B"/>
    <w:rsid w:val="000E7A0E"/>
    <w:rsid w:val="000F0B81"/>
    <w:rsid w:val="001062D0"/>
    <w:rsid w:val="00114DE6"/>
    <w:rsid w:val="001176B9"/>
    <w:rsid w:val="001210A9"/>
    <w:rsid w:val="001354CC"/>
    <w:rsid w:val="00135E37"/>
    <w:rsid w:val="00136979"/>
    <w:rsid w:val="0014150F"/>
    <w:rsid w:val="00144670"/>
    <w:rsid w:val="0014616C"/>
    <w:rsid w:val="00147799"/>
    <w:rsid w:val="00150899"/>
    <w:rsid w:val="00152CB8"/>
    <w:rsid w:val="00156908"/>
    <w:rsid w:val="00160721"/>
    <w:rsid w:val="0016406C"/>
    <w:rsid w:val="001641A5"/>
    <w:rsid w:val="0016438D"/>
    <w:rsid w:val="0016443C"/>
    <w:rsid w:val="00171E78"/>
    <w:rsid w:val="001743E7"/>
    <w:rsid w:val="0018626F"/>
    <w:rsid w:val="001A1D1B"/>
    <w:rsid w:val="001A4D56"/>
    <w:rsid w:val="001A5344"/>
    <w:rsid w:val="001A58BF"/>
    <w:rsid w:val="001A6CB5"/>
    <w:rsid w:val="001A7E4B"/>
    <w:rsid w:val="001B16C9"/>
    <w:rsid w:val="001B3F10"/>
    <w:rsid w:val="001B46DD"/>
    <w:rsid w:val="001B5C99"/>
    <w:rsid w:val="001B72A9"/>
    <w:rsid w:val="001C13DB"/>
    <w:rsid w:val="001C2544"/>
    <w:rsid w:val="001C417D"/>
    <w:rsid w:val="001C4328"/>
    <w:rsid w:val="001C5D81"/>
    <w:rsid w:val="001C6963"/>
    <w:rsid w:val="001C7630"/>
    <w:rsid w:val="001D1196"/>
    <w:rsid w:val="001D19D8"/>
    <w:rsid w:val="001D7C09"/>
    <w:rsid w:val="001E38EF"/>
    <w:rsid w:val="001E6E42"/>
    <w:rsid w:val="001E7F16"/>
    <w:rsid w:val="001F266A"/>
    <w:rsid w:val="001F3A47"/>
    <w:rsid w:val="001F4A89"/>
    <w:rsid w:val="001F763E"/>
    <w:rsid w:val="00200B86"/>
    <w:rsid w:val="0020134B"/>
    <w:rsid w:val="0020402C"/>
    <w:rsid w:val="002044E3"/>
    <w:rsid w:val="00204BF4"/>
    <w:rsid w:val="002054EF"/>
    <w:rsid w:val="002079F6"/>
    <w:rsid w:val="00211AC9"/>
    <w:rsid w:val="00212497"/>
    <w:rsid w:val="0022331E"/>
    <w:rsid w:val="002239C6"/>
    <w:rsid w:val="00225534"/>
    <w:rsid w:val="00230F27"/>
    <w:rsid w:val="00235C1F"/>
    <w:rsid w:val="002366E2"/>
    <w:rsid w:val="002401A3"/>
    <w:rsid w:val="00245045"/>
    <w:rsid w:val="00245891"/>
    <w:rsid w:val="00246A98"/>
    <w:rsid w:val="002502AF"/>
    <w:rsid w:val="002537CD"/>
    <w:rsid w:val="0026200A"/>
    <w:rsid w:val="002629A8"/>
    <w:rsid w:val="002639DB"/>
    <w:rsid w:val="00264240"/>
    <w:rsid w:val="002654F9"/>
    <w:rsid w:val="00267F76"/>
    <w:rsid w:val="002702DD"/>
    <w:rsid w:val="002751BD"/>
    <w:rsid w:val="0027546B"/>
    <w:rsid w:val="00280F4B"/>
    <w:rsid w:val="00283D52"/>
    <w:rsid w:val="00284176"/>
    <w:rsid w:val="00293240"/>
    <w:rsid w:val="002933E6"/>
    <w:rsid w:val="0029629D"/>
    <w:rsid w:val="00296670"/>
    <w:rsid w:val="00296EBA"/>
    <w:rsid w:val="002A29B1"/>
    <w:rsid w:val="002A2B70"/>
    <w:rsid w:val="002A5B16"/>
    <w:rsid w:val="002A7860"/>
    <w:rsid w:val="002B4C66"/>
    <w:rsid w:val="002B5328"/>
    <w:rsid w:val="002B68DE"/>
    <w:rsid w:val="002B76D6"/>
    <w:rsid w:val="002B7D9D"/>
    <w:rsid w:val="002C042D"/>
    <w:rsid w:val="002C05F7"/>
    <w:rsid w:val="002C1A41"/>
    <w:rsid w:val="002C4313"/>
    <w:rsid w:val="002C4595"/>
    <w:rsid w:val="002C4D00"/>
    <w:rsid w:val="002C577D"/>
    <w:rsid w:val="002D00C9"/>
    <w:rsid w:val="002D061F"/>
    <w:rsid w:val="002D0CC0"/>
    <w:rsid w:val="002D268E"/>
    <w:rsid w:val="002D6A8D"/>
    <w:rsid w:val="002D7F0F"/>
    <w:rsid w:val="002F115D"/>
    <w:rsid w:val="002F2041"/>
    <w:rsid w:val="003001A2"/>
    <w:rsid w:val="00301F96"/>
    <w:rsid w:val="00310C3C"/>
    <w:rsid w:val="0031220A"/>
    <w:rsid w:val="00313642"/>
    <w:rsid w:val="00315AC9"/>
    <w:rsid w:val="00317EB2"/>
    <w:rsid w:val="00320951"/>
    <w:rsid w:val="003209AA"/>
    <w:rsid w:val="00322BBE"/>
    <w:rsid w:val="00323399"/>
    <w:rsid w:val="00324BFF"/>
    <w:rsid w:val="00326ED5"/>
    <w:rsid w:val="00331970"/>
    <w:rsid w:val="00334562"/>
    <w:rsid w:val="00335B13"/>
    <w:rsid w:val="00337AF6"/>
    <w:rsid w:val="00343352"/>
    <w:rsid w:val="00343A37"/>
    <w:rsid w:val="00345FA9"/>
    <w:rsid w:val="00347868"/>
    <w:rsid w:val="00350582"/>
    <w:rsid w:val="003558D9"/>
    <w:rsid w:val="003562CD"/>
    <w:rsid w:val="00356687"/>
    <w:rsid w:val="00362EAC"/>
    <w:rsid w:val="00365BC4"/>
    <w:rsid w:val="00374C74"/>
    <w:rsid w:val="00376B15"/>
    <w:rsid w:val="003819FF"/>
    <w:rsid w:val="00385A45"/>
    <w:rsid w:val="00385C06"/>
    <w:rsid w:val="00386D0C"/>
    <w:rsid w:val="00390AC0"/>
    <w:rsid w:val="003A3350"/>
    <w:rsid w:val="003A3369"/>
    <w:rsid w:val="003A44A9"/>
    <w:rsid w:val="003A5994"/>
    <w:rsid w:val="003B54C4"/>
    <w:rsid w:val="003B6C74"/>
    <w:rsid w:val="003C4EFF"/>
    <w:rsid w:val="003C67E6"/>
    <w:rsid w:val="003D3CB2"/>
    <w:rsid w:val="003D518E"/>
    <w:rsid w:val="003E06B4"/>
    <w:rsid w:val="003E09D1"/>
    <w:rsid w:val="003E0E3E"/>
    <w:rsid w:val="003E1377"/>
    <w:rsid w:val="003E205B"/>
    <w:rsid w:val="003E2CA8"/>
    <w:rsid w:val="003E3617"/>
    <w:rsid w:val="003F0D75"/>
    <w:rsid w:val="003F1498"/>
    <w:rsid w:val="003F5F73"/>
    <w:rsid w:val="003F6762"/>
    <w:rsid w:val="0040506D"/>
    <w:rsid w:val="00406784"/>
    <w:rsid w:val="00406AF1"/>
    <w:rsid w:val="00407C2F"/>
    <w:rsid w:val="0041385B"/>
    <w:rsid w:val="004149CC"/>
    <w:rsid w:val="00415BC0"/>
    <w:rsid w:val="004176E3"/>
    <w:rsid w:val="004208E6"/>
    <w:rsid w:val="00421731"/>
    <w:rsid w:val="004232F9"/>
    <w:rsid w:val="0042496A"/>
    <w:rsid w:val="00431C64"/>
    <w:rsid w:val="00432EE9"/>
    <w:rsid w:val="00433A1E"/>
    <w:rsid w:val="00440668"/>
    <w:rsid w:val="004421D7"/>
    <w:rsid w:val="004450B2"/>
    <w:rsid w:val="00446762"/>
    <w:rsid w:val="00447B83"/>
    <w:rsid w:val="00447C9E"/>
    <w:rsid w:val="00447D8A"/>
    <w:rsid w:val="00450475"/>
    <w:rsid w:val="00450810"/>
    <w:rsid w:val="00453BBD"/>
    <w:rsid w:val="00457882"/>
    <w:rsid w:val="004578C3"/>
    <w:rsid w:val="00460B5A"/>
    <w:rsid w:val="004640DB"/>
    <w:rsid w:val="0046600E"/>
    <w:rsid w:val="00467E79"/>
    <w:rsid w:val="0047264A"/>
    <w:rsid w:val="004746C1"/>
    <w:rsid w:val="00476722"/>
    <w:rsid w:val="004808E5"/>
    <w:rsid w:val="00481EEB"/>
    <w:rsid w:val="0048414C"/>
    <w:rsid w:val="00484D84"/>
    <w:rsid w:val="0048667B"/>
    <w:rsid w:val="00490D37"/>
    <w:rsid w:val="00491E11"/>
    <w:rsid w:val="00495993"/>
    <w:rsid w:val="004A3AAA"/>
    <w:rsid w:val="004A4315"/>
    <w:rsid w:val="004A63B7"/>
    <w:rsid w:val="004B5995"/>
    <w:rsid w:val="004B5AC3"/>
    <w:rsid w:val="004B6A8B"/>
    <w:rsid w:val="004B6EA1"/>
    <w:rsid w:val="004C0742"/>
    <w:rsid w:val="004C17D1"/>
    <w:rsid w:val="004C237E"/>
    <w:rsid w:val="004C491E"/>
    <w:rsid w:val="004C5619"/>
    <w:rsid w:val="004C63FE"/>
    <w:rsid w:val="004D1616"/>
    <w:rsid w:val="004D23C9"/>
    <w:rsid w:val="004D6645"/>
    <w:rsid w:val="004E1FEB"/>
    <w:rsid w:val="004E3144"/>
    <w:rsid w:val="004E33EF"/>
    <w:rsid w:val="004E4604"/>
    <w:rsid w:val="004E562B"/>
    <w:rsid w:val="004E642A"/>
    <w:rsid w:val="004E7C82"/>
    <w:rsid w:val="004F0A24"/>
    <w:rsid w:val="004F3517"/>
    <w:rsid w:val="004F7C92"/>
    <w:rsid w:val="005009DC"/>
    <w:rsid w:val="00500EFC"/>
    <w:rsid w:val="00501E2E"/>
    <w:rsid w:val="00507EDC"/>
    <w:rsid w:val="005176C7"/>
    <w:rsid w:val="0051781E"/>
    <w:rsid w:val="00520971"/>
    <w:rsid w:val="005267CB"/>
    <w:rsid w:val="00531869"/>
    <w:rsid w:val="00535B7D"/>
    <w:rsid w:val="0053649A"/>
    <w:rsid w:val="00537887"/>
    <w:rsid w:val="005456EF"/>
    <w:rsid w:val="00554FAA"/>
    <w:rsid w:val="005566EF"/>
    <w:rsid w:val="00560784"/>
    <w:rsid w:val="005630B4"/>
    <w:rsid w:val="00563773"/>
    <w:rsid w:val="005650F2"/>
    <w:rsid w:val="00565FC8"/>
    <w:rsid w:val="005672CB"/>
    <w:rsid w:val="00573425"/>
    <w:rsid w:val="00576B90"/>
    <w:rsid w:val="00580465"/>
    <w:rsid w:val="00580A63"/>
    <w:rsid w:val="0058155D"/>
    <w:rsid w:val="00590A5B"/>
    <w:rsid w:val="00590C13"/>
    <w:rsid w:val="0059175F"/>
    <w:rsid w:val="0059560E"/>
    <w:rsid w:val="00596C25"/>
    <w:rsid w:val="005A01E1"/>
    <w:rsid w:val="005A0290"/>
    <w:rsid w:val="005A1F29"/>
    <w:rsid w:val="005A29CB"/>
    <w:rsid w:val="005A50B9"/>
    <w:rsid w:val="005C51A1"/>
    <w:rsid w:val="005C62F4"/>
    <w:rsid w:val="005D2B26"/>
    <w:rsid w:val="005D3CF2"/>
    <w:rsid w:val="005D543F"/>
    <w:rsid w:val="005D7152"/>
    <w:rsid w:val="005E20B8"/>
    <w:rsid w:val="005E352B"/>
    <w:rsid w:val="005E4484"/>
    <w:rsid w:val="005F172E"/>
    <w:rsid w:val="005F41DA"/>
    <w:rsid w:val="005F5F90"/>
    <w:rsid w:val="005F61FB"/>
    <w:rsid w:val="005F6E8E"/>
    <w:rsid w:val="00604DC5"/>
    <w:rsid w:val="006067F0"/>
    <w:rsid w:val="006079D5"/>
    <w:rsid w:val="00610541"/>
    <w:rsid w:val="00610A43"/>
    <w:rsid w:val="00612296"/>
    <w:rsid w:val="006161E8"/>
    <w:rsid w:val="006217FF"/>
    <w:rsid w:val="00623A75"/>
    <w:rsid w:val="0063273A"/>
    <w:rsid w:val="00632DB3"/>
    <w:rsid w:val="00632EB9"/>
    <w:rsid w:val="00641AE1"/>
    <w:rsid w:val="00652CD9"/>
    <w:rsid w:val="00655780"/>
    <w:rsid w:val="00656763"/>
    <w:rsid w:val="00656C96"/>
    <w:rsid w:val="00662C55"/>
    <w:rsid w:val="00666074"/>
    <w:rsid w:val="006665A1"/>
    <w:rsid w:val="00667AF8"/>
    <w:rsid w:val="006706E8"/>
    <w:rsid w:val="0067771A"/>
    <w:rsid w:val="00684B85"/>
    <w:rsid w:val="0068783F"/>
    <w:rsid w:val="00695712"/>
    <w:rsid w:val="00696E85"/>
    <w:rsid w:val="006A17CD"/>
    <w:rsid w:val="006A18C5"/>
    <w:rsid w:val="006A1F62"/>
    <w:rsid w:val="006A3A58"/>
    <w:rsid w:val="006B61DE"/>
    <w:rsid w:val="006C29FE"/>
    <w:rsid w:val="006D09A7"/>
    <w:rsid w:val="006D1AC3"/>
    <w:rsid w:val="006D227C"/>
    <w:rsid w:val="006E25ED"/>
    <w:rsid w:val="006E4889"/>
    <w:rsid w:val="006E6CC3"/>
    <w:rsid w:val="006E7F1D"/>
    <w:rsid w:val="006F22E3"/>
    <w:rsid w:val="006F3EB3"/>
    <w:rsid w:val="006F4DCD"/>
    <w:rsid w:val="006F7211"/>
    <w:rsid w:val="007024F2"/>
    <w:rsid w:val="00702FF2"/>
    <w:rsid w:val="00703504"/>
    <w:rsid w:val="00703B66"/>
    <w:rsid w:val="00705800"/>
    <w:rsid w:val="00705EAB"/>
    <w:rsid w:val="00707C9C"/>
    <w:rsid w:val="007116B6"/>
    <w:rsid w:val="007217CB"/>
    <w:rsid w:val="00721CA7"/>
    <w:rsid w:val="00723455"/>
    <w:rsid w:val="00724762"/>
    <w:rsid w:val="00724D6D"/>
    <w:rsid w:val="0073474C"/>
    <w:rsid w:val="0073754C"/>
    <w:rsid w:val="00743591"/>
    <w:rsid w:val="00745040"/>
    <w:rsid w:val="0074716F"/>
    <w:rsid w:val="0074737F"/>
    <w:rsid w:val="00752AE0"/>
    <w:rsid w:val="00753673"/>
    <w:rsid w:val="007540BD"/>
    <w:rsid w:val="00754C83"/>
    <w:rsid w:val="007550D9"/>
    <w:rsid w:val="00755EC9"/>
    <w:rsid w:val="00762070"/>
    <w:rsid w:val="00762205"/>
    <w:rsid w:val="0076323D"/>
    <w:rsid w:val="00764201"/>
    <w:rsid w:val="00774BD2"/>
    <w:rsid w:val="007830BE"/>
    <w:rsid w:val="007940C9"/>
    <w:rsid w:val="00795CE7"/>
    <w:rsid w:val="00796312"/>
    <w:rsid w:val="007A0FCB"/>
    <w:rsid w:val="007B1B23"/>
    <w:rsid w:val="007B21FA"/>
    <w:rsid w:val="007B2ADE"/>
    <w:rsid w:val="007B3940"/>
    <w:rsid w:val="007B4F1D"/>
    <w:rsid w:val="007B6707"/>
    <w:rsid w:val="007D492E"/>
    <w:rsid w:val="007E0C49"/>
    <w:rsid w:val="007E3A3B"/>
    <w:rsid w:val="007E51F2"/>
    <w:rsid w:val="007E5E97"/>
    <w:rsid w:val="007E75AC"/>
    <w:rsid w:val="007E7688"/>
    <w:rsid w:val="007F4A4B"/>
    <w:rsid w:val="007F4B22"/>
    <w:rsid w:val="007F770C"/>
    <w:rsid w:val="00802CB9"/>
    <w:rsid w:val="00802F73"/>
    <w:rsid w:val="00806210"/>
    <w:rsid w:val="00807BA4"/>
    <w:rsid w:val="0081257E"/>
    <w:rsid w:val="00821133"/>
    <w:rsid w:val="00830CCA"/>
    <w:rsid w:val="008324B0"/>
    <w:rsid w:val="00834BDD"/>
    <w:rsid w:val="00837431"/>
    <w:rsid w:val="008407EC"/>
    <w:rsid w:val="0084333E"/>
    <w:rsid w:val="0084379B"/>
    <w:rsid w:val="00844CA9"/>
    <w:rsid w:val="00847491"/>
    <w:rsid w:val="008477DD"/>
    <w:rsid w:val="00847FF5"/>
    <w:rsid w:val="00850194"/>
    <w:rsid w:val="008527F9"/>
    <w:rsid w:val="0085384C"/>
    <w:rsid w:val="00854270"/>
    <w:rsid w:val="008559E9"/>
    <w:rsid w:val="00860D2C"/>
    <w:rsid w:val="00861CBA"/>
    <w:rsid w:val="00863B4C"/>
    <w:rsid w:val="00872AC0"/>
    <w:rsid w:val="00875531"/>
    <w:rsid w:val="008774A5"/>
    <w:rsid w:val="00882741"/>
    <w:rsid w:val="00885AD3"/>
    <w:rsid w:val="00892B13"/>
    <w:rsid w:val="00896915"/>
    <w:rsid w:val="008A1C6B"/>
    <w:rsid w:val="008A4864"/>
    <w:rsid w:val="008A48F2"/>
    <w:rsid w:val="008A7346"/>
    <w:rsid w:val="008A7CD4"/>
    <w:rsid w:val="008B1B83"/>
    <w:rsid w:val="008B3ADA"/>
    <w:rsid w:val="008B70AA"/>
    <w:rsid w:val="008B7D00"/>
    <w:rsid w:val="008C5F4A"/>
    <w:rsid w:val="008C6F4E"/>
    <w:rsid w:val="008D1525"/>
    <w:rsid w:val="008D3442"/>
    <w:rsid w:val="008D5A37"/>
    <w:rsid w:val="008D642D"/>
    <w:rsid w:val="008E3990"/>
    <w:rsid w:val="008F272E"/>
    <w:rsid w:val="008F5339"/>
    <w:rsid w:val="008F6B2B"/>
    <w:rsid w:val="00902119"/>
    <w:rsid w:val="00904EFD"/>
    <w:rsid w:val="00905C37"/>
    <w:rsid w:val="00906916"/>
    <w:rsid w:val="00921E02"/>
    <w:rsid w:val="0092514B"/>
    <w:rsid w:val="009264AA"/>
    <w:rsid w:val="0094448C"/>
    <w:rsid w:val="00944EE8"/>
    <w:rsid w:val="00945B8A"/>
    <w:rsid w:val="009461F0"/>
    <w:rsid w:val="009521B7"/>
    <w:rsid w:val="00953A01"/>
    <w:rsid w:val="0095722C"/>
    <w:rsid w:val="009601F5"/>
    <w:rsid w:val="0096386C"/>
    <w:rsid w:val="00963E43"/>
    <w:rsid w:val="00970F21"/>
    <w:rsid w:val="00973F8F"/>
    <w:rsid w:val="00975F3B"/>
    <w:rsid w:val="0098382A"/>
    <w:rsid w:val="00983D34"/>
    <w:rsid w:val="009943CD"/>
    <w:rsid w:val="00994E91"/>
    <w:rsid w:val="009B007F"/>
    <w:rsid w:val="009C1696"/>
    <w:rsid w:val="009C31F1"/>
    <w:rsid w:val="009C37F8"/>
    <w:rsid w:val="009C6BB2"/>
    <w:rsid w:val="009D5834"/>
    <w:rsid w:val="009E27B6"/>
    <w:rsid w:val="009E7178"/>
    <w:rsid w:val="009E7920"/>
    <w:rsid w:val="009F26D3"/>
    <w:rsid w:val="009F368F"/>
    <w:rsid w:val="009F4367"/>
    <w:rsid w:val="009F5A21"/>
    <w:rsid w:val="009F7033"/>
    <w:rsid w:val="00A00122"/>
    <w:rsid w:val="00A03CE6"/>
    <w:rsid w:val="00A03E48"/>
    <w:rsid w:val="00A06B7A"/>
    <w:rsid w:val="00A11F5A"/>
    <w:rsid w:val="00A14AAC"/>
    <w:rsid w:val="00A158CB"/>
    <w:rsid w:val="00A162DE"/>
    <w:rsid w:val="00A23792"/>
    <w:rsid w:val="00A34B40"/>
    <w:rsid w:val="00A36292"/>
    <w:rsid w:val="00A36D64"/>
    <w:rsid w:val="00A41003"/>
    <w:rsid w:val="00A44A6B"/>
    <w:rsid w:val="00A46831"/>
    <w:rsid w:val="00A51DBA"/>
    <w:rsid w:val="00A5408B"/>
    <w:rsid w:val="00A556CE"/>
    <w:rsid w:val="00A60BC5"/>
    <w:rsid w:val="00A620E0"/>
    <w:rsid w:val="00A646F4"/>
    <w:rsid w:val="00A67D37"/>
    <w:rsid w:val="00A70F89"/>
    <w:rsid w:val="00A72DDE"/>
    <w:rsid w:val="00A84D55"/>
    <w:rsid w:val="00A85ECD"/>
    <w:rsid w:val="00A923E2"/>
    <w:rsid w:val="00A964CE"/>
    <w:rsid w:val="00A96C60"/>
    <w:rsid w:val="00AA4437"/>
    <w:rsid w:val="00AB363A"/>
    <w:rsid w:val="00AB4F16"/>
    <w:rsid w:val="00AC35D6"/>
    <w:rsid w:val="00AC54EF"/>
    <w:rsid w:val="00AD678B"/>
    <w:rsid w:val="00AD6F07"/>
    <w:rsid w:val="00AE2207"/>
    <w:rsid w:val="00AE41A1"/>
    <w:rsid w:val="00AE5A17"/>
    <w:rsid w:val="00AE74E1"/>
    <w:rsid w:val="00AF24B6"/>
    <w:rsid w:val="00AF5AF6"/>
    <w:rsid w:val="00B07CB5"/>
    <w:rsid w:val="00B13BB6"/>
    <w:rsid w:val="00B2565D"/>
    <w:rsid w:val="00B30727"/>
    <w:rsid w:val="00B31F00"/>
    <w:rsid w:val="00B358B3"/>
    <w:rsid w:val="00B369F1"/>
    <w:rsid w:val="00B409EE"/>
    <w:rsid w:val="00B441D7"/>
    <w:rsid w:val="00B45CA0"/>
    <w:rsid w:val="00B54207"/>
    <w:rsid w:val="00B665D4"/>
    <w:rsid w:val="00B67E21"/>
    <w:rsid w:val="00B71846"/>
    <w:rsid w:val="00B734BB"/>
    <w:rsid w:val="00B77950"/>
    <w:rsid w:val="00B80700"/>
    <w:rsid w:val="00B86940"/>
    <w:rsid w:val="00B87347"/>
    <w:rsid w:val="00B90A33"/>
    <w:rsid w:val="00B91712"/>
    <w:rsid w:val="00B91D48"/>
    <w:rsid w:val="00B9206E"/>
    <w:rsid w:val="00B932C3"/>
    <w:rsid w:val="00B9526E"/>
    <w:rsid w:val="00BA7059"/>
    <w:rsid w:val="00BB40C8"/>
    <w:rsid w:val="00BB47E0"/>
    <w:rsid w:val="00BB6985"/>
    <w:rsid w:val="00BB739A"/>
    <w:rsid w:val="00BC6602"/>
    <w:rsid w:val="00BD787B"/>
    <w:rsid w:val="00BE0CE4"/>
    <w:rsid w:val="00BE44FC"/>
    <w:rsid w:val="00BE7D68"/>
    <w:rsid w:val="00BF101A"/>
    <w:rsid w:val="00BF1A2E"/>
    <w:rsid w:val="00BF2D84"/>
    <w:rsid w:val="00C03ED1"/>
    <w:rsid w:val="00C0724E"/>
    <w:rsid w:val="00C13D30"/>
    <w:rsid w:val="00C1503E"/>
    <w:rsid w:val="00C16955"/>
    <w:rsid w:val="00C21584"/>
    <w:rsid w:val="00C2184A"/>
    <w:rsid w:val="00C22C94"/>
    <w:rsid w:val="00C231F1"/>
    <w:rsid w:val="00C23B3A"/>
    <w:rsid w:val="00C26117"/>
    <w:rsid w:val="00C3559B"/>
    <w:rsid w:val="00C41BBD"/>
    <w:rsid w:val="00C44620"/>
    <w:rsid w:val="00C53CED"/>
    <w:rsid w:val="00C56E48"/>
    <w:rsid w:val="00C57362"/>
    <w:rsid w:val="00C57CA7"/>
    <w:rsid w:val="00C617FE"/>
    <w:rsid w:val="00C64F3D"/>
    <w:rsid w:val="00C662B3"/>
    <w:rsid w:val="00C663E4"/>
    <w:rsid w:val="00C67F98"/>
    <w:rsid w:val="00C7051E"/>
    <w:rsid w:val="00C70BEA"/>
    <w:rsid w:val="00C71B04"/>
    <w:rsid w:val="00C73072"/>
    <w:rsid w:val="00C766CC"/>
    <w:rsid w:val="00C76B7D"/>
    <w:rsid w:val="00C77A28"/>
    <w:rsid w:val="00C8406C"/>
    <w:rsid w:val="00C87AAA"/>
    <w:rsid w:val="00C91C0E"/>
    <w:rsid w:val="00C938AE"/>
    <w:rsid w:val="00CA2DB6"/>
    <w:rsid w:val="00CA53F1"/>
    <w:rsid w:val="00CA543F"/>
    <w:rsid w:val="00CA6429"/>
    <w:rsid w:val="00CA6ADF"/>
    <w:rsid w:val="00CB4FE0"/>
    <w:rsid w:val="00CB5C14"/>
    <w:rsid w:val="00CB755B"/>
    <w:rsid w:val="00CC0756"/>
    <w:rsid w:val="00CC12A8"/>
    <w:rsid w:val="00CC2ED9"/>
    <w:rsid w:val="00CC582A"/>
    <w:rsid w:val="00CC6892"/>
    <w:rsid w:val="00CD31FE"/>
    <w:rsid w:val="00CD391B"/>
    <w:rsid w:val="00CD4F1D"/>
    <w:rsid w:val="00CD7B46"/>
    <w:rsid w:val="00CE1EC6"/>
    <w:rsid w:val="00CE5201"/>
    <w:rsid w:val="00CF1546"/>
    <w:rsid w:val="00CF1627"/>
    <w:rsid w:val="00CF760D"/>
    <w:rsid w:val="00D008ED"/>
    <w:rsid w:val="00D01984"/>
    <w:rsid w:val="00D01EDA"/>
    <w:rsid w:val="00D16472"/>
    <w:rsid w:val="00D23D38"/>
    <w:rsid w:val="00D316F8"/>
    <w:rsid w:val="00D321C9"/>
    <w:rsid w:val="00D35852"/>
    <w:rsid w:val="00D3616D"/>
    <w:rsid w:val="00D37FC2"/>
    <w:rsid w:val="00D41DF3"/>
    <w:rsid w:val="00D43DB0"/>
    <w:rsid w:val="00D46518"/>
    <w:rsid w:val="00D5145D"/>
    <w:rsid w:val="00D5442C"/>
    <w:rsid w:val="00D570C5"/>
    <w:rsid w:val="00D779FB"/>
    <w:rsid w:val="00D818BE"/>
    <w:rsid w:val="00D85F27"/>
    <w:rsid w:val="00D922CF"/>
    <w:rsid w:val="00D94743"/>
    <w:rsid w:val="00D951B4"/>
    <w:rsid w:val="00D969C5"/>
    <w:rsid w:val="00DA32B3"/>
    <w:rsid w:val="00DA6734"/>
    <w:rsid w:val="00DB56B3"/>
    <w:rsid w:val="00DE24BE"/>
    <w:rsid w:val="00DE5B21"/>
    <w:rsid w:val="00DE7479"/>
    <w:rsid w:val="00DF128B"/>
    <w:rsid w:val="00DF2D8E"/>
    <w:rsid w:val="00DF2F94"/>
    <w:rsid w:val="00E10C9A"/>
    <w:rsid w:val="00E11688"/>
    <w:rsid w:val="00E1245A"/>
    <w:rsid w:val="00E16943"/>
    <w:rsid w:val="00E16A2F"/>
    <w:rsid w:val="00E174C1"/>
    <w:rsid w:val="00E17888"/>
    <w:rsid w:val="00E24B82"/>
    <w:rsid w:val="00E26EAA"/>
    <w:rsid w:val="00E27CC3"/>
    <w:rsid w:val="00E30FCA"/>
    <w:rsid w:val="00E31D67"/>
    <w:rsid w:val="00E36F97"/>
    <w:rsid w:val="00E42057"/>
    <w:rsid w:val="00E44C4F"/>
    <w:rsid w:val="00E45165"/>
    <w:rsid w:val="00E47FFE"/>
    <w:rsid w:val="00E55E4D"/>
    <w:rsid w:val="00E56D0A"/>
    <w:rsid w:val="00E578A5"/>
    <w:rsid w:val="00E62BEE"/>
    <w:rsid w:val="00E63075"/>
    <w:rsid w:val="00E644BF"/>
    <w:rsid w:val="00E66224"/>
    <w:rsid w:val="00E67CA0"/>
    <w:rsid w:val="00E73A40"/>
    <w:rsid w:val="00E77F41"/>
    <w:rsid w:val="00E806E3"/>
    <w:rsid w:val="00E81369"/>
    <w:rsid w:val="00E81697"/>
    <w:rsid w:val="00E928D4"/>
    <w:rsid w:val="00E93F4F"/>
    <w:rsid w:val="00E94852"/>
    <w:rsid w:val="00EA3999"/>
    <w:rsid w:val="00EA3A16"/>
    <w:rsid w:val="00EA4D25"/>
    <w:rsid w:val="00EA576F"/>
    <w:rsid w:val="00EB0255"/>
    <w:rsid w:val="00EB3838"/>
    <w:rsid w:val="00EB4C77"/>
    <w:rsid w:val="00EB68CC"/>
    <w:rsid w:val="00EC2095"/>
    <w:rsid w:val="00EC5148"/>
    <w:rsid w:val="00EC5E51"/>
    <w:rsid w:val="00EC5FAD"/>
    <w:rsid w:val="00EC76B0"/>
    <w:rsid w:val="00ED0B31"/>
    <w:rsid w:val="00ED37AF"/>
    <w:rsid w:val="00ED48AE"/>
    <w:rsid w:val="00ED57EF"/>
    <w:rsid w:val="00ED7D64"/>
    <w:rsid w:val="00EE3B5F"/>
    <w:rsid w:val="00EE65A7"/>
    <w:rsid w:val="00EE781F"/>
    <w:rsid w:val="00EF48EC"/>
    <w:rsid w:val="00EF4942"/>
    <w:rsid w:val="00EF6016"/>
    <w:rsid w:val="00F03637"/>
    <w:rsid w:val="00F05E03"/>
    <w:rsid w:val="00F113BD"/>
    <w:rsid w:val="00F16A44"/>
    <w:rsid w:val="00F2061A"/>
    <w:rsid w:val="00F24233"/>
    <w:rsid w:val="00F242B4"/>
    <w:rsid w:val="00F25485"/>
    <w:rsid w:val="00F254AF"/>
    <w:rsid w:val="00F30057"/>
    <w:rsid w:val="00F318C5"/>
    <w:rsid w:val="00F34333"/>
    <w:rsid w:val="00F34750"/>
    <w:rsid w:val="00F46114"/>
    <w:rsid w:val="00F47B3A"/>
    <w:rsid w:val="00F53DBE"/>
    <w:rsid w:val="00F602C8"/>
    <w:rsid w:val="00F617FB"/>
    <w:rsid w:val="00F62595"/>
    <w:rsid w:val="00F65F56"/>
    <w:rsid w:val="00F7168A"/>
    <w:rsid w:val="00F71C13"/>
    <w:rsid w:val="00F77228"/>
    <w:rsid w:val="00F817DA"/>
    <w:rsid w:val="00F904D4"/>
    <w:rsid w:val="00F90567"/>
    <w:rsid w:val="00F9086C"/>
    <w:rsid w:val="00F91352"/>
    <w:rsid w:val="00F922ED"/>
    <w:rsid w:val="00FB07B0"/>
    <w:rsid w:val="00FB7ADE"/>
    <w:rsid w:val="00FC164F"/>
    <w:rsid w:val="00FC202C"/>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DF272"/>
  <w15:docId w15:val="{05FBD5BA-FFB3-4E20-8F38-F2C9D36B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BFF"/>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4C5619"/>
    <w:pPr>
      <w:keepNext/>
      <w:keepLines/>
      <w:spacing w:before="260"/>
      <w:contextualSpacing/>
      <w:outlineLvl w:val="1"/>
    </w:pPr>
    <w:rPr>
      <w:rFonts w:eastAsiaTheme="majorEastAsia" w:cstheme="majorBidi"/>
      <w:bCs/>
      <w:i/>
      <w:color w:val="003127"/>
      <w:szCs w:val="26"/>
    </w:rPr>
  </w:style>
  <w:style w:type="paragraph" w:styleId="Overskrift3">
    <w:name w:val="heading 3"/>
    <w:basedOn w:val="Normal"/>
    <w:next w:val="Normal"/>
    <w:link w:val="Overskrift3Tegn"/>
    <w:uiPriority w:val="1"/>
    <w:qFormat/>
    <w:rsid w:val="00703504"/>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5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link w:val="FodnotetekstTegn"/>
    <w:uiPriority w:val="9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4C5619"/>
    <w:rPr>
      <w:rFonts w:eastAsiaTheme="majorEastAsia" w:cstheme="majorBidi"/>
      <w:bCs/>
      <w:i/>
      <w:color w:val="003127"/>
      <w:szCs w:val="26"/>
    </w:rPr>
  </w:style>
  <w:style w:type="character" w:customStyle="1" w:styleId="Overskrift3Tegn">
    <w:name w:val="Overskrift 3 Tegn"/>
    <w:basedOn w:val="Standardskrifttypeiafsnit"/>
    <w:link w:val="Overskrift3"/>
    <w:uiPriority w:val="1"/>
    <w:rsid w:val="00703504"/>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2B4C66"/>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uiPriority w:val="99"/>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uiPriority w:val="99"/>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F9086C"/>
    <w:pPr>
      <w:numPr>
        <w:numId w:val="1"/>
      </w:numPr>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CBC9"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Faktaboks-Bullet">
    <w:name w:val="Faktaboks - Bullet"/>
    <w:basedOn w:val="Normal"/>
    <w:uiPriority w:val="6"/>
    <w:rsid w:val="00CB4FE0"/>
    <w:pPr>
      <w:numPr>
        <w:numId w:val="15"/>
      </w:numPr>
      <w:spacing w:before="260" w:after="260"/>
      <w:ind w:right="284"/>
    </w:pPr>
    <w:rPr>
      <w:rFonts w:ascii="Arial" w:eastAsiaTheme="minorHAnsi" w:hAnsi="Arial" w:cstheme="minorBidi"/>
      <w:sz w:val="18"/>
      <w:szCs w:val="18"/>
      <w:lang w:eastAsia="en-US"/>
    </w:rPr>
  </w:style>
  <w:style w:type="character" w:customStyle="1" w:styleId="SidefodTegn">
    <w:name w:val="Sidefod Tegn"/>
    <w:basedOn w:val="Standardskrifttypeiafsnit"/>
    <w:link w:val="Sidefod"/>
    <w:uiPriority w:val="99"/>
    <w:semiHidden/>
    <w:rsid w:val="001E6E42"/>
    <w:rPr>
      <w:sz w:val="14"/>
    </w:rPr>
  </w:style>
  <w:style w:type="paragraph" w:customStyle="1" w:styleId="Default">
    <w:name w:val="Default"/>
    <w:rsid w:val="00BB739A"/>
    <w:pPr>
      <w:autoSpaceDE w:val="0"/>
      <w:autoSpaceDN w:val="0"/>
      <w:adjustRightInd w:val="0"/>
      <w:spacing w:line="240" w:lineRule="auto"/>
    </w:pPr>
    <w:rPr>
      <w:rFonts w:ascii="Verdana" w:hAnsi="Verdana" w:cs="Verdana"/>
      <w:color w:val="000000"/>
      <w:sz w:val="24"/>
      <w:szCs w:val="24"/>
    </w:rPr>
  </w:style>
  <w:style w:type="character" w:customStyle="1" w:styleId="y2iqfc">
    <w:name w:val="y2iqfc"/>
    <w:basedOn w:val="Standardskrifttypeiafsnit"/>
    <w:rsid w:val="00AF24B6"/>
  </w:style>
  <w:style w:type="character" w:customStyle="1" w:styleId="Ulstomtale1">
    <w:name w:val="Uløst omtale1"/>
    <w:basedOn w:val="Standardskrifttypeiafsnit"/>
    <w:uiPriority w:val="99"/>
    <w:semiHidden/>
    <w:unhideWhenUsed/>
    <w:rsid w:val="00E93F4F"/>
    <w:rPr>
      <w:color w:val="605E5C"/>
      <w:shd w:val="clear" w:color="auto" w:fill="E1DFDD"/>
    </w:rPr>
  </w:style>
  <w:style w:type="character" w:styleId="Ulstomtale">
    <w:name w:val="Unresolved Mention"/>
    <w:basedOn w:val="Standardskrifttypeiafsnit"/>
    <w:uiPriority w:val="99"/>
    <w:semiHidden/>
    <w:unhideWhenUsed/>
    <w:rsid w:val="00CC582A"/>
    <w:rPr>
      <w:color w:val="605E5C"/>
      <w:shd w:val="clear" w:color="auto" w:fill="E1DFDD"/>
    </w:rPr>
  </w:style>
  <w:style w:type="paragraph" w:styleId="Korrektur">
    <w:name w:val="Revision"/>
    <w:hidden/>
    <w:uiPriority w:val="99"/>
    <w:semiHidden/>
    <w:rsid w:val="00973F8F"/>
    <w:pPr>
      <w:spacing w:line="240" w:lineRule="auto"/>
    </w:pPr>
  </w:style>
  <w:style w:type="character" w:customStyle="1" w:styleId="FodnotetekstTegn">
    <w:name w:val="Fodnotetekst Tegn"/>
    <w:basedOn w:val="Standardskrifttypeiafsnit"/>
    <w:link w:val="Fodnotetekst"/>
    <w:uiPriority w:val="99"/>
    <w:semiHidden/>
    <w:rsid w:val="00EE781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5924">
      <w:bodyDiv w:val="1"/>
      <w:marLeft w:val="0"/>
      <w:marRight w:val="0"/>
      <w:marTop w:val="0"/>
      <w:marBottom w:val="0"/>
      <w:divBdr>
        <w:top w:val="none" w:sz="0" w:space="0" w:color="auto"/>
        <w:left w:val="none" w:sz="0" w:space="0" w:color="auto"/>
        <w:bottom w:val="none" w:sz="0" w:space="0" w:color="auto"/>
        <w:right w:val="none" w:sz="0" w:space="0" w:color="auto"/>
      </w:divBdr>
    </w:div>
    <w:div w:id="220487362">
      <w:bodyDiv w:val="1"/>
      <w:marLeft w:val="0"/>
      <w:marRight w:val="0"/>
      <w:marTop w:val="0"/>
      <w:marBottom w:val="0"/>
      <w:divBdr>
        <w:top w:val="none" w:sz="0" w:space="0" w:color="auto"/>
        <w:left w:val="none" w:sz="0" w:space="0" w:color="auto"/>
        <w:bottom w:val="none" w:sz="0" w:space="0" w:color="auto"/>
        <w:right w:val="none" w:sz="0" w:space="0" w:color="auto"/>
      </w:divBdr>
      <w:divsChild>
        <w:div w:id="433525898">
          <w:marLeft w:val="0"/>
          <w:marRight w:val="0"/>
          <w:marTop w:val="0"/>
          <w:marBottom w:val="0"/>
          <w:divBdr>
            <w:top w:val="none" w:sz="0" w:space="0" w:color="auto"/>
            <w:left w:val="none" w:sz="0" w:space="0" w:color="auto"/>
            <w:bottom w:val="none" w:sz="0" w:space="0" w:color="auto"/>
            <w:right w:val="none" w:sz="0" w:space="0" w:color="auto"/>
          </w:divBdr>
        </w:div>
      </w:divsChild>
    </w:div>
    <w:div w:id="244459355">
      <w:bodyDiv w:val="1"/>
      <w:marLeft w:val="0"/>
      <w:marRight w:val="0"/>
      <w:marTop w:val="0"/>
      <w:marBottom w:val="0"/>
      <w:divBdr>
        <w:top w:val="none" w:sz="0" w:space="0" w:color="auto"/>
        <w:left w:val="none" w:sz="0" w:space="0" w:color="auto"/>
        <w:bottom w:val="none" w:sz="0" w:space="0" w:color="auto"/>
        <w:right w:val="none" w:sz="0" w:space="0" w:color="auto"/>
      </w:divBdr>
    </w:div>
    <w:div w:id="437797846">
      <w:bodyDiv w:val="1"/>
      <w:marLeft w:val="0"/>
      <w:marRight w:val="0"/>
      <w:marTop w:val="0"/>
      <w:marBottom w:val="0"/>
      <w:divBdr>
        <w:top w:val="none" w:sz="0" w:space="0" w:color="auto"/>
        <w:left w:val="none" w:sz="0" w:space="0" w:color="auto"/>
        <w:bottom w:val="none" w:sz="0" w:space="0" w:color="auto"/>
        <w:right w:val="none" w:sz="0" w:space="0" w:color="auto"/>
      </w:divBdr>
    </w:div>
    <w:div w:id="463086068">
      <w:bodyDiv w:val="1"/>
      <w:marLeft w:val="0"/>
      <w:marRight w:val="0"/>
      <w:marTop w:val="0"/>
      <w:marBottom w:val="0"/>
      <w:divBdr>
        <w:top w:val="none" w:sz="0" w:space="0" w:color="auto"/>
        <w:left w:val="none" w:sz="0" w:space="0" w:color="auto"/>
        <w:bottom w:val="none" w:sz="0" w:space="0" w:color="auto"/>
        <w:right w:val="none" w:sz="0" w:space="0" w:color="auto"/>
      </w:divBdr>
    </w:div>
    <w:div w:id="572589776">
      <w:bodyDiv w:val="1"/>
      <w:marLeft w:val="0"/>
      <w:marRight w:val="0"/>
      <w:marTop w:val="0"/>
      <w:marBottom w:val="0"/>
      <w:divBdr>
        <w:top w:val="none" w:sz="0" w:space="0" w:color="auto"/>
        <w:left w:val="none" w:sz="0" w:space="0" w:color="auto"/>
        <w:bottom w:val="none" w:sz="0" w:space="0" w:color="auto"/>
        <w:right w:val="none" w:sz="0" w:space="0" w:color="auto"/>
      </w:divBdr>
    </w:div>
    <w:div w:id="573705035">
      <w:bodyDiv w:val="1"/>
      <w:marLeft w:val="0"/>
      <w:marRight w:val="0"/>
      <w:marTop w:val="0"/>
      <w:marBottom w:val="0"/>
      <w:divBdr>
        <w:top w:val="none" w:sz="0" w:space="0" w:color="auto"/>
        <w:left w:val="none" w:sz="0" w:space="0" w:color="auto"/>
        <w:bottom w:val="none" w:sz="0" w:space="0" w:color="auto"/>
        <w:right w:val="none" w:sz="0" w:space="0" w:color="auto"/>
      </w:divBdr>
    </w:div>
    <w:div w:id="729578277">
      <w:bodyDiv w:val="1"/>
      <w:marLeft w:val="0"/>
      <w:marRight w:val="0"/>
      <w:marTop w:val="0"/>
      <w:marBottom w:val="0"/>
      <w:divBdr>
        <w:top w:val="none" w:sz="0" w:space="0" w:color="auto"/>
        <w:left w:val="none" w:sz="0" w:space="0" w:color="auto"/>
        <w:bottom w:val="none" w:sz="0" w:space="0" w:color="auto"/>
        <w:right w:val="none" w:sz="0" w:space="0" w:color="auto"/>
      </w:divBdr>
    </w:div>
    <w:div w:id="783311906">
      <w:bodyDiv w:val="1"/>
      <w:marLeft w:val="0"/>
      <w:marRight w:val="0"/>
      <w:marTop w:val="0"/>
      <w:marBottom w:val="0"/>
      <w:divBdr>
        <w:top w:val="none" w:sz="0" w:space="0" w:color="auto"/>
        <w:left w:val="none" w:sz="0" w:space="0" w:color="auto"/>
        <w:bottom w:val="none" w:sz="0" w:space="0" w:color="auto"/>
        <w:right w:val="none" w:sz="0" w:space="0" w:color="auto"/>
      </w:divBdr>
      <w:divsChild>
        <w:div w:id="2073036965">
          <w:marLeft w:val="0"/>
          <w:marRight w:val="0"/>
          <w:marTop w:val="0"/>
          <w:marBottom w:val="0"/>
          <w:divBdr>
            <w:top w:val="none" w:sz="0" w:space="0" w:color="auto"/>
            <w:left w:val="none" w:sz="0" w:space="0" w:color="auto"/>
            <w:bottom w:val="none" w:sz="0" w:space="0" w:color="auto"/>
            <w:right w:val="none" w:sz="0" w:space="0" w:color="auto"/>
          </w:divBdr>
        </w:div>
      </w:divsChild>
    </w:div>
    <w:div w:id="922448876">
      <w:bodyDiv w:val="1"/>
      <w:marLeft w:val="0"/>
      <w:marRight w:val="0"/>
      <w:marTop w:val="0"/>
      <w:marBottom w:val="0"/>
      <w:divBdr>
        <w:top w:val="none" w:sz="0" w:space="0" w:color="auto"/>
        <w:left w:val="none" w:sz="0" w:space="0" w:color="auto"/>
        <w:bottom w:val="none" w:sz="0" w:space="0" w:color="auto"/>
        <w:right w:val="none" w:sz="0" w:space="0" w:color="auto"/>
      </w:divBdr>
    </w:div>
    <w:div w:id="967324317">
      <w:bodyDiv w:val="1"/>
      <w:marLeft w:val="0"/>
      <w:marRight w:val="0"/>
      <w:marTop w:val="0"/>
      <w:marBottom w:val="0"/>
      <w:divBdr>
        <w:top w:val="none" w:sz="0" w:space="0" w:color="auto"/>
        <w:left w:val="none" w:sz="0" w:space="0" w:color="auto"/>
        <w:bottom w:val="none" w:sz="0" w:space="0" w:color="auto"/>
        <w:right w:val="none" w:sz="0" w:space="0" w:color="auto"/>
      </w:divBdr>
    </w:div>
    <w:div w:id="1356494300">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rhvervsstyrelsen.dk/vejledning-erhvervsoekonomiske-konsekvensvurdering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Koncernf&#230;lles\EU\Rammenotat%20komite%20og%20delegerede%20MFVM.dotx" TargetMode="External"/></Relationships>
</file>

<file path=word/theme/theme1.xml><?xml version="1.0" encoding="utf-8"?>
<a:theme xmlns:a="http://schemas.openxmlformats.org/drawingml/2006/main" name="Kontortema">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6FACCBE9CC5349B894609A3445E7DC" ma:contentTypeVersion="1" ma:contentTypeDescription="Opret et nyt dokument." ma:contentTypeScope="" ma:versionID="20581a07a07175f8fdf15e10e35c5d5b">
  <xsd:schema xmlns:xsd="http://www.w3.org/2001/XMLSchema" xmlns:xs="http://www.w3.org/2001/XMLSchema" xmlns:p="http://schemas.microsoft.com/office/2006/metadata/properties" xmlns:ns2="2c971ac5-6fe3-4233-bd1b-000ffc5d0f10" targetNamespace="http://schemas.microsoft.com/office/2006/metadata/properties" ma:root="true" ma:fieldsID="6354bd107a3adc344710ddaaf8b4bfb9" ns2:_="">
    <xsd:import namespace="2c971ac5-6fe3-4233-bd1b-000ffc5d0f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1ac5-6fe3-4233-bd1b-000ffc5d0f10"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91E58-C990-4B72-A72E-80637CEBE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1ac5-6fe3-4233-bd1b-000ffc5d0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70E09-0942-448C-BD42-33DEC0BA3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836BF-A63A-4D35-946E-F779F78DB752}">
  <ds:schemaRefs>
    <ds:schemaRef ds:uri="http://schemas.openxmlformats.org/officeDocument/2006/bibliography"/>
  </ds:schemaRefs>
</ds:datastoreItem>
</file>

<file path=customXml/itemProps4.xml><?xml version="1.0" encoding="utf-8"?>
<ds:datastoreItem xmlns:ds="http://schemas.openxmlformats.org/officeDocument/2006/customXml" ds:itemID="{CB9D1999-2AEC-4EA3-9119-93924AFA8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Rammenotat komite og delegerede MFVM.dotx</Template>
  <TotalTime>12</TotalTime>
  <Pages>2</Pages>
  <Words>312</Words>
  <Characters>2131</Characters>
  <Application>Microsoft Office Word</Application>
  <DocSecurity>0</DocSecurity>
  <Lines>49</Lines>
  <Paragraphs>15</Paragraphs>
  <ScaleCrop>false</ScaleCrop>
  <HeadingPairs>
    <vt:vector size="6" baseType="variant">
      <vt:variant>
        <vt:lpstr>Titel</vt:lpstr>
      </vt:variant>
      <vt:variant>
        <vt:i4>1</vt:i4>
      </vt:variant>
      <vt:variant>
        <vt:lpstr>Title</vt:lpstr>
      </vt:variant>
      <vt:variant>
        <vt:i4>1</vt:i4>
      </vt:variant>
      <vt:variant>
        <vt:lpstr>Headings</vt:lpstr>
      </vt:variant>
      <vt:variant>
        <vt:i4>24</vt:i4>
      </vt:variant>
    </vt:vector>
  </HeadingPairs>
  <TitlesOfParts>
    <vt:vector size="26" baseType="lpstr">
      <vt:lpstr>Rammenotat komite og delegerede MFVM</vt:lpstr>
      <vt:lpstr>Rammenotat komite og delegerede MFVM</vt:lpstr>
      <vt:lpstr>RAMMENOTAT TIL EU MILJØSPECIALUDVALGET / SPECIALUDVALGET FOR FØDEVARE-, LANDBRUG</vt:lpstr>
      <vt:lpstr>om  det angives endvidere efter forslagets titel i parentes hvorvidt det er en (</vt:lpstr>
      <vt:lpstr>KOM-dokument foreligger ikke</vt:lpstr>
      <vt:lpstr>    Resumé</vt:lpstr>
      <vt:lpstr>    Baggrund</vt:lpstr>
      <vt:lpstr>    Hvis undersøgelsesprocedure:</vt:lpstr>
      <vt:lpstr>    Hvis rådgivningsprocedure</vt:lpstr>
      <vt:lpstr>    Hvis forskriftsprocedure med kontrol:</vt:lpstr>
      <vt:lpstr>    Hvis delegerede retsakter (TEUF artikel 290):</vt:lpstr>
      <vt:lpstr>    Formål og indhold</vt:lpstr>
      <vt:lpstr>    Europa-Parlamentets udtalelser</vt:lpstr>
      <vt:lpstr>    Nærhedsprincippet</vt:lpstr>
      <vt:lpstr>    Gældende dansk ret</vt:lpstr>
      <vt:lpstr>    Konsekvenser</vt:lpstr>
      <vt:lpstr>        Lovgivningsmæssige konsekvenser</vt:lpstr>
      <vt:lpstr>        Økonomiske konsekvenser</vt:lpstr>
      <vt:lpstr>    Beskyttelsesniveauet og andre konsekvenser</vt:lpstr>
      <vt:lpstr>    Høring</vt:lpstr>
      <vt:lpstr>    Generelle forventninger til andre landes holdninger</vt:lpstr>
      <vt:lpstr>    Regeringens foreløbige generelle holdning</vt:lpstr>
      <vt:lpstr>    Tidligere forelæggelser for Folketingets Europaudvalg</vt:lpstr>
      <vt:lpstr>    Uddybende forhandlingssituation</vt:lpstr>
      <vt:lpstr>    Indstilling</vt:lpstr>
      <vt:lpstr>    Ligeledes indstilles:</vt:lpstr>
    </vt:vector>
  </TitlesOfParts>
  <Company>Miljøministeriet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Rammenotat komite og delegerede MFVM</dc:title>
  <dc:subject/>
  <dc:creator>Sigrid Karensdatter Nielsen</dc:creator>
  <cp:keywords/>
  <dc:description/>
  <cp:lastModifiedBy>Trine Thorup Andersen</cp:lastModifiedBy>
  <cp:revision>7</cp:revision>
  <cp:lastPrinted>2025-05-23T10:52:00Z</cp:lastPrinted>
  <dcterms:created xsi:type="dcterms:W3CDTF">2026-03-26T13:45:00Z</dcterms:created>
  <dcterms:modified xsi:type="dcterms:W3CDTF">2026-03-26T14:09:00Z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Rammenotat komite og delegerede MFVM</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44162</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Skriv navnet på den nye profil</vt:lpwstr>
  </property>
  <property fmtid="{D5CDD505-2E9C-101B-9397-08002B2CF9AE}" pid="17" name="SD_CtlText_Generelt_CaseNoF2">
    <vt:lpwstr>$dossier_f2casenumber$</vt:lpwstr>
  </property>
  <property fmtid="{D5CDD505-2E9C-101B-9397-08002B2CF9AE}" pid="18" name="SD_UserprofileName">
    <vt:lpwstr>Skriv navnet på den nye profil</vt:lpwstr>
  </property>
  <property fmtid="{D5CDD505-2E9C-101B-9397-08002B2CF9AE}" pid="19" name="SD_Office_OFF_ID">
    <vt:lpwstr>165</vt:lpwstr>
  </property>
  <property fmtid="{D5CDD505-2E9C-101B-9397-08002B2CF9AE}" pid="20" name="CurrentOfficeID">
    <vt:lpwstr>165</vt:lpwstr>
  </property>
  <property fmtid="{D5CDD505-2E9C-101B-9397-08002B2CF9AE}" pid="21" name="SD_Office_OFF_Organisation">
    <vt:lpwstr>FLF</vt:lpwstr>
  </property>
  <property fmtid="{D5CDD505-2E9C-101B-9397-08002B2CF9AE}" pid="22" name="SD_Office_OFF_ArtworkDefinition">
    <vt:lpwstr>MFVM</vt:lpwstr>
  </property>
  <property fmtid="{D5CDD505-2E9C-101B-9397-08002B2CF9AE}" pid="23" name="SD_Office_OFF_LogoFileName">
    <vt:lpwstr>FLFDEP</vt:lpwstr>
  </property>
  <property fmtid="{D5CDD505-2E9C-101B-9397-08002B2CF9AE}" pid="24" name="SD_Office_OFF_Institution">
    <vt:lpwstr>Ministeriet for Fødevarer, Landbrug og Fiskeri</vt:lpwstr>
  </property>
  <property fmtid="{D5CDD505-2E9C-101B-9397-08002B2CF9AE}" pid="25" name="SD_Office_OFF_Institution_EN">
    <vt:lpwstr>Ministry of Food, Agriculture and Fisheries</vt:lpwstr>
  </property>
  <property fmtid="{D5CDD505-2E9C-101B-9397-08002B2CF9AE}" pid="26" name="SD_Office_OFF_kontor">
    <vt:lpwstr>Minister- og ledelsessekretariat</vt:lpwstr>
  </property>
  <property fmtid="{D5CDD505-2E9C-101B-9397-08002B2CF9AE}" pid="27" name="SD_Office_OFF_Department">
    <vt:lpwstr>Minister- og ledelsessekretariat</vt:lpwstr>
  </property>
  <property fmtid="{D5CDD505-2E9C-101B-9397-08002B2CF9AE}" pid="28" name="SD_Office_OFF_Department_EN">
    <vt:lpwstr>Minister- og ledelsessekretariat</vt:lpwstr>
  </property>
  <property fmtid="{D5CDD505-2E9C-101B-9397-08002B2CF9AE}" pid="29" name="SD_Office_OFF_Footertext">
    <vt:lpwstr/>
  </property>
  <property fmtid="{D5CDD505-2E9C-101B-9397-08002B2CF9AE}" pid="30" name="SD_Office_OFF_AddressA">
    <vt:lpwstr>Slotsholmsgade 12</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Slotsholmsgade 12</vt:lpwstr>
  </property>
  <property fmtid="{D5CDD505-2E9C-101B-9397-08002B2CF9AE}" pid="34" name="SD_Office_OFF_AddressD">
    <vt:lpwstr>1216</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38 14 21 42</vt:lpwstr>
  </property>
  <property fmtid="{D5CDD505-2E9C-101B-9397-08002B2CF9AE}" pid="38" name="SD_Office_OFF_Phone_EN">
    <vt:lpwstr>+45 38 14 21 42</vt:lpwstr>
  </property>
  <property fmtid="{D5CDD505-2E9C-101B-9397-08002B2CF9AE}" pid="39" name="SD_Office_OFF_Fax">
    <vt:lpwstr>33 14 50 42</vt:lpwstr>
  </property>
  <property fmtid="{D5CDD505-2E9C-101B-9397-08002B2CF9AE}" pid="40" name="SD_Office_OFF_Fax_EN">
    <vt:lpwstr>+45 33 14 50 42</vt:lpwstr>
  </property>
  <property fmtid="{D5CDD505-2E9C-101B-9397-08002B2CF9AE}" pid="41" name="SD_Office_OFF_Email">
    <vt:lpwstr>mfvm@mfvm.dk</vt:lpwstr>
  </property>
  <property fmtid="{D5CDD505-2E9C-101B-9397-08002B2CF9AE}" pid="42" name="SD_Office_OFF_Web">
    <vt:lpwstr>www.mfvm.dk</vt:lpwstr>
  </property>
  <property fmtid="{D5CDD505-2E9C-101B-9397-08002B2CF9AE}" pid="43" name="SD_Office_OFF_CVR">
    <vt:lpwstr>12854358</vt:lpwstr>
  </property>
  <property fmtid="{D5CDD505-2E9C-101B-9397-08002B2CF9AE}" pid="44" name="SD_Office_OFF_EAN">
    <vt:lpwstr>5798000862005</vt:lpwstr>
  </property>
  <property fmtid="{D5CDD505-2E9C-101B-9397-08002B2CF9AE}" pid="45" name="SD_Office_OFF_EAN_EN">
    <vt:lpwstr>5798000862005</vt:lpwstr>
  </property>
  <property fmtid="{D5CDD505-2E9C-101B-9397-08002B2CF9AE}" pid="46" name="SD_Office_OFF_ColorTheme">
    <vt:lpwstr>MFVM - Departementet_Koncern</vt:lpwstr>
  </property>
  <property fmtid="{D5CDD505-2E9C-101B-9397-08002B2CF9AE}" pid="47" name="LastCompletedArtworkDefinition">
    <vt:lpwstr>MFVM</vt:lpwstr>
  </property>
  <property fmtid="{D5CDD505-2E9C-101B-9397-08002B2CF9AE}" pid="48" name="USR_Name">
    <vt:lpwstr>Sigrid Karensdatter Nielsen</vt:lpwstr>
  </property>
  <property fmtid="{D5CDD505-2E9C-101B-9397-08002B2CF9AE}" pid="49" name="USR_Initials">
    <vt:lpwstr>SIKNI</vt:lpwstr>
  </property>
  <property fmtid="{D5CDD505-2E9C-101B-9397-08002B2CF9AE}" pid="50" name="USR_Title">
    <vt:lpwstr>Studentermedhjælper</vt:lpwstr>
  </property>
  <property fmtid="{D5CDD505-2E9C-101B-9397-08002B2CF9AE}" pid="51" name="USR_DirectPhone">
    <vt:lpwstr>+45 25 66 23 82</vt:lpwstr>
  </property>
  <property fmtid="{D5CDD505-2E9C-101B-9397-08002B2CF9AE}" pid="52" name="USR_Mobile">
    <vt:lpwstr>+45 25 66 23 82</vt:lpwstr>
  </property>
  <property fmtid="{D5CDD505-2E9C-101B-9397-08002B2CF9AE}" pid="53" name="USR_Email">
    <vt:lpwstr>sikni@mfvm.dk</vt:lpwstr>
  </property>
  <property fmtid="{D5CDD505-2E9C-101B-9397-08002B2CF9AE}" pid="54" name="DocumentInfoFinished">
    <vt:lpwstr>True</vt:lpwstr>
  </property>
  <property fmtid="{D5CDD505-2E9C-101B-9397-08002B2CF9AE}" pid="55" name="ContentTypeId">
    <vt:lpwstr>0x0101002C6FACCBE9CC5349B894609A3445E7DC</vt:lpwstr>
  </property>
</Properties>
</file>