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6A0FF" w14:textId="77777777" w:rsidR="006836AA" w:rsidRDefault="006836AA" w:rsidP="006836AA">
      <w:pPr>
        <w:jc w:val="center"/>
        <w:rPr>
          <w:rFonts w:ascii="Times New Roman" w:hAnsi="Times New Roman"/>
          <w:b/>
          <w:sz w:val="24"/>
          <w:szCs w:val="24"/>
          <w:u w:val="single"/>
        </w:rPr>
      </w:pPr>
      <w:r>
        <w:rPr>
          <w:noProof/>
        </w:rPr>
        <w:pict w14:anchorId="4B13EF35">
          <v:shapetype id="_x0000_t202" coordsize="21600,21600" o:spt="202" path="m,l,21600r21600,l21600,xe">
            <v:stroke joinstyle="miter"/>
            <v:path gradientshapeok="t" o:connecttype="rect"/>
          </v:shapetype>
          <v:shape id="Text Box 2" o:spid="_x0000_s2050" type="#_x0000_t202" style="position:absolute;left:0;text-align:left;margin-left:599.4pt;margin-top:12.05pt;width:105.2pt;height:20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">
            <v:textbox>
              <w:txbxContent>
                <w:p w14:paraId="56CCB326" w14:textId="3D6465BE" w:rsidR="006836AA" w:rsidRPr="005545F8" w:rsidRDefault="006836AA" w:rsidP="006836AA">
                  <w:pPr>
                    <w:jc w:val="center"/>
                    <w:rPr>
                      <w:sz w:val="20"/>
                      <w:szCs w:val="20"/>
                      <w:lang w:val="fr-BE"/>
                    </w:rPr>
                  </w:pPr>
                  <w:r>
                    <w:rPr>
                      <w:sz w:val="20"/>
                      <w:szCs w:val="20"/>
                      <w:lang w:val="fr-BE"/>
                    </w:rPr>
                    <w:t>WG 12-13/09/</w:t>
                  </w:r>
                  <w:r>
                    <w:rPr>
                      <w:sz w:val="20"/>
                      <w:szCs w:val="20"/>
                      <w:lang w:val="fr-BE"/>
                    </w:rPr>
                    <w:t>2024</w:t>
                  </w:r>
                </w:p>
              </w:txbxContent>
            </v:textbox>
          </v:shape>
        </w:pict>
      </w:r>
    </w:p>
    <w:p w14:paraId="703B1B0B" w14:textId="77777777" w:rsidR="006836AA" w:rsidRDefault="006836AA" w:rsidP="006836AA">
      <w:pPr>
        <w:jc w:val="center"/>
        <w:rPr>
          <w:rFonts w:ascii="Times New Roman" w:hAnsi="Times New Roman"/>
          <w:b/>
          <w:sz w:val="24"/>
          <w:szCs w:val="24"/>
          <w:u w:val="single"/>
        </w:rPr>
      </w:pPr>
    </w:p>
    <w:p w14:paraId="26896EFB" w14:textId="77777777" w:rsidR="006836AA" w:rsidRDefault="006836AA" w:rsidP="006836AA">
      <w:pPr>
        <w:jc w:val="center"/>
        <w:rPr>
          <w:rFonts w:ascii="Times New Roman" w:hAnsi="Times New Roman"/>
          <w:b/>
          <w:sz w:val="24"/>
          <w:szCs w:val="24"/>
          <w:u w:val="single"/>
        </w:rPr>
      </w:pPr>
      <w:r w:rsidRPr="006B1708">
        <w:rPr>
          <w:rFonts w:ascii="Times New Roman" w:hAnsi="Times New Roman"/>
          <w:b/>
          <w:sz w:val="24"/>
          <w:szCs w:val="24"/>
          <w:u w:val="single"/>
        </w:rPr>
        <w:t xml:space="preserve">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w:t>
      </w:r>
      <w:proofErr w:type="gramStart"/>
      <w:r w:rsidRPr="006B1708">
        <w:rPr>
          <w:rFonts w:ascii="Times New Roman" w:hAnsi="Times New Roman"/>
          <w:b/>
          <w:sz w:val="24"/>
          <w:szCs w:val="24"/>
          <w:u w:val="single"/>
        </w:rPr>
        <w:t>material</w:t>
      </w:r>
      <w:proofErr w:type="gramEnd"/>
    </w:p>
    <w:p w14:paraId="082B3FFE" w14:textId="00DE44C3" w:rsidR="00D50B75" w:rsidRPr="00D50B75" w:rsidRDefault="00D50B75" w:rsidP="00E6059A">
      <w:pPr>
        <w:pStyle w:val="Annexetitre"/>
        <w:rPr>
          <w:u w:val="none"/>
        </w:rPr>
      </w:pPr>
      <w:r w:rsidRPr="00D50B75">
        <w:rPr>
          <w:u w:val="none"/>
        </w:rPr>
        <w:t>EN</w:t>
      </w:r>
    </w:p>
    <w:p w14:paraId="7B4A4A9A" w14:textId="7B019E85" w:rsidR="00EC5823" w:rsidRDefault="007E086C" w:rsidP="00D50B75">
      <w:pPr>
        <w:pStyle w:val="Annexetitre"/>
        <w:spacing w:after="240"/>
      </w:pPr>
      <w:r w:rsidRPr="00E6059A">
        <w:t>ANNEX</w:t>
      </w:r>
    </w:p>
    <w:tbl>
      <w:tblPr>
        <w:tblW w:w="14187" w:type="dxa"/>
        <w:tblInd w:w="-3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994"/>
        <w:gridCol w:w="1428"/>
        <w:gridCol w:w="1080"/>
        <w:gridCol w:w="2760"/>
        <w:gridCol w:w="1080"/>
        <w:gridCol w:w="1200"/>
        <w:gridCol w:w="1200"/>
        <w:gridCol w:w="1200"/>
        <w:gridCol w:w="2040"/>
        <w:gridCol w:w="1205"/>
      </w:tblGrid>
      <w:tr w:rsidR="000638EA" w:rsidRPr="005A325D" w14:paraId="36D98678" w14:textId="77777777" w:rsidTr="009544A9">
        <w:tc>
          <w:tcPr>
            <w:tcW w:w="994" w:type="dxa"/>
            <w:vMerge w:val="restart"/>
            <w:tcBorders>
              <w:top w:val="double" w:sz="6" w:space="0" w:color="auto"/>
              <w:left w:val="double" w:sz="6" w:space="0" w:color="auto"/>
              <w:bottom w:val="double" w:sz="6" w:space="0" w:color="auto"/>
              <w:right w:val="single" w:sz="6" w:space="0" w:color="auto"/>
            </w:tcBorders>
            <w:vAlign w:val="center"/>
            <w:hideMark/>
          </w:tcPr>
          <w:p w14:paraId="0C4EE351" w14:textId="5EC8C597" w:rsidR="000638EA" w:rsidRPr="000863CB" w:rsidRDefault="000638EA" w:rsidP="007C1698">
            <w:pPr>
              <w:spacing w:before="10" w:after="10"/>
              <w:jc w:val="center"/>
              <w:rPr>
                <w:rFonts w:ascii="Times New Roman" w:hAnsi="Times New Roman"/>
                <w:b/>
                <w:color w:val="000000"/>
                <w:sz w:val="20"/>
                <w:szCs w:val="20"/>
              </w:rPr>
            </w:pPr>
            <w:r w:rsidRPr="000863CB">
              <w:rPr>
                <w:rFonts w:ascii="Times New Roman" w:hAnsi="Times New Roman"/>
                <w:b/>
                <w:color w:val="000000"/>
                <w:sz w:val="20"/>
                <w:szCs w:val="20"/>
              </w:rPr>
              <w:br w:type="page"/>
              <w:t>Identi</w:t>
            </w:r>
            <w:r w:rsidRPr="000863CB">
              <w:rPr>
                <w:rFonts w:ascii="Times New Roman" w:hAnsi="Times New Roman"/>
                <w:b/>
                <w:color w:val="000000"/>
                <w:sz w:val="20"/>
                <w:szCs w:val="20"/>
              </w:rPr>
              <w:softHyphen/>
              <w:t xml:space="preserve">fication number of the </w:t>
            </w:r>
            <w:r w:rsidR="00DC4EA2">
              <w:rPr>
                <w:rFonts w:ascii="Times New Roman" w:hAnsi="Times New Roman"/>
                <w:b/>
                <w:color w:val="000000"/>
                <w:sz w:val="20"/>
                <w:szCs w:val="20"/>
              </w:rPr>
              <w:t xml:space="preserve">feed </w:t>
            </w:r>
            <w:r w:rsidRPr="000863CB">
              <w:rPr>
                <w:rFonts w:ascii="Times New Roman" w:hAnsi="Times New Roman"/>
                <w:b/>
                <w:color w:val="000000"/>
                <w:sz w:val="20"/>
                <w:szCs w:val="20"/>
              </w:rPr>
              <w:t>additive</w:t>
            </w:r>
          </w:p>
        </w:tc>
        <w:tc>
          <w:tcPr>
            <w:tcW w:w="1428" w:type="dxa"/>
            <w:vMerge w:val="restart"/>
            <w:tcBorders>
              <w:top w:val="double" w:sz="6" w:space="0" w:color="auto"/>
              <w:left w:val="single" w:sz="6" w:space="0" w:color="auto"/>
              <w:bottom w:val="double" w:sz="6" w:space="0" w:color="auto"/>
              <w:right w:val="single" w:sz="6" w:space="0" w:color="auto"/>
            </w:tcBorders>
            <w:vAlign w:val="center"/>
            <w:hideMark/>
          </w:tcPr>
          <w:p w14:paraId="49734DE7" w14:textId="77777777" w:rsidR="000638EA" w:rsidRPr="000863CB" w:rsidRDefault="000638EA" w:rsidP="007C1698">
            <w:pPr>
              <w:spacing w:before="10" w:after="10"/>
              <w:jc w:val="center"/>
              <w:rPr>
                <w:rFonts w:ascii="Times New Roman" w:hAnsi="Times New Roman"/>
                <w:b/>
                <w:color w:val="000000"/>
                <w:sz w:val="20"/>
                <w:szCs w:val="20"/>
              </w:rPr>
            </w:pPr>
            <w:r w:rsidRPr="000863CB">
              <w:rPr>
                <w:rFonts w:ascii="Times New Roman" w:hAnsi="Times New Roman"/>
                <w:b/>
                <w:color w:val="000000"/>
                <w:sz w:val="20"/>
                <w:szCs w:val="20"/>
              </w:rPr>
              <w:t>Name of the holder of authorisation</w:t>
            </w:r>
          </w:p>
        </w:tc>
        <w:tc>
          <w:tcPr>
            <w:tcW w:w="1080" w:type="dxa"/>
            <w:vMerge w:val="restart"/>
            <w:tcBorders>
              <w:top w:val="double" w:sz="6" w:space="0" w:color="auto"/>
              <w:left w:val="single" w:sz="6" w:space="0" w:color="auto"/>
              <w:bottom w:val="double" w:sz="6" w:space="0" w:color="auto"/>
              <w:right w:val="single" w:sz="6" w:space="0" w:color="auto"/>
            </w:tcBorders>
            <w:vAlign w:val="center"/>
            <w:hideMark/>
          </w:tcPr>
          <w:p w14:paraId="67806896" w14:textId="77777777" w:rsidR="000638EA" w:rsidRPr="000863CB" w:rsidRDefault="000638EA" w:rsidP="007C1698">
            <w:pPr>
              <w:spacing w:before="10" w:after="10"/>
              <w:jc w:val="center"/>
              <w:rPr>
                <w:rFonts w:ascii="Times New Roman" w:hAnsi="Times New Roman"/>
                <w:b/>
                <w:color w:val="000000"/>
                <w:sz w:val="20"/>
                <w:szCs w:val="20"/>
              </w:rPr>
            </w:pPr>
            <w:r w:rsidRPr="000863CB">
              <w:rPr>
                <w:rFonts w:ascii="Times New Roman" w:hAnsi="Times New Roman"/>
                <w:b/>
                <w:color w:val="000000"/>
                <w:sz w:val="20"/>
                <w:szCs w:val="20"/>
              </w:rPr>
              <w:t>Additive</w:t>
            </w:r>
          </w:p>
        </w:tc>
        <w:tc>
          <w:tcPr>
            <w:tcW w:w="2760" w:type="dxa"/>
            <w:vMerge w:val="restart"/>
            <w:tcBorders>
              <w:top w:val="double" w:sz="6" w:space="0" w:color="auto"/>
              <w:left w:val="single" w:sz="6" w:space="0" w:color="auto"/>
              <w:bottom w:val="double" w:sz="6" w:space="0" w:color="auto"/>
              <w:right w:val="single" w:sz="6" w:space="0" w:color="auto"/>
            </w:tcBorders>
            <w:vAlign w:val="center"/>
            <w:hideMark/>
          </w:tcPr>
          <w:p w14:paraId="4439423F" w14:textId="77777777" w:rsidR="000638EA" w:rsidRPr="000863CB" w:rsidRDefault="000638EA" w:rsidP="007C1698">
            <w:pPr>
              <w:spacing w:before="10" w:after="10"/>
              <w:jc w:val="center"/>
              <w:rPr>
                <w:rFonts w:ascii="Times New Roman" w:hAnsi="Times New Roman"/>
                <w:b/>
                <w:color w:val="000000"/>
                <w:sz w:val="20"/>
                <w:szCs w:val="20"/>
              </w:rPr>
            </w:pPr>
            <w:r w:rsidRPr="000863CB">
              <w:rPr>
                <w:rFonts w:ascii="Times New Roman" w:hAnsi="Times New Roman"/>
                <w:b/>
                <w:color w:val="000000"/>
                <w:sz w:val="20"/>
                <w:szCs w:val="20"/>
              </w:rPr>
              <w:t>Composition, chemical formula, description, analytical method</w:t>
            </w:r>
          </w:p>
        </w:tc>
        <w:tc>
          <w:tcPr>
            <w:tcW w:w="1080" w:type="dxa"/>
            <w:vMerge w:val="restart"/>
            <w:tcBorders>
              <w:top w:val="double" w:sz="6" w:space="0" w:color="auto"/>
              <w:left w:val="single" w:sz="6" w:space="0" w:color="auto"/>
              <w:bottom w:val="double" w:sz="6" w:space="0" w:color="auto"/>
              <w:right w:val="single" w:sz="6" w:space="0" w:color="auto"/>
            </w:tcBorders>
            <w:vAlign w:val="center"/>
            <w:hideMark/>
          </w:tcPr>
          <w:p w14:paraId="63AF391C" w14:textId="77777777" w:rsidR="000638EA" w:rsidRPr="000863CB" w:rsidRDefault="000638EA" w:rsidP="007C1698">
            <w:pPr>
              <w:spacing w:before="10" w:after="10"/>
              <w:jc w:val="center"/>
              <w:rPr>
                <w:rFonts w:ascii="Times New Roman" w:hAnsi="Times New Roman"/>
                <w:b/>
                <w:color w:val="000000"/>
                <w:sz w:val="20"/>
                <w:szCs w:val="20"/>
              </w:rPr>
            </w:pPr>
            <w:r w:rsidRPr="000863CB">
              <w:rPr>
                <w:rFonts w:ascii="Times New Roman" w:hAnsi="Times New Roman"/>
                <w:b/>
                <w:color w:val="000000"/>
                <w:sz w:val="20"/>
                <w:szCs w:val="20"/>
              </w:rPr>
              <w:t>Species or category of animal</w:t>
            </w:r>
          </w:p>
        </w:tc>
        <w:tc>
          <w:tcPr>
            <w:tcW w:w="1200" w:type="dxa"/>
            <w:vMerge w:val="restart"/>
            <w:tcBorders>
              <w:top w:val="double" w:sz="6" w:space="0" w:color="auto"/>
              <w:left w:val="single" w:sz="6" w:space="0" w:color="auto"/>
              <w:bottom w:val="double" w:sz="6" w:space="0" w:color="auto"/>
              <w:right w:val="single" w:sz="6" w:space="0" w:color="auto"/>
            </w:tcBorders>
            <w:vAlign w:val="center"/>
            <w:hideMark/>
          </w:tcPr>
          <w:p w14:paraId="542ED949" w14:textId="77777777" w:rsidR="000638EA" w:rsidRPr="000863CB" w:rsidRDefault="000638EA" w:rsidP="007C1698">
            <w:pPr>
              <w:spacing w:before="10" w:after="10"/>
              <w:jc w:val="center"/>
              <w:rPr>
                <w:rFonts w:ascii="Times New Roman" w:hAnsi="Times New Roman"/>
                <w:b/>
                <w:color w:val="000000"/>
                <w:sz w:val="20"/>
                <w:szCs w:val="20"/>
              </w:rPr>
            </w:pPr>
            <w:r w:rsidRPr="000863CB">
              <w:rPr>
                <w:rFonts w:ascii="Times New Roman" w:hAnsi="Times New Roman"/>
                <w:b/>
                <w:color w:val="000000"/>
                <w:sz w:val="20"/>
                <w:szCs w:val="20"/>
              </w:rPr>
              <w:t>Maxi</w:t>
            </w:r>
            <w:r w:rsidRPr="000863CB">
              <w:rPr>
                <w:rFonts w:ascii="Times New Roman" w:hAnsi="Times New Roman"/>
                <w:b/>
                <w:color w:val="000000"/>
                <w:sz w:val="20"/>
                <w:szCs w:val="20"/>
              </w:rPr>
              <w:softHyphen/>
              <w:t>mum age</w:t>
            </w:r>
          </w:p>
        </w:tc>
        <w:tc>
          <w:tcPr>
            <w:tcW w:w="1200" w:type="dxa"/>
            <w:tcBorders>
              <w:top w:val="double" w:sz="6" w:space="0" w:color="auto"/>
              <w:left w:val="single" w:sz="6" w:space="0" w:color="auto"/>
              <w:bottom w:val="single" w:sz="6" w:space="0" w:color="auto"/>
              <w:right w:val="single" w:sz="6" w:space="0" w:color="auto"/>
            </w:tcBorders>
            <w:vAlign w:val="center"/>
            <w:hideMark/>
          </w:tcPr>
          <w:p w14:paraId="2452B7DD" w14:textId="77777777" w:rsidR="000638EA" w:rsidRPr="000863CB" w:rsidRDefault="000638EA" w:rsidP="007C1698">
            <w:pPr>
              <w:spacing w:before="10" w:after="10"/>
              <w:jc w:val="center"/>
              <w:rPr>
                <w:rFonts w:ascii="Times New Roman" w:hAnsi="Times New Roman"/>
                <w:b/>
                <w:color w:val="000000"/>
                <w:sz w:val="20"/>
                <w:szCs w:val="20"/>
              </w:rPr>
            </w:pPr>
            <w:r w:rsidRPr="000863CB">
              <w:rPr>
                <w:rFonts w:ascii="Times New Roman" w:hAnsi="Times New Roman"/>
                <w:b/>
                <w:color w:val="000000"/>
                <w:sz w:val="20"/>
                <w:szCs w:val="20"/>
              </w:rPr>
              <w:t>Mini</w:t>
            </w:r>
            <w:r w:rsidRPr="000863CB">
              <w:rPr>
                <w:rFonts w:ascii="Times New Roman" w:hAnsi="Times New Roman"/>
                <w:b/>
                <w:color w:val="000000"/>
                <w:sz w:val="20"/>
                <w:szCs w:val="20"/>
              </w:rPr>
              <w:softHyphen/>
              <w:t>mum content</w:t>
            </w:r>
          </w:p>
        </w:tc>
        <w:tc>
          <w:tcPr>
            <w:tcW w:w="1200" w:type="dxa"/>
            <w:tcBorders>
              <w:top w:val="double" w:sz="6" w:space="0" w:color="auto"/>
              <w:left w:val="single" w:sz="6" w:space="0" w:color="auto"/>
              <w:bottom w:val="single" w:sz="6" w:space="0" w:color="auto"/>
              <w:right w:val="single" w:sz="6" w:space="0" w:color="auto"/>
            </w:tcBorders>
            <w:vAlign w:val="center"/>
            <w:hideMark/>
          </w:tcPr>
          <w:p w14:paraId="146453CF" w14:textId="77777777" w:rsidR="000638EA" w:rsidRPr="000863CB" w:rsidRDefault="000638EA" w:rsidP="007C1698">
            <w:pPr>
              <w:spacing w:before="10" w:after="10"/>
              <w:jc w:val="center"/>
              <w:rPr>
                <w:rFonts w:ascii="Times New Roman" w:hAnsi="Times New Roman"/>
                <w:b/>
                <w:color w:val="000000"/>
                <w:sz w:val="20"/>
                <w:szCs w:val="20"/>
              </w:rPr>
            </w:pPr>
            <w:r w:rsidRPr="000863CB">
              <w:rPr>
                <w:rFonts w:ascii="Times New Roman" w:hAnsi="Times New Roman"/>
                <w:b/>
                <w:color w:val="000000"/>
                <w:sz w:val="20"/>
                <w:szCs w:val="20"/>
              </w:rPr>
              <w:t>Maxi</w:t>
            </w:r>
            <w:r w:rsidRPr="000863CB">
              <w:rPr>
                <w:rFonts w:ascii="Times New Roman" w:hAnsi="Times New Roman"/>
                <w:b/>
                <w:color w:val="000000"/>
                <w:sz w:val="20"/>
                <w:szCs w:val="20"/>
              </w:rPr>
              <w:softHyphen/>
              <w:t>mum content</w:t>
            </w:r>
          </w:p>
        </w:tc>
        <w:tc>
          <w:tcPr>
            <w:tcW w:w="2040" w:type="dxa"/>
            <w:vMerge w:val="restart"/>
            <w:tcBorders>
              <w:top w:val="double" w:sz="6" w:space="0" w:color="auto"/>
              <w:left w:val="single" w:sz="6" w:space="0" w:color="auto"/>
              <w:bottom w:val="double" w:sz="6" w:space="0" w:color="auto"/>
              <w:right w:val="single" w:sz="6" w:space="0" w:color="auto"/>
            </w:tcBorders>
            <w:vAlign w:val="center"/>
            <w:hideMark/>
          </w:tcPr>
          <w:p w14:paraId="67EFDA5A" w14:textId="77777777" w:rsidR="000638EA" w:rsidRPr="000863CB" w:rsidRDefault="000638EA" w:rsidP="007C1698">
            <w:pPr>
              <w:spacing w:before="10" w:after="10"/>
              <w:jc w:val="center"/>
              <w:rPr>
                <w:rFonts w:ascii="Times New Roman" w:hAnsi="Times New Roman"/>
                <w:b/>
                <w:color w:val="000000"/>
                <w:sz w:val="20"/>
                <w:szCs w:val="20"/>
              </w:rPr>
            </w:pPr>
            <w:r w:rsidRPr="000863CB">
              <w:rPr>
                <w:rFonts w:ascii="Times New Roman" w:hAnsi="Times New Roman"/>
                <w:b/>
                <w:color w:val="000000"/>
                <w:sz w:val="20"/>
                <w:szCs w:val="20"/>
              </w:rPr>
              <w:t>Other provisions</w:t>
            </w:r>
          </w:p>
        </w:tc>
        <w:tc>
          <w:tcPr>
            <w:tcW w:w="1205" w:type="dxa"/>
            <w:vMerge w:val="restart"/>
            <w:tcBorders>
              <w:top w:val="double" w:sz="6" w:space="0" w:color="auto"/>
              <w:left w:val="single" w:sz="6" w:space="0" w:color="auto"/>
              <w:bottom w:val="double" w:sz="6" w:space="0" w:color="auto"/>
              <w:right w:val="double" w:sz="6" w:space="0" w:color="auto"/>
            </w:tcBorders>
            <w:vAlign w:val="center"/>
            <w:hideMark/>
          </w:tcPr>
          <w:p w14:paraId="7798AAB3" w14:textId="77777777" w:rsidR="000638EA" w:rsidRPr="000863CB" w:rsidRDefault="000638EA" w:rsidP="007C1698">
            <w:pPr>
              <w:spacing w:before="10" w:after="10"/>
              <w:jc w:val="center"/>
              <w:rPr>
                <w:rFonts w:ascii="Times New Roman" w:hAnsi="Times New Roman"/>
                <w:b/>
                <w:color w:val="000000"/>
                <w:sz w:val="20"/>
                <w:szCs w:val="20"/>
              </w:rPr>
            </w:pPr>
            <w:r w:rsidRPr="000863CB">
              <w:rPr>
                <w:rFonts w:ascii="Times New Roman" w:hAnsi="Times New Roman"/>
                <w:b/>
                <w:color w:val="000000"/>
                <w:sz w:val="20"/>
                <w:szCs w:val="20"/>
              </w:rPr>
              <w:t>End of period of authorisa</w:t>
            </w:r>
            <w:r w:rsidRPr="000863CB">
              <w:rPr>
                <w:rFonts w:ascii="Times New Roman" w:hAnsi="Times New Roman"/>
                <w:b/>
                <w:color w:val="000000"/>
                <w:sz w:val="20"/>
                <w:szCs w:val="20"/>
              </w:rPr>
              <w:softHyphen/>
              <w:t>tion</w:t>
            </w:r>
          </w:p>
        </w:tc>
      </w:tr>
      <w:tr w:rsidR="000638EA" w:rsidRPr="005A325D" w14:paraId="49C49BC7" w14:textId="77777777" w:rsidTr="009544A9">
        <w:tc>
          <w:tcPr>
            <w:tcW w:w="994" w:type="dxa"/>
            <w:vMerge/>
            <w:tcBorders>
              <w:top w:val="double" w:sz="6" w:space="0" w:color="auto"/>
              <w:left w:val="double" w:sz="6" w:space="0" w:color="auto"/>
              <w:bottom w:val="double" w:sz="6" w:space="0" w:color="auto"/>
              <w:right w:val="single" w:sz="6" w:space="0" w:color="auto"/>
            </w:tcBorders>
            <w:vAlign w:val="center"/>
            <w:hideMark/>
          </w:tcPr>
          <w:p w14:paraId="520883BB" w14:textId="77777777" w:rsidR="000638EA" w:rsidRPr="005A325D" w:rsidRDefault="000638EA" w:rsidP="007C1698">
            <w:pPr>
              <w:spacing w:before="10" w:after="10"/>
              <w:rPr>
                <w:rFonts w:ascii="Times New Roman" w:hAnsi="Times New Roman"/>
                <w:b/>
                <w:color w:val="000000"/>
                <w:sz w:val="20"/>
                <w:szCs w:val="20"/>
              </w:rPr>
            </w:pPr>
          </w:p>
        </w:tc>
        <w:tc>
          <w:tcPr>
            <w:tcW w:w="1428" w:type="dxa"/>
            <w:vMerge/>
            <w:tcBorders>
              <w:top w:val="double" w:sz="6" w:space="0" w:color="auto"/>
              <w:left w:val="single" w:sz="6" w:space="0" w:color="auto"/>
              <w:bottom w:val="double" w:sz="6" w:space="0" w:color="auto"/>
              <w:right w:val="single" w:sz="6" w:space="0" w:color="auto"/>
            </w:tcBorders>
            <w:vAlign w:val="center"/>
            <w:hideMark/>
          </w:tcPr>
          <w:p w14:paraId="2BB28A7B" w14:textId="77777777" w:rsidR="000638EA" w:rsidRPr="005A325D" w:rsidRDefault="000638EA" w:rsidP="007C1698">
            <w:pPr>
              <w:spacing w:before="10" w:after="10"/>
              <w:rPr>
                <w:rFonts w:ascii="Times New Roman" w:hAnsi="Times New Roman"/>
                <w:b/>
                <w:color w:val="000000"/>
                <w:sz w:val="20"/>
                <w:szCs w:val="20"/>
              </w:rPr>
            </w:pPr>
          </w:p>
        </w:tc>
        <w:tc>
          <w:tcPr>
            <w:tcW w:w="1080" w:type="dxa"/>
            <w:vMerge/>
            <w:tcBorders>
              <w:top w:val="double" w:sz="6" w:space="0" w:color="auto"/>
              <w:left w:val="single" w:sz="6" w:space="0" w:color="auto"/>
              <w:bottom w:val="double" w:sz="6" w:space="0" w:color="auto"/>
              <w:right w:val="single" w:sz="6" w:space="0" w:color="auto"/>
            </w:tcBorders>
            <w:vAlign w:val="center"/>
            <w:hideMark/>
          </w:tcPr>
          <w:p w14:paraId="7B775996" w14:textId="77777777" w:rsidR="000638EA" w:rsidRPr="005A325D" w:rsidRDefault="000638EA" w:rsidP="007C1698">
            <w:pPr>
              <w:spacing w:before="10" w:after="10"/>
              <w:rPr>
                <w:rFonts w:ascii="Times New Roman" w:hAnsi="Times New Roman"/>
                <w:b/>
                <w:color w:val="000000"/>
                <w:sz w:val="20"/>
                <w:szCs w:val="20"/>
              </w:rPr>
            </w:pPr>
          </w:p>
        </w:tc>
        <w:tc>
          <w:tcPr>
            <w:tcW w:w="2760" w:type="dxa"/>
            <w:vMerge/>
            <w:tcBorders>
              <w:top w:val="double" w:sz="6" w:space="0" w:color="auto"/>
              <w:left w:val="single" w:sz="6" w:space="0" w:color="auto"/>
              <w:bottom w:val="double" w:sz="6" w:space="0" w:color="auto"/>
              <w:right w:val="single" w:sz="6" w:space="0" w:color="auto"/>
            </w:tcBorders>
            <w:vAlign w:val="center"/>
            <w:hideMark/>
          </w:tcPr>
          <w:p w14:paraId="2CB4C595" w14:textId="77777777" w:rsidR="000638EA" w:rsidRPr="005A325D" w:rsidRDefault="000638EA" w:rsidP="007C1698">
            <w:pPr>
              <w:spacing w:before="10" w:after="10"/>
              <w:rPr>
                <w:rFonts w:ascii="Times New Roman" w:hAnsi="Times New Roman"/>
                <w:b/>
                <w:color w:val="000000"/>
                <w:sz w:val="20"/>
                <w:szCs w:val="20"/>
              </w:rPr>
            </w:pPr>
          </w:p>
        </w:tc>
        <w:tc>
          <w:tcPr>
            <w:tcW w:w="1080" w:type="dxa"/>
            <w:vMerge/>
            <w:tcBorders>
              <w:top w:val="double" w:sz="6" w:space="0" w:color="auto"/>
              <w:left w:val="single" w:sz="6" w:space="0" w:color="auto"/>
              <w:bottom w:val="double" w:sz="6" w:space="0" w:color="auto"/>
              <w:right w:val="single" w:sz="6" w:space="0" w:color="auto"/>
            </w:tcBorders>
            <w:vAlign w:val="center"/>
            <w:hideMark/>
          </w:tcPr>
          <w:p w14:paraId="2E0CA2CC" w14:textId="77777777" w:rsidR="000638EA" w:rsidRPr="005A325D" w:rsidRDefault="000638EA" w:rsidP="007C1698">
            <w:pPr>
              <w:spacing w:before="10" w:after="10"/>
              <w:rPr>
                <w:rFonts w:ascii="Times New Roman" w:hAnsi="Times New Roman"/>
                <w:b/>
                <w:color w:val="000000"/>
                <w:sz w:val="20"/>
                <w:szCs w:val="20"/>
              </w:rPr>
            </w:pPr>
          </w:p>
        </w:tc>
        <w:tc>
          <w:tcPr>
            <w:tcW w:w="1200" w:type="dxa"/>
            <w:vMerge/>
            <w:tcBorders>
              <w:top w:val="double" w:sz="6" w:space="0" w:color="auto"/>
              <w:left w:val="single" w:sz="6" w:space="0" w:color="auto"/>
              <w:bottom w:val="double" w:sz="6" w:space="0" w:color="auto"/>
              <w:right w:val="single" w:sz="6" w:space="0" w:color="auto"/>
            </w:tcBorders>
            <w:vAlign w:val="center"/>
            <w:hideMark/>
          </w:tcPr>
          <w:p w14:paraId="35CE3265" w14:textId="77777777" w:rsidR="000638EA" w:rsidRPr="005A325D" w:rsidRDefault="000638EA" w:rsidP="007C1698">
            <w:pPr>
              <w:spacing w:before="10" w:after="10"/>
              <w:rPr>
                <w:rFonts w:ascii="Times New Roman" w:hAnsi="Times New Roman"/>
                <w:b/>
                <w:color w:val="000000"/>
                <w:sz w:val="20"/>
                <w:szCs w:val="20"/>
              </w:rPr>
            </w:pPr>
          </w:p>
        </w:tc>
        <w:tc>
          <w:tcPr>
            <w:tcW w:w="2400" w:type="dxa"/>
            <w:gridSpan w:val="2"/>
            <w:tcBorders>
              <w:top w:val="single" w:sz="6" w:space="0" w:color="auto"/>
              <w:left w:val="single" w:sz="6" w:space="0" w:color="auto"/>
              <w:bottom w:val="double" w:sz="6" w:space="0" w:color="auto"/>
              <w:right w:val="single" w:sz="6" w:space="0" w:color="auto"/>
            </w:tcBorders>
            <w:vAlign w:val="center"/>
            <w:hideMark/>
          </w:tcPr>
          <w:p w14:paraId="42700EB4" w14:textId="0912C3DD" w:rsidR="000638EA" w:rsidRPr="005A325D" w:rsidRDefault="00026479" w:rsidP="007C1698">
            <w:pPr>
              <w:spacing w:before="10" w:after="10"/>
              <w:jc w:val="center"/>
              <w:rPr>
                <w:rFonts w:ascii="Times New Roman" w:hAnsi="Times New Roman"/>
                <w:b/>
                <w:color w:val="000000"/>
                <w:sz w:val="20"/>
                <w:szCs w:val="20"/>
              </w:rPr>
            </w:pPr>
            <w:bookmarkStart w:id="0" w:name="_Hlk120893867"/>
            <w:r>
              <w:rPr>
                <w:rFonts w:ascii="Times New Roman" w:hAnsi="Times New Roman"/>
                <w:b/>
                <w:color w:val="000000"/>
                <w:sz w:val="20"/>
                <w:szCs w:val="20"/>
              </w:rPr>
              <w:t>mg</w:t>
            </w:r>
            <w:r w:rsidR="000638EA" w:rsidRPr="005A325D">
              <w:rPr>
                <w:rFonts w:ascii="Times New Roman" w:hAnsi="Times New Roman"/>
                <w:b/>
                <w:color w:val="000000"/>
                <w:sz w:val="20"/>
                <w:szCs w:val="20"/>
              </w:rPr>
              <w:t xml:space="preserve">/kg of complete feedingstuff </w:t>
            </w:r>
            <w:r w:rsidR="000638EA" w:rsidRPr="00EF4A15">
              <w:rPr>
                <w:rFonts w:ascii="Times New Roman" w:hAnsi="Times New Roman"/>
                <w:b/>
                <w:color w:val="000000"/>
                <w:sz w:val="20"/>
                <w:szCs w:val="20"/>
              </w:rPr>
              <w:t>with a moisture content of 12%</w:t>
            </w:r>
            <w:bookmarkEnd w:id="0"/>
          </w:p>
        </w:tc>
        <w:tc>
          <w:tcPr>
            <w:tcW w:w="2040" w:type="dxa"/>
            <w:vMerge/>
            <w:tcBorders>
              <w:top w:val="double" w:sz="6" w:space="0" w:color="auto"/>
              <w:left w:val="single" w:sz="6" w:space="0" w:color="auto"/>
              <w:bottom w:val="double" w:sz="6" w:space="0" w:color="auto"/>
              <w:right w:val="single" w:sz="6" w:space="0" w:color="auto"/>
            </w:tcBorders>
            <w:vAlign w:val="center"/>
            <w:hideMark/>
          </w:tcPr>
          <w:p w14:paraId="5FF0EA34" w14:textId="77777777" w:rsidR="000638EA" w:rsidRPr="005A325D" w:rsidRDefault="000638EA" w:rsidP="007C1698">
            <w:pPr>
              <w:spacing w:before="10" w:after="10"/>
              <w:rPr>
                <w:rFonts w:ascii="Times New Roman" w:hAnsi="Times New Roman"/>
                <w:b/>
                <w:color w:val="000000"/>
                <w:sz w:val="20"/>
                <w:szCs w:val="20"/>
              </w:rPr>
            </w:pPr>
          </w:p>
        </w:tc>
        <w:tc>
          <w:tcPr>
            <w:tcW w:w="1205" w:type="dxa"/>
            <w:vMerge/>
            <w:tcBorders>
              <w:top w:val="double" w:sz="6" w:space="0" w:color="auto"/>
              <w:left w:val="single" w:sz="6" w:space="0" w:color="auto"/>
              <w:bottom w:val="double" w:sz="6" w:space="0" w:color="auto"/>
              <w:right w:val="double" w:sz="6" w:space="0" w:color="auto"/>
            </w:tcBorders>
            <w:vAlign w:val="center"/>
            <w:hideMark/>
          </w:tcPr>
          <w:p w14:paraId="3855AC6D" w14:textId="77777777" w:rsidR="000638EA" w:rsidRPr="005A325D" w:rsidRDefault="000638EA" w:rsidP="007C1698">
            <w:pPr>
              <w:spacing w:before="10" w:after="10"/>
              <w:rPr>
                <w:b/>
                <w:color w:val="000000"/>
                <w:sz w:val="18"/>
                <w:szCs w:val="18"/>
              </w:rPr>
            </w:pPr>
          </w:p>
        </w:tc>
      </w:tr>
      <w:tr w:rsidR="00DC4EA2" w:rsidRPr="005A325D" w14:paraId="025C55F0" w14:textId="77777777" w:rsidTr="009544A9">
        <w:tc>
          <w:tcPr>
            <w:tcW w:w="14187" w:type="dxa"/>
            <w:gridSpan w:val="10"/>
            <w:tcBorders>
              <w:top w:val="double" w:sz="6" w:space="0" w:color="auto"/>
              <w:left w:val="double" w:sz="6" w:space="0" w:color="auto"/>
              <w:bottom w:val="single" w:sz="6" w:space="0" w:color="auto"/>
              <w:right w:val="double" w:sz="6" w:space="0" w:color="auto"/>
            </w:tcBorders>
            <w:hideMark/>
          </w:tcPr>
          <w:p w14:paraId="1122E29D" w14:textId="149EC5CF" w:rsidR="00DC4EA2" w:rsidRPr="008625CE" w:rsidRDefault="00DC4EA2" w:rsidP="00DC4EA2">
            <w:pPr>
              <w:spacing w:before="10" w:after="10"/>
              <w:rPr>
                <w:rFonts w:ascii="Times New Roman" w:hAnsi="Times New Roman"/>
                <w:b/>
                <w:color w:val="000000"/>
                <w:sz w:val="20"/>
                <w:szCs w:val="20"/>
              </w:rPr>
            </w:pPr>
            <w:r w:rsidRPr="008625CE">
              <w:rPr>
                <w:rFonts w:ascii="Times New Roman" w:hAnsi="Times New Roman"/>
                <w:b/>
                <w:color w:val="000000"/>
                <w:sz w:val="20"/>
                <w:szCs w:val="20"/>
              </w:rPr>
              <w:t>Category</w:t>
            </w:r>
            <w:r>
              <w:rPr>
                <w:rFonts w:ascii="Times New Roman" w:hAnsi="Times New Roman"/>
                <w:b/>
                <w:color w:val="000000"/>
                <w:sz w:val="20"/>
                <w:szCs w:val="20"/>
              </w:rPr>
              <w:t>:</w:t>
            </w:r>
            <w:r w:rsidRPr="008625CE">
              <w:rPr>
                <w:rFonts w:ascii="Times New Roman" w:hAnsi="Times New Roman"/>
                <w:b/>
                <w:color w:val="000000"/>
                <w:sz w:val="20"/>
                <w:szCs w:val="20"/>
              </w:rPr>
              <w:t xml:space="preserve"> zootechnical additives. Functional group: </w:t>
            </w:r>
            <w:r>
              <w:rPr>
                <w:rFonts w:ascii="Times New Roman" w:hAnsi="Times New Roman"/>
                <w:b/>
                <w:color w:val="000000"/>
                <w:sz w:val="20"/>
                <w:szCs w:val="20"/>
              </w:rPr>
              <w:t>other zootechnical additives (</w:t>
            </w:r>
            <w:r w:rsidR="00A670B2" w:rsidRPr="00A670B2">
              <w:rPr>
                <w:rFonts w:ascii="Times New Roman" w:hAnsi="Times New Roman"/>
                <w:b/>
                <w:color w:val="000000"/>
                <w:sz w:val="20"/>
                <w:szCs w:val="20"/>
              </w:rPr>
              <w:t xml:space="preserve">reduction of the caecal load of </w:t>
            </w:r>
            <w:r w:rsidR="00A670B2" w:rsidRPr="00A670B2">
              <w:rPr>
                <w:rFonts w:ascii="Times New Roman" w:hAnsi="Times New Roman"/>
                <w:b/>
                <w:i/>
                <w:iCs/>
                <w:color w:val="000000"/>
                <w:sz w:val="20"/>
                <w:szCs w:val="20"/>
              </w:rPr>
              <w:t>Campylobacter</w:t>
            </w:r>
            <w:r w:rsidR="00A670B2" w:rsidRPr="00A670B2">
              <w:rPr>
                <w:rFonts w:ascii="Times New Roman" w:hAnsi="Times New Roman"/>
                <w:b/>
                <w:color w:val="000000"/>
                <w:sz w:val="20"/>
                <w:szCs w:val="20"/>
              </w:rPr>
              <w:t xml:space="preserve"> spp</w:t>
            </w:r>
            <w:r w:rsidR="00A670B2">
              <w:rPr>
                <w:rFonts w:ascii="Times New Roman" w:hAnsi="Times New Roman"/>
                <w:b/>
                <w:color w:val="000000"/>
                <w:sz w:val="20"/>
                <w:szCs w:val="20"/>
              </w:rPr>
              <w:t>.</w:t>
            </w:r>
            <w:r w:rsidR="007F37F4" w:rsidRPr="007F37F4">
              <w:rPr>
                <w:rFonts w:ascii="Times New Roman" w:hAnsi="Times New Roman"/>
                <w:b/>
                <w:color w:val="000000"/>
                <w:sz w:val="20"/>
                <w:szCs w:val="20"/>
              </w:rPr>
              <w:t>)</w:t>
            </w:r>
          </w:p>
        </w:tc>
      </w:tr>
      <w:tr w:rsidR="00DC4EA2" w:rsidRPr="005A325D" w14:paraId="2F245F36" w14:textId="77777777" w:rsidTr="009544A9">
        <w:tc>
          <w:tcPr>
            <w:tcW w:w="994" w:type="dxa"/>
            <w:tcBorders>
              <w:top w:val="single" w:sz="6" w:space="0" w:color="auto"/>
              <w:left w:val="double" w:sz="6" w:space="0" w:color="auto"/>
              <w:right w:val="single" w:sz="6" w:space="0" w:color="auto"/>
            </w:tcBorders>
            <w:shd w:val="clear" w:color="auto" w:fill="auto"/>
            <w:hideMark/>
          </w:tcPr>
          <w:p w14:paraId="2B5994CE" w14:textId="4214DABC" w:rsidR="00DC4EA2" w:rsidRPr="009C32CF" w:rsidRDefault="002B083A" w:rsidP="00DC4EA2">
            <w:pPr>
              <w:spacing w:after="0"/>
              <w:rPr>
                <w:rFonts w:ascii="Times New Roman" w:hAnsi="Times New Roman"/>
                <w:sz w:val="18"/>
                <w:szCs w:val="18"/>
                <w:highlight w:val="yellow"/>
              </w:rPr>
            </w:pPr>
            <w:r>
              <w:rPr>
                <w:rFonts w:ascii="Times New Roman" w:hAnsi="Times New Roman"/>
                <w:sz w:val="18"/>
                <w:szCs w:val="18"/>
              </w:rPr>
              <w:t>4d</w:t>
            </w:r>
            <w:r w:rsidR="00105D4D">
              <w:rPr>
                <w:rFonts w:ascii="Times New Roman" w:hAnsi="Times New Roman"/>
                <w:sz w:val="18"/>
                <w:szCs w:val="18"/>
              </w:rPr>
              <w:t>28</w:t>
            </w:r>
          </w:p>
        </w:tc>
        <w:tc>
          <w:tcPr>
            <w:tcW w:w="1428" w:type="dxa"/>
            <w:tcBorders>
              <w:top w:val="single" w:sz="6" w:space="0" w:color="auto"/>
              <w:left w:val="single" w:sz="6" w:space="0" w:color="auto"/>
              <w:right w:val="single" w:sz="6" w:space="0" w:color="auto"/>
            </w:tcBorders>
            <w:hideMark/>
          </w:tcPr>
          <w:p w14:paraId="26AE7AA8" w14:textId="46D7772B" w:rsidR="00DC4EA2" w:rsidRPr="008625CE" w:rsidRDefault="00105D4D" w:rsidP="00DC4EA2">
            <w:pPr>
              <w:spacing w:after="0"/>
              <w:rPr>
                <w:rFonts w:ascii="Times New Roman" w:hAnsi="Times New Roman"/>
                <w:sz w:val="18"/>
                <w:szCs w:val="18"/>
                <w:lang w:val="en-IE"/>
              </w:rPr>
            </w:pPr>
            <w:proofErr w:type="spellStart"/>
            <w:r>
              <w:rPr>
                <w:rFonts w:ascii="Times New Roman" w:hAnsi="Times New Roman"/>
                <w:sz w:val="18"/>
                <w:szCs w:val="18"/>
                <w:lang w:val="en-IE"/>
              </w:rPr>
              <w:t>Akeso</w:t>
            </w:r>
            <w:proofErr w:type="spellEnd"/>
            <w:r>
              <w:rPr>
                <w:rFonts w:ascii="Times New Roman" w:hAnsi="Times New Roman"/>
                <w:sz w:val="18"/>
                <w:szCs w:val="18"/>
                <w:lang w:val="en-IE"/>
              </w:rPr>
              <w:t xml:space="preserve"> Biomedical, Inc USA, </w:t>
            </w:r>
            <w:r w:rsidRPr="00105D4D">
              <w:rPr>
                <w:rFonts w:ascii="Times New Roman" w:hAnsi="Times New Roman"/>
                <w:sz w:val="18"/>
                <w:szCs w:val="18"/>
                <w:lang w:val="en-IE"/>
              </w:rPr>
              <w:t>represented by Pen &amp; Te</w:t>
            </w:r>
            <w:r>
              <w:rPr>
                <w:rFonts w:ascii="Times New Roman" w:hAnsi="Times New Roman"/>
                <w:sz w:val="18"/>
                <w:szCs w:val="18"/>
                <w:lang w:val="en-IE"/>
              </w:rPr>
              <w:t xml:space="preserve">c </w:t>
            </w:r>
            <w:r w:rsidRPr="00105D4D">
              <w:rPr>
                <w:rFonts w:ascii="Times New Roman" w:hAnsi="Times New Roman"/>
                <w:sz w:val="18"/>
                <w:szCs w:val="18"/>
                <w:lang w:val="en-IE"/>
              </w:rPr>
              <w:t>Consulting SLU</w:t>
            </w:r>
          </w:p>
        </w:tc>
        <w:tc>
          <w:tcPr>
            <w:tcW w:w="1080" w:type="dxa"/>
            <w:tcBorders>
              <w:top w:val="single" w:sz="6" w:space="0" w:color="auto"/>
              <w:left w:val="single" w:sz="6" w:space="0" w:color="auto"/>
              <w:right w:val="single" w:sz="6" w:space="0" w:color="auto"/>
            </w:tcBorders>
            <w:hideMark/>
          </w:tcPr>
          <w:p w14:paraId="0EA44505" w14:textId="2ADC68A7" w:rsidR="00DC4EA2" w:rsidRPr="00E96407" w:rsidRDefault="00105D4D" w:rsidP="007F37F4">
            <w:pPr>
              <w:spacing w:after="0"/>
              <w:rPr>
                <w:rFonts w:ascii="Times New Roman" w:hAnsi="Times New Roman"/>
                <w:sz w:val="18"/>
                <w:szCs w:val="18"/>
                <w:lang w:val="en-IE"/>
              </w:rPr>
            </w:pPr>
            <w:r w:rsidRPr="00E96407">
              <w:rPr>
                <w:rFonts w:ascii="Times New Roman" w:hAnsi="Times New Roman"/>
                <w:sz w:val="18"/>
                <w:szCs w:val="18"/>
                <w:lang w:val="en-IE"/>
              </w:rPr>
              <w:t>Ferric tyrosine chelate</w:t>
            </w:r>
          </w:p>
        </w:tc>
        <w:tc>
          <w:tcPr>
            <w:tcW w:w="2760" w:type="dxa"/>
            <w:tcBorders>
              <w:top w:val="single" w:sz="6" w:space="0" w:color="auto"/>
              <w:left w:val="single" w:sz="6" w:space="0" w:color="auto"/>
              <w:right w:val="single" w:sz="6" w:space="0" w:color="auto"/>
            </w:tcBorders>
            <w:hideMark/>
          </w:tcPr>
          <w:p w14:paraId="4EF876F4" w14:textId="77777777" w:rsidR="00DC4EA2" w:rsidRPr="00026479" w:rsidRDefault="00DC4EA2" w:rsidP="00DC4EA2">
            <w:pPr>
              <w:spacing w:after="0"/>
              <w:rPr>
                <w:rFonts w:ascii="Times New Roman" w:hAnsi="Times New Roman"/>
                <w:b/>
                <w:i/>
                <w:sz w:val="18"/>
                <w:szCs w:val="18"/>
              </w:rPr>
            </w:pPr>
            <w:r w:rsidRPr="00026479">
              <w:rPr>
                <w:rFonts w:ascii="Times New Roman" w:hAnsi="Times New Roman"/>
                <w:b/>
                <w:i/>
                <w:sz w:val="18"/>
                <w:szCs w:val="18"/>
              </w:rPr>
              <w:t xml:space="preserve">Additive composition </w:t>
            </w:r>
          </w:p>
          <w:p w14:paraId="45FF3E66" w14:textId="14FA25F8" w:rsidR="002B083A" w:rsidRPr="00026479" w:rsidRDefault="00AE754E" w:rsidP="00DC4EA2">
            <w:pPr>
              <w:spacing w:after="0"/>
              <w:rPr>
                <w:rFonts w:ascii="Times New Roman" w:hAnsi="Times New Roman"/>
                <w:sz w:val="18"/>
                <w:szCs w:val="18"/>
              </w:rPr>
            </w:pPr>
            <w:r w:rsidRPr="00026479">
              <w:rPr>
                <w:rFonts w:ascii="Times New Roman" w:hAnsi="Times New Roman"/>
                <w:sz w:val="18"/>
                <w:szCs w:val="18"/>
                <w:lang w:val="en-IE"/>
              </w:rPr>
              <w:t>Ferric tyrosine chelate</w:t>
            </w:r>
            <w:r w:rsidRPr="00026479">
              <w:rPr>
                <w:rFonts w:ascii="Times New Roman" w:hAnsi="Times New Roman"/>
                <w:sz w:val="18"/>
                <w:szCs w:val="18"/>
              </w:rPr>
              <w:t xml:space="preserve"> </w:t>
            </w:r>
            <w:r w:rsidR="002B083A" w:rsidRPr="00026479">
              <w:rPr>
                <w:rFonts w:ascii="Times New Roman" w:hAnsi="Times New Roman"/>
                <w:sz w:val="18"/>
                <w:szCs w:val="18"/>
              </w:rPr>
              <w:t xml:space="preserve">having a minimum </w:t>
            </w:r>
            <w:r w:rsidRPr="00026479">
              <w:rPr>
                <w:rFonts w:ascii="Times New Roman" w:hAnsi="Times New Roman"/>
                <w:sz w:val="18"/>
                <w:szCs w:val="18"/>
              </w:rPr>
              <w:t xml:space="preserve">content </w:t>
            </w:r>
            <w:r w:rsidR="002B083A" w:rsidRPr="00026479">
              <w:rPr>
                <w:rFonts w:ascii="Times New Roman" w:hAnsi="Times New Roman"/>
                <w:sz w:val="18"/>
                <w:szCs w:val="18"/>
              </w:rPr>
              <w:t xml:space="preserve">of </w:t>
            </w:r>
            <w:r w:rsidRPr="00026479">
              <w:rPr>
                <w:rFonts w:ascii="Times New Roman" w:hAnsi="Times New Roman"/>
                <w:sz w:val="18"/>
                <w:szCs w:val="18"/>
              </w:rPr>
              <w:t>82</w:t>
            </w:r>
            <w:r w:rsidR="00026479">
              <w:rPr>
                <w:rFonts w:ascii="Times New Roman" w:hAnsi="Times New Roman"/>
                <w:sz w:val="18"/>
                <w:szCs w:val="18"/>
              </w:rPr>
              <w:t>0 g/kg</w:t>
            </w:r>
            <w:r w:rsidRPr="00026479">
              <w:rPr>
                <w:rFonts w:ascii="Times New Roman" w:hAnsi="Times New Roman"/>
                <w:sz w:val="18"/>
                <w:szCs w:val="18"/>
              </w:rPr>
              <w:t xml:space="preserve"> total tyrosine, 8</w:t>
            </w:r>
            <w:r w:rsidR="00026479">
              <w:rPr>
                <w:rFonts w:ascii="Times New Roman" w:hAnsi="Times New Roman"/>
                <w:sz w:val="18"/>
                <w:szCs w:val="18"/>
              </w:rPr>
              <w:t>0 g/kg</w:t>
            </w:r>
            <w:r w:rsidRPr="00026479">
              <w:rPr>
                <w:rFonts w:ascii="Times New Roman" w:hAnsi="Times New Roman"/>
                <w:sz w:val="18"/>
                <w:szCs w:val="18"/>
              </w:rPr>
              <w:t xml:space="preserve"> iron and 6</w:t>
            </w:r>
            <w:r w:rsidR="00026479">
              <w:rPr>
                <w:rFonts w:ascii="Times New Roman" w:hAnsi="Times New Roman"/>
                <w:sz w:val="18"/>
                <w:szCs w:val="18"/>
              </w:rPr>
              <w:t>0 g/kg</w:t>
            </w:r>
            <w:r w:rsidRPr="00026479">
              <w:rPr>
                <w:rFonts w:ascii="Times New Roman" w:hAnsi="Times New Roman"/>
                <w:sz w:val="18"/>
                <w:szCs w:val="18"/>
              </w:rPr>
              <w:t xml:space="preserve"> total nitrogen</w:t>
            </w:r>
            <w:r w:rsidR="002B083A" w:rsidRPr="00026479">
              <w:rPr>
                <w:rFonts w:ascii="Times New Roman" w:hAnsi="Times New Roman"/>
                <w:sz w:val="18"/>
                <w:szCs w:val="18"/>
              </w:rPr>
              <w:t>.</w:t>
            </w:r>
          </w:p>
          <w:p w14:paraId="7752CCA8" w14:textId="5D403BEF" w:rsidR="00070AD1" w:rsidRPr="00026479" w:rsidRDefault="00070AD1" w:rsidP="00070AD1">
            <w:pPr>
              <w:spacing w:after="0"/>
              <w:rPr>
                <w:rFonts w:ascii="Times New Roman" w:hAnsi="Times New Roman"/>
                <w:sz w:val="18"/>
                <w:szCs w:val="18"/>
                <w:lang w:val="en-IE"/>
              </w:rPr>
            </w:pPr>
            <w:r>
              <w:rPr>
                <w:rFonts w:ascii="Times New Roman" w:hAnsi="Times New Roman"/>
                <w:sz w:val="18"/>
                <w:szCs w:val="18"/>
                <w:lang w:val="en-IE"/>
              </w:rPr>
              <w:t>I</w:t>
            </w:r>
            <w:r w:rsidRPr="00026479">
              <w:rPr>
                <w:rFonts w:ascii="Times New Roman" w:hAnsi="Times New Roman"/>
                <w:sz w:val="18"/>
                <w:szCs w:val="18"/>
                <w:lang w:val="en-IE"/>
              </w:rPr>
              <w:t>mpurities:</w:t>
            </w:r>
          </w:p>
          <w:p w14:paraId="093BD19E" w14:textId="2A174CC0" w:rsidR="00070AD1" w:rsidRDefault="00070AD1" w:rsidP="009544A9">
            <w:pPr>
              <w:numPr>
                <w:ilvl w:val="0"/>
                <w:numId w:val="35"/>
              </w:numPr>
              <w:spacing w:after="0"/>
              <w:ind w:left="252" w:hanging="254"/>
              <w:rPr>
                <w:rFonts w:ascii="Times New Roman" w:hAnsi="Times New Roman"/>
                <w:sz w:val="18"/>
                <w:szCs w:val="18"/>
                <w:lang w:val="en-IE"/>
              </w:rPr>
            </w:pPr>
            <w:r w:rsidRPr="00026479">
              <w:rPr>
                <w:rFonts w:ascii="Times New Roman" w:hAnsi="Times New Roman"/>
                <w:sz w:val="18"/>
                <w:szCs w:val="18"/>
                <w:lang w:val="en-IE"/>
              </w:rPr>
              <w:t>Nickel</w:t>
            </w:r>
            <w:r>
              <w:rPr>
                <w:rFonts w:ascii="Times New Roman" w:hAnsi="Times New Roman"/>
                <w:sz w:val="18"/>
                <w:szCs w:val="18"/>
                <w:lang w:val="en-IE"/>
              </w:rPr>
              <w:t xml:space="preserve"> </w:t>
            </w:r>
            <w:r w:rsidRPr="00026479">
              <w:rPr>
                <w:rFonts w:ascii="Times New Roman" w:hAnsi="Times New Roman"/>
                <w:sz w:val="18"/>
                <w:szCs w:val="18"/>
                <w:lang w:val="en-IE"/>
              </w:rPr>
              <w:t xml:space="preserve">≤ </w:t>
            </w:r>
            <w:r>
              <w:rPr>
                <w:rFonts w:ascii="Times New Roman" w:hAnsi="Times New Roman"/>
                <w:sz w:val="18"/>
                <w:szCs w:val="18"/>
                <w:lang w:val="en-IE"/>
              </w:rPr>
              <w:t>20</w:t>
            </w:r>
            <w:r w:rsidRPr="00026479">
              <w:rPr>
                <w:rFonts w:ascii="Times New Roman" w:hAnsi="Times New Roman"/>
                <w:sz w:val="18"/>
                <w:szCs w:val="18"/>
                <w:lang w:val="en-IE"/>
              </w:rPr>
              <w:t xml:space="preserve"> mg/kg</w:t>
            </w:r>
          </w:p>
          <w:p w14:paraId="0E219D41" w14:textId="7F7715A1" w:rsidR="00070AD1" w:rsidRDefault="00070AD1" w:rsidP="009544A9">
            <w:pPr>
              <w:numPr>
                <w:ilvl w:val="0"/>
                <w:numId w:val="35"/>
              </w:numPr>
              <w:spacing w:after="0"/>
              <w:ind w:left="252" w:hanging="254"/>
              <w:rPr>
                <w:rFonts w:ascii="Times New Roman" w:hAnsi="Times New Roman"/>
                <w:sz w:val="18"/>
                <w:szCs w:val="18"/>
              </w:rPr>
            </w:pPr>
            <w:r>
              <w:rPr>
                <w:rFonts w:ascii="Times New Roman" w:hAnsi="Times New Roman"/>
                <w:sz w:val="18"/>
                <w:szCs w:val="18"/>
                <w:lang w:val="en-IE"/>
              </w:rPr>
              <w:t xml:space="preserve">Lithium </w:t>
            </w:r>
            <w:r w:rsidRPr="00026479">
              <w:rPr>
                <w:rFonts w:ascii="Times New Roman" w:hAnsi="Times New Roman"/>
                <w:sz w:val="18"/>
                <w:szCs w:val="18"/>
                <w:lang w:val="en-IE"/>
              </w:rPr>
              <w:t xml:space="preserve">≤ </w:t>
            </w:r>
            <w:r>
              <w:rPr>
                <w:rFonts w:ascii="Times New Roman" w:hAnsi="Times New Roman"/>
                <w:sz w:val="18"/>
                <w:szCs w:val="18"/>
                <w:lang w:val="en-IE"/>
              </w:rPr>
              <w:t>50</w:t>
            </w:r>
            <w:r w:rsidRPr="00026479">
              <w:rPr>
                <w:rFonts w:ascii="Times New Roman" w:hAnsi="Times New Roman"/>
                <w:sz w:val="18"/>
                <w:szCs w:val="18"/>
                <w:lang w:val="en-IE"/>
              </w:rPr>
              <w:t xml:space="preserve"> mg/kg</w:t>
            </w:r>
          </w:p>
          <w:p w14:paraId="77A848BF" w14:textId="353D5CE5" w:rsidR="00DC4EA2" w:rsidRPr="00026479" w:rsidRDefault="002B083A" w:rsidP="00070AD1">
            <w:pPr>
              <w:spacing w:after="0"/>
              <w:rPr>
                <w:rFonts w:ascii="Times New Roman" w:hAnsi="Times New Roman"/>
                <w:sz w:val="18"/>
                <w:szCs w:val="18"/>
              </w:rPr>
            </w:pPr>
            <w:r w:rsidRPr="00026479">
              <w:rPr>
                <w:rFonts w:ascii="Times New Roman" w:hAnsi="Times New Roman"/>
                <w:sz w:val="18"/>
                <w:szCs w:val="18"/>
              </w:rPr>
              <w:t>Solid form.</w:t>
            </w:r>
          </w:p>
          <w:p w14:paraId="3A37025F" w14:textId="77777777" w:rsidR="002B083A" w:rsidRPr="00026479" w:rsidRDefault="002B083A" w:rsidP="00DC4EA2">
            <w:pPr>
              <w:spacing w:after="0"/>
              <w:rPr>
                <w:rFonts w:ascii="Times New Roman" w:hAnsi="Times New Roman"/>
                <w:b/>
                <w:i/>
                <w:sz w:val="18"/>
                <w:szCs w:val="18"/>
              </w:rPr>
            </w:pPr>
          </w:p>
          <w:p w14:paraId="0DFBBB61" w14:textId="77777777" w:rsidR="00DC4EA2" w:rsidRPr="00026479" w:rsidRDefault="00DC4EA2" w:rsidP="00DC4EA2">
            <w:pPr>
              <w:spacing w:after="0"/>
              <w:rPr>
                <w:rFonts w:ascii="Times New Roman" w:hAnsi="Times New Roman"/>
                <w:b/>
                <w:i/>
                <w:sz w:val="18"/>
                <w:szCs w:val="18"/>
              </w:rPr>
            </w:pPr>
            <w:bookmarkStart w:id="1" w:name="_Hlk160627562"/>
            <w:r w:rsidRPr="00026479">
              <w:rPr>
                <w:rFonts w:ascii="Times New Roman" w:hAnsi="Times New Roman"/>
                <w:b/>
                <w:i/>
                <w:sz w:val="18"/>
                <w:szCs w:val="18"/>
              </w:rPr>
              <w:t>Characterisation of the active substance</w:t>
            </w:r>
          </w:p>
          <w:bookmarkEnd w:id="1"/>
          <w:p w14:paraId="5FC876C5" w14:textId="6DBFF859" w:rsidR="00BF0E53" w:rsidRPr="00026479" w:rsidRDefault="00AE754E" w:rsidP="00BF0E53">
            <w:pPr>
              <w:spacing w:after="0"/>
              <w:rPr>
                <w:rFonts w:ascii="Times New Roman" w:hAnsi="Times New Roman"/>
                <w:sz w:val="18"/>
                <w:szCs w:val="18"/>
              </w:rPr>
            </w:pPr>
            <w:r w:rsidRPr="00026479">
              <w:rPr>
                <w:rFonts w:ascii="Times New Roman" w:hAnsi="Times New Roman"/>
                <w:sz w:val="18"/>
                <w:szCs w:val="18"/>
                <w:lang w:val="en-IE"/>
              </w:rPr>
              <w:t>Ferric tyrosine chelate</w:t>
            </w:r>
            <w:r w:rsidRPr="00026479">
              <w:rPr>
                <w:rFonts w:ascii="Times New Roman" w:hAnsi="Times New Roman"/>
                <w:sz w:val="18"/>
                <w:szCs w:val="18"/>
              </w:rPr>
              <w:t xml:space="preserve">: </w:t>
            </w:r>
          </w:p>
          <w:p w14:paraId="2B390A20" w14:textId="603AF0C2" w:rsidR="00AE754E" w:rsidRPr="00026479" w:rsidRDefault="00E96407" w:rsidP="00AE754E">
            <w:pPr>
              <w:numPr>
                <w:ilvl w:val="0"/>
                <w:numId w:val="34"/>
              </w:numPr>
              <w:spacing w:after="0"/>
              <w:ind w:left="129" w:hanging="129"/>
              <w:rPr>
                <w:rFonts w:ascii="Times New Roman" w:hAnsi="Times New Roman"/>
                <w:sz w:val="18"/>
                <w:szCs w:val="18"/>
              </w:rPr>
            </w:pPr>
            <w:r w:rsidRPr="00026479">
              <w:rPr>
                <w:rFonts w:ascii="Times New Roman" w:hAnsi="Times New Roman"/>
                <w:sz w:val="18"/>
                <w:szCs w:val="18"/>
              </w:rPr>
              <w:t>C</w:t>
            </w:r>
            <w:r w:rsidRPr="00026479">
              <w:rPr>
                <w:rFonts w:ascii="Times New Roman" w:hAnsi="Times New Roman"/>
                <w:sz w:val="18"/>
                <w:szCs w:val="18"/>
                <w:vertAlign w:val="subscript"/>
              </w:rPr>
              <w:t>27</w:t>
            </w:r>
            <w:r w:rsidRPr="00026479">
              <w:rPr>
                <w:rFonts w:ascii="Times New Roman" w:hAnsi="Times New Roman"/>
                <w:sz w:val="18"/>
                <w:szCs w:val="18"/>
              </w:rPr>
              <w:t>H</w:t>
            </w:r>
            <w:r w:rsidRPr="00026479">
              <w:rPr>
                <w:rFonts w:ascii="Times New Roman" w:hAnsi="Times New Roman"/>
                <w:sz w:val="18"/>
                <w:szCs w:val="18"/>
                <w:vertAlign w:val="subscript"/>
              </w:rPr>
              <w:t>30</w:t>
            </w:r>
            <w:r w:rsidRPr="00026479">
              <w:rPr>
                <w:rFonts w:ascii="Times New Roman" w:hAnsi="Times New Roman"/>
                <w:sz w:val="18"/>
                <w:szCs w:val="18"/>
              </w:rPr>
              <w:t>FeN</w:t>
            </w:r>
            <w:r w:rsidRPr="00026479">
              <w:rPr>
                <w:rFonts w:ascii="Times New Roman" w:hAnsi="Times New Roman"/>
                <w:sz w:val="18"/>
                <w:szCs w:val="18"/>
                <w:vertAlign w:val="subscript"/>
              </w:rPr>
              <w:t>3</w:t>
            </w:r>
            <w:r w:rsidRPr="00026479">
              <w:rPr>
                <w:rFonts w:ascii="Times New Roman" w:hAnsi="Times New Roman"/>
                <w:sz w:val="18"/>
                <w:szCs w:val="18"/>
              </w:rPr>
              <w:t>O</w:t>
            </w:r>
            <w:r w:rsidRPr="00026479">
              <w:rPr>
                <w:rFonts w:ascii="Times New Roman" w:hAnsi="Times New Roman"/>
                <w:sz w:val="18"/>
                <w:szCs w:val="18"/>
                <w:vertAlign w:val="subscript"/>
              </w:rPr>
              <w:t>9</w:t>
            </w:r>
          </w:p>
          <w:p w14:paraId="460CA059" w14:textId="042C1BF4" w:rsidR="00AE754E" w:rsidRPr="00026479" w:rsidRDefault="00AE754E" w:rsidP="00AE754E">
            <w:pPr>
              <w:numPr>
                <w:ilvl w:val="0"/>
                <w:numId w:val="34"/>
              </w:numPr>
              <w:spacing w:after="0"/>
              <w:ind w:left="129" w:hanging="129"/>
              <w:rPr>
                <w:rFonts w:ascii="Times New Roman" w:hAnsi="Times New Roman"/>
                <w:sz w:val="18"/>
                <w:szCs w:val="18"/>
              </w:rPr>
            </w:pPr>
            <w:r w:rsidRPr="00026479">
              <w:rPr>
                <w:rFonts w:ascii="Times New Roman" w:hAnsi="Times New Roman"/>
                <w:sz w:val="18"/>
                <w:szCs w:val="18"/>
              </w:rPr>
              <w:t>CAS number: 202406-43-7</w:t>
            </w:r>
          </w:p>
          <w:p w14:paraId="65577125" w14:textId="44FA9F7A" w:rsidR="000C20AA" w:rsidRPr="00026479" w:rsidRDefault="00E96407" w:rsidP="00BF0E53">
            <w:pPr>
              <w:spacing w:after="0"/>
              <w:rPr>
                <w:rFonts w:ascii="Times New Roman" w:hAnsi="Times New Roman"/>
                <w:sz w:val="18"/>
                <w:szCs w:val="18"/>
                <w:lang w:val="en-IE"/>
              </w:rPr>
            </w:pPr>
            <w:r w:rsidRPr="00026479">
              <w:rPr>
                <w:rFonts w:ascii="Times New Roman" w:hAnsi="Times New Roman"/>
                <w:sz w:val="18"/>
                <w:szCs w:val="18"/>
                <w:lang w:val="en-IE"/>
              </w:rPr>
              <w:t>Produced by chemical synthesis.</w:t>
            </w:r>
          </w:p>
          <w:p w14:paraId="50C51562" w14:textId="77777777" w:rsidR="00E96407" w:rsidRPr="00026479" w:rsidRDefault="00E96407" w:rsidP="00BF0E53">
            <w:pPr>
              <w:spacing w:after="0"/>
              <w:rPr>
                <w:rFonts w:ascii="Times New Roman" w:hAnsi="Times New Roman"/>
                <w:sz w:val="18"/>
                <w:szCs w:val="18"/>
                <w:lang w:val="en-IE"/>
              </w:rPr>
            </w:pPr>
          </w:p>
          <w:p w14:paraId="1C8C060D" w14:textId="77777777" w:rsidR="00DC4EA2" w:rsidRPr="00026479" w:rsidRDefault="00DC4EA2" w:rsidP="00DC4EA2">
            <w:pPr>
              <w:spacing w:after="0"/>
              <w:rPr>
                <w:rFonts w:ascii="Times New Roman" w:hAnsi="Times New Roman"/>
                <w:b/>
                <w:i/>
                <w:sz w:val="18"/>
                <w:szCs w:val="18"/>
              </w:rPr>
            </w:pPr>
            <w:r w:rsidRPr="00026479">
              <w:rPr>
                <w:rFonts w:ascii="Times New Roman" w:hAnsi="Times New Roman"/>
                <w:b/>
                <w:i/>
                <w:sz w:val="18"/>
                <w:szCs w:val="18"/>
              </w:rPr>
              <w:t xml:space="preserve">Analytical method </w:t>
            </w:r>
            <w:r w:rsidRPr="00026479">
              <w:rPr>
                <w:rFonts w:ascii="Times New Roman" w:hAnsi="Times New Roman"/>
                <w:b/>
                <w:iCs/>
                <w:sz w:val="18"/>
                <w:szCs w:val="18"/>
              </w:rPr>
              <w:t>(</w:t>
            </w:r>
            <w:r w:rsidRPr="00026479">
              <w:rPr>
                <w:rStyle w:val="FootnoteReference"/>
                <w:rFonts w:ascii="Times New Roman" w:hAnsi="Times New Roman"/>
                <w:b/>
                <w:iCs/>
                <w:sz w:val="18"/>
                <w:szCs w:val="18"/>
              </w:rPr>
              <w:footnoteReference w:id="1"/>
            </w:r>
            <w:r w:rsidRPr="00026479">
              <w:rPr>
                <w:rFonts w:ascii="Times New Roman" w:hAnsi="Times New Roman"/>
                <w:b/>
                <w:iCs/>
                <w:sz w:val="18"/>
                <w:szCs w:val="18"/>
              </w:rPr>
              <w:t>)</w:t>
            </w:r>
            <w:r w:rsidRPr="00026479">
              <w:rPr>
                <w:rFonts w:ascii="Times New Roman" w:hAnsi="Times New Roman"/>
                <w:b/>
                <w:i/>
                <w:sz w:val="18"/>
                <w:szCs w:val="18"/>
              </w:rPr>
              <w:t xml:space="preserve"> </w:t>
            </w:r>
          </w:p>
          <w:p w14:paraId="49497BE1" w14:textId="77777777" w:rsidR="00452C3A" w:rsidRPr="00452C3A" w:rsidRDefault="00452C3A" w:rsidP="00026479">
            <w:pPr>
              <w:autoSpaceDE w:val="0"/>
              <w:autoSpaceDN w:val="0"/>
              <w:adjustRightInd w:val="0"/>
              <w:spacing w:after="0" w:line="240" w:lineRule="auto"/>
              <w:rPr>
                <w:rFonts w:ascii="Times New Roman" w:hAnsi="Times New Roman"/>
                <w:color w:val="000000"/>
                <w:sz w:val="18"/>
                <w:szCs w:val="18"/>
                <w:lang w:val="en-IE" w:eastAsia="en-IE"/>
              </w:rPr>
            </w:pPr>
            <w:r w:rsidRPr="00452C3A">
              <w:rPr>
                <w:rFonts w:ascii="Times New Roman" w:hAnsi="Times New Roman"/>
                <w:color w:val="000000"/>
                <w:sz w:val="18"/>
                <w:szCs w:val="18"/>
                <w:lang w:val="en-IE" w:eastAsia="en-IE"/>
              </w:rPr>
              <w:t>For the quantification of total iron</w:t>
            </w:r>
            <w:r w:rsidRPr="00452C3A">
              <w:rPr>
                <w:rFonts w:ascii="Times New Roman" w:hAnsi="Times New Roman"/>
                <w:i/>
                <w:iCs/>
                <w:color w:val="000000"/>
                <w:sz w:val="18"/>
                <w:szCs w:val="18"/>
                <w:lang w:val="en-IE" w:eastAsia="en-IE"/>
              </w:rPr>
              <w:t xml:space="preserve"> </w:t>
            </w:r>
            <w:r w:rsidRPr="00452C3A">
              <w:rPr>
                <w:rFonts w:ascii="Times New Roman" w:hAnsi="Times New Roman"/>
                <w:color w:val="000000"/>
                <w:sz w:val="18"/>
                <w:szCs w:val="18"/>
                <w:lang w:val="en-IE" w:eastAsia="en-IE"/>
              </w:rPr>
              <w:t xml:space="preserve">in the feed additive: </w:t>
            </w:r>
          </w:p>
          <w:p w14:paraId="3ECA6A36" w14:textId="77777777" w:rsidR="00452C3A" w:rsidRPr="00026479" w:rsidRDefault="00452C3A" w:rsidP="00026479">
            <w:pPr>
              <w:numPr>
                <w:ilvl w:val="0"/>
                <w:numId w:val="34"/>
              </w:numPr>
              <w:autoSpaceDE w:val="0"/>
              <w:autoSpaceDN w:val="0"/>
              <w:adjustRightInd w:val="0"/>
              <w:spacing w:after="0" w:line="240" w:lineRule="auto"/>
              <w:ind w:left="129" w:hanging="120"/>
              <w:rPr>
                <w:rFonts w:ascii="Times New Roman" w:hAnsi="Times New Roman"/>
                <w:color w:val="000000"/>
                <w:sz w:val="18"/>
                <w:szCs w:val="18"/>
                <w:lang w:val="en-IE" w:eastAsia="en-IE"/>
              </w:rPr>
            </w:pPr>
            <w:r w:rsidRPr="00452C3A">
              <w:rPr>
                <w:rFonts w:ascii="Times New Roman" w:hAnsi="Times New Roman"/>
                <w:color w:val="000000"/>
                <w:sz w:val="18"/>
                <w:szCs w:val="18"/>
                <w:lang w:val="en-IE" w:eastAsia="en-IE"/>
              </w:rPr>
              <w:t xml:space="preserve">inductively coupled plasma-atomic emission spectrometry, ICP-AES (EN 15510); or </w:t>
            </w:r>
          </w:p>
          <w:p w14:paraId="470E7D8C" w14:textId="77777777" w:rsidR="00452C3A" w:rsidRPr="00026479" w:rsidRDefault="00452C3A" w:rsidP="00026479">
            <w:pPr>
              <w:numPr>
                <w:ilvl w:val="0"/>
                <w:numId w:val="34"/>
              </w:numPr>
              <w:autoSpaceDE w:val="0"/>
              <w:autoSpaceDN w:val="0"/>
              <w:adjustRightInd w:val="0"/>
              <w:spacing w:after="0" w:line="240" w:lineRule="auto"/>
              <w:ind w:left="129" w:hanging="120"/>
              <w:rPr>
                <w:rFonts w:ascii="Times New Roman" w:hAnsi="Times New Roman"/>
                <w:color w:val="000000"/>
                <w:sz w:val="18"/>
                <w:szCs w:val="18"/>
                <w:lang w:val="en-IE" w:eastAsia="en-IE"/>
              </w:rPr>
            </w:pPr>
            <w:r w:rsidRPr="00452C3A">
              <w:rPr>
                <w:rFonts w:ascii="Times New Roman" w:hAnsi="Times New Roman"/>
                <w:color w:val="000000"/>
                <w:sz w:val="18"/>
                <w:szCs w:val="18"/>
                <w:lang w:val="en-IE" w:eastAsia="en-IE"/>
              </w:rPr>
              <w:t xml:space="preserve">inductively coupled plasma-atomic emission spectrometry, ICP-AES (EN 15621) with pressure digestion; or </w:t>
            </w:r>
          </w:p>
          <w:p w14:paraId="2C775D8B" w14:textId="7E0954FE" w:rsidR="00452C3A" w:rsidRPr="00452C3A" w:rsidRDefault="00452C3A" w:rsidP="00026479">
            <w:pPr>
              <w:numPr>
                <w:ilvl w:val="0"/>
                <w:numId w:val="34"/>
              </w:numPr>
              <w:autoSpaceDE w:val="0"/>
              <w:autoSpaceDN w:val="0"/>
              <w:adjustRightInd w:val="0"/>
              <w:spacing w:after="0" w:line="240" w:lineRule="auto"/>
              <w:ind w:left="129" w:hanging="120"/>
              <w:rPr>
                <w:rFonts w:ascii="Times New Roman" w:hAnsi="Times New Roman"/>
                <w:color w:val="000000"/>
                <w:sz w:val="18"/>
                <w:szCs w:val="18"/>
                <w:lang w:val="en-IE" w:eastAsia="en-IE"/>
              </w:rPr>
            </w:pPr>
            <w:r w:rsidRPr="00452C3A">
              <w:rPr>
                <w:rFonts w:ascii="Times New Roman" w:hAnsi="Times New Roman"/>
                <w:color w:val="000000"/>
                <w:sz w:val="18"/>
                <w:szCs w:val="18"/>
                <w:lang w:val="en-IE" w:eastAsia="en-IE"/>
              </w:rPr>
              <w:t xml:space="preserve">atomic absorption spectrometry, AAS (EN ISO 6869) </w:t>
            </w:r>
          </w:p>
          <w:p w14:paraId="27147F18" w14:textId="77777777" w:rsidR="00026479" w:rsidRDefault="00026479" w:rsidP="00026479">
            <w:pPr>
              <w:autoSpaceDE w:val="0"/>
              <w:autoSpaceDN w:val="0"/>
              <w:adjustRightInd w:val="0"/>
              <w:spacing w:after="0" w:line="240" w:lineRule="auto"/>
              <w:rPr>
                <w:rFonts w:ascii="Times New Roman" w:hAnsi="Times New Roman"/>
                <w:color w:val="000000"/>
                <w:sz w:val="18"/>
                <w:szCs w:val="18"/>
                <w:lang w:val="en-IE" w:eastAsia="en-IE"/>
              </w:rPr>
            </w:pPr>
          </w:p>
          <w:p w14:paraId="34D30CBA" w14:textId="645835CA" w:rsidR="00452C3A" w:rsidRPr="00452C3A" w:rsidRDefault="00452C3A" w:rsidP="00026479">
            <w:pPr>
              <w:autoSpaceDE w:val="0"/>
              <w:autoSpaceDN w:val="0"/>
              <w:adjustRightInd w:val="0"/>
              <w:spacing w:after="0" w:line="240" w:lineRule="auto"/>
              <w:rPr>
                <w:rFonts w:ascii="Times New Roman" w:hAnsi="Times New Roman"/>
                <w:color w:val="000000"/>
                <w:sz w:val="18"/>
                <w:szCs w:val="18"/>
                <w:lang w:val="en-IE" w:eastAsia="en-IE"/>
              </w:rPr>
            </w:pPr>
            <w:r w:rsidRPr="00452C3A">
              <w:rPr>
                <w:rFonts w:ascii="Times New Roman" w:hAnsi="Times New Roman"/>
                <w:color w:val="000000"/>
                <w:sz w:val="18"/>
                <w:szCs w:val="18"/>
                <w:lang w:val="en-IE" w:eastAsia="en-IE"/>
              </w:rPr>
              <w:t>For the determination of tyrosine in the feed additive:</w:t>
            </w:r>
            <w:r w:rsidR="00026479" w:rsidRPr="00026479">
              <w:rPr>
                <w:rFonts w:ascii="Times New Roman" w:hAnsi="Times New Roman"/>
                <w:color w:val="000000"/>
                <w:sz w:val="18"/>
                <w:szCs w:val="18"/>
                <w:lang w:val="en-IE" w:eastAsia="en-IE"/>
              </w:rPr>
              <w:t xml:space="preserve"> </w:t>
            </w:r>
            <w:r w:rsidRPr="00452C3A">
              <w:rPr>
                <w:rFonts w:ascii="Times New Roman" w:hAnsi="Times New Roman"/>
                <w:color w:val="000000"/>
                <w:sz w:val="18"/>
                <w:szCs w:val="18"/>
                <w:lang w:val="en-IE" w:eastAsia="en-IE"/>
              </w:rPr>
              <w:t xml:space="preserve">ion exchange chromatography method with post-column derivatisation and photometric detection (Commission Regulation (EC) No 152/2009) </w:t>
            </w:r>
          </w:p>
          <w:p w14:paraId="1F9C1509" w14:textId="77777777" w:rsidR="00452C3A" w:rsidRPr="00452C3A" w:rsidRDefault="00452C3A" w:rsidP="00026479">
            <w:pPr>
              <w:autoSpaceDE w:val="0"/>
              <w:autoSpaceDN w:val="0"/>
              <w:adjustRightInd w:val="0"/>
              <w:spacing w:after="0" w:line="240" w:lineRule="auto"/>
              <w:rPr>
                <w:rFonts w:ascii="Times New Roman" w:hAnsi="Times New Roman"/>
                <w:color w:val="000000"/>
                <w:sz w:val="18"/>
                <w:szCs w:val="18"/>
                <w:lang w:val="en-IE" w:eastAsia="en-IE"/>
              </w:rPr>
            </w:pPr>
          </w:p>
          <w:p w14:paraId="4226CFDD" w14:textId="0E81B041" w:rsidR="00452C3A" w:rsidRPr="00452C3A" w:rsidRDefault="00452C3A" w:rsidP="00026479">
            <w:pPr>
              <w:autoSpaceDE w:val="0"/>
              <w:autoSpaceDN w:val="0"/>
              <w:adjustRightInd w:val="0"/>
              <w:spacing w:after="0" w:line="240" w:lineRule="auto"/>
              <w:rPr>
                <w:rFonts w:ascii="Times New Roman" w:hAnsi="Times New Roman"/>
                <w:color w:val="000000"/>
                <w:sz w:val="18"/>
                <w:szCs w:val="18"/>
                <w:lang w:val="en-IE" w:eastAsia="en-IE"/>
              </w:rPr>
            </w:pPr>
            <w:r w:rsidRPr="00452C3A">
              <w:rPr>
                <w:rFonts w:ascii="Times New Roman" w:hAnsi="Times New Roman"/>
                <w:color w:val="000000"/>
                <w:sz w:val="18"/>
                <w:szCs w:val="18"/>
                <w:lang w:val="en-IE" w:eastAsia="en-IE"/>
              </w:rPr>
              <w:t xml:space="preserve">For the determination of the added content of ferric tyrosine chelate in premixtures and </w:t>
            </w:r>
            <w:r w:rsidR="00026479">
              <w:rPr>
                <w:rFonts w:ascii="Times New Roman" w:hAnsi="Times New Roman"/>
                <w:color w:val="000000"/>
                <w:sz w:val="18"/>
                <w:szCs w:val="18"/>
                <w:lang w:val="en-IE" w:eastAsia="en-IE"/>
              </w:rPr>
              <w:t>compound feed</w:t>
            </w:r>
            <w:r w:rsidRPr="00452C3A">
              <w:rPr>
                <w:rFonts w:ascii="Times New Roman" w:hAnsi="Times New Roman"/>
                <w:color w:val="000000"/>
                <w:sz w:val="18"/>
                <w:szCs w:val="18"/>
                <w:lang w:val="en-IE" w:eastAsia="en-IE"/>
              </w:rPr>
              <w:t>: enumeration of colour coated particles of the marker</w:t>
            </w:r>
            <w:r w:rsidR="00026479">
              <w:rPr>
                <w:rFonts w:ascii="Times New Roman" w:hAnsi="Times New Roman"/>
                <w:color w:val="000000"/>
                <w:sz w:val="18"/>
                <w:szCs w:val="18"/>
                <w:lang w:val="en-IE" w:eastAsia="en-IE"/>
              </w:rPr>
              <w:t>.</w:t>
            </w:r>
          </w:p>
          <w:p w14:paraId="42D0DCD1" w14:textId="0FBEBE93" w:rsidR="00DC4EA2" w:rsidRPr="00026479" w:rsidRDefault="00DC4EA2" w:rsidP="00816FDF">
            <w:pPr>
              <w:spacing w:after="0"/>
              <w:rPr>
                <w:rFonts w:ascii="Times New Roman" w:hAnsi="Times New Roman"/>
                <w:sz w:val="18"/>
                <w:szCs w:val="18"/>
                <w:lang w:val="en-IE"/>
              </w:rPr>
            </w:pPr>
          </w:p>
        </w:tc>
        <w:tc>
          <w:tcPr>
            <w:tcW w:w="1080" w:type="dxa"/>
            <w:tcBorders>
              <w:top w:val="single" w:sz="6" w:space="0" w:color="auto"/>
              <w:left w:val="single" w:sz="6" w:space="0" w:color="auto"/>
              <w:right w:val="single" w:sz="6" w:space="0" w:color="auto"/>
            </w:tcBorders>
          </w:tcPr>
          <w:p w14:paraId="67FE3B12" w14:textId="77777777" w:rsidR="000D51A6" w:rsidRDefault="000D51A6" w:rsidP="000D51A6">
            <w:pPr>
              <w:spacing w:after="0"/>
              <w:jc w:val="center"/>
              <w:rPr>
                <w:rFonts w:ascii="Times New Roman" w:hAnsi="Times New Roman"/>
                <w:sz w:val="18"/>
                <w:szCs w:val="18"/>
              </w:rPr>
            </w:pPr>
            <w:r>
              <w:rPr>
                <w:rFonts w:ascii="Times New Roman" w:hAnsi="Times New Roman"/>
                <w:sz w:val="18"/>
                <w:szCs w:val="18"/>
              </w:rPr>
              <w:lastRenderedPageBreak/>
              <w:t>All p</w:t>
            </w:r>
            <w:r w:rsidRPr="00FF4E79">
              <w:rPr>
                <w:rFonts w:ascii="Times New Roman" w:hAnsi="Times New Roman"/>
                <w:sz w:val="18"/>
                <w:szCs w:val="18"/>
              </w:rPr>
              <w:t xml:space="preserve">oultry </w:t>
            </w:r>
            <w:r>
              <w:rPr>
                <w:rFonts w:ascii="Times New Roman" w:hAnsi="Times New Roman"/>
                <w:sz w:val="18"/>
                <w:szCs w:val="18"/>
              </w:rPr>
              <w:t xml:space="preserve">species </w:t>
            </w:r>
            <w:r w:rsidRPr="00FF4E79">
              <w:rPr>
                <w:rFonts w:ascii="Times New Roman" w:hAnsi="Times New Roman"/>
                <w:sz w:val="18"/>
                <w:szCs w:val="18"/>
              </w:rPr>
              <w:t>for fattening</w:t>
            </w:r>
          </w:p>
          <w:p w14:paraId="1F2D147B" w14:textId="77777777" w:rsidR="000D51A6" w:rsidRDefault="000D51A6" w:rsidP="000D51A6">
            <w:pPr>
              <w:spacing w:after="0"/>
              <w:jc w:val="center"/>
              <w:rPr>
                <w:rFonts w:ascii="Times New Roman" w:hAnsi="Times New Roman"/>
                <w:sz w:val="18"/>
                <w:szCs w:val="18"/>
              </w:rPr>
            </w:pPr>
          </w:p>
          <w:p w14:paraId="1F777E97" w14:textId="77777777" w:rsidR="000D51A6" w:rsidRPr="00FC27C5" w:rsidRDefault="000D51A6" w:rsidP="000D51A6">
            <w:pPr>
              <w:spacing w:after="0"/>
              <w:jc w:val="center"/>
              <w:rPr>
                <w:rFonts w:ascii="Times New Roman" w:hAnsi="Times New Roman"/>
                <w:sz w:val="18"/>
                <w:szCs w:val="18"/>
              </w:rPr>
            </w:pPr>
            <w:r w:rsidRPr="00FC27C5">
              <w:rPr>
                <w:rFonts w:ascii="Times New Roman" w:hAnsi="Times New Roman"/>
                <w:sz w:val="18"/>
                <w:szCs w:val="18"/>
              </w:rPr>
              <w:t>All poultry species</w:t>
            </w:r>
          </w:p>
          <w:p w14:paraId="46401A68" w14:textId="77777777" w:rsidR="000D51A6" w:rsidRPr="00FC27C5" w:rsidRDefault="000D51A6" w:rsidP="000D51A6">
            <w:pPr>
              <w:spacing w:after="0"/>
              <w:jc w:val="center"/>
              <w:rPr>
                <w:rFonts w:ascii="Times New Roman" w:hAnsi="Times New Roman"/>
                <w:sz w:val="18"/>
                <w:szCs w:val="18"/>
              </w:rPr>
            </w:pPr>
            <w:r w:rsidRPr="00FC27C5">
              <w:rPr>
                <w:rFonts w:ascii="Times New Roman" w:hAnsi="Times New Roman"/>
                <w:sz w:val="18"/>
                <w:szCs w:val="18"/>
              </w:rPr>
              <w:t xml:space="preserve">reared for </w:t>
            </w:r>
            <w:proofErr w:type="gramStart"/>
            <w:r w:rsidRPr="00FC27C5">
              <w:rPr>
                <w:rFonts w:ascii="Times New Roman" w:hAnsi="Times New Roman"/>
                <w:sz w:val="18"/>
                <w:szCs w:val="18"/>
              </w:rPr>
              <w:t>laying</w:t>
            </w:r>
            <w:proofErr w:type="gramEnd"/>
          </w:p>
          <w:p w14:paraId="2441E06C" w14:textId="77777777" w:rsidR="000D51A6" w:rsidRPr="00FC27C5" w:rsidRDefault="000D51A6" w:rsidP="000D51A6">
            <w:pPr>
              <w:spacing w:after="0"/>
              <w:jc w:val="center"/>
              <w:rPr>
                <w:rFonts w:ascii="Times New Roman" w:hAnsi="Times New Roman"/>
                <w:sz w:val="18"/>
                <w:szCs w:val="18"/>
              </w:rPr>
            </w:pPr>
          </w:p>
          <w:p w14:paraId="0E4B6482" w14:textId="7A987976" w:rsidR="000D51A6" w:rsidRPr="00FC27C5" w:rsidRDefault="001D36B5" w:rsidP="000D51A6">
            <w:pPr>
              <w:spacing w:after="0"/>
              <w:jc w:val="center"/>
              <w:rPr>
                <w:rFonts w:ascii="Times New Roman" w:hAnsi="Times New Roman"/>
                <w:sz w:val="18"/>
                <w:szCs w:val="18"/>
              </w:rPr>
            </w:pPr>
            <w:r>
              <w:rPr>
                <w:rFonts w:ascii="Times New Roman" w:hAnsi="Times New Roman"/>
                <w:sz w:val="18"/>
                <w:szCs w:val="18"/>
              </w:rPr>
              <w:t xml:space="preserve">Turkeys and minor </w:t>
            </w:r>
            <w:r w:rsidR="000D51A6" w:rsidRPr="00FC27C5">
              <w:rPr>
                <w:rFonts w:ascii="Times New Roman" w:hAnsi="Times New Roman"/>
                <w:sz w:val="18"/>
                <w:szCs w:val="18"/>
              </w:rPr>
              <w:t>poultry species</w:t>
            </w:r>
          </w:p>
          <w:p w14:paraId="0F5A3FEB" w14:textId="5566F62C" w:rsidR="00026479" w:rsidRPr="00BF5BEC" w:rsidRDefault="000D51A6" w:rsidP="000D51A6">
            <w:pPr>
              <w:spacing w:after="0"/>
              <w:jc w:val="center"/>
              <w:rPr>
                <w:rFonts w:ascii="Times New Roman" w:hAnsi="Times New Roman"/>
                <w:sz w:val="18"/>
                <w:szCs w:val="18"/>
              </w:rPr>
            </w:pPr>
            <w:r w:rsidRPr="00FC27C5">
              <w:rPr>
                <w:rFonts w:ascii="Times New Roman" w:hAnsi="Times New Roman"/>
                <w:sz w:val="18"/>
                <w:szCs w:val="18"/>
              </w:rPr>
              <w:t>reared for breeding</w:t>
            </w:r>
          </w:p>
        </w:tc>
        <w:tc>
          <w:tcPr>
            <w:tcW w:w="1200" w:type="dxa"/>
            <w:tcBorders>
              <w:top w:val="single" w:sz="6" w:space="0" w:color="auto"/>
              <w:left w:val="single" w:sz="6" w:space="0" w:color="auto"/>
              <w:right w:val="single" w:sz="6" w:space="0" w:color="auto"/>
            </w:tcBorders>
            <w:hideMark/>
          </w:tcPr>
          <w:p w14:paraId="1452D0C6" w14:textId="77777777" w:rsidR="00DC4EA2" w:rsidRPr="00BF5BEC" w:rsidRDefault="00DC4EA2" w:rsidP="00DC4EA2">
            <w:pPr>
              <w:spacing w:after="0"/>
              <w:jc w:val="center"/>
              <w:rPr>
                <w:rFonts w:ascii="Times New Roman" w:hAnsi="Times New Roman"/>
                <w:strike/>
                <w:sz w:val="18"/>
                <w:szCs w:val="18"/>
              </w:rPr>
            </w:pPr>
            <w:r w:rsidRPr="00BF5BEC">
              <w:rPr>
                <w:rFonts w:ascii="Times New Roman" w:hAnsi="Times New Roman"/>
                <w:strike/>
                <w:sz w:val="18"/>
                <w:szCs w:val="18"/>
              </w:rPr>
              <w:t>-</w:t>
            </w:r>
          </w:p>
        </w:tc>
        <w:tc>
          <w:tcPr>
            <w:tcW w:w="1200" w:type="dxa"/>
            <w:tcBorders>
              <w:top w:val="single" w:sz="4" w:space="0" w:color="auto"/>
              <w:left w:val="single" w:sz="6" w:space="0" w:color="auto"/>
              <w:right w:val="single" w:sz="6" w:space="0" w:color="auto"/>
            </w:tcBorders>
          </w:tcPr>
          <w:p w14:paraId="481FEA76" w14:textId="4C1267BE" w:rsidR="00DC4EA2" w:rsidRPr="003E1F63" w:rsidRDefault="00026479" w:rsidP="00DC4EA2">
            <w:pPr>
              <w:spacing w:after="0"/>
              <w:jc w:val="center"/>
              <w:rPr>
                <w:rFonts w:ascii="Times New Roman" w:hAnsi="Times New Roman"/>
                <w:sz w:val="18"/>
                <w:szCs w:val="18"/>
              </w:rPr>
            </w:pPr>
            <w:r>
              <w:rPr>
                <w:rFonts w:ascii="Times New Roman" w:hAnsi="Times New Roman"/>
                <w:sz w:val="18"/>
                <w:szCs w:val="18"/>
              </w:rPr>
              <w:t xml:space="preserve">20 </w:t>
            </w:r>
          </w:p>
        </w:tc>
        <w:tc>
          <w:tcPr>
            <w:tcW w:w="1200" w:type="dxa"/>
            <w:tcBorders>
              <w:top w:val="single" w:sz="6" w:space="0" w:color="auto"/>
              <w:left w:val="single" w:sz="6" w:space="0" w:color="auto"/>
              <w:right w:val="single" w:sz="6" w:space="0" w:color="auto"/>
            </w:tcBorders>
          </w:tcPr>
          <w:p w14:paraId="0B7282FE" w14:textId="40BC2463" w:rsidR="00DC4EA2" w:rsidRPr="005576F3" w:rsidRDefault="000C20AA" w:rsidP="00DC4EA2">
            <w:pPr>
              <w:spacing w:after="0"/>
              <w:jc w:val="center"/>
              <w:rPr>
                <w:rFonts w:ascii="Times New Roman" w:hAnsi="Times New Roman"/>
                <w:sz w:val="18"/>
                <w:szCs w:val="18"/>
                <w:highlight w:val="yellow"/>
              </w:rPr>
            </w:pPr>
            <w:r>
              <w:rPr>
                <w:rFonts w:ascii="Times New Roman" w:hAnsi="Times New Roman"/>
                <w:sz w:val="18"/>
                <w:szCs w:val="18"/>
              </w:rPr>
              <w:t>-</w:t>
            </w:r>
          </w:p>
        </w:tc>
        <w:tc>
          <w:tcPr>
            <w:tcW w:w="2040" w:type="dxa"/>
            <w:tcBorders>
              <w:top w:val="single" w:sz="6" w:space="0" w:color="auto"/>
              <w:left w:val="single" w:sz="6" w:space="0" w:color="auto"/>
              <w:right w:val="single" w:sz="6" w:space="0" w:color="auto"/>
            </w:tcBorders>
            <w:hideMark/>
          </w:tcPr>
          <w:p w14:paraId="431800BF" w14:textId="77777777" w:rsidR="00DC4EA2" w:rsidRDefault="00DC4EA2" w:rsidP="001B34B1">
            <w:pPr>
              <w:autoSpaceDE w:val="0"/>
              <w:autoSpaceDN w:val="0"/>
              <w:adjustRightInd w:val="0"/>
              <w:spacing w:after="0"/>
              <w:rPr>
                <w:rFonts w:ascii="Times New Roman" w:hAnsi="Times New Roman"/>
                <w:sz w:val="18"/>
                <w:szCs w:val="18"/>
              </w:rPr>
            </w:pPr>
            <w:r w:rsidRPr="00EF4A15">
              <w:rPr>
                <w:rFonts w:ascii="Times New Roman" w:hAnsi="Times New Roman"/>
                <w:sz w:val="18"/>
                <w:szCs w:val="18"/>
              </w:rPr>
              <w:t>1. In the directions for use of the additive and premixture, the storage conditions and stability to heat treatment shall be indicated.</w:t>
            </w:r>
          </w:p>
          <w:p w14:paraId="07421441" w14:textId="65A411C5" w:rsidR="00DC4EA2" w:rsidRPr="00EF4A15" w:rsidRDefault="006D7726" w:rsidP="004E4AAF">
            <w:pPr>
              <w:autoSpaceDE w:val="0"/>
              <w:autoSpaceDN w:val="0"/>
              <w:adjustRightInd w:val="0"/>
              <w:spacing w:after="0"/>
              <w:rPr>
                <w:rFonts w:ascii="Times New Roman" w:hAnsi="Times New Roman"/>
                <w:sz w:val="18"/>
                <w:szCs w:val="18"/>
              </w:rPr>
            </w:pPr>
            <w:r>
              <w:rPr>
                <w:rFonts w:ascii="Times New Roman" w:hAnsi="Times New Roman"/>
                <w:sz w:val="18"/>
                <w:szCs w:val="18"/>
              </w:rPr>
              <w:t>2.</w:t>
            </w:r>
            <w:r w:rsidR="00DC4EA2" w:rsidRPr="00EF4A15">
              <w:rPr>
                <w:rFonts w:ascii="Times New Roman" w:eastAsia="Times New Roman" w:hAnsi="Times New Roman"/>
                <w:sz w:val="18"/>
                <w:szCs w:val="18"/>
              </w:rPr>
              <w:t xml:space="preserve"> For</w:t>
            </w:r>
            <w:r w:rsidR="00DC4EA2" w:rsidRPr="00EF4A15">
              <w:rPr>
                <w:rFonts w:ascii="Times New Roman" w:eastAsia="Times New Roman" w:hAnsi="Times New Roman"/>
                <w:sz w:val="18"/>
                <w:szCs w:val="18"/>
                <w:lang w:eastAsia="en-GB"/>
              </w:rPr>
              <w:t xml:space="preserve"> users of the additive and premixtures, feed business operators shall establish operational procedures and organisational measures to address potential risks resulting from </w:t>
            </w:r>
            <w:r w:rsidR="00DC4EA2">
              <w:rPr>
                <w:rFonts w:ascii="Times New Roman" w:eastAsia="Times New Roman" w:hAnsi="Times New Roman"/>
                <w:sz w:val="18"/>
                <w:szCs w:val="18"/>
                <w:lang w:eastAsia="en-GB"/>
              </w:rPr>
              <w:t>their</w:t>
            </w:r>
            <w:r w:rsidR="00DC4EA2" w:rsidRPr="00EF4A15">
              <w:rPr>
                <w:rFonts w:ascii="Times New Roman" w:eastAsia="Times New Roman" w:hAnsi="Times New Roman"/>
                <w:sz w:val="18"/>
                <w:szCs w:val="18"/>
                <w:lang w:eastAsia="en-GB"/>
              </w:rPr>
              <w:t xml:space="preserve"> use. Where those risks cannot </w:t>
            </w:r>
            <w:r w:rsidR="00DC4EA2" w:rsidRPr="00EF4A15">
              <w:rPr>
                <w:rFonts w:ascii="Times New Roman" w:eastAsia="Times New Roman" w:hAnsi="Times New Roman"/>
                <w:sz w:val="18"/>
                <w:szCs w:val="18"/>
                <w:lang w:eastAsia="en-GB"/>
              </w:rPr>
              <w:lastRenderedPageBreak/>
              <w:t xml:space="preserve">be eliminated by such procedures and measures, the additive and premixtures shall be used </w:t>
            </w:r>
            <w:r w:rsidR="00DC4EA2" w:rsidRPr="00EF4A15">
              <w:rPr>
                <w:rFonts w:ascii="Times New Roman" w:hAnsi="Times New Roman"/>
                <w:sz w:val="18"/>
                <w:szCs w:val="18"/>
              </w:rPr>
              <w:t xml:space="preserve">with personal </w:t>
            </w:r>
            <w:r w:rsidR="004E4AAF">
              <w:rPr>
                <w:rFonts w:ascii="Times New Roman" w:hAnsi="Times New Roman"/>
                <w:sz w:val="18"/>
                <w:szCs w:val="18"/>
              </w:rPr>
              <w:t>skin</w:t>
            </w:r>
            <w:r w:rsidR="000C20AA">
              <w:rPr>
                <w:rFonts w:ascii="Times New Roman" w:hAnsi="Times New Roman"/>
                <w:sz w:val="18"/>
                <w:szCs w:val="18"/>
              </w:rPr>
              <w:t>, eye</w:t>
            </w:r>
            <w:r w:rsidR="004E4AAF">
              <w:rPr>
                <w:rFonts w:ascii="Times New Roman" w:hAnsi="Times New Roman"/>
                <w:sz w:val="18"/>
                <w:szCs w:val="18"/>
              </w:rPr>
              <w:t xml:space="preserve"> and </w:t>
            </w:r>
            <w:r w:rsidR="00DC4EA2">
              <w:rPr>
                <w:rFonts w:ascii="Times New Roman" w:hAnsi="Times New Roman"/>
                <w:sz w:val="18"/>
                <w:szCs w:val="18"/>
                <w:lang w:val="en-US"/>
              </w:rPr>
              <w:t xml:space="preserve">breathing </w:t>
            </w:r>
            <w:r w:rsidR="00DC4EA2" w:rsidRPr="00EF4A15">
              <w:rPr>
                <w:rFonts w:ascii="Times New Roman" w:hAnsi="Times New Roman"/>
                <w:sz w:val="18"/>
                <w:szCs w:val="18"/>
              </w:rPr>
              <w:t>protective equipment.</w:t>
            </w:r>
          </w:p>
        </w:tc>
        <w:tc>
          <w:tcPr>
            <w:tcW w:w="1205" w:type="dxa"/>
            <w:tcBorders>
              <w:top w:val="single" w:sz="6" w:space="0" w:color="auto"/>
              <w:left w:val="single" w:sz="6" w:space="0" w:color="auto"/>
              <w:right w:val="double" w:sz="6" w:space="0" w:color="auto"/>
            </w:tcBorders>
            <w:hideMark/>
          </w:tcPr>
          <w:p w14:paraId="0D0FB877" w14:textId="77777777" w:rsidR="00DC4EA2" w:rsidRPr="00BF5BEC" w:rsidRDefault="00DC4EA2" w:rsidP="00DC4EA2">
            <w:pPr>
              <w:spacing w:after="0"/>
              <w:jc w:val="center"/>
              <w:rPr>
                <w:rFonts w:ascii="Times New Roman" w:hAnsi="Times New Roman"/>
                <w:i/>
                <w:color w:val="000000"/>
                <w:sz w:val="18"/>
                <w:szCs w:val="18"/>
              </w:rPr>
            </w:pPr>
            <w:r w:rsidRPr="00BF5BEC">
              <w:rPr>
                <w:rFonts w:ascii="Times New Roman" w:hAnsi="Times New Roman"/>
                <w:i/>
                <w:sz w:val="18"/>
                <w:szCs w:val="18"/>
              </w:rPr>
              <w:lastRenderedPageBreak/>
              <w:t>[10 years from the date of entry into force of this Regula</w:t>
            </w:r>
            <w:r w:rsidRPr="00BF5BEC">
              <w:rPr>
                <w:rFonts w:ascii="Times New Roman" w:hAnsi="Times New Roman"/>
                <w:i/>
                <w:sz w:val="18"/>
                <w:szCs w:val="18"/>
              </w:rPr>
              <w:softHyphen/>
              <w:t>tion.</w:t>
            </w:r>
            <w:r w:rsidRPr="00BF5BEC">
              <w:rPr>
                <w:rFonts w:ascii="Times New Roman" w:hAnsi="Times New Roman"/>
                <w:i/>
                <w:sz w:val="18"/>
                <w:szCs w:val="18"/>
              </w:rPr>
              <w:br/>
              <w:t>To be completed by the Service responsi</w:t>
            </w:r>
            <w:r w:rsidRPr="00BF5BEC">
              <w:rPr>
                <w:rFonts w:ascii="Times New Roman" w:hAnsi="Times New Roman"/>
                <w:i/>
                <w:sz w:val="18"/>
                <w:szCs w:val="18"/>
              </w:rPr>
              <w:softHyphen/>
              <w:t>ble for the publica</w:t>
            </w:r>
            <w:r w:rsidRPr="00BF5BEC">
              <w:rPr>
                <w:rFonts w:ascii="Times New Roman" w:hAnsi="Times New Roman"/>
                <w:i/>
                <w:sz w:val="18"/>
                <w:szCs w:val="18"/>
              </w:rPr>
              <w:softHyphen/>
              <w:t>tion]</w:t>
            </w:r>
          </w:p>
        </w:tc>
      </w:tr>
    </w:tbl>
    <w:p w14:paraId="58DAE6A2" w14:textId="77777777" w:rsidR="00A8015F" w:rsidRPr="00A8015F" w:rsidRDefault="00A8015F" w:rsidP="008625CE"/>
    <w:sectPr w:rsidR="00A8015F" w:rsidRPr="00A8015F" w:rsidSect="00572722">
      <w:footerReference w:type="default" r:id="rId8"/>
      <w:pgSz w:w="16838" w:h="11906" w:orient="landscape"/>
      <w:pgMar w:top="568"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975F8" w14:textId="77777777" w:rsidR="007C5E78" w:rsidRDefault="007C5E78" w:rsidP="00EC5823">
      <w:pPr>
        <w:spacing w:after="0" w:line="240" w:lineRule="auto"/>
      </w:pPr>
      <w:r>
        <w:separator/>
      </w:r>
    </w:p>
  </w:endnote>
  <w:endnote w:type="continuationSeparator" w:id="0">
    <w:p w14:paraId="49921F3C" w14:textId="77777777" w:rsidR="007C5E78" w:rsidRDefault="007C5E78" w:rsidP="00EC5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8D46" w14:textId="49065356" w:rsidR="00EC5823" w:rsidRDefault="00EC5823">
    <w:pPr>
      <w:pStyle w:val="Footer"/>
      <w:jc w:val="center"/>
    </w:pPr>
    <w:r>
      <w:fldChar w:fldCharType="begin"/>
    </w:r>
    <w:r>
      <w:instrText xml:space="preserve"> PAGE   \* MERGEFORMAT </w:instrText>
    </w:r>
    <w:r>
      <w:fldChar w:fldCharType="separate"/>
    </w:r>
    <w:r w:rsidR="00EC7734">
      <w:rPr>
        <w:noProof/>
      </w:rPr>
      <w:t>1</w:t>
    </w:r>
    <w:r>
      <w:rPr>
        <w:noProof/>
      </w:rPr>
      <w:fldChar w:fldCharType="end"/>
    </w:r>
  </w:p>
  <w:p w14:paraId="483E89C0" w14:textId="77777777" w:rsidR="00EC5823" w:rsidRDefault="00EC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860B5" w14:textId="77777777" w:rsidR="007C5E78" w:rsidRDefault="007C5E78" w:rsidP="00EC5823">
      <w:pPr>
        <w:spacing w:after="0" w:line="240" w:lineRule="auto"/>
      </w:pPr>
      <w:r>
        <w:separator/>
      </w:r>
    </w:p>
  </w:footnote>
  <w:footnote w:type="continuationSeparator" w:id="0">
    <w:p w14:paraId="7B71F182" w14:textId="77777777" w:rsidR="007C5E78" w:rsidRDefault="007C5E78" w:rsidP="00EC5823">
      <w:pPr>
        <w:spacing w:after="0" w:line="240" w:lineRule="auto"/>
      </w:pPr>
      <w:r>
        <w:continuationSeparator/>
      </w:r>
    </w:p>
  </w:footnote>
  <w:footnote w:id="1">
    <w:p w14:paraId="1CA94315" w14:textId="77777777" w:rsidR="00DC4EA2" w:rsidRPr="000638EA" w:rsidRDefault="00DC4EA2" w:rsidP="006708D3">
      <w:pPr>
        <w:pStyle w:val="FootnoteText"/>
        <w:tabs>
          <w:tab w:val="left" w:pos="360"/>
        </w:tabs>
        <w:ind w:left="360" w:hanging="360"/>
        <w:rPr>
          <w:rFonts w:ascii="Times New Roman" w:hAnsi="Times New Roman"/>
        </w:rPr>
      </w:pPr>
      <w:r>
        <w:rPr>
          <w:rFonts w:ascii="Times New Roman" w:hAnsi="Times New Roman"/>
        </w:rPr>
        <w:t>(</w:t>
      </w:r>
      <w:r w:rsidRPr="000638EA">
        <w:rPr>
          <w:rStyle w:val="FootnoteReference"/>
          <w:rFonts w:ascii="Times New Roman" w:hAnsi="Times New Roman"/>
        </w:rPr>
        <w:footnoteRef/>
      </w:r>
      <w:r>
        <w:rPr>
          <w:rFonts w:ascii="Times New Roman" w:hAnsi="Times New Roman"/>
        </w:rPr>
        <w:t>)</w:t>
      </w:r>
      <w:r w:rsidRPr="000638EA">
        <w:rPr>
          <w:rFonts w:ascii="Times New Roman" w:hAnsi="Times New Roman"/>
        </w:rPr>
        <w:t xml:space="preserve"> </w:t>
      </w:r>
      <w:r w:rsidRPr="000638EA">
        <w:rPr>
          <w:rFonts w:ascii="Times New Roman" w:hAnsi="Times New Roman"/>
        </w:rPr>
        <w:tab/>
        <w:t xml:space="preserve">Details of the analytical methods are available at the following address of the Reference Laboratory: </w:t>
      </w:r>
      <w:hyperlink r:id="rId1" w:history="1">
        <w:r w:rsidRPr="000638EA">
          <w:rPr>
            <w:rStyle w:val="Hyperlink"/>
            <w:rFonts w:ascii="Times New Roman" w:hAnsi="Times New Roman"/>
          </w:rPr>
          <w:t>https://joint-research-centre.ec.europa.eu/eurl-fa-eurl-feed-additives/eurl-fa-authorisation/eurl-fa-evaluation-reports_en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D86"/>
    <w:multiLevelType w:val="hybridMultilevel"/>
    <w:tmpl w:val="BA6C4B4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1EC69E7"/>
    <w:multiLevelType w:val="hybridMultilevel"/>
    <w:tmpl w:val="FF761C34"/>
    <w:lvl w:ilvl="0" w:tplc="A1B8871E">
      <w:start w:val="5"/>
      <w:numFmt w:val="bullet"/>
      <w:lvlText w:val="-"/>
      <w:lvlJc w:val="left"/>
      <w:pPr>
        <w:ind w:left="360" w:hanging="360"/>
      </w:pPr>
      <w:rPr>
        <w:rFonts w:ascii="TimesNewRoman" w:eastAsia="Calibri" w:hAnsi="TimesNewRoman" w:cs="TimesNewRoman"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BE18AB"/>
    <w:multiLevelType w:val="hybridMultilevel"/>
    <w:tmpl w:val="2E805AC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5B22F59"/>
    <w:multiLevelType w:val="hybridMultilevel"/>
    <w:tmpl w:val="3C82A622"/>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07660DD0"/>
    <w:multiLevelType w:val="hybridMultilevel"/>
    <w:tmpl w:val="1D4C66C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 w15:restartNumberingAfterBreak="0">
    <w:nsid w:val="08D3321E"/>
    <w:multiLevelType w:val="hybridMultilevel"/>
    <w:tmpl w:val="AF24A8BE"/>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0A743E38"/>
    <w:multiLevelType w:val="hybridMultilevel"/>
    <w:tmpl w:val="3EAA61C2"/>
    <w:lvl w:ilvl="0" w:tplc="374246C4">
      <w:numFmt w:val="bullet"/>
      <w:lvlText w:val="-"/>
      <w:lvlJc w:val="left"/>
      <w:pPr>
        <w:ind w:left="360" w:hanging="360"/>
      </w:pPr>
      <w:rPr>
        <w:rFonts w:ascii="Times New Roman" w:eastAsia="Calibri"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0DE23A0E"/>
    <w:multiLevelType w:val="hybridMultilevel"/>
    <w:tmpl w:val="D3367500"/>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102807E0"/>
    <w:multiLevelType w:val="hybridMultilevel"/>
    <w:tmpl w:val="7EE6CC80"/>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19587F8A"/>
    <w:multiLevelType w:val="hybridMultilevel"/>
    <w:tmpl w:val="402AF562"/>
    <w:lvl w:ilvl="0" w:tplc="A1B8871E">
      <w:start w:val="5"/>
      <w:numFmt w:val="bullet"/>
      <w:lvlText w:val="-"/>
      <w:lvlJc w:val="left"/>
      <w:pPr>
        <w:ind w:left="360" w:hanging="360"/>
      </w:pPr>
      <w:rPr>
        <w:rFonts w:ascii="TimesNewRoman" w:eastAsia="Calibri" w:hAnsi="TimesNewRoman" w:cs="TimesNewRoman"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EE7167"/>
    <w:multiLevelType w:val="hybridMultilevel"/>
    <w:tmpl w:val="9EEE9D1E"/>
    <w:lvl w:ilvl="0" w:tplc="AF96B9F6">
      <w:numFmt w:val="bullet"/>
      <w:lvlText w:val="-"/>
      <w:lvlJc w:val="left"/>
      <w:pPr>
        <w:ind w:left="36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F164831"/>
    <w:multiLevelType w:val="hybridMultilevel"/>
    <w:tmpl w:val="75802E28"/>
    <w:lvl w:ilvl="0" w:tplc="AF96B9F6">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55D23E7"/>
    <w:multiLevelType w:val="hybridMultilevel"/>
    <w:tmpl w:val="1F264A1E"/>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28520077"/>
    <w:multiLevelType w:val="hybridMultilevel"/>
    <w:tmpl w:val="181A2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DA0BF2"/>
    <w:multiLevelType w:val="hybridMultilevel"/>
    <w:tmpl w:val="DA3CBE92"/>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2FEF2109"/>
    <w:multiLevelType w:val="hybridMultilevel"/>
    <w:tmpl w:val="07A45A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3986F1E"/>
    <w:multiLevelType w:val="hybridMultilevel"/>
    <w:tmpl w:val="40EC131C"/>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453B1B6C"/>
    <w:multiLevelType w:val="hybridMultilevel"/>
    <w:tmpl w:val="77FED9BC"/>
    <w:lvl w:ilvl="0" w:tplc="AF96B9F6">
      <w:numFmt w:val="bullet"/>
      <w:lvlText w:val="-"/>
      <w:lvlJc w:val="left"/>
      <w:pPr>
        <w:ind w:left="360" w:hanging="360"/>
      </w:pPr>
      <w:rPr>
        <w:rFonts w:ascii="Times New Roman" w:eastAsia="Calibri"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67E1361"/>
    <w:multiLevelType w:val="hybridMultilevel"/>
    <w:tmpl w:val="5AF498AE"/>
    <w:lvl w:ilvl="0" w:tplc="AF96B9F6">
      <w:numFmt w:val="bullet"/>
      <w:lvlText w:val="-"/>
      <w:lvlJc w:val="left"/>
      <w:pPr>
        <w:ind w:left="360" w:hanging="360"/>
      </w:pPr>
      <w:rPr>
        <w:rFonts w:ascii="Times New Roman" w:eastAsia="Calibri"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CE835E0"/>
    <w:multiLevelType w:val="hybridMultilevel"/>
    <w:tmpl w:val="351CC3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382C18"/>
    <w:multiLevelType w:val="hybridMultilevel"/>
    <w:tmpl w:val="C262E35C"/>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4FD138F1"/>
    <w:multiLevelType w:val="hybridMultilevel"/>
    <w:tmpl w:val="C66A77BA"/>
    <w:lvl w:ilvl="0" w:tplc="AF96B9F6">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231774A"/>
    <w:multiLevelType w:val="hybridMultilevel"/>
    <w:tmpl w:val="5F6C36F2"/>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59346E25"/>
    <w:multiLevelType w:val="hybridMultilevel"/>
    <w:tmpl w:val="AC3CF09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64654FBE"/>
    <w:multiLevelType w:val="hybridMultilevel"/>
    <w:tmpl w:val="0A1AF0C8"/>
    <w:lvl w:ilvl="0" w:tplc="DBE2F6F0">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EB02916"/>
    <w:multiLevelType w:val="hybridMultilevel"/>
    <w:tmpl w:val="B5565BB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6F7A790F"/>
    <w:multiLevelType w:val="hybridMultilevel"/>
    <w:tmpl w:val="293641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0BB7F80"/>
    <w:multiLevelType w:val="hybridMultilevel"/>
    <w:tmpl w:val="2F425EC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735975C6"/>
    <w:multiLevelType w:val="hybridMultilevel"/>
    <w:tmpl w:val="ECF041CE"/>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9" w15:restartNumberingAfterBreak="0">
    <w:nsid w:val="748A35F1"/>
    <w:multiLevelType w:val="hybridMultilevel"/>
    <w:tmpl w:val="50681F3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76F30B7F"/>
    <w:multiLevelType w:val="hybridMultilevel"/>
    <w:tmpl w:val="69D471AA"/>
    <w:lvl w:ilvl="0" w:tplc="5896F77A">
      <w:start w:val="1"/>
      <w:numFmt w:val="decimal"/>
      <w:lvlText w:val="%1."/>
      <w:lvlJc w:val="left"/>
      <w:pPr>
        <w:ind w:left="2988" w:hanging="720"/>
      </w:pPr>
    </w:lvl>
    <w:lvl w:ilvl="1" w:tplc="08090019">
      <w:start w:val="1"/>
      <w:numFmt w:val="lowerLetter"/>
      <w:lvlText w:val="%2."/>
      <w:lvlJc w:val="left"/>
      <w:pPr>
        <w:ind w:left="3348" w:hanging="360"/>
      </w:pPr>
    </w:lvl>
    <w:lvl w:ilvl="2" w:tplc="0809001B">
      <w:start w:val="1"/>
      <w:numFmt w:val="lowerRoman"/>
      <w:lvlText w:val="%3."/>
      <w:lvlJc w:val="right"/>
      <w:pPr>
        <w:ind w:left="4068" w:hanging="180"/>
      </w:pPr>
    </w:lvl>
    <w:lvl w:ilvl="3" w:tplc="0809000F">
      <w:start w:val="1"/>
      <w:numFmt w:val="decimal"/>
      <w:lvlText w:val="%4."/>
      <w:lvlJc w:val="left"/>
      <w:pPr>
        <w:ind w:left="4788" w:hanging="360"/>
      </w:pPr>
    </w:lvl>
    <w:lvl w:ilvl="4" w:tplc="08090019">
      <w:start w:val="1"/>
      <w:numFmt w:val="lowerLetter"/>
      <w:lvlText w:val="%5."/>
      <w:lvlJc w:val="left"/>
      <w:pPr>
        <w:ind w:left="5508" w:hanging="360"/>
      </w:pPr>
    </w:lvl>
    <w:lvl w:ilvl="5" w:tplc="0809001B">
      <w:start w:val="1"/>
      <w:numFmt w:val="lowerRoman"/>
      <w:lvlText w:val="%6."/>
      <w:lvlJc w:val="right"/>
      <w:pPr>
        <w:ind w:left="6228" w:hanging="180"/>
      </w:pPr>
    </w:lvl>
    <w:lvl w:ilvl="6" w:tplc="0809000F">
      <w:start w:val="1"/>
      <w:numFmt w:val="decimal"/>
      <w:lvlText w:val="%7."/>
      <w:lvlJc w:val="left"/>
      <w:pPr>
        <w:ind w:left="6948" w:hanging="360"/>
      </w:pPr>
    </w:lvl>
    <w:lvl w:ilvl="7" w:tplc="08090019">
      <w:start w:val="1"/>
      <w:numFmt w:val="lowerLetter"/>
      <w:lvlText w:val="%8."/>
      <w:lvlJc w:val="left"/>
      <w:pPr>
        <w:ind w:left="7668" w:hanging="360"/>
      </w:pPr>
    </w:lvl>
    <w:lvl w:ilvl="8" w:tplc="0809001B">
      <w:start w:val="1"/>
      <w:numFmt w:val="lowerRoman"/>
      <w:lvlText w:val="%9."/>
      <w:lvlJc w:val="right"/>
      <w:pPr>
        <w:ind w:left="8388" w:hanging="180"/>
      </w:pPr>
    </w:lvl>
  </w:abstractNum>
  <w:abstractNum w:abstractNumId="31" w15:restartNumberingAfterBreak="0">
    <w:nsid w:val="77A9647F"/>
    <w:multiLevelType w:val="hybridMultilevel"/>
    <w:tmpl w:val="69D471AA"/>
    <w:lvl w:ilvl="0" w:tplc="5896F77A">
      <w:start w:val="1"/>
      <w:numFmt w:val="decimal"/>
      <w:lvlText w:val="%1."/>
      <w:lvlJc w:val="left"/>
      <w:pPr>
        <w:ind w:left="2988" w:hanging="720"/>
      </w:pPr>
    </w:lvl>
    <w:lvl w:ilvl="1" w:tplc="08090019">
      <w:start w:val="1"/>
      <w:numFmt w:val="lowerLetter"/>
      <w:lvlText w:val="%2."/>
      <w:lvlJc w:val="left"/>
      <w:pPr>
        <w:ind w:left="3348" w:hanging="360"/>
      </w:pPr>
    </w:lvl>
    <w:lvl w:ilvl="2" w:tplc="0809001B">
      <w:start w:val="1"/>
      <w:numFmt w:val="lowerRoman"/>
      <w:lvlText w:val="%3."/>
      <w:lvlJc w:val="right"/>
      <w:pPr>
        <w:ind w:left="4068" w:hanging="180"/>
      </w:pPr>
    </w:lvl>
    <w:lvl w:ilvl="3" w:tplc="0809000F">
      <w:start w:val="1"/>
      <w:numFmt w:val="decimal"/>
      <w:lvlText w:val="%4."/>
      <w:lvlJc w:val="left"/>
      <w:pPr>
        <w:ind w:left="4788" w:hanging="360"/>
      </w:pPr>
    </w:lvl>
    <w:lvl w:ilvl="4" w:tplc="08090019">
      <w:start w:val="1"/>
      <w:numFmt w:val="lowerLetter"/>
      <w:lvlText w:val="%5."/>
      <w:lvlJc w:val="left"/>
      <w:pPr>
        <w:ind w:left="5508" w:hanging="360"/>
      </w:pPr>
    </w:lvl>
    <w:lvl w:ilvl="5" w:tplc="0809001B">
      <w:start w:val="1"/>
      <w:numFmt w:val="lowerRoman"/>
      <w:lvlText w:val="%6."/>
      <w:lvlJc w:val="right"/>
      <w:pPr>
        <w:ind w:left="6228" w:hanging="180"/>
      </w:pPr>
    </w:lvl>
    <w:lvl w:ilvl="6" w:tplc="0809000F">
      <w:start w:val="1"/>
      <w:numFmt w:val="decimal"/>
      <w:lvlText w:val="%7."/>
      <w:lvlJc w:val="left"/>
      <w:pPr>
        <w:ind w:left="6948" w:hanging="360"/>
      </w:pPr>
    </w:lvl>
    <w:lvl w:ilvl="7" w:tplc="08090019">
      <w:start w:val="1"/>
      <w:numFmt w:val="lowerLetter"/>
      <w:lvlText w:val="%8."/>
      <w:lvlJc w:val="left"/>
      <w:pPr>
        <w:ind w:left="7668" w:hanging="360"/>
      </w:pPr>
    </w:lvl>
    <w:lvl w:ilvl="8" w:tplc="0809001B">
      <w:start w:val="1"/>
      <w:numFmt w:val="lowerRoman"/>
      <w:lvlText w:val="%9."/>
      <w:lvlJc w:val="right"/>
      <w:pPr>
        <w:ind w:left="8388" w:hanging="180"/>
      </w:pPr>
    </w:lvl>
  </w:abstractNum>
  <w:abstractNum w:abstractNumId="32" w15:restartNumberingAfterBreak="0">
    <w:nsid w:val="7A264E01"/>
    <w:multiLevelType w:val="hybridMultilevel"/>
    <w:tmpl w:val="8020D008"/>
    <w:lvl w:ilvl="0" w:tplc="8B8056CC">
      <w:start w:val="3"/>
      <w:numFmt w:val="bullet"/>
      <w:lvlText w:val="-"/>
      <w:lvlJc w:val="left"/>
      <w:pPr>
        <w:ind w:left="36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DC07CFA"/>
    <w:multiLevelType w:val="hybridMultilevel"/>
    <w:tmpl w:val="53288832"/>
    <w:lvl w:ilvl="0" w:tplc="8B8056CC">
      <w:start w:val="3"/>
      <w:numFmt w:val="bullet"/>
      <w:lvlText w:val="-"/>
      <w:lvlJc w:val="left"/>
      <w:pPr>
        <w:ind w:left="360" w:hanging="360"/>
      </w:pPr>
      <w:rPr>
        <w:rFonts w:ascii="Times New Roman" w:eastAsia="Calibri"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7619979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2958459">
    <w:abstractNumId w:val="30"/>
  </w:num>
  <w:num w:numId="3" w16cid:durableId="815100129">
    <w:abstractNumId w:val="31"/>
  </w:num>
  <w:num w:numId="4" w16cid:durableId="949624862">
    <w:abstractNumId w:val="5"/>
  </w:num>
  <w:num w:numId="5" w16cid:durableId="233200371">
    <w:abstractNumId w:val="25"/>
  </w:num>
  <w:num w:numId="6" w16cid:durableId="1825462085">
    <w:abstractNumId w:val="4"/>
  </w:num>
  <w:num w:numId="7" w16cid:durableId="928805408">
    <w:abstractNumId w:val="29"/>
  </w:num>
  <w:num w:numId="8" w16cid:durableId="796919784">
    <w:abstractNumId w:val="8"/>
  </w:num>
  <w:num w:numId="9" w16cid:durableId="152454864">
    <w:abstractNumId w:val="27"/>
  </w:num>
  <w:num w:numId="10" w16cid:durableId="347146019">
    <w:abstractNumId w:val="3"/>
  </w:num>
  <w:num w:numId="11" w16cid:durableId="1412267890">
    <w:abstractNumId w:val="2"/>
  </w:num>
  <w:num w:numId="12" w16cid:durableId="1840582501">
    <w:abstractNumId w:val="14"/>
  </w:num>
  <w:num w:numId="13" w16cid:durableId="2116250564">
    <w:abstractNumId w:val="20"/>
  </w:num>
  <w:num w:numId="14" w16cid:durableId="1161850142">
    <w:abstractNumId w:val="23"/>
  </w:num>
  <w:num w:numId="15" w16cid:durableId="1753039190">
    <w:abstractNumId w:val="0"/>
  </w:num>
  <w:num w:numId="16" w16cid:durableId="1056507159">
    <w:abstractNumId w:val="22"/>
  </w:num>
  <w:num w:numId="17" w16cid:durableId="1590037910">
    <w:abstractNumId w:val="28"/>
  </w:num>
  <w:num w:numId="18" w16cid:durableId="133304529">
    <w:abstractNumId w:val="12"/>
  </w:num>
  <w:num w:numId="19" w16cid:durableId="215044023">
    <w:abstractNumId w:val="16"/>
  </w:num>
  <w:num w:numId="20" w16cid:durableId="605577235">
    <w:abstractNumId w:val="7"/>
  </w:num>
  <w:num w:numId="21" w16cid:durableId="1426803696">
    <w:abstractNumId w:val="1"/>
  </w:num>
  <w:num w:numId="22" w16cid:durableId="680400448">
    <w:abstractNumId w:val="15"/>
  </w:num>
  <w:num w:numId="23" w16cid:durableId="341904654">
    <w:abstractNumId w:val="19"/>
  </w:num>
  <w:num w:numId="24" w16cid:durableId="839541542">
    <w:abstractNumId w:val="9"/>
  </w:num>
  <w:num w:numId="25" w16cid:durableId="674846418">
    <w:abstractNumId w:val="13"/>
  </w:num>
  <w:num w:numId="26" w16cid:durableId="689769268">
    <w:abstractNumId w:val="33"/>
  </w:num>
  <w:num w:numId="27" w16cid:durableId="337119335">
    <w:abstractNumId w:val="32"/>
  </w:num>
  <w:num w:numId="28" w16cid:durableId="1121994779">
    <w:abstractNumId w:val="26"/>
  </w:num>
  <w:num w:numId="29" w16cid:durableId="1724911475">
    <w:abstractNumId w:val="21"/>
  </w:num>
  <w:num w:numId="30" w16cid:durableId="1981569131">
    <w:abstractNumId w:val="18"/>
  </w:num>
  <w:num w:numId="31" w16cid:durableId="1085804571">
    <w:abstractNumId w:val="11"/>
  </w:num>
  <w:num w:numId="32" w16cid:durableId="785000505">
    <w:abstractNumId w:val="17"/>
  </w:num>
  <w:num w:numId="33" w16cid:durableId="2146582165">
    <w:abstractNumId w:val="10"/>
  </w:num>
  <w:num w:numId="34" w16cid:durableId="272175871">
    <w:abstractNumId w:val="24"/>
  </w:num>
  <w:num w:numId="35" w16cid:durableId="2059428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it-IT"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s-ES" w:vendorID="64" w:dllVersion="0" w:nlCheck="1" w:checkStyle="0"/>
  <w:activeWritingStyle w:appName="MSWord" w:lang="fr-BE" w:vendorID="64" w:dllVersion="0" w:nlCheck="1" w:checkStyle="0"/>
  <w:proofState w:spelling="clean" w:grammar="clean"/>
  <w:doNotTrackMoves/>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s>
  <w:rsids>
    <w:rsidRoot w:val="00EC5823"/>
    <w:rsid w:val="0000657B"/>
    <w:rsid w:val="00011464"/>
    <w:rsid w:val="00015B35"/>
    <w:rsid w:val="0002399E"/>
    <w:rsid w:val="00026479"/>
    <w:rsid w:val="00037075"/>
    <w:rsid w:val="0003735C"/>
    <w:rsid w:val="000428F4"/>
    <w:rsid w:val="00053E7A"/>
    <w:rsid w:val="000638EA"/>
    <w:rsid w:val="00070AD1"/>
    <w:rsid w:val="00072B3B"/>
    <w:rsid w:val="000747E4"/>
    <w:rsid w:val="00075E0D"/>
    <w:rsid w:val="00077314"/>
    <w:rsid w:val="0008001E"/>
    <w:rsid w:val="0008610C"/>
    <w:rsid w:val="00095C10"/>
    <w:rsid w:val="000A44D7"/>
    <w:rsid w:val="000B7EC0"/>
    <w:rsid w:val="000C1A88"/>
    <w:rsid w:val="000C20AA"/>
    <w:rsid w:val="000D1B0B"/>
    <w:rsid w:val="000D22F4"/>
    <w:rsid w:val="000D3B5C"/>
    <w:rsid w:val="000D51A6"/>
    <w:rsid w:val="000D5EE0"/>
    <w:rsid w:val="000E2682"/>
    <w:rsid w:val="000F03F2"/>
    <w:rsid w:val="000F25F9"/>
    <w:rsid w:val="00105D4D"/>
    <w:rsid w:val="0010729D"/>
    <w:rsid w:val="001146E2"/>
    <w:rsid w:val="0013247A"/>
    <w:rsid w:val="00155B68"/>
    <w:rsid w:val="001719FA"/>
    <w:rsid w:val="0019395F"/>
    <w:rsid w:val="001A1CA9"/>
    <w:rsid w:val="001B21CD"/>
    <w:rsid w:val="001B34B1"/>
    <w:rsid w:val="001B7E78"/>
    <w:rsid w:val="001C14B5"/>
    <w:rsid w:val="001D36B5"/>
    <w:rsid w:val="001D6FE1"/>
    <w:rsid w:val="001E11A6"/>
    <w:rsid w:val="001F43CB"/>
    <w:rsid w:val="00213615"/>
    <w:rsid w:val="002147CD"/>
    <w:rsid w:val="00217EE3"/>
    <w:rsid w:val="00220D49"/>
    <w:rsid w:val="00230715"/>
    <w:rsid w:val="00240A2D"/>
    <w:rsid w:val="002450A6"/>
    <w:rsid w:val="00261BDF"/>
    <w:rsid w:val="00263BCE"/>
    <w:rsid w:val="00267D31"/>
    <w:rsid w:val="00274FED"/>
    <w:rsid w:val="00280CA2"/>
    <w:rsid w:val="00281F1E"/>
    <w:rsid w:val="00287656"/>
    <w:rsid w:val="00293657"/>
    <w:rsid w:val="002A0181"/>
    <w:rsid w:val="002A4107"/>
    <w:rsid w:val="002B083A"/>
    <w:rsid w:val="002B6711"/>
    <w:rsid w:val="002B6B25"/>
    <w:rsid w:val="002C48B1"/>
    <w:rsid w:val="002C698A"/>
    <w:rsid w:val="002D51C7"/>
    <w:rsid w:val="002F4668"/>
    <w:rsid w:val="00301B1F"/>
    <w:rsid w:val="00321D50"/>
    <w:rsid w:val="00337A63"/>
    <w:rsid w:val="00337BE4"/>
    <w:rsid w:val="003468A5"/>
    <w:rsid w:val="00356E00"/>
    <w:rsid w:val="0036569A"/>
    <w:rsid w:val="003660B5"/>
    <w:rsid w:val="003730D9"/>
    <w:rsid w:val="00387C1C"/>
    <w:rsid w:val="0039362C"/>
    <w:rsid w:val="003A1BDA"/>
    <w:rsid w:val="003A1E66"/>
    <w:rsid w:val="003A1FF4"/>
    <w:rsid w:val="003A4878"/>
    <w:rsid w:val="003A59D9"/>
    <w:rsid w:val="003A5A6E"/>
    <w:rsid w:val="003B1354"/>
    <w:rsid w:val="003B28FB"/>
    <w:rsid w:val="003C1DCF"/>
    <w:rsid w:val="003E1F63"/>
    <w:rsid w:val="003E2FD0"/>
    <w:rsid w:val="003E3559"/>
    <w:rsid w:val="003E455A"/>
    <w:rsid w:val="003E4F8C"/>
    <w:rsid w:val="003F2C55"/>
    <w:rsid w:val="003F51DF"/>
    <w:rsid w:val="004056C9"/>
    <w:rsid w:val="0043259F"/>
    <w:rsid w:val="00442ED9"/>
    <w:rsid w:val="00452C3A"/>
    <w:rsid w:val="004578A7"/>
    <w:rsid w:val="00461C40"/>
    <w:rsid w:val="00464CDA"/>
    <w:rsid w:val="0048015D"/>
    <w:rsid w:val="00486212"/>
    <w:rsid w:val="004910EC"/>
    <w:rsid w:val="004963BD"/>
    <w:rsid w:val="004B5401"/>
    <w:rsid w:val="004B7BC7"/>
    <w:rsid w:val="004C071E"/>
    <w:rsid w:val="004C121C"/>
    <w:rsid w:val="004C3C6B"/>
    <w:rsid w:val="004D4C52"/>
    <w:rsid w:val="004D57E8"/>
    <w:rsid w:val="004D5C5A"/>
    <w:rsid w:val="004E1002"/>
    <w:rsid w:val="004E4AAF"/>
    <w:rsid w:val="004F1607"/>
    <w:rsid w:val="004F262D"/>
    <w:rsid w:val="004F78C6"/>
    <w:rsid w:val="00516B6E"/>
    <w:rsid w:val="005231BD"/>
    <w:rsid w:val="005325E0"/>
    <w:rsid w:val="005548EC"/>
    <w:rsid w:val="005623A0"/>
    <w:rsid w:val="005701A3"/>
    <w:rsid w:val="005723A5"/>
    <w:rsid w:val="00572722"/>
    <w:rsid w:val="00572770"/>
    <w:rsid w:val="0057373E"/>
    <w:rsid w:val="00576522"/>
    <w:rsid w:val="005947D2"/>
    <w:rsid w:val="00597BB8"/>
    <w:rsid w:val="005A2A91"/>
    <w:rsid w:val="005B36A0"/>
    <w:rsid w:val="005B7E4C"/>
    <w:rsid w:val="005C26B9"/>
    <w:rsid w:val="005C5668"/>
    <w:rsid w:val="005C7C31"/>
    <w:rsid w:val="005D184E"/>
    <w:rsid w:val="005F2D0C"/>
    <w:rsid w:val="00602FDB"/>
    <w:rsid w:val="00603320"/>
    <w:rsid w:val="00614965"/>
    <w:rsid w:val="00622A91"/>
    <w:rsid w:val="006346BB"/>
    <w:rsid w:val="00651E20"/>
    <w:rsid w:val="00652D06"/>
    <w:rsid w:val="00656D91"/>
    <w:rsid w:val="006708D3"/>
    <w:rsid w:val="00673D39"/>
    <w:rsid w:val="00676769"/>
    <w:rsid w:val="00677B70"/>
    <w:rsid w:val="006836AA"/>
    <w:rsid w:val="006C1DE1"/>
    <w:rsid w:val="006C238B"/>
    <w:rsid w:val="006D7726"/>
    <w:rsid w:val="006E1037"/>
    <w:rsid w:val="006E4601"/>
    <w:rsid w:val="006F14D4"/>
    <w:rsid w:val="006F2791"/>
    <w:rsid w:val="00711E9C"/>
    <w:rsid w:val="00715758"/>
    <w:rsid w:val="00721E45"/>
    <w:rsid w:val="00741303"/>
    <w:rsid w:val="00757BB7"/>
    <w:rsid w:val="007620D7"/>
    <w:rsid w:val="00771786"/>
    <w:rsid w:val="00773025"/>
    <w:rsid w:val="00777123"/>
    <w:rsid w:val="007A7C65"/>
    <w:rsid w:val="007C4713"/>
    <w:rsid w:val="007C5E78"/>
    <w:rsid w:val="007D3643"/>
    <w:rsid w:val="007E086C"/>
    <w:rsid w:val="007E59E6"/>
    <w:rsid w:val="007F37F4"/>
    <w:rsid w:val="0081369F"/>
    <w:rsid w:val="00816FDF"/>
    <w:rsid w:val="00850AB0"/>
    <w:rsid w:val="008562CD"/>
    <w:rsid w:val="008625CE"/>
    <w:rsid w:val="008730FD"/>
    <w:rsid w:val="00885AD4"/>
    <w:rsid w:val="008902D8"/>
    <w:rsid w:val="00890374"/>
    <w:rsid w:val="008A3FC2"/>
    <w:rsid w:val="008A765A"/>
    <w:rsid w:val="008B5FE4"/>
    <w:rsid w:val="008C4991"/>
    <w:rsid w:val="008D16E4"/>
    <w:rsid w:val="008D5426"/>
    <w:rsid w:val="008E1DE2"/>
    <w:rsid w:val="008E2C18"/>
    <w:rsid w:val="00902876"/>
    <w:rsid w:val="0091391B"/>
    <w:rsid w:val="009224D4"/>
    <w:rsid w:val="00936B81"/>
    <w:rsid w:val="00940AEE"/>
    <w:rsid w:val="00945B9B"/>
    <w:rsid w:val="00945DDB"/>
    <w:rsid w:val="00951D22"/>
    <w:rsid w:val="009544A9"/>
    <w:rsid w:val="00962977"/>
    <w:rsid w:val="009742F6"/>
    <w:rsid w:val="00983707"/>
    <w:rsid w:val="0098567E"/>
    <w:rsid w:val="00992525"/>
    <w:rsid w:val="00993B42"/>
    <w:rsid w:val="009B2039"/>
    <w:rsid w:val="009C0B7F"/>
    <w:rsid w:val="009E20BD"/>
    <w:rsid w:val="009E436A"/>
    <w:rsid w:val="009F0011"/>
    <w:rsid w:val="00A03739"/>
    <w:rsid w:val="00A12072"/>
    <w:rsid w:val="00A235BC"/>
    <w:rsid w:val="00A44793"/>
    <w:rsid w:val="00A47B0B"/>
    <w:rsid w:val="00A611A5"/>
    <w:rsid w:val="00A670B2"/>
    <w:rsid w:val="00A67202"/>
    <w:rsid w:val="00A67D24"/>
    <w:rsid w:val="00A72894"/>
    <w:rsid w:val="00A72AC6"/>
    <w:rsid w:val="00A7495D"/>
    <w:rsid w:val="00A8015F"/>
    <w:rsid w:val="00A8177B"/>
    <w:rsid w:val="00A8617F"/>
    <w:rsid w:val="00A868B6"/>
    <w:rsid w:val="00A975FE"/>
    <w:rsid w:val="00AA63A2"/>
    <w:rsid w:val="00AB01A0"/>
    <w:rsid w:val="00AB434F"/>
    <w:rsid w:val="00AB77EE"/>
    <w:rsid w:val="00AC1D78"/>
    <w:rsid w:val="00AC302B"/>
    <w:rsid w:val="00AD6CCB"/>
    <w:rsid w:val="00AE49F5"/>
    <w:rsid w:val="00AE754E"/>
    <w:rsid w:val="00AF055F"/>
    <w:rsid w:val="00AF58FC"/>
    <w:rsid w:val="00B10E07"/>
    <w:rsid w:val="00B11AEB"/>
    <w:rsid w:val="00B24902"/>
    <w:rsid w:val="00B263F5"/>
    <w:rsid w:val="00B300FC"/>
    <w:rsid w:val="00B466C6"/>
    <w:rsid w:val="00B7166F"/>
    <w:rsid w:val="00B72FAD"/>
    <w:rsid w:val="00B73323"/>
    <w:rsid w:val="00B82C59"/>
    <w:rsid w:val="00B92D0C"/>
    <w:rsid w:val="00B9407A"/>
    <w:rsid w:val="00BA2A40"/>
    <w:rsid w:val="00BA47A8"/>
    <w:rsid w:val="00BA5C56"/>
    <w:rsid w:val="00BB7D7C"/>
    <w:rsid w:val="00BC79A4"/>
    <w:rsid w:val="00BD6709"/>
    <w:rsid w:val="00BD7F8E"/>
    <w:rsid w:val="00BF0E53"/>
    <w:rsid w:val="00BF1035"/>
    <w:rsid w:val="00BF24F4"/>
    <w:rsid w:val="00BF316C"/>
    <w:rsid w:val="00BF4C2F"/>
    <w:rsid w:val="00BF4D0E"/>
    <w:rsid w:val="00C04697"/>
    <w:rsid w:val="00C05311"/>
    <w:rsid w:val="00C0624A"/>
    <w:rsid w:val="00C22D41"/>
    <w:rsid w:val="00C26D89"/>
    <w:rsid w:val="00C675DD"/>
    <w:rsid w:val="00C8111F"/>
    <w:rsid w:val="00C8259E"/>
    <w:rsid w:val="00C9152B"/>
    <w:rsid w:val="00CA1D57"/>
    <w:rsid w:val="00CA35CB"/>
    <w:rsid w:val="00CB071D"/>
    <w:rsid w:val="00CB1EB4"/>
    <w:rsid w:val="00CB74A0"/>
    <w:rsid w:val="00CC0271"/>
    <w:rsid w:val="00CC483E"/>
    <w:rsid w:val="00CD084E"/>
    <w:rsid w:val="00CD44EA"/>
    <w:rsid w:val="00CE217C"/>
    <w:rsid w:val="00CE4FB8"/>
    <w:rsid w:val="00D0396A"/>
    <w:rsid w:val="00D06E75"/>
    <w:rsid w:val="00D177F3"/>
    <w:rsid w:val="00D226D3"/>
    <w:rsid w:val="00D45984"/>
    <w:rsid w:val="00D46263"/>
    <w:rsid w:val="00D50B75"/>
    <w:rsid w:val="00D511C2"/>
    <w:rsid w:val="00D66252"/>
    <w:rsid w:val="00D665E8"/>
    <w:rsid w:val="00D679BD"/>
    <w:rsid w:val="00D76859"/>
    <w:rsid w:val="00D963EC"/>
    <w:rsid w:val="00DA15BC"/>
    <w:rsid w:val="00DA63E6"/>
    <w:rsid w:val="00DB649D"/>
    <w:rsid w:val="00DC171F"/>
    <w:rsid w:val="00DC4EA2"/>
    <w:rsid w:val="00DC72B4"/>
    <w:rsid w:val="00DD4B86"/>
    <w:rsid w:val="00DE2237"/>
    <w:rsid w:val="00DF2673"/>
    <w:rsid w:val="00DF2917"/>
    <w:rsid w:val="00DF3D0C"/>
    <w:rsid w:val="00DF773E"/>
    <w:rsid w:val="00E0436E"/>
    <w:rsid w:val="00E133CD"/>
    <w:rsid w:val="00E226F6"/>
    <w:rsid w:val="00E32B65"/>
    <w:rsid w:val="00E36859"/>
    <w:rsid w:val="00E40288"/>
    <w:rsid w:val="00E54FDF"/>
    <w:rsid w:val="00E57AD0"/>
    <w:rsid w:val="00E57FD5"/>
    <w:rsid w:val="00E6059A"/>
    <w:rsid w:val="00E6561F"/>
    <w:rsid w:val="00E70E3D"/>
    <w:rsid w:val="00E73221"/>
    <w:rsid w:val="00E73C76"/>
    <w:rsid w:val="00E741AD"/>
    <w:rsid w:val="00E76BED"/>
    <w:rsid w:val="00E7799E"/>
    <w:rsid w:val="00E80C11"/>
    <w:rsid w:val="00E870F9"/>
    <w:rsid w:val="00E906A4"/>
    <w:rsid w:val="00E95556"/>
    <w:rsid w:val="00E96407"/>
    <w:rsid w:val="00EB1FD7"/>
    <w:rsid w:val="00EB2CCC"/>
    <w:rsid w:val="00EB3749"/>
    <w:rsid w:val="00EC5584"/>
    <w:rsid w:val="00EC5823"/>
    <w:rsid w:val="00EC6377"/>
    <w:rsid w:val="00EC7734"/>
    <w:rsid w:val="00ED09E6"/>
    <w:rsid w:val="00ED3A0B"/>
    <w:rsid w:val="00ED3AF9"/>
    <w:rsid w:val="00EE5B0B"/>
    <w:rsid w:val="00EE6F22"/>
    <w:rsid w:val="00EF096D"/>
    <w:rsid w:val="00EF13BF"/>
    <w:rsid w:val="00EF5D67"/>
    <w:rsid w:val="00F22190"/>
    <w:rsid w:val="00F33D5E"/>
    <w:rsid w:val="00F47BD1"/>
    <w:rsid w:val="00F55A35"/>
    <w:rsid w:val="00F61030"/>
    <w:rsid w:val="00F61604"/>
    <w:rsid w:val="00F866C0"/>
    <w:rsid w:val="00F87AC3"/>
    <w:rsid w:val="00F901C7"/>
    <w:rsid w:val="00FB4262"/>
    <w:rsid w:val="00FC5022"/>
    <w:rsid w:val="00FC57B1"/>
    <w:rsid w:val="00FD68A5"/>
    <w:rsid w:val="00FD69D2"/>
    <w:rsid w:val="00FF2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2C389C2"/>
  <w15:chartTrackingRefBased/>
  <w15:docId w15:val="{3FE5D5BD-B6FA-4986-A01F-0100892D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7F"/>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EC5823"/>
    <w:pPr>
      <w:spacing w:after="0" w:line="240" w:lineRule="auto"/>
    </w:pPr>
    <w:rPr>
      <w:sz w:val="20"/>
      <w:szCs w:val="20"/>
    </w:rPr>
  </w:style>
  <w:style w:type="character" w:customStyle="1" w:styleId="FootnoteTextChar">
    <w:name w:val="Footnote Text Char"/>
    <w:link w:val="FootnoteText"/>
    <w:semiHidden/>
    <w:rsid w:val="00EC5823"/>
    <w:rPr>
      <w:sz w:val="20"/>
      <w:szCs w:val="20"/>
    </w:rPr>
  </w:style>
  <w:style w:type="character" w:styleId="FootnoteReference">
    <w:name w:val="footnote reference"/>
    <w:semiHidden/>
    <w:unhideWhenUsed/>
    <w:rsid w:val="00EC5823"/>
    <w:rPr>
      <w:vertAlign w:val="superscript"/>
    </w:rPr>
  </w:style>
  <w:style w:type="paragraph" w:styleId="Header">
    <w:name w:val="header"/>
    <w:basedOn w:val="Normal"/>
    <w:link w:val="HeaderChar"/>
    <w:uiPriority w:val="99"/>
    <w:unhideWhenUsed/>
    <w:rsid w:val="00EC58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5823"/>
  </w:style>
  <w:style w:type="paragraph" w:styleId="Footer">
    <w:name w:val="footer"/>
    <w:basedOn w:val="Normal"/>
    <w:link w:val="FooterChar"/>
    <w:uiPriority w:val="99"/>
    <w:unhideWhenUsed/>
    <w:rsid w:val="00EC58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5823"/>
  </w:style>
  <w:style w:type="paragraph" w:styleId="BalloonText">
    <w:name w:val="Balloon Text"/>
    <w:basedOn w:val="Normal"/>
    <w:link w:val="BalloonTextChar"/>
    <w:uiPriority w:val="99"/>
    <w:semiHidden/>
    <w:unhideWhenUsed/>
    <w:rsid w:val="002C69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698A"/>
    <w:rPr>
      <w:rFonts w:ascii="Tahoma" w:hAnsi="Tahoma" w:cs="Tahoma"/>
      <w:sz w:val="16"/>
      <w:szCs w:val="16"/>
    </w:rPr>
  </w:style>
  <w:style w:type="paragraph" w:customStyle="1" w:styleId="Annexetitre">
    <w:name w:val="Annexe titre"/>
    <w:basedOn w:val="Normal"/>
    <w:next w:val="Normal"/>
    <w:rsid w:val="004B5401"/>
    <w:pPr>
      <w:spacing w:before="120" w:after="120" w:line="240" w:lineRule="auto"/>
      <w:jc w:val="center"/>
    </w:pPr>
    <w:rPr>
      <w:rFonts w:ascii="Times New Roman" w:eastAsia="Times New Roman" w:hAnsi="Times New Roman"/>
      <w:b/>
      <w:sz w:val="24"/>
      <w:szCs w:val="24"/>
      <w:u w:val="single"/>
    </w:rPr>
  </w:style>
  <w:style w:type="character" w:styleId="Hyperlink">
    <w:name w:val="Hyperlink"/>
    <w:uiPriority w:val="99"/>
    <w:unhideWhenUsed/>
    <w:rsid w:val="00F61030"/>
    <w:rPr>
      <w:color w:val="0563C1"/>
      <w:u w:val="single"/>
    </w:rPr>
  </w:style>
  <w:style w:type="character" w:styleId="FollowedHyperlink">
    <w:name w:val="FollowedHyperlink"/>
    <w:uiPriority w:val="99"/>
    <w:semiHidden/>
    <w:unhideWhenUsed/>
    <w:rsid w:val="006C1DE1"/>
    <w:rPr>
      <w:color w:val="954F72"/>
      <w:u w:val="single"/>
    </w:rPr>
  </w:style>
  <w:style w:type="character" w:styleId="CommentReference">
    <w:name w:val="annotation reference"/>
    <w:uiPriority w:val="99"/>
    <w:semiHidden/>
    <w:unhideWhenUsed/>
    <w:rsid w:val="00652D06"/>
    <w:rPr>
      <w:sz w:val="16"/>
      <w:szCs w:val="16"/>
    </w:rPr>
  </w:style>
  <w:style w:type="paragraph" w:styleId="CommentText">
    <w:name w:val="annotation text"/>
    <w:basedOn w:val="Normal"/>
    <w:link w:val="CommentTextChar"/>
    <w:uiPriority w:val="99"/>
    <w:unhideWhenUsed/>
    <w:rsid w:val="00652D06"/>
    <w:rPr>
      <w:sz w:val="20"/>
      <w:szCs w:val="20"/>
    </w:rPr>
  </w:style>
  <w:style w:type="character" w:customStyle="1" w:styleId="CommentTextChar">
    <w:name w:val="Comment Text Char"/>
    <w:link w:val="CommentText"/>
    <w:uiPriority w:val="99"/>
    <w:rsid w:val="00652D06"/>
    <w:rPr>
      <w:lang w:val="en-GB"/>
    </w:rPr>
  </w:style>
  <w:style w:type="paragraph" w:styleId="CommentSubject">
    <w:name w:val="annotation subject"/>
    <w:basedOn w:val="CommentText"/>
    <w:next w:val="CommentText"/>
    <w:link w:val="CommentSubjectChar"/>
    <w:uiPriority w:val="99"/>
    <w:semiHidden/>
    <w:unhideWhenUsed/>
    <w:rsid w:val="00652D06"/>
    <w:rPr>
      <w:b/>
      <w:bCs/>
    </w:rPr>
  </w:style>
  <w:style w:type="character" w:customStyle="1" w:styleId="CommentSubjectChar">
    <w:name w:val="Comment Subject Char"/>
    <w:link w:val="CommentSubject"/>
    <w:uiPriority w:val="99"/>
    <w:semiHidden/>
    <w:rsid w:val="00652D06"/>
    <w:rPr>
      <w:b/>
      <w:bCs/>
      <w:lang w:val="en-GB"/>
    </w:rPr>
  </w:style>
  <w:style w:type="paragraph" w:styleId="Revision">
    <w:name w:val="Revision"/>
    <w:hidden/>
    <w:uiPriority w:val="99"/>
    <w:semiHidden/>
    <w:rsid w:val="0013247A"/>
    <w:rPr>
      <w:sz w:val="22"/>
      <w:szCs w:val="22"/>
      <w:lang w:val="en-GB" w:eastAsia="en-US"/>
    </w:rPr>
  </w:style>
  <w:style w:type="paragraph" w:customStyle="1" w:styleId="Default">
    <w:name w:val="Default"/>
    <w:rsid w:val="0008610C"/>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93484">
      <w:bodyDiv w:val="1"/>
      <w:marLeft w:val="0"/>
      <w:marRight w:val="0"/>
      <w:marTop w:val="0"/>
      <w:marBottom w:val="0"/>
      <w:divBdr>
        <w:top w:val="none" w:sz="0" w:space="0" w:color="auto"/>
        <w:left w:val="none" w:sz="0" w:space="0" w:color="auto"/>
        <w:bottom w:val="none" w:sz="0" w:space="0" w:color="auto"/>
        <w:right w:val="none" w:sz="0" w:space="0" w:color="auto"/>
      </w:divBdr>
    </w:div>
    <w:div w:id="1367410418">
      <w:bodyDiv w:val="1"/>
      <w:marLeft w:val="0"/>
      <w:marRight w:val="0"/>
      <w:marTop w:val="0"/>
      <w:marBottom w:val="0"/>
      <w:divBdr>
        <w:top w:val="none" w:sz="0" w:space="0" w:color="auto"/>
        <w:left w:val="none" w:sz="0" w:space="0" w:color="auto"/>
        <w:bottom w:val="none" w:sz="0" w:space="0" w:color="auto"/>
        <w:right w:val="none" w:sz="0" w:space="0" w:color="auto"/>
      </w:divBdr>
    </w:div>
    <w:div w:id="177952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joint-research-centre.ec.europa.eu/eurl-fa-eurl-feed-additives/eurl-fa-authorisation/eurl-fa-evaluation-repor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9BC8C-E9FB-46DE-A6BF-49C598D66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2380</Characters>
  <Application>Microsoft Office Word</Application>
  <DocSecurity>0</DocSecurity>
  <Lines>183</Lines>
  <Paragraphs>63</Paragraphs>
  <ScaleCrop>false</ScaleCrop>
  <HeadingPairs>
    <vt:vector size="2" baseType="variant">
      <vt:variant>
        <vt:lpstr>Title</vt:lpstr>
      </vt:variant>
      <vt:variant>
        <vt:i4>1</vt:i4>
      </vt:variant>
    </vt:vector>
  </HeadingPairs>
  <TitlesOfParts>
    <vt:vector size="1" baseType="lpstr">
      <vt:lpstr>SANTE/11058/2019-EN ANNEX CIS</vt:lpstr>
    </vt:vector>
  </TitlesOfParts>
  <Company>European Commission</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SANTE/11058/2019-EN ANNEX CIS</dc:title>
  <dc:subject>ANNEX</dc:subject>
  <dc:creator>PONGHELLINI - uyttersprot</dc:creator>
  <cp:keywords>11058</cp:keywords>
  <dc:description>Outlook 13.8.2019</dc:description>
  <cp:lastModifiedBy>SCHNEEGANS Fabien (SANTE)</cp:lastModifiedBy>
  <cp:revision>3</cp:revision>
  <cp:lastPrinted>2024-01-17T07:50:00Z</cp:lastPrinted>
  <dcterms:created xsi:type="dcterms:W3CDTF">2024-08-12T08:38:00Z</dcterms:created>
  <dcterms:modified xsi:type="dcterms:W3CDTF">2024-08-28T12:16:00Z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2022-11-08T08:15:43Z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32f669f0-3a89-4cae-bfcf-61d8acc16379</vt:lpwstr>
  </property>
  <property fmtid="{D5CDD505-2E9C-101B-9397-08002B2CF9AE}" pid="8" name="MSIP_Label_6bd9ddd1-4d20-43f6-abfa-fc3c07406f94_ContentBits">
    <vt:lpwstr>0</vt:lpwstr>
  </property>
</Properties>
</file>