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896" w:rsidRPr="00BC172D" w:rsidRDefault="00D37896" w:rsidP="00D37896">
      <w:pPr>
        <w:spacing w:line="288" w:lineRule="auto"/>
      </w:pPr>
      <w:bookmarkStart w:id="0" w:name="_GoBack"/>
      <w:bookmarkEnd w:id="0"/>
      <w:r w:rsidRPr="00BC172D">
        <w:t xml:space="preserve">Skatteministeriet </w:t>
      </w:r>
      <w:r w:rsidRPr="00BC172D">
        <w:fldChar w:fldCharType="begin"/>
      </w:r>
      <w:r w:rsidRPr="00BC172D">
        <w:instrText>ADVANCE \r255</w:instrText>
      </w:r>
      <w:r w:rsidRPr="00BC172D">
        <w:fldChar w:fldCharType="end"/>
      </w:r>
      <w:r w:rsidRPr="00BC172D">
        <w:t>J. nr.</w:t>
      </w:r>
      <w:r w:rsidR="003B67AE">
        <w:t xml:space="preserve"> </w:t>
      </w:r>
      <w:r w:rsidR="00872C5E">
        <w:t>13-5966910</w:t>
      </w:r>
    </w:p>
    <w:p w:rsidR="00D37896" w:rsidRPr="00BC172D" w:rsidRDefault="00D37896" w:rsidP="00D37896">
      <w:pPr>
        <w:spacing w:line="288" w:lineRule="auto"/>
      </w:pPr>
      <w:r w:rsidRPr="00BC172D">
        <w:t>Udkast (</w:t>
      </w:r>
      <w:r w:rsidR="004D010A">
        <w:t>1</w:t>
      </w:r>
      <w:r w:rsidRPr="00BC172D">
        <w:t>)</w:t>
      </w:r>
    </w:p>
    <w:p w:rsidR="00D37896" w:rsidRPr="00BC172D" w:rsidRDefault="00D37896" w:rsidP="00D37896">
      <w:pPr>
        <w:spacing w:line="288" w:lineRule="auto"/>
      </w:pPr>
    </w:p>
    <w:p w:rsidR="00D37896" w:rsidRPr="00BC172D" w:rsidRDefault="00D37896" w:rsidP="00D37896">
      <w:pPr>
        <w:spacing w:line="288" w:lineRule="auto"/>
      </w:pPr>
    </w:p>
    <w:p w:rsidR="00D37896" w:rsidRPr="00BC172D" w:rsidRDefault="00D37896" w:rsidP="00D37896">
      <w:pPr>
        <w:spacing w:line="288" w:lineRule="auto"/>
      </w:pPr>
    </w:p>
    <w:p w:rsidR="00D37896" w:rsidRDefault="00D37896" w:rsidP="00D37896">
      <w:pPr>
        <w:spacing w:line="288" w:lineRule="auto"/>
      </w:pPr>
    </w:p>
    <w:p w:rsidR="00D37896" w:rsidRPr="00BC172D" w:rsidRDefault="00D37896" w:rsidP="00D37896">
      <w:pPr>
        <w:spacing w:line="288" w:lineRule="auto"/>
      </w:pPr>
    </w:p>
    <w:p w:rsidR="00D37896" w:rsidRPr="00BC172D" w:rsidRDefault="00D37896" w:rsidP="00D37896">
      <w:pPr>
        <w:spacing w:line="288" w:lineRule="auto"/>
      </w:pPr>
    </w:p>
    <w:p w:rsidR="00D37896" w:rsidRPr="00BC172D" w:rsidRDefault="00D37896" w:rsidP="00D37896">
      <w:pPr>
        <w:jc w:val="center"/>
        <w:rPr>
          <w:b/>
          <w:bCs/>
          <w:sz w:val="28"/>
        </w:rPr>
      </w:pPr>
      <w:r w:rsidRPr="00BC172D">
        <w:rPr>
          <w:b/>
          <w:bCs/>
          <w:sz w:val="28"/>
        </w:rPr>
        <w:t xml:space="preserve">Forslag </w:t>
      </w:r>
    </w:p>
    <w:p w:rsidR="00D37896" w:rsidRPr="00BC172D" w:rsidRDefault="00D37896" w:rsidP="00D37896">
      <w:pPr>
        <w:jc w:val="center"/>
      </w:pPr>
      <w:r w:rsidRPr="00BC172D">
        <w:t xml:space="preserve">til </w:t>
      </w:r>
    </w:p>
    <w:p w:rsidR="00D37896" w:rsidRPr="008677D7" w:rsidRDefault="00D37896" w:rsidP="00D37896">
      <w:pPr>
        <w:jc w:val="center"/>
        <w:rPr>
          <w:b/>
          <w:sz w:val="28"/>
        </w:rPr>
      </w:pPr>
      <w:r w:rsidRPr="008677D7">
        <w:rPr>
          <w:b/>
          <w:sz w:val="28"/>
        </w:rPr>
        <w:t>Lov om ændring af</w:t>
      </w:r>
      <w:r w:rsidR="004D010A">
        <w:rPr>
          <w:b/>
          <w:sz w:val="28"/>
        </w:rPr>
        <w:t xml:space="preserve"> </w:t>
      </w:r>
      <w:r w:rsidR="00FF4F2D">
        <w:rPr>
          <w:b/>
          <w:sz w:val="28"/>
        </w:rPr>
        <w:t>ligningsloven</w:t>
      </w:r>
      <w:r w:rsidR="00C26142">
        <w:rPr>
          <w:b/>
          <w:sz w:val="28"/>
        </w:rPr>
        <w:t>, momsloven</w:t>
      </w:r>
      <w:r w:rsidR="00FA668F">
        <w:rPr>
          <w:b/>
          <w:sz w:val="28"/>
        </w:rPr>
        <w:t xml:space="preserve"> og forskellige andre love</w:t>
      </w:r>
      <w:r w:rsidRPr="008677D7">
        <w:rPr>
          <w:b/>
          <w:sz w:val="28"/>
        </w:rPr>
        <w:t xml:space="preserve"> </w:t>
      </w:r>
    </w:p>
    <w:p w:rsidR="00D37896" w:rsidRPr="00BC172D" w:rsidRDefault="00D37896" w:rsidP="00D37896">
      <w:pPr>
        <w:jc w:val="center"/>
      </w:pPr>
      <w:r>
        <w:t>(</w:t>
      </w:r>
      <w:r w:rsidR="00FF4F2D">
        <w:t xml:space="preserve">Fremrykning </w:t>
      </w:r>
      <w:r w:rsidR="00DF6A74">
        <w:t>af</w:t>
      </w:r>
      <w:r w:rsidR="00FF4F2D">
        <w:t xml:space="preserve"> skatte- og afgiftslempelser fra Aftaler om Vækstplan DK</w:t>
      </w:r>
      <w:r w:rsidR="00DF6A74">
        <w:t xml:space="preserve"> og forhøjelse af b</w:t>
      </w:r>
      <w:r w:rsidR="00DF6A74">
        <w:t>e</w:t>
      </w:r>
      <w:r w:rsidR="00DF6A74">
        <w:t>skæftigelsesfradrag</w:t>
      </w:r>
      <w:r w:rsidR="00023D5F">
        <w:t xml:space="preserve"> m.v.</w:t>
      </w:r>
      <w:r>
        <w:t>)</w:t>
      </w:r>
    </w:p>
    <w:p w:rsidR="00D37896" w:rsidRPr="00BC172D" w:rsidRDefault="00D37896" w:rsidP="00D37896">
      <w:pPr>
        <w:spacing w:line="288" w:lineRule="auto"/>
        <w:jc w:val="center"/>
      </w:pPr>
    </w:p>
    <w:p w:rsidR="00376FD2" w:rsidRPr="00BC172D" w:rsidRDefault="001B78AD" w:rsidP="001B78AD">
      <w:pPr>
        <w:ind w:left="3600" w:firstLine="720"/>
      </w:pPr>
      <w:r>
        <w:rPr>
          <w:b/>
        </w:rPr>
        <w:t>§ 1</w:t>
      </w:r>
      <w:r w:rsidR="00376FD2" w:rsidRPr="00BC172D">
        <w:t xml:space="preserve"> </w:t>
      </w:r>
    </w:p>
    <w:p w:rsidR="00376FD2" w:rsidRPr="00BC172D" w:rsidRDefault="00376FD2" w:rsidP="00376FD2">
      <w:pPr>
        <w:jc w:val="center"/>
      </w:pPr>
    </w:p>
    <w:p w:rsidR="00095E8B" w:rsidRPr="000E49FC" w:rsidRDefault="0040654C" w:rsidP="00095E8B">
      <w:r>
        <w:t xml:space="preserve">            </w:t>
      </w:r>
      <w:r w:rsidR="00095E8B" w:rsidRPr="000E49FC">
        <w:t>I ligningslo</w:t>
      </w:r>
      <w:r w:rsidR="00095E8B">
        <w:t>ven, jf. lovbekendtgørelse nr. 405 af 22. april 2013</w:t>
      </w:r>
      <w:r w:rsidR="00095E8B" w:rsidRPr="000E49FC">
        <w:t xml:space="preserve">, som </w:t>
      </w:r>
      <w:r w:rsidR="00095E8B">
        <w:t xml:space="preserve">ændret senest </w:t>
      </w:r>
      <w:r w:rsidR="00095E8B" w:rsidRPr="000E49FC">
        <w:t>ved</w:t>
      </w:r>
      <w:r w:rsidR="00095E8B">
        <w:t xml:space="preserve"> § 7 i lov </w:t>
      </w:r>
      <w:r w:rsidR="00095E8B" w:rsidRPr="00A6696C">
        <w:t>nr</w:t>
      </w:r>
      <w:r w:rsidR="00095E8B">
        <w:t>. 792 af 28. juni 2013</w:t>
      </w:r>
      <w:r w:rsidR="00095E8B" w:rsidRPr="000E49FC">
        <w:t>, foretages følgende ændringer:</w:t>
      </w:r>
    </w:p>
    <w:p w:rsidR="00095E8B" w:rsidRPr="000E49FC" w:rsidRDefault="00095E8B" w:rsidP="00095E8B">
      <w:pPr>
        <w:tabs>
          <w:tab w:val="left" w:pos="360"/>
          <w:tab w:val="left" w:pos="540"/>
        </w:tabs>
        <w:spacing w:line="264" w:lineRule="auto"/>
      </w:pPr>
    </w:p>
    <w:p w:rsidR="00095E8B" w:rsidRPr="00F978F6" w:rsidRDefault="00095E8B" w:rsidP="00095E8B">
      <w:pPr>
        <w:pStyle w:val="Listeafsnit"/>
        <w:ind w:left="0"/>
        <w:rPr>
          <w:rStyle w:val="kursiv"/>
          <w:rFonts w:eastAsia="Arial Unicode MS"/>
          <w:i w:val="0"/>
        </w:rPr>
      </w:pPr>
      <w:r w:rsidRPr="00F978F6">
        <w:rPr>
          <w:b/>
          <w:bCs/>
        </w:rPr>
        <w:t>1.</w:t>
      </w:r>
      <w:r w:rsidRPr="00F978F6">
        <w:rPr>
          <w:bCs/>
        </w:rPr>
        <w:t xml:space="preserve"> </w:t>
      </w:r>
      <w:r w:rsidRPr="00F978F6">
        <w:rPr>
          <w:rStyle w:val="kursiv"/>
          <w:rFonts w:eastAsia="Arial Unicode MS"/>
        </w:rPr>
        <w:t>§ 9 J, stk. 2,</w:t>
      </w:r>
      <w:r w:rsidR="00002413">
        <w:rPr>
          <w:rStyle w:val="kursiv"/>
          <w:rFonts w:eastAsia="Arial Unicode MS"/>
        </w:rPr>
        <w:t xml:space="preserve"> </w:t>
      </w:r>
      <w:r>
        <w:rPr>
          <w:rStyle w:val="kursiv"/>
          <w:rFonts w:eastAsia="Arial Unicode MS"/>
        </w:rPr>
        <w:t>4.-7</w:t>
      </w:r>
      <w:r w:rsidRPr="00F978F6">
        <w:rPr>
          <w:rStyle w:val="kursiv"/>
          <w:rFonts w:eastAsia="Arial Unicode MS"/>
        </w:rPr>
        <w:t>. pkt.,</w:t>
      </w:r>
      <w:r w:rsidR="00002413" w:rsidRPr="002A31CF">
        <w:rPr>
          <w:rStyle w:val="kursiv"/>
          <w:rFonts w:eastAsia="Arial Unicode MS"/>
          <w:i w:val="0"/>
        </w:rPr>
        <w:t xml:space="preserve"> </w:t>
      </w:r>
      <w:r w:rsidR="00002413">
        <w:rPr>
          <w:rStyle w:val="kursiv"/>
          <w:rFonts w:eastAsia="Arial Unicode MS"/>
          <w:i w:val="0"/>
        </w:rPr>
        <w:t>ophæves,</w:t>
      </w:r>
      <w:r w:rsidRPr="002A31CF">
        <w:rPr>
          <w:rStyle w:val="kursiv"/>
          <w:rFonts w:eastAsia="Arial Unicode MS"/>
          <w:i w:val="0"/>
        </w:rPr>
        <w:t xml:space="preserve"> </w:t>
      </w:r>
      <w:r w:rsidRPr="00EC1195">
        <w:rPr>
          <w:rStyle w:val="kursiv"/>
          <w:rFonts w:eastAsia="Arial Unicode MS"/>
          <w:i w:val="0"/>
        </w:rPr>
        <w:t>og i stedet indsættes:</w:t>
      </w:r>
    </w:p>
    <w:p w:rsidR="00095E8B" w:rsidRPr="000E49FC" w:rsidRDefault="00095E8B" w:rsidP="00095E8B">
      <w:pPr>
        <w:widowControl w:val="0"/>
        <w:autoSpaceDE w:val="0"/>
        <w:autoSpaceDN w:val="0"/>
        <w:adjustRightInd w:val="0"/>
        <w:spacing w:line="264" w:lineRule="auto"/>
      </w:pPr>
      <w:r w:rsidRPr="00522751">
        <w:rPr>
          <w:rStyle w:val="kursiv"/>
          <w:rFonts w:eastAsia="Arial Unicode MS"/>
        </w:rPr>
        <w:t xml:space="preserve"> </w:t>
      </w:r>
      <w:r w:rsidRPr="00C63BE0">
        <w:t>”</w:t>
      </w:r>
      <w:r w:rsidRPr="00C63BE0">
        <w:rPr>
          <w:color w:val="000000"/>
        </w:rPr>
        <w:t>For indkomståret 2014 udgør procenten 7,</w:t>
      </w:r>
      <w:r>
        <w:rPr>
          <w:color w:val="000000"/>
        </w:rPr>
        <w:t>6</w:t>
      </w:r>
      <w:r w:rsidRPr="00C63BE0">
        <w:rPr>
          <w:color w:val="000000"/>
        </w:rPr>
        <w:t>5 og grundbeløbet 2</w:t>
      </w:r>
      <w:r>
        <w:rPr>
          <w:color w:val="000000"/>
        </w:rPr>
        <w:t>4</w:t>
      </w:r>
      <w:r w:rsidRPr="00C63BE0">
        <w:rPr>
          <w:color w:val="000000"/>
        </w:rPr>
        <w:t>.</w:t>
      </w:r>
      <w:r>
        <w:rPr>
          <w:color w:val="000000"/>
        </w:rPr>
        <w:t>5</w:t>
      </w:r>
      <w:r w:rsidRPr="00C63BE0">
        <w:rPr>
          <w:color w:val="000000"/>
        </w:rPr>
        <w:t>00 kr. (2010-niveau). For</w:t>
      </w:r>
      <w:r>
        <w:rPr>
          <w:color w:val="000000"/>
        </w:rPr>
        <w:t xml:space="preserve"> </w:t>
      </w:r>
      <w:r w:rsidRPr="00C63BE0">
        <w:rPr>
          <w:color w:val="000000"/>
        </w:rPr>
        <w:t xml:space="preserve">indkomståret 2015 udgør procenten </w:t>
      </w:r>
      <w:r>
        <w:rPr>
          <w:color w:val="000000"/>
        </w:rPr>
        <w:t>8,05</w:t>
      </w:r>
      <w:r w:rsidRPr="00C63BE0">
        <w:rPr>
          <w:color w:val="000000"/>
        </w:rPr>
        <w:t xml:space="preserve"> og grundbeløbet 25.</w:t>
      </w:r>
      <w:r>
        <w:rPr>
          <w:color w:val="000000"/>
        </w:rPr>
        <w:t>9</w:t>
      </w:r>
      <w:r w:rsidRPr="00C63BE0">
        <w:rPr>
          <w:color w:val="000000"/>
        </w:rPr>
        <w:t>00 kr. (2010-niveau). For in</w:t>
      </w:r>
      <w:r w:rsidRPr="00C63BE0">
        <w:rPr>
          <w:color w:val="000000"/>
        </w:rPr>
        <w:t>d</w:t>
      </w:r>
      <w:r w:rsidRPr="00C63BE0">
        <w:rPr>
          <w:color w:val="000000"/>
        </w:rPr>
        <w:t>komståret 2016 udgør procenten 8,</w:t>
      </w:r>
      <w:r>
        <w:rPr>
          <w:color w:val="000000"/>
        </w:rPr>
        <w:t>3</w:t>
      </w:r>
      <w:r w:rsidRPr="00C63BE0">
        <w:rPr>
          <w:color w:val="000000"/>
        </w:rPr>
        <w:t xml:space="preserve"> og grundbeløbet 26.</w:t>
      </w:r>
      <w:r>
        <w:rPr>
          <w:color w:val="000000"/>
        </w:rPr>
        <w:t>7</w:t>
      </w:r>
      <w:r w:rsidRPr="00C63BE0">
        <w:rPr>
          <w:color w:val="000000"/>
        </w:rPr>
        <w:t>00 kr. (2010-niveau). For indkomståret 2017 udgør procenten 8,</w:t>
      </w:r>
      <w:r>
        <w:rPr>
          <w:color w:val="000000"/>
        </w:rPr>
        <w:t>75</w:t>
      </w:r>
      <w:r w:rsidRPr="00C63BE0">
        <w:rPr>
          <w:color w:val="000000"/>
        </w:rPr>
        <w:t xml:space="preserve"> og grundbeløbet 2</w:t>
      </w:r>
      <w:r>
        <w:rPr>
          <w:color w:val="000000"/>
        </w:rPr>
        <w:t>8</w:t>
      </w:r>
      <w:r w:rsidRPr="00C63BE0">
        <w:rPr>
          <w:color w:val="000000"/>
        </w:rPr>
        <w:t>.</w:t>
      </w:r>
      <w:r>
        <w:rPr>
          <w:color w:val="000000"/>
        </w:rPr>
        <w:t>0</w:t>
      </w:r>
      <w:r w:rsidRPr="00C63BE0">
        <w:rPr>
          <w:color w:val="000000"/>
        </w:rPr>
        <w:t>00 kr. (2010-niveau).</w:t>
      </w:r>
      <w:r>
        <w:rPr>
          <w:color w:val="000000"/>
        </w:rPr>
        <w:t>”</w:t>
      </w:r>
    </w:p>
    <w:p w:rsidR="00095E8B" w:rsidRPr="000E49FC" w:rsidRDefault="00095E8B" w:rsidP="00095E8B">
      <w:pPr>
        <w:pStyle w:val="Overskrift2"/>
        <w:tabs>
          <w:tab w:val="left" w:pos="900"/>
          <w:tab w:val="left" w:pos="1080"/>
          <w:tab w:val="left" w:pos="1260"/>
        </w:tabs>
        <w:spacing w:line="264" w:lineRule="auto"/>
        <w:rPr>
          <w:sz w:val="24"/>
        </w:rPr>
      </w:pPr>
    </w:p>
    <w:p w:rsidR="00095E8B" w:rsidRDefault="00095E8B" w:rsidP="00095E8B">
      <w:pPr>
        <w:tabs>
          <w:tab w:val="left" w:pos="360"/>
        </w:tabs>
        <w:spacing w:line="264" w:lineRule="auto"/>
        <w:rPr>
          <w:bCs/>
        </w:rPr>
      </w:pPr>
      <w:r w:rsidRPr="000E49FC">
        <w:rPr>
          <w:b/>
          <w:bCs/>
        </w:rPr>
        <w:t xml:space="preserve">2. </w:t>
      </w:r>
      <w:r w:rsidR="00002413">
        <w:rPr>
          <w:bCs/>
          <w:i/>
        </w:rPr>
        <w:t>§</w:t>
      </w:r>
      <w:r w:rsidRPr="000E49FC">
        <w:rPr>
          <w:bCs/>
          <w:i/>
        </w:rPr>
        <w:t xml:space="preserve"> 9 J</w:t>
      </w:r>
      <w:r>
        <w:rPr>
          <w:bCs/>
          <w:i/>
        </w:rPr>
        <w:t>,</w:t>
      </w:r>
      <w:r w:rsidRPr="000E49FC">
        <w:rPr>
          <w:bCs/>
          <w:i/>
        </w:rPr>
        <w:t xml:space="preserve"> </w:t>
      </w:r>
      <w:r w:rsidRPr="00065660">
        <w:rPr>
          <w:bCs/>
          <w:i/>
        </w:rPr>
        <w:t xml:space="preserve">stk. </w:t>
      </w:r>
      <w:r>
        <w:rPr>
          <w:bCs/>
          <w:i/>
        </w:rPr>
        <w:t>4,</w:t>
      </w:r>
      <w:r w:rsidR="00A755F2">
        <w:rPr>
          <w:bCs/>
          <w:i/>
        </w:rPr>
        <w:t xml:space="preserve"> </w:t>
      </w:r>
      <w:r w:rsidRPr="008E43A5">
        <w:rPr>
          <w:bCs/>
          <w:i/>
        </w:rPr>
        <w:t>1</w:t>
      </w:r>
      <w:r w:rsidR="00A755F2">
        <w:rPr>
          <w:bCs/>
          <w:i/>
        </w:rPr>
        <w:t>.</w:t>
      </w:r>
      <w:r w:rsidR="00A755F2" w:rsidRPr="00674C8A">
        <w:rPr>
          <w:bCs/>
        </w:rPr>
        <w:t xml:space="preserve"> og </w:t>
      </w:r>
      <w:r w:rsidRPr="008E43A5">
        <w:rPr>
          <w:bCs/>
          <w:i/>
        </w:rPr>
        <w:t>2. pkt.</w:t>
      </w:r>
      <w:r w:rsidR="00A755F2">
        <w:rPr>
          <w:bCs/>
          <w:i/>
        </w:rPr>
        <w:t>,</w:t>
      </w:r>
      <w:r w:rsidR="00A755F2" w:rsidRPr="00674C8A">
        <w:rPr>
          <w:bCs/>
        </w:rPr>
        <w:t xml:space="preserve"> </w:t>
      </w:r>
      <w:r w:rsidR="00A755F2">
        <w:rPr>
          <w:bCs/>
        </w:rPr>
        <w:t>ophæves</w:t>
      </w:r>
      <w:r w:rsidRPr="00A755F2">
        <w:rPr>
          <w:bCs/>
        </w:rPr>
        <w:t>,</w:t>
      </w:r>
      <w:r>
        <w:rPr>
          <w:bCs/>
        </w:rPr>
        <w:t xml:space="preserve"> og i stedet indsættes:</w:t>
      </w:r>
    </w:p>
    <w:p w:rsidR="001B78AD" w:rsidRDefault="00095E8B" w:rsidP="00E77249">
      <w:r>
        <w:rPr>
          <w:bCs/>
        </w:rPr>
        <w:t>”</w:t>
      </w:r>
      <w:r w:rsidRPr="0004506D">
        <w:t>For indkomstår</w:t>
      </w:r>
      <w:r>
        <w:t>ene 2014 og</w:t>
      </w:r>
      <w:r w:rsidRPr="0004506D">
        <w:t xml:space="preserve"> 2015 udgør procenten 5,4 og grundbeløbet 17.300 kr. (2010-niveau).</w:t>
      </w:r>
      <w:r>
        <w:t>”</w:t>
      </w:r>
      <w:r w:rsidRPr="0004506D">
        <w:t xml:space="preserve"> </w:t>
      </w:r>
    </w:p>
    <w:p w:rsidR="00E77249" w:rsidRDefault="00E77249" w:rsidP="00E77249">
      <w:pPr>
        <w:rPr>
          <w:rFonts w:asciiTheme="minorHAnsi" w:hAnsiTheme="minorHAnsi"/>
          <w:b/>
          <w:bCs/>
        </w:rPr>
      </w:pPr>
    </w:p>
    <w:p w:rsidR="00BE06F5" w:rsidRPr="00BE06F5" w:rsidRDefault="00BE06F5" w:rsidP="00BE06F5">
      <w:pPr>
        <w:tabs>
          <w:tab w:val="left" w:pos="360"/>
        </w:tabs>
        <w:spacing w:line="288" w:lineRule="auto"/>
        <w:jc w:val="center"/>
        <w:rPr>
          <w:rFonts w:asciiTheme="minorHAnsi" w:hAnsiTheme="minorHAnsi"/>
          <w:b/>
          <w:bCs/>
        </w:rPr>
      </w:pPr>
      <w:r w:rsidRPr="00BE06F5">
        <w:rPr>
          <w:rFonts w:asciiTheme="minorHAnsi" w:hAnsiTheme="minorHAnsi"/>
          <w:b/>
          <w:bCs/>
        </w:rPr>
        <w:t>§ 2</w:t>
      </w:r>
    </w:p>
    <w:p w:rsidR="00BE06F5" w:rsidRDefault="00BE06F5" w:rsidP="00376FD2">
      <w:pPr>
        <w:tabs>
          <w:tab w:val="left" w:pos="360"/>
        </w:tabs>
        <w:spacing w:line="288" w:lineRule="auto"/>
        <w:rPr>
          <w:rFonts w:asciiTheme="minorHAnsi" w:hAnsiTheme="minorHAnsi"/>
          <w:b/>
          <w:bCs/>
        </w:rPr>
      </w:pPr>
    </w:p>
    <w:p w:rsidR="00BE06F5" w:rsidRDefault="00BE06F5" w:rsidP="00BE06F5">
      <w:pPr>
        <w:spacing w:line="288" w:lineRule="auto"/>
        <w:ind w:firstLine="720"/>
      </w:pPr>
      <w:r>
        <w:t>I momsloven, jf. lovbekendtgørelse nr. 106 af 23. januar 2013, som ændret ved § 7 i lov nr. 903 af 4. juli 2013, foretages følgende ændring:</w:t>
      </w:r>
    </w:p>
    <w:p w:rsidR="00BE06F5" w:rsidRDefault="00BE06F5" w:rsidP="00BE06F5">
      <w:pPr>
        <w:spacing w:line="288" w:lineRule="auto"/>
      </w:pPr>
    </w:p>
    <w:p w:rsidR="00BE06F5" w:rsidRDefault="00BE06F5" w:rsidP="00BE06F5">
      <w:pPr>
        <w:spacing w:line="288" w:lineRule="auto"/>
      </w:pPr>
      <w:r>
        <w:rPr>
          <w:b/>
        </w:rPr>
        <w:t xml:space="preserve">1. </w:t>
      </w:r>
      <w:r w:rsidRPr="001B78AD">
        <w:t xml:space="preserve">I </w:t>
      </w:r>
      <w:r w:rsidRPr="001B78AD">
        <w:rPr>
          <w:i/>
        </w:rPr>
        <w:t xml:space="preserve">§ </w:t>
      </w:r>
      <w:r>
        <w:rPr>
          <w:i/>
        </w:rPr>
        <w:t>57, stk. 3</w:t>
      </w:r>
      <w:r w:rsidR="00A755F2">
        <w:rPr>
          <w:i/>
        </w:rPr>
        <w:t>, 1. pkt.,</w:t>
      </w:r>
      <w:r w:rsidR="00A755F2" w:rsidRPr="00674C8A">
        <w:t xml:space="preserve"> </w:t>
      </w:r>
      <w:r w:rsidRPr="00674C8A">
        <w:t>og</w:t>
      </w:r>
      <w:r w:rsidR="00A755F2" w:rsidRPr="00674C8A">
        <w:t xml:space="preserve"> </w:t>
      </w:r>
      <w:r w:rsidR="00A755F2">
        <w:rPr>
          <w:i/>
        </w:rPr>
        <w:t>stk. 4</w:t>
      </w:r>
      <w:r>
        <w:rPr>
          <w:i/>
        </w:rPr>
        <w:t>,</w:t>
      </w:r>
      <w:r w:rsidR="00A755F2">
        <w:rPr>
          <w:i/>
        </w:rPr>
        <w:t xml:space="preserve"> 1. pkt.,</w:t>
      </w:r>
      <w:r>
        <w:rPr>
          <w:i/>
        </w:rPr>
        <w:t xml:space="preserve"> </w:t>
      </w:r>
      <w:r w:rsidRPr="001B78AD">
        <w:t>ændres</w:t>
      </w:r>
      <w:r>
        <w:t xml:space="preserve"> ”1 mio. kr.” til ”5 mio. kr.”</w:t>
      </w:r>
    </w:p>
    <w:p w:rsidR="00FE54A2" w:rsidRDefault="00FE54A2" w:rsidP="00376FD2">
      <w:pPr>
        <w:tabs>
          <w:tab w:val="left" w:pos="360"/>
        </w:tabs>
        <w:spacing w:line="288" w:lineRule="auto"/>
        <w:rPr>
          <w:rFonts w:asciiTheme="minorHAnsi" w:hAnsiTheme="minorHAnsi"/>
          <w:b/>
          <w:bCs/>
        </w:rPr>
      </w:pPr>
    </w:p>
    <w:p w:rsidR="00E71E21" w:rsidRDefault="00E71E21" w:rsidP="00E71E21">
      <w:pPr>
        <w:ind w:left="3600" w:firstLine="720"/>
        <w:rPr>
          <w:b/>
        </w:rPr>
      </w:pPr>
      <w:r w:rsidRPr="000853E2">
        <w:rPr>
          <w:b/>
        </w:rPr>
        <w:t xml:space="preserve">§ </w:t>
      </w:r>
      <w:r w:rsidR="00095148">
        <w:rPr>
          <w:b/>
        </w:rPr>
        <w:t>3</w:t>
      </w:r>
    </w:p>
    <w:p w:rsidR="00E71E21" w:rsidRDefault="00E71E21" w:rsidP="00E71E21">
      <w:pPr>
        <w:ind w:left="3600" w:firstLine="720"/>
        <w:rPr>
          <w:b/>
        </w:rPr>
      </w:pPr>
    </w:p>
    <w:p w:rsidR="00E71E21" w:rsidRPr="002E6511" w:rsidRDefault="00E71E21" w:rsidP="00E71E21">
      <w:pPr>
        <w:ind w:firstLine="720"/>
      </w:pPr>
      <w:r w:rsidRPr="00943213">
        <w:t xml:space="preserve">I lov om afgift af elektricitet, </w:t>
      </w:r>
      <w:r w:rsidRPr="002E6511">
        <w:t xml:space="preserve">jf. lovbekendtgørelse nr. 310 af 1. april 2011, som ændret bl.a. ved § 1 i lov nr. 722 af </w:t>
      </w:r>
      <w:r w:rsidR="00856521">
        <w:t>25. juni</w:t>
      </w:r>
      <w:r w:rsidRPr="002E6511">
        <w:t xml:space="preserve"> 2010, § 1 i lov nr. 625 af 14. juni 2011, § 2 i lov nr. 1395 af 23. december 2012</w:t>
      </w:r>
      <w:r w:rsidR="0001672F">
        <w:t>, § 4 i lov nr. 789 af 28. juni 2013</w:t>
      </w:r>
      <w:r w:rsidRPr="002E6511">
        <w:t xml:space="preserve"> og senest ved § 3 i lov nr. 903 af 4. juli 2013, foretages følgende ændring:</w:t>
      </w:r>
    </w:p>
    <w:p w:rsidR="00E71E21" w:rsidRPr="002E6511" w:rsidRDefault="00E71E21" w:rsidP="00E71E21"/>
    <w:p w:rsidR="00E71E21" w:rsidRDefault="00E71E21" w:rsidP="00E71E21">
      <w:r w:rsidRPr="002E6511">
        <w:rPr>
          <w:b/>
        </w:rPr>
        <w:t>1.</w:t>
      </w:r>
      <w:r w:rsidRPr="002E6511">
        <w:t xml:space="preserve"> I </w:t>
      </w:r>
      <w:r w:rsidRPr="002E6511">
        <w:rPr>
          <w:i/>
        </w:rPr>
        <w:t>§ 11, stk. 3</w:t>
      </w:r>
      <w:r w:rsidRPr="002E6511">
        <w:t xml:space="preserve">, </w:t>
      </w:r>
      <w:r w:rsidRPr="00674C8A">
        <w:rPr>
          <w:i/>
        </w:rPr>
        <w:t>7. pkt.,</w:t>
      </w:r>
      <w:r w:rsidRPr="002E6511">
        <w:t xml:space="preserve"> ændres ”42,9” til: ”42,8”.</w:t>
      </w:r>
    </w:p>
    <w:p w:rsidR="00E71E21" w:rsidRDefault="00E71E21" w:rsidP="00E71E21"/>
    <w:p w:rsidR="00E71E21" w:rsidRPr="00027D31" w:rsidRDefault="00E71E21" w:rsidP="00E71E21">
      <w:r w:rsidRPr="005061BD">
        <w:rPr>
          <w:b/>
        </w:rPr>
        <w:t>2</w:t>
      </w:r>
      <w:r>
        <w:t xml:space="preserve">. </w:t>
      </w:r>
      <w:r w:rsidRPr="005061BD">
        <w:rPr>
          <w:i/>
        </w:rPr>
        <w:t>Bilag 3 a</w:t>
      </w:r>
      <w:r>
        <w:t xml:space="preserve"> affattes </w:t>
      </w:r>
      <w:r w:rsidR="00EA553F">
        <w:t>s</w:t>
      </w:r>
      <w:r>
        <w:t>om bilag 1 til denne lov.</w:t>
      </w:r>
    </w:p>
    <w:p w:rsidR="00E71E21" w:rsidRDefault="00E71E21" w:rsidP="00E71E21">
      <w:pPr>
        <w:ind w:left="3600" w:firstLine="720"/>
        <w:rPr>
          <w:b/>
        </w:rPr>
      </w:pPr>
    </w:p>
    <w:p w:rsidR="00E71E21" w:rsidRPr="000853E2" w:rsidRDefault="00E71E21" w:rsidP="00E71E21">
      <w:pPr>
        <w:ind w:left="3600" w:firstLine="720"/>
      </w:pPr>
      <w:r w:rsidRPr="005061BD">
        <w:rPr>
          <w:b/>
        </w:rPr>
        <w:lastRenderedPageBreak/>
        <w:t xml:space="preserve">§ </w:t>
      </w:r>
      <w:r w:rsidR="00095148">
        <w:rPr>
          <w:b/>
        </w:rPr>
        <w:t>4</w:t>
      </w:r>
    </w:p>
    <w:p w:rsidR="00E71E21" w:rsidRPr="000853E2" w:rsidRDefault="00E71E21" w:rsidP="00E71E21">
      <w:pPr>
        <w:spacing w:line="288" w:lineRule="auto"/>
      </w:pPr>
    </w:p>
    <w:p w:rsidR="00E71E21" w:rsidRPr="000853E2" w:rsidRDefault="00E71E21" w:rsidP="00E71E21">
      <w:pPr>
        <w:spacing w:line="288" w:lineRule="auto"/>
        <w:ind w:firstLine="720"/>
      </w:pPr>
      <w:r w:rsidRPr="000853E2">
        <w:t>I lov om afgift af naturgas og bygas, jf. lovbekendtgørelse nr. 312 af 1. april 2011, som ændret bl.a. ved § 2 i lov nr. 625 af 14. juni 2011, § 2 i lov nr. 70 af 30. januar 2013 og senest ved § 4 i lov nr. 903 af 4. juli 2013, foretages følgende ændringer:</w:t>
      </w:r>
    </w:p>
    <w:p w:rsidR="00E71E21" w:rsidRPr="000853E2" w:rsidRDefault="00E71E21" w:rsidP="00E71E21">
      <w:pPr>
        <w:spacing w:line="288" w:lineRule="auto"/>
        <w:ind w:firstLine="720"/>
      </w:pPr>
    </w:p>
    <w:p w:rsidR="00E71E21" w:rsidRPr="000853E2" w:rsidRDefault="00E71E21" w:rsidP="00E71E21">
      <w:pPr>
        <w:spacing w:line="288" w:lineRule="auto"/>
      </w:pPr>
      <w:r w:rsidRPr="000853E2">
        <w:rPr>
          <w:b/>
        </w:rPr>
        <w:t>1.</w:t>
      </w:r>
      <w:r w:rsidRPr="000853E2">
        <w:t xml:space="preserve"> </w:t>
      </w:r>
      <w:r w:rsidRPr="000853E2">
        <w:rPr>
          <w:i/>
        </w:rPr>
        <w:t>§ 10 a</w:t>
      </w:r>
      <w:r w:rsidRPr="000853E2">
        <w:t xml:space="preserve"> affattes således:</w:t>
      </w:r>
    </w:p>
    <w:p w:rsidR="00E71E21" w:rsidRPr="000853E2" w:rsidRDefault="00E71E21" w:rsidP="00E71E21">
      <w:pPr>
        <w:spacing w:line="288" w:lineRule="auto"/>
      </w:pPr>
      <w:r w:rsidRPr="000853E2">
        <w:t>”</w:t>
      </w:r>
      <w:r w:rsidRPr="000853E2">
        <w:rPr>
          <w:b/>
        </w:rPr>
        <w:t xml:space="preserve">§ 10 a. </w:t>
      </w:r>
      <w:r w:rsidRPr="000853E2">
        <w:t xml:space="preserve">Tilbagebetalingen af afgift efter § 10 nedsættes med 4,5 kr./GJ, jf. dog §§ 10 b, 10 c og 10 d. </w:t>
      </w:r>
      <w:r w:rsidR="002B2A42">
        <w:t>Afgiftspligtige kan vælge, at t</w:t>
      </w:r>
      <w:r w:rsidRPr="000853E2">
        <w:t xml:space="preserve">ilbagebetalingen efter 1. pkt. også </w:t>
      </w:r>
      <w:r w:rsidR="002B2A42" w:rsidRPr="000853E2">
        <w:t xml:space="preserve">kan </w:t>
      </w:r>
      <w:r w:rsidRPr="000853E2">
        <w:t>beregnes som en redu</w:t>
      </w:r>
      <w:r w:rsidRPr="000853E2">
        <w:t>k</w:t>
      </w:r>
      <w:r w:rsidRPr="000853E2">
        <w:t>tion af afgiftsbetalingen med 4,5 kr./GJ delt med afgiftssatsen i § 8, stk. 4, 2. pkt., ganget med 1 over 1,2.”</w:t>
      </w:r>
    </w:p>
    <w:p w:rsidR="00E71E21" w:rsidRPr="000853E2" w:rsidRDefault="00E71E21" w:rsidP="00E71E21">
      <w:pPr>
        <w:spacing w:line="288" w:lineRule="auto"/>
        <w:ind w:firstLine="720"/>
      </w:pPr>
    </w:p>
    <w:p w:rsidR="00E71E21" w:rsidRPr="000853E2" w:rsidRDefault="00E71E21" w:rsidP="00E71E21">
      <w:pPr>
        <w:ind w:left="3600" w:firstLine="720"/>
      </w:pPr>
      <w:r w:rsidRPr="000853E2">
        <w:rPr>
          <w:b/>
        </w:rPr>
        <w:t xml:space="preserve">§ </w:t>
      </w:r>
      <w:r w:rsidR="00095148">
        <w:rPr>
          <w:b/>
        </w:rPr>
        <w:t>5</w:t>
      </w:r>
      <w:r w:rsidRPr="000853E2">
        <w:t xml:space="preserve"> </w:t>
      </w:r>
    </w:p>
    <w:p w:rsidR="00E71E21" w:rsidRPr="000853E2" w:rsidRDefault="00E71E21" w:rsidP="00E71E21">
      <w:pPr>
        <w:spacing w:line="288" w:lineRule="auto"/>
      </w:pPr>
    </w:p>
    <w:p w:rsidR="00E71E21" w:rsidRPr="000853E2" w:rsidRDefault="00E71E21" w:rsidP="00E71E21">
      <w:pPr>
        <w:spacing w:line="288" w:lineRule="auto"/>
        <w:ind w:firstLine="720"/>
      </w:pPr>
      <w:r w:rsidRPr="000853E2">
        <w:t>I lov om afgift af stenkul, brunkul og koks m.v., jf. lovbekendtgørelse nr. 1292 af 17. n</w:t>
      </w:r>
      <w:r w:rsidRPr="000853E2">
        <w:t>o</w:t>
      </w:r>
      <w:r w:rsidRPr="000853E2">
        <w:t>vember 2010, som ændret bl.a. ved § 3 i lov nr. 625 af 14. juni 2011, § 3 i lov nr. 70 af 30. januar 2013 og senest ved § 5 i lov nr. 903 af 4. juli 2013, foretages følgende ændring:</w:t>
      </w:r>
    </w:p>
    <w:p w:rsidR="00E71E21" w:rsidRPr="000853E2" w:rsidRDefault="00E71E21" w:rsidP="00E71E21">
      <w:pPr>
        <w:spacing w:line="288" w:lineRule="auto"/>
      </w:pPr>
    </w:p>
    <w:p w:rsidR="00E71E21" w:rsidRPr="000853E2" w:rsidRDefault="00E71E21" w:rsidP="00E71E21">
      <w:pPr>
        <w:spacing w:line="288" w:lineRule="auto"/>
      </w:pPr>
      <w:r w:rsidRPr="000853E2">
        <w:rPr>
          <w:b/>
        </w:rPr>
        <w:t>1.</w:t>
      </w:r>
      <w:r w:rsidRPr="000853E2">
        <w:t xml:space="preserve"> </w:t>
      </w:r>
      <w:r w:rsidRPr="000853E2">
        <w:rPr>
          <w:i/>
        </w:rPr>
        <w:t>§ 8 a</w:t>
      </w:r>
      <w:r w:rsidRPr="000853E2">
        <w:t xml:space="preserve"> affattes således:</w:t>
      </w:r>
    </w:p>
    <w:p w:rsidR="00E71E21" w:rsidRPr="000853E2" w:rsidRDefault="00E71E21" w:rsidP="00E71E21">
      <w:pPr>
        <w:spacing w:line="288" w:lineRule="auto"/>
      </w:pPr>
      <w:r w:rsidRPr="000853E2">
        <w:t>”</w:t>
      </w:r>
      <w:r w:rsidRPr="000853E2">
        <w:rPr>
          <w:b/>
        </w:rPr>
        <w:t xml:space="preserve">§ 8 a. </w:t>
      </w:r>
      <w:r w:rsidRPr="000853E2">
        <w:t xml:space="preserve">Tilbagebetalingen af afgift efter § 8 nedsættes med 4,5 kr./GJ, jf. dog §§ 8 b, 8 c og 8 d. </w:t>
      </w:r>
      <w:r w:rsidR="002B2A42">
        <w:t>Afgiftspligtige kan vælge, at t</w:t>
      </w:r>
      <w:r w:rsidRPr="000853E2">
        <w:t>ilbagebetalingen efter 1. pkt. også</w:t>
      </w:r>
      <w:r w:rsidR="002B2A42" w:rsidRPr="002B2A42">
        <w:t xml:space="preserve"> </w:t>
      </w:r>
      <w:r w:rsidR="002B2A42" w:rsidRPr="000853E2">
        <w:t>kan</w:t>
      </w:r>
      <w:r w:rsidRPr="000853E2">
        <w:t xml:space="preserve"> beregnes som en reduktion af afgiftsbetalingen med 4,5 kr./GJ delt med afgiftssatsen i § 7, stk. 3, 2. pkt., ganget med 1 over 1,2.”</w:t>
      </w:r>
    </w:p>
    <w:p w:rsidR="00E71E21" w:rsidRPr="000853E2" w:rsidRDefault="00E71E21" w:rsidP="00E71E21">
      <w:pPr>
        <w:spacing w:line="288" w:lineRule="auto"/>
      </w:pPr>
    </w:p>
    <w:p w:rsidR="00E71E21" w:rsidRPr="000853E2" w:rsidRDefault="00E71E21" w:rsidP="00E71E21">
      <w:pPr>
        <w:ind w:left="3600" w:firstLine="720"/>
      </w:pPr>
      <w:r w:rsidRPr="000853E2">
        <w:rPr>
          <w:b/>
        </w:rPr>
        <w:t xml:space="preserve">§ </w:t>
      </w:r>
      <w:r w:rsidR="00095148">
        <w:rPr>
          <w:b/>
        </w:rPr>
        <w:t>6</w:t>
      </w:r>
    </w:p>
    <w:p w:rsidR="00E71E21" w:rsidRPr="000853E2" w:rsidRDefault="00E71E21" w:rsidP="00E71E21">
      <w:pPr>
        <w:spacing w:line="288" w:lineRule="auto"/>
      </w:pPr>
    </w:p>
    <w:p w:rsidR="00E71E21" w:rsidRPr="000853E2" w:rsidRDefault="00E71E21" w:rsidP="00E71E21">
      <w:pPr>
        <w:spacing w:line="288" w:lineRule="auto"/>
        <w:ind w:firstLine="720"/>
      </w:pPr>
      <w:r w:rsidRPr="000853E2">
        <w:t>I lov om energiafgift af mineralolieprodukter m.v., jf. lovbekendtgørelse nr. 313 af 1. april 2011, som ændret bl.a. § 4 i lov nr. 625 af 14. juni 2011, § 4 i lov nr. 70 af 30. januar 2013 og s</w:t>
      </w:r>
      <w:r w:rsidRPr="000853E2">
        <w:t>e</w:t>
      </w:r>
      <w:r w:rsidRPr="000853E2">
        <w:t>nest ved § 6 i lov nr. 903 af 4. juli 2013, foretages følgende ændring:</w:t>
      </w:r>
    </w:p>
    <w:p w:rsidR="00E71E21" w:rsidRPr="000853E2" w:rsidRDefault="00E71E21" w:rsidP="00E71E21">
      <w:pPr>
        <w:spacing w:line="288" w:lineRule="auto"/>
        <w:ind w:firstLine="720"/>
      </w:pPr>
    </w:p>
    <w:p w:rsidR="00E71E21" w:rsidRPr="000853E2" w:rsidRDefault="00E71E21" w:rsidP="00E71E21">
      <w:pPr>
        <w:spacing w:line="288" w:lineRule="auto"/>
      </w:pPr>
      <w:r w:rsidRPr="000853E2">
        <w:rPr>
          <w:b/>
        </w:rPr>
        <w:t>1.</w:t>
      </w:r>
      <w:r w:rsidRPr="000853E2">
        <w:t xml:space="preserve"> </w:t>
      </w:r>
      <w:r w:rsidRPr="000853E2">
        <w:rPr>
          <w:i/>
        </w:rPr>
        <w:t>§ 11 a</w:t>
      </w:r>
      <w:r w:rsidRPr="000853E2">
        <w:t xml:space="preserve"> affattes således:</w:t>
      </w:r>
    </w:p>
    <w:p w:rsidR="00E71E21" w:rsidRPr="000853E2" w:rsidRDefault="00E71E21" w:rsidP="00E71E21">
      <w:pPr>
        <w:spacing w:line="288" w:lineRule="auto"/>
      </w:pPr>
      <w:r w:rsidRPr="000853E2">
        <w:t>”</w:t>
      </w:r>
      <w:r w:rsidRPr="000853E2">
        <w:rPr>
          <w:b/>
        </w:rPr>
        <w:t xml:space="preserve">§ 11 a. </w:t>
      </w:r>
      <w:r w:rsidRPr="000853E2">
        <w:t xml:space="preserve">Tilbagebetalingen af afgift efter § 11 nedsættes med 4,5 kr./GJ, jf. dog §§ 11 b, 11 c og 11 d. </w:t>
      </w:r>
      <w:r w:rsidR="002B2A42">
        <w:t>Afgiftspligtige kan vælge, at t</w:t>
      </w:r>
      <w:r w:rsidRPr="000853E2">
        <w:t>ilbagebetalingen efter 1. pkt. også</w:t>
      </w:r>
      <w:r w:rsidR="002B2A42" w:rsidRPr="002B2A42">
        <w:t xml:space="preserve"> </w:t>
      </w:r>
      <w:r w:rsidR="002B2A42" w:rsidRPr="000853E2">
        <w:t>kan</w:t>
      </w:r>
      <w:r w:rsidRPr="000853E2">
        <w:t xml:space="preserve"> beregnes som en redu</w:t>
      </w:r>
      <w:r w:rsidRPr="000853E2">
        <w:t>k</w:t>
      </w:r>
      <w:r w:rsidRPr="000853E2">
        <w:t>tion af afgiftsbetalingen med 4,5 kr./GJ delt med afgiftssatsen i § 9, stk. 4, 2. pkt., ganget med 1 over 1,2.”</w:t>
      </w:r>
    </w:p>
    <w:p w:rsidR="00E71E21" w:rsidRPr="000853E2" w:rsidRDefault="00E71E21" w:rsidP="00E71E21">
      <w:pPr>
        <w:spacing w:line="288" w:lineRule="auto"/>
      </w:pPr>
    </w:p>
    <w:p w:rsidR="00E71E21" w:rsidRPr="000853E2" w:rsidRDefault="00E71E21" w:rsidP="00E71E21">
      <w:pPr>
        <w:ind w:left="3600" w:firstLine="720"/>
      </w:pPr>
      <w:r w:rsidRPr="000853E2">
        <w:rPr>
          <w:b/>
        </w:rPr>
        <w:t xml:space="preserve">§ </w:t>
      </w:r>
      <w:r w:rsidR="00095148">
        <w:rPr>
          <w:b/>
        </w:rPr>
        <w:t>7</w:t>
      </w:r>
    </w:p>
    <w:p w:rsidR="00E71E21" w:rsidRPr="000853E2" w:rsidRDefault="00E71E21" w:rsidP="00E71E21">
      <w:pPr>
        <w:spacing w:line="288" w:lineRule="auto"/>
        <w:ind w:firstLine="720"/>
      </w:pPr>
    </w:p>
    <w:p w:rsidR="00E71E21" w:rsidRPr="000853E2" w:rsidRDefault="00E71E21" w:rsidP="00E71E21">
      <w:pPr>
        <w:spacing w:line="288" w:lineRule="auto"/>
        <w:ind w:firstLine="720"/>
      </w:pPr>
      <w:r w:rsidRPr="000853E2">
        <w:t xml:space="preserve">I lov nr. 789 af 28. juni 2013 om ophævelse af lov om afgift af mineralvand m.v. og om ændring af øl- og vinafgiftsloven og forskellige andre love (Nedsættelse og senere ophævelse af sodavandsafgiften, nedsættelse af ølafgiften, afskaffelse af den vægtbaserede emballageafgift, øget </w:t>
      </w:r>
      <w:r w:rsidRPr="000853E2">
        <w:lastRenderedPageBreak/>
        <w:t>momsfradrag på hotelovernatninger og midlertidig forhøjelse af reparationsgrænsen for totalsk</w:t>
      </w:r>
      <w:r w:rsidRPr="000853E2">
        <w:t>a</w:t>
      </w:r>
      <w:r w:rsidRPr="000853E2">
        <w:t>dede køretøjer m.v.) foretages følgende ændringer:</w:t>
      </w:r>
    </w:p>
    <w:p w:rsidR="00E71E21" w:rsidRPr="000853E2" w:rsidRDefault="00E71E21" w:rsidP="00E71E21">
      <w:pPr>
        <w:spacing w:line="288" w:lineRule="auto"/>
      </w:pPr>
    </w:p>
    <w:p w:rsidR="00E71E21" w:rsidRPr="000853E2" w:rsidRDefault="00E71E21" w:rsidP="00E71E21">
      <w:pPr>
        <w:spacing w:line="288" w:lineRule="auto"/>
        <w:rPr>
          <w:i/>
        </w:rPr>
      </w:pPr>
      <w:r w:rsidRPr="000853E2">
        <w:rPr>
          <w:b/>
        </w:rPr>
        <w:t xml:space="preserve">1. </w:t>
      </w:r>
      <w:r w:rsidRPr="000853E2">
        <w:t xml:space="preserve">I </w:t>
      </w:r>
      <w:r w:rsidRPr="000853E2">
        <w:rPr>
          <w:i/>
        </w:rPr>
        <w:t xml:space="preserve">§ 8, stk. 3, </w:t>
      </w:r>
      <w:r w:rsidRPr="000853E2">
        <w:t>affattes således:</w:t>
      </w:r>
    </w:p>
    <w:p w:rsidR="00E71E21" w:rsidRPr="000853E2" w:rsidRDefault="00E71E21" w:rsidP="00E71E21">
      <w:pPr>
        <w:spacing w:line="288" w:lineRule="auto"/>
      </w:pPr>
      <w:r w:rsidRPr="000853E2">
        <w:t>”</w:t>
      </w:r>
      <w:r w:rsidRPr="000853E2">
        <w:rPr>
          <w:i/>
        </w:rPr>
        <w:t>Stk. 3.</w:t>
      </w:r>
      <w:r w:rsidRPr="000853E2">
        <w:t xml:space="preserve"> § 3 træder i kraft den 31. januar 2014</w:t>
      </w:r>
      <w:r w:rsidR="00280A32">
        <w:t>.</w:t>
      </w:r>
      <w:r w:rsidRPr="000853E2">
        <w:t>”</w:t>
      </w:r>
    </w:p>
    <w:p w:rsidR="00E71E21" w:rsidRPr="000853E2" w:rsidRDefault="00E71E21" w:rsidP="00E71E21">
      <w:pPr>
        <w:spacing w:line="288" w:lineRule="auto"/>
      </w:pPr>
    </w:p>
    <w:p w:rsidR="00E71E21" w:rsidRPr="002E6511" w:rsidRDefault="00E71E21" w:rsidP="00E71E21">
      <w:pPr>
        <w:spacing w:line="288" w:lineRule="auto"/>
        <w:rPr>
          <w:b/>
        </w:rPr>
      </w:pPr>
      <w:r w:rsidRPr="000853E2">
        <w:rPr>
          <w:b/>
        </w:rPr>
        <w:t xml:space="preserve">2. </w:t>
      </w:r>
      <w:r w:rsidRPr="000853E2">
        <w:t xml:space="preserve">I </w:t>
      </w:r>
      <w:r w:rsidRPr="000853E2">
        <w:rPr>
          <w:i/>
        </w:rPr>
        <w:t>§ 8, stk. 5,</w:t>
      </w:r>
      <w:r w:rsidRPr="000853E2">
        <w:t xml:space="preserve"> ændres ”2015” til: ”2014”.</w:t>
      </w:r>
    </w:p>
    <w:p w:rsidR="00095148" w:rsidRDefault="00095148" w:rsidP="00095148">
      <w:pPr>
        <w:ind w:left="3600" w:firstLine="720"/>
        <w:jc w:val="left"/>
        <w:rPr>
          <w:b/>
        </w:rPr>
      </w:pPr>
    </w:p>
    <w:p w:rsidR="00095148" w:rsidRPr="00BC172D" w:rsidRDefault="00095148" w:rsidP="00095148">
      <w:pPr>
        <w:tabs>
          <w:tab w:val="left" w:pos="360"/>
        </w:tabs>
        <w:spacing w:line="288" w:lineRule="auto"/>
        <w:rPr>
          <w:b/>
          <w:bCs/>
        </w:rPr>
      </w:pPr>
      <w:r>
        <w:rPr>
          <w:b/>
          <w:bCs/>
        </w:rPr>
        <w:tab/>
      </w:r>
      <w:r>
        <w:rPr>
          <w:b/>
          <w:bCs/>
        </w:rPr>
        <w:tab/>
      </w:r>
      <w:r>
        <w:rPr>
          <w:b/>
          <w:bCs/>
        </w:rPr>
        <w:tab/>
      </w:r>
      <w:r>
        <w:rPr>
          <w:b/>
          <w:bCs/>
        </w:rPr>
        <w:tab/>
      </w:r>
      <w:r>
        <w:rPr>
          <w:b/>
          <w:bCs/>
        </w:rPr>
        <w:tab/>
      </w:r>
      <w:r>
        <w:rPr>
          <w:b/>
          <w:bCs/>
        </w:rPr>
        <w:tab/>
      </w:r>
      <w:r>
        <w:rPr>
          <w:b/>
          <w:bCs/>
        </w:rPr>
        <w:tab/>
        <w:t>§ 8</w:t>
      </w:r>
    </w:p>
    <w:p w:rsidR="00095148" w:rsidRPr="001B78AD" w:rsidRDefault="00095148" w:rsidP="00095148">
      <w:pPr>
        <w:tabs>
          <w:tab w:val="left" w:pos="360"/>
        </w:tabs>
        <w:spacing w:line="288" w:lineRule="auto"/>
        <w:rPr>
          <w:iCs/>
        </w:rPr>
      </w:pPr>
      <w:r>
        <w:rPr>
          <w:iCs/>
        </w:rPr>
        <w:tab/>
      </w:r>
    </w:p>
    <w:p w:rsidR="00095148" w:rsidRPr="00BC172D" w:rsidRDefault="00095148" w:rsidP="00095148">
      <w:pPr>
        <w:spacing w:line="288" w:lineRule="auto"/>
        <w:ind w:firstLine="720"/>
      </w:pPr>
      <w:r>
        <w:t>I lov nr. 791 af 28. juni 2013 om ændring af ligningsloven og kildeskatteloven (Genindførelse og udvidelse af boligjobordningen og udvidelse af ordningen om skattekreditter for forsknings- og udviklingsaktiviteter) foretages følgende ændring:</w:t>
      </w:r>
    </w:p>
    <w:p w:rsidR="00095148" w:rsidRDefault="00095148" w:rsidP="00095148">
      <w:pPr>
        <w:spacing w:line="288" w:lineRule="auto"/>
      </w:pPr>
    </w:p>
    <w:p w:rsidR="00095148" w:rsidRDefault="00095148" w:rsidP="00095148">
      <w:pPr>
        <w:spacing w:line="288" w:lineRule="auto"/>
      </w:pPr>
      <w:r>
        <w:rPr>
          <w:b/>
        </w:rPr>
        <w:t xml:space="preserve">1. </w:t>
      </w:r>
      <w:r w:rsidRPr="001B78AD">
        <w:t xml:space="preserve">I </w:t>
      </w:r>
      <w:r w:rsidRPr="001B78AD">
        <w:rPr>
          <w:i/>
        </w:rPr>
        <w:t xml:space="preserve">§ </w:t>
      </w:r>
      <w:r>
        <w:rPr>
          <w:i/>
        </w:rPr>
        <w:t>3, stk. 4,</w:t>
      </w:r>
      <w:r w:rsidRPr="001B78AD">
        <w:rPr>
          <w:i/>
        </w:rPr>
        <w:t xml:space="preserve"> </w:t>
      </w:r>
      <w:r w:rsidRPr="001B78AD">
        <w:t>ændres</w:t>
      </w:r>
      <w:r>
        <w:t xml:space="preserve"> ”2015” til: ”2014”</w:t>
      </w:r>
      <w:r w:rsidR="00574AEF">
        <w:t>, og som 2. pkt. indsættes: ”Den i ligningslovens § 8 X, stk. 1, 2. pkt., nævnte skatteværdi beregnes med 25 pct. for indkomståret 2014</w:t>
      </w:r>
      <w:r>
        <w:t>.</w:t>
      </w:r>
      <w:r w:rsidR="00574AEF">
        <w:t>”</w:t>
      </w:r>
      <w:r>
        <w:t xml:space="preserve"> </w:t>
      </w:r>
    </w:p>
    <w:p w:rsidR="00095148" w:rsidRPr="00AF173C" w:rsidRDefault="00095148" w:rsidP="00095148">
      <w:pPr>
        <w:spacing w:line="288" w:lineRule="auto"/>
        <w:rPr>
          <w:b/>
        </w:rPr>
      </w:pPr>
    </w:p>
    <w:p w:rsidR="00095148" w:rsidRPr="00F315EE" w:rsidRDefault="00095148" w:rsidP="00095148">
      <w:pPr>
        <w:spacing w:line="288" w:lineRule="auto"/>
        <w:jc w:val="center"/>
        <w:rPr>
          <w:b/>
        </w:rPr>
      </w:pPr>
      <w:r w:rsidRPr="00F315EE">
        <w:rPr>
          <w:b/>
        </w:rPr>
        <w:t xml:space="preserve">§ </w:t>
      </w:r>
      <w:r>
        <w:rPr>
          <w:b/>
        </w:rPr>
        <w:t>9</w:t>
      </w:r>
    </w:p>
    <w:p w:rsidR="00095148" w:rsidRPr="00AF173C" w:rsidRDefault="00095148" w:rsidP="00095148">
      <w:pPr>
        <w:spacing w:line="288" w:lineRule="auto"/>
        <w:rPr>
          <w:b/>
        </w:rPr>
      </w:pPr>
    </w:p>
    <w:p w:rsidR="00095148" w:rsidRPr="00F315EE" w:rsidRDefault="00095148" w:rsidP="00095148">
      <w:pPr>
        <w:spacing w:line="288" w:lineRule="auto"/>
      </w:pPr>
      <w:r w:rsidRPr="00F315EE">
        <w:t xml:space="preserve">            I lov nr. </w:t>
      </w:r>
      <w:r>
        <w:t>792 af 28. juni 2013 om ændring af selskabsskatteloven, lov om afgift af lønsum m.v., kulbrinteskatteloven og forskellige andre love (Aftaler om Vækstplan DK m.v. – nedsættelse af skattesatsen for selskaber, forhøjelse af lønsumsafgiften for finansielle virksomheder og fastholdelse af selskabsskattesatsen for kulbrinteindkomst m.v.) foretages følgende ændring:</w:t>
      </w:r>
      <w:r w:rsidRPr="00F315EE">
        <w:t xml:space="preserve">  </w:t>
      </w:r>
    </w:p>
    <w:p w:rsidR="00095148" w:rsidRDefault="00095148" w:rsidP="00095148">
      <w:pPr>
        <w:rPr>
          <w:i/>
          <w:iCs/>
          <w:sz w:val="28"/>
        </w:rPr>
      </w:pPr>
    </w:p>
    <w:p w:rsidR="00095148" w:rsidRDefault="00095148" w:rsidP="00095148">
      <w:pPr>
        <w:rPr>
          <w:i/>
          <w:iCs/>
          <w:sz w:val="28"/>
        </w:rPr>
      </w:pPr>
      <w:r>
        <w:rPr>
          <w:b/>
        </w:rPr>
        <w:t xml:space="preserve">1. </w:t>
      </w:r>
      <w:r w:rsidRPr="001B78AD">
        <w:t xml:space="preserve">I </w:t>
      </w:r>
      <w:r w:rsidRPr="001B78AD">
        <w:rPr>
          <w:i/>
        </w:rPr>
        <w:t xml:space="preserve">§ </w:t>
      </w:r>
      <w:r>
        <w:rPr>
          <w:i/>
        </w:rPr>
        <w:t>12, stk. 5,</w:t>
      </w:r>
      <w:r w:rsidRPr="001B78AD">
        <w:rPr>
          <w:i/>
        </w:rPr>
        <w:t xml:space="preserve"> </w:t>
      </w:r>
      <w:r w:rsidRPr="001B78AD">
        <w:t>ændres</w:t>
      </w:r>
      <w:r>
        <w:t xml:space="preserve"> ”2015” til: ”2014”.</w:t>
      </w:r>
    </w:p>
    <w:p w:rsidR="00095148" w:rsidRDefault="00095148" w:rsidP="00095148">
      <w:pPr>
        <w:ind w:left="3600" w:firstLine="720"/>
        <w:rPr>
          <w:b/>
        </w:rPr>
      </w:pPr>
    </w:p>
    <w:p w:rsidR="00E71E21" w:rsidRPr="000853E2" w:rsidRDefault="00E71E21" w:rsidP="00E71E21">
      <w:pPr>
        <w:ind w:left="3600" w:firstLine="720"/>
      </w:pPr>
      <w:r w:rsidRPr="000853E2">
        <w:rPr>
          <w:b/>
        </w:rPr>
        <w:t xml:space="preserve">§ </w:t>
      </w:r>
      <w:r w:rsidR="00095148">
        <w:rPr>
          <w:b/>
        </w:rPr>
        <w:t>10</w:t>
      </w:r>
    </w:p>
    <w:p w:rsidR="00E71E21" w:rsidRPr="000853E2" w:rsidRDefault="00E71E21" w:rsidP="00E71E21">
      <w:pPr>
        <w:spacing w:line="288" w:lineRule="auto"/>
        <w:ind w:firstLine="720"/>
      </w:pPr>
    </w:p>
    <w:p w:rsidR="00E71E21" w:rsidRPr="000853E2" w:rsidRDefault="00E71E21" w:rsidP="00E71E21">
      <w:pPr>
        <w:spacing w:line="288" w:lineRule="auto"/>
        <w:ind w:firstLine="720"/>
      </w:pPr>
      <w:r w:rsidRPr="000853E2">
        <w:rPr>
          <w:rStyle w:val="Fodnotehenvisning"/>
        </w:rPr>
        <w:t>I</w:t>
      </w:r>
      <w:r w:rsidRPr="000853E2">
        <w:t xml:space="preserve"> lov nr. 903 af 4. juli 2013 om ændring af affalds- og råstofafgiftsloven, lov om kuldioxidafgift af visse energiprodukter, lov om afgift af elektricitet, momsloven og forskellige andre love (Nedsættelse af afgifter på el til erhverv, bortfald af CO2-afgift af el for erhverv, nedsættelse af energiafgifter på brændsler til proces, ændret lagerprincip ved deponering af farligt affald, lempelse af momskredittider samt supplerende støtte til eksisterende industrielle kraft-varme-værker)</w:t>
      </w:r>
      <w:r w:rsidR="00C7599B">
        <w:t xml:space="preserve"> </w:t>
      </w:r>
      <w:r w:rsidRPr="000853E2">
        <w:t>foretages følgende ændringer:</w:t>
      </w:r>
    </w:p>
    <w:p w:rsidR="00E71E21" w:rsidRPr="000853E2" w:rsidRDefault="00E71E21" w:rsidP="00E71E21">
      <w:pPr>
        <w:spacing w:line="288" w:lineRule="auto"/>
      </w:pPr>
    </w:p>
    <w:p w:rsidR="00E71E21" w:rsidRPr="000853E2" w:rsidRDefault="00E71E21" w:rsidP="00E71E21">
      <w:pPr>
        <w:spacing w:line="288" w:lineRule="auto"/>
        <w:rPr>
          <w:i/>
        </w:rPr>
      </w:pPr>
      <w:r w:rsidRPr="000853E2">
        <w:rPr>
          <w:b/>
        </w:rPr>
        <w:t xml:space="preserve">1. </w:t>
      </w:r>
      <w:r w:rsidRPr="000853E2">
        <w:rPr>
          <w:i/>
        </w:rPr>
        <w:t xml:space="preserve">§ 4, nr. 2, </w:t>
      </w:r>
      <w:r w:rsidRPr="000853E2">
        <w:t>ophæves.</w:t>
      </w:r>
    </w:p>
    <w:p w:rsidR="00E71E21" w:rsidRPr="000853E2" w:rsidRDefault="00E71E21" w:rsidP="00E71E21">
      <w:pPr>
        <w:spacing w:line="288" w:lineRule="auto"/>
        <w:rPr>
          <w:b/>
          <w:i/>
        </w:rPr>
      </w:pPr>
    </w:p>
    <w:p w:rsidR="00E71E21" w:rsidRPr="000853E2" w:rsidRDefault="00E71E21" w:rsidP="00E71E21">
      <w:pPr>
        <w:spacing w:line="288" w:lineRule="auto"/>
        <w:rPr>
          <w:b/>
          <w:bCs/>
        </w:rPr>
      </w:pPr>
      <w:r w:rsidRPr="000853E2">
        <w:rPr>
          <w:b/>
        </w:rPr>
        <w:t xml:space="preserve">2. </w:t>
      </w:r>
      <w:r w:rsidRPr="000853E2">
        <w:rPr>
          <w:i/>
        </w:rPr>
        <w:t xml:space="preserve">§ 5, nr. 2, </w:t>
      </w:r>
      <w:r w:rsidRPr="000853E2">
        <w:t>ophæves</w:t>
      </w:r>
      <w:r w:rsidRPr="000853E2">
        <w:rPr>
          <w:i/>
        </w:rPr>
        <w:t>.</w:t>
      </w:r>
      <w:r w:rsidRPr="000853E2">
        <w:rPr>
          <w:b/>
          <w:bCs/>
        </w:rPr>
        <w:tab/>
      </w:r>
    </w:p>
    <w:p w:rsidR="00E71E21" w:rsidRPr="000853E2" w:rsidRDefault="00E71E21" w:rsidP="00E71E21">
      <w:pPr>
        <w:spacing w:line="288" w:lineRule="auto"/>
        <w:rPr>
          <w:b/>
          <w:bCs/>
        </w:rPr>
      </w:pPr>
    </w:p>
    <w:p w:rsidR="00E71E21" w:rsidRPr="000853E2" w:rsidRDefault="00E71E21" w:rsidP="00E71E21">
      <w:pPr>
        <w:spacing w:line="288" w:lineRule="auto"/>
        <w:rPr>
          <w:bCs/>
        </w:rPr>
      </w:pPr>
      <w:r w:rsidRPr="000853E2">
        <w:rPr>
          <w:b/>
          <w:bCs/>
        </w:rPr>
        <w:t xml:space="preserve">3. </w:t>
      </w:r>
      <w:r w:rsidRPr="000853E2">
        <w:rPr>
          <w:bCs/>
          <w:i/>
        </w:rPr>
        <w:t>§ 6, nr. 2,</w:t>
      </w:r>
      <w:r w:rsidRPr="000853E2">
        <w:rPr>
          <w:bCs/>
        </w:rPr>
        <w:t xml:space="preserve"> ophæves.</w:t>
      </w:r>
    </w:p>
    <w:p w:rsidR="00E71E21" w:rsidRDefault="00E71E21" w:rsidP="00E71E21">
      <w:pPr>
        <w:spacing w:line="288" w:lineRule="auto"/>
        <w:rPr>
          <w:bCs/>
        </w:rPr>
      </w:pPr>
    </w:p>
    <w:p w:rsidR="00095148" w:rsidRDefault="00095148" w:rsidP="00095148">
      <w:pPr>
        <w:spacing w:line="288" w:lineRule="auto"/>
      </w:pPr>
      <w:r>
        <w:rPr>
          <w:b/>
        </w:rPr>
        <w:t xml:space="preserve">4. </w:t>
      </w:r>
      <w:r w:rsidRPr="001B78AD">
        <w:rPr>
          <w:i/>
        </w:rPr>
        <w:t xml:space="preserve">§ </w:t>
      </w:r>
      <w:r>
        <w:rPr>
          <w:i/>
        </w:rPr>
        <w:t>7, nr. 4</w:t>
      </w:r>
      <w:r w:rsidR="00280A32">
        <w:rPr>
          <w:i/>
        </w:rPr>
        <w:t>,</w:t>
      </w:r>
      <w:r w:rsidRPr="001B78AD">
        <w:rPr>
          <w:i/>
        </w:rPr>
        <w:t xml:space="preserve"> </w:t>
      </w:r>
      <w:r>
        <w:t>ophæves.</w:t>
      </w:r>
    </w:p>
    <w:p w:rsidR="00095148" w:rsidRPr="000853E2" w:rsidRDefault="00095148" w:rsidP="00E71E21">
      <w:pPr>
        <w:spacing w:line="288" w:lineRule="auto"/>
        <w:rPr>
          <w:bCs/>
        </w:rPr>
      </w:pPr>
    </w:p>
    <w:p w:rsidR="00E71E21" w:rsidRPr="000853E2" w:rsidRDefault="00095148" w:rsidP="00E71E21">
      <w:pPr>
        <w:spacing w:line="288" w:lineRule="auto"/>
        <w:rPr>
          <w:bCs/>
        </w:rPr>
      </w:pPr>
      <w:r>
        <w:rPr>
          <w:b/>
          <w:bCs/>
        </w:rPr>
        <w:t>5</w:t>
      </w:r>
      <w:r w:rsidR="00E71E21" w:rsidRPr="000853E2">
        <w:rPr>
          <w:b/>
          <w:bCs/>
        </w:rPr>
        <w:t>.</w:t>
      </w:r>
      <w:r w:rsidR="00E71E21" w:rsidRPr="000853E2">
        <w:rPr>
          <w:bCs/>
        </w:rPr>
        <w:t xml:space="preserve"> I </w:t>
      </w:r>
      <w:r w:rsidR="00E71E21" w:rsidRPr="000853E2">
        <w:rPr>
          <w:bCs/>
          <w:i/>
        </w:rPr>
        <w:t>§ 13, stk. 1,</w:t>
      </w:r>
      <w:r w:rsidR="00E71E21" w:rsidRPr="000853E2">
        <w:rPr>
          <w:bCs/>
        </w:rPr>
        <w:t xml:space="preserve"> ændres ”, jf. dog stk. 2, 8, 9 og 10” til: ”</w:t>
      </w:r>
      <w:r w:rsidR="00280A32">
        <w:rPr>
          <w:bCs/>
        </w:rPr>
        <w:t>,</w:t>
      </w:r>
      <w:r w:rsidR="00A51566">
        <w:rPr>
          <w:bCs/>
        </w:rPr>
        <w:t xml:space="preserve"> </w:t>
      </w:r>
      <w:r w:rsidR="00E71E21" w:rsidRPr="000853E2">
        <w:rPr>
          <w:bCs/>
        </w:rPr>
        <w:t>jf. dog stk. 2</w:t>
      </w:r>
      <w:r w:rsidR="00E71E21">
        <w:rPr>
          <w:bCs/>
        </w:rPr>
        <w:t>, 6, 7 og 8</w:t>
      </w:r>
      <w:r w:rsidR="00E71E21" w:rsidRPr="006B4EAB">
        <w:rPr>
          <w:bCs/>
        </w:rPr>
        <w:t>”.</w:t>
      </w:r>
    </w:p>
    <w:p w:rsidR="00E71E21" w:rsidRPr="000853E2" w:rsidRDefault="00E71E21" w:rsidP="00E71E21">
      <w:pPr>
        <w:spacing w:line="288" w:lineRule="auto"/>
        <w:rPr>
          <w:bCs/>
        </w:rPr>
      </w:pPr>
    </w:p>
    <w:p w:rsidR="00E71E21" w:rsidRPr="000853E2" w:rsidRDefault="00095148" w:rsidP="00E71E21">
      <w:pPr>
        <w:spacing w:line="288" w:lineRule="auto"/>
        <w:rPr>
          <w:bCs/>
        </w:rPr>
      </w:pPr>
      <w:r>
        <w:rPr>
          <w:b/>
          <w:bCs/>
        </w:rPr>
        <w:t>6</w:t>
      </w:r>
      <w:r w:rsidR="00E71E21" w:rsidRPr="000853E2">
        <w:rPr>
          <w:b/>
          <w:bCs/>
        </w:rPr>
        <w:t>.</w:t>
      </w:r>
      <w:r w:rsidR="00E71E21" w:rsidRPr="000853E2">
        <w:rPr>
          <w:bCs/>
        </w:rPr>
        <w:t xml:space="preserve"> I </w:t>
      </w:r>
      <w:r w:rsidR="00E71E21" w:rsidRPr="000853E2">
        <w:rPr>
          <w:bCs/>
          <w:i/>
        </w:rPr>
        <w:t>§ 13, stk. 2,</w:t>
      </w:r>
      <w:r w:rsidR="00E71E21" w:rsidRPr="000853E2">
        <w:rPr>
          <w:bCs/>
        </w:rPr>
        <w:t xml:space="preserve"> ændres ”§ 4, nr. 2 og 3, § 5, nr. 2 og 3</w:t>
      </w:r>
      <w:r w:rsidR="00280A32">
        <w:rPr>
          <w:bCs/>
        </w:rPr>
        <w:t>,</w:t>
      </w:r>
      <w:r w:rsidR="00E71E21" w:rsidRPr="000853E2">
        <w:rPr>
          <w:bCs/>
        </w:rPr>
        <w:t xml:space="preserve"> og § 6, nr. 2 og 3” til: ”§ 4, nr. 3, § 5, nr. 3</w:t>
      </w:r>
      <w:r w:rsidR="00280A32">
        <w:rPr>
          <w:bCs/>
        </w:rPr>
        <w:t>,</w:t>
      </w:r>
      <w:r w:rsidR="00E71E21" w:rsidRPr="000853E2">
        <w:rPr>
          <w:bCs/>
        </w:rPr>
        <w:t xml:space="preserve"> og § 6, nr. 3”.</w:t>
      </w:r>
    </w:p>
    <w:p w:rsidR="00E71E21" w:rsidRPr="000853E2" w:rsidRDefault="00E71E21" w:rsidP="00E71E21">
      <w:pPr>
        <w:spacing w:line="288" w:lineRule="auto"/>
        <w:rPr>
          <w:bCs/>
        </w:rPr>
      </w:pPr>
    </w:p>
    <w:p w:rsidR="00E71E21" w:rsidRPr="000853E2" w:rsidRDefault="00095148" w:rsidP="00E71E21">
      <w:pPr>
        <w:spacing w:line="288" w:lineRule="auto"/>
        <w:rPr>
          <w:bCs/>
        </w:rPr>
      </w:pPr>
      <w:r>
        <w:rPr>
          <w:b/>
          <w:bCs/>
        </w:rPr>
        <w:t>7</w:t>
      </w:r>
      <w:r w:rsidR="00E71E21" w:rsidRPr="000853E2">
        <w:rPr>
          <w:b/>
          <w:bCs/>
        </w:rPr>
        <w:t>.</w:t>
      </w:r>
      <w:r w:rsidR="00E71E21" w:rsidRPr="000853E2">
        <w:rPr>
          <w:bCs/>
        </w:rPr>
        <w:t xml:space="preserve"> </w:t>
      </w:r>
      <w:r w:rsidR="00E71E21" w:rsidRPr="000853E2">
        <w:rPr>
          <w:bCs/>
          <w:i/>
        </w:rPr>
        <w:t>§ 13, stk. 4,</w:t>
      </w:r>
      <w:r w:rsidR="00E71E21" w:rsidRPr="000853E2">
        <w:rPr>
          <w:bCs/>
        </w:rPr>
        <w:t xml:space="preserve"> ophæves. </w:t>
      </w:r>
    </w:p>
    <w:p w:rsidR="00E71E21" w:rsidRPr="000853E2" w:rsidRDefault="00E71E21" w:rsidP="00E71E21">
      <w:pPr>
        <w:spacing w:line="288" w:lineRule="auto"/>
        <w:rPr>
          <w:bCs/>
        </w:rPr>
      </w:pPr>
      <w:r w:rsidRPr="000853E2">
        <w:rPr>
          <w:bCs/>
        </w:rPr>
        <w:t>Stk. 5</w:t>
      </w:r>
      <w:r w:rsidR="00A46B56">
        <w:rPr>
          <w:bCs/>
        </w:rPr>
        <w:t>og 6</w:t>
      </w:r>
      <w:r w:rsidRPr="000853E2">
        <w:rPr>
          <w:bCs/>
        </w:rPr>
        <w:t xml:space="preserve"> bliver herefter stk. 4</w:t>
      </w:r>
      <w:r w:rsidR="00A46B56">
        <w:rPr>
          <w:bCs/>
        </w:rPr>
        <w:t xml:space="preserve"> og 5</w:t>
      </w:r>
      <w:r w:rsidRPr="000853E2">
        <w:rPr>
          <w:bCs/>
        </w:rPr>
        <w:t xml:space="preserve">. </w:t>
      </w:r>
    </w:p>
    <w:p w:rsidR="00E71E21" w:rsidRPr="000853E2" w:rsidRDefault="00E71E21" w:rsidP="00E71E21">
      <w:pPr>
        <w:spacing w:line="288" w:lineRule="auto"/>
        <w:rPr>
          <w:bCs/>
        </w:rPr>
      </w:pPr>
    </w:p>
    <w:p w:rsidR="00E71E21" w:rsidRPr="000853E2" w:rsidRDefault="00095148" w:rsidP="00E71E21">
      <w:pPr>
        <w:spacing w:line="288" w:lineRule="auto"/>
        <w:rPr>
          <w:bCs/>
        </w:rPr>
      </w:pPr>
      <w:r>
        <w:rPr>
          <w:b/>
          <w:bCs/>
        </w:rPr>
        <w:t>8</w:t>
      </w:r>
      <w:r w:rsidR="00E71E21" w:rsidRPr="000853E2">
        <w:rPr>
          <w:b/>
          <w:bCs/>
        </w:rPr>
        <w:t>.</w:t>
      </w:r>
      <w:r w:rsidR="00E71E21" w:rsidRPr="000853E2">
        <w:rPr>
          <w:bCs/>
        </w:rPr>
        <w:t xml:space="preserve"> </w:t>
      </w:r>
      <w:r w:rsidR="00E71E21" w:rsidRPr="000853E2">
        <w:rPr>
          <w:bCs/>
          <w:i/>
        </w:rPr>
        <w:t>§ 13, stk. 6,</w:t>
      </w:r>
      <w:r w:rsidR="00E71E21" w:rsidRPr="000853E2">
        <w:rPr>
          <w:bCs/>
        </w:rPr>
        <w:t xml:space="preserve"> </w:t>
      </w:r>
      <w:r w:rsidR="00A46B56">
        <w:rPr>
          <w:bCs/>
        </w:rPr>
        <w:t xml:space="preserve">der bliver stk. 5, </w:t>
      </w:r>
      <w:r w:rsidR="00E71E21" w:rsidRPr="000853E2">
        <w:rPr>
          <w:bCs/>
        </w:rPr>
        <w:t xml:space="preserve">ophæves. </w:t>
      </w:r>
    </w:p>
    <w:p w:rsidR="00E71E21" w:rsidRPr="000853E2" w:rsidRDefault="00E71E21" w:rsidP="00E71E21">
      <w:pPr>
        <w:spacing w:line="288" w:lineRule="auto"/>
        <w:rPr>
          <w:bCs/>
        </w:rPr>
      </w:pPr>
      <w:r w:rsidRPr="000853E2">
        <w:rPr>
          <w:bCs/>
        </w:rPr>
        <w:t xml:space="preserve">Stk. 7-10 bliver herefter stk. 5-8. </w:t>
      </w:r>
    </w:p>
    <w:p w:rsidR="001D76A9" w:rsidRDefault="001D76A9" w:rsidP="001B78AD">
      <w:pPr>
        <w:rPr>
          <w:iCs/>
        </w:rPr>
      </w:pPr>
    </w:p>
    <w:p w:rsidR="00095148" w:rsidRPr="006817D3" w:rsidRDefault="00095148" w:rsidP="00095148">
      <w:pPr>
        <w:spacing w:line="288" w:lineRule="auto"/>
        <w:rPr>
          <w:b/>
        </w:rPr>
      </w:pPr>
      <w:r>
        <w:rPr>
          <w:b/>
        </w:rPr>
        <w:t xml:space="preserve">9. </w:t>
      </w:r>
      <w:r w:rsidRPr="001B78AD">
        <w:t xml:space="preserve">I </w:t>
      </w:r>
      <w:r w:rsidRPr="001B78AD">
        <w:rPr>
          <w:i/>
        </w:rPr>
        <w:t xml:space="preserve">§ </w:t>
      </w:r>
      <w:r>
        <w:rPr>
          <w:i/>
        </w:rPr>
        <w:t>13, stk. 7,</w:t>
      </w:r>
      <w:r w:rsidR="00517119" w:rsidRPr="00517119">
        <w:t xml:space="preserve"> </w:t>
      </w:r>
      <w:r w:rsidR="00517119">
        <w:t>der bliver stk. 5,</w:t>
      </w:r>
      <w:r w:rsidRPr="00517119">
        <w:t xml:space="preserve"> </w:t>
      </w:r>
      <w:r>
        <w:t>ophæves</w:t>
      </w:r>
      <w:r w:rsidR="00517119">
        <w:t xml:space="preserve"> </w:t>
      </w:r>
      <w:r w:rsidR="00517119" w:rsidRPr="00517119">
        <w:rPr>
          <w:i/>
        </w:rPr>
        <w:t>2. pkt</w:t>
      </w:r>
      <w:r w:rsidRPr="00517119">
        <w:rPr>
          <w:i/>
        </w:rPr>
        <w:t>.</w:t>
      </w:r>
    </w:p>
    <w:p w:rsidR="00095148" w:rsidRDefault="00095148" w:rsidP="00095148">
      <w:pPr>
        <w:spacing w:line="288" w:lineRule="auto"/>
        <w:rPr>
          <w:bCs/>
        </w:rPr>
      </w:pPr>
    </w:p>
    <w:p w:rsidR="001D76A9" w:rsidRPr="001D76A9" w:rsidRDefault="001D76A9" w:rsidP="001D76A9">
      <w:pPr>
        <w:jc w:val="center"/>
        <w:rPr>
          <w:b/>
          <w:iCs/>
        </w:rPr>
      </w:pPr>
      <w:r w:rsidRPr="001D76A9">
        <w:rPr>
          <w:b/>
          <w:iCs/>
        </w:rPr>
        <w:t xml:space="preserve">§ </w:t>
      </w:r>
      <w:r w:rsidR="0067404B">
        <w:rPr>
          <w:b/>
          <w:iCs/>
        </w:rPr>
        <w:t>11</w:t>
      </w:r>
    </w:p>
    <w:p w:rsidR="007D2B03" w:rsidRPr="00DA61E6" w:rsidRDefault="007D2B03" w:rsidP="001B78AD">
      <w:pPr>
        <w:rPr>
          <w:iCs/>
        </w:rPr>
      </w:pPr>
    </w:p>
    <w:p w:rsidR="001B78AD" w:rsidRDefault="001B78AD" w:rsidP="001B78AD">
      <w:pPr>
        <w:rPr>
          <w:iCs/>
        </w:rPr>
      </w:pPr>
      <w:r w:rsidRPr="001B78AD">
        <w:rPr>
          <w:i/>
          <w:iCs/>
        </w:rPr>
        <w:t xml:space="preserve">Stk. 1. </w:t>
      </w:r>
      <w:r>
        <w:rPr>
          <w:iCs/>
        </w:rPr>
        <w:t xml:space="preserve">Loven træder i kraft </w:t>
      </w:r>
      <w:r w:rsidR="00FF4F2D">
        <w:rPr>
          <w:iCs/>
        </w:rPr>
        <w:t>dagen efter bekendtgørelse</w:t>
      </w:r>
      <w:r w:rsidR="00C559C3">
        <w:rPr>
          <w:iCs/>
        </w:rPr>
        <w:t>n</w:t>
      </w:r>
      <w:r w:rsidR="00FF4F2D">
        <w:rPr>
          <w:iCs/>
        </w:rPr>
        <w:t xml:space="preserve"> i Lovtidende</w:t>
      </w:r>
      <w:r w:rsidR="00BE06F5">
        <w:rPr>
          <w:iCs/>
        </w:rPr>
        <w:t>.</w:t>
      </w:r>
    </w:p>
    <w:p w:rsidR="00BE06F5" w:rsidRDefault="00BE06F5" w:rsidP="001B78AD">
      <w:pPr>
        <w:rPr>
          <w:iCs/>
        </w:rPr>
      </w:pPr>
    </w:p>
    <w:p w:rsidR="00BE06F5" w:rsidRDefault="00BE06F5" w:rsidP="001B78AD">
      <w:pPr>
        <w:rPr>
          <w:iCs/>
        </w:rPr>
      </w:pPr>
      <w:r w:rsidRPr="0042747F">
        <w:rPr>
          <w:i/>
          <w:iCs/>
        </w:rPr>
        <w:t>Stk. 2.</w:t>
      </w:r>
      <w:r>
        <w:rPr>
          <w:iCs/>
        </w:rPr>
        <w:t xml:space="preserve"> </w:t>
      </w:r>
      <w:r w:rsidR="0026436E">
        <w:rPr>
          <w:iCs/>
        </w:rPr>
        <w:t>§ 1</w:t>
      </w:r>
      <w:r w:rsidR="00B16E24">
        <w:rPr>
          <w:iCs/>
        </w:rPr>
        <w:t xml:space="preserve"> </w:t>
      </w:r>
      <w:r w:rsidR="0026436E">
        <w:rPr>
          <w:iCs/>
        </w:rPr>
        <w:t>har virkning fra</w:t>
      </w:r>
      <w:r w:rsidR="00065A5E">
        <w:rPr>
          <w:iCs/>
        </w:rPr>
        <w:t xml:space="preserve"> </w:t>
      </w:r>
      <w:r w:rsidR="0026436E">
        <w:rPr>
          <w:iCs/>
        </w:rPr>
        <w:t>indkomståret 2014</w:t>
      </w:r>
      <w:r w:rsidR="008223AC">
        <w:rPr>
          <w:iCs/>
        </w:rPr>
        <w:t>.</w:t>
      </w:r>
    </w:p>
    <w:p w:rsidR="0042747F" w:rsidRDefault="0042747F" w:rsidP="001B78AD">
      <w:pPr>
        <w:rPr>
          <w:iCs/>
        </w:rPr>
      </w:pPr>
    </w:p>
    <w:p w:rsidR="0042747F" w:rsidRDefault="0042747F" w:rsidP="001B78AD">
      <w:pPr>
        <w:rPr>
          <w:iCs/>
        </w:rPr>
      </w:pPr>
      <w:r w:rsidRPr="00DA61E6">
        <w:rPr>
          <w:i/>
          <w:iCs/>
        </w:rPr>
        <w:t>Stk. 3.</w:t>
      </w:r>
      <w:r>
        <w:rPr>
          <w:iCs/>
        </w:rPr>
        <w:t xml:space="preserve"> § 2</w:t>
      </w:r>
      <w:r w:rsidR="00B16E24">
        <w:rPr>
          <w:iCs/>
        </w:rPr>
        <w:t xml:space="preserve"> </w:t>
      </w:r>
      <w:r>
        <w:rPr>
          <w:iCs/>
        </w:rPr>
        <w:t>har virkning for afgiftsperioder, som begynder 1. januar 2014 eller senere.</w:t>
      </w:r>
    </w:p>
    <w:p w:rsidR="00B16E24" w:rsidRDefault="00B16E24" w:rsidP="001B78AD">
      <w:pPr>
        <w:rPr>
          <w:iCs/>
        </w:rPr>
      </w:pPr>
    </w:p>
    <w:p w:rsidR="00B16E24" w:rsidRDefault="00B16E24" w:rsidP="001B78AD">
      <w:pPr>
        <w:rPr>
          <w:iCs/>
        </w:rPr>
      </w:pPr>
      <w:r w:rsidRPr="00B16E24">
        <w:rPr>
          <w:i/>
          <w:iCs/>
        </w:rPr>
        <w:t>Stk. 4.</w:t>
      </w:r>
      <w:r>
        <w:rPr>
          <w:iCs/>
        </w:rPr>
        <w:t xml:space="preserve"> §§ 3-6 har virkning fra 1. januar 2014.</w:t>
      </w:r>
    </w:p>
    <w:p w:rsidR="00B16E24" w:rsidRDefault="00B16E24" w:rsidP="001B78AD">
      <w:pPr>
        <w:rPr>
          <w:iCs/>
        </w:rPr>
      </w:pPr>
    </w:p>
    <w:p w:rsidR="00D0091B" w:rsidRPr="00D0091B" w:rsidRDefault="00D0091B" w:rsidP="00D0091B">
      <w:pPr>
        <w:jc w:val="center"/>
        <w:rPr>
          <w:b/>
          <w:iCs/>
        </w:rPr>
      </w:pPr>
      <w:r w:rsidRPr="00D0091B">
        <w:rPr>
          <w:b/>
          <w:iCs/>
        </w:rPr>
        <w:t xml:space="preserve">§ </w:t>
      </w:r>
      <w:r w:rsidR="0067404B">
        <w:rPr>
          <w:b/>
          <w:iCs/>
        </w:rPr>
        <w:t>12</w:t>
      </w:r>
    </w:p>
    <w:p w:rsidR="001B78AD" w:rsidRDefault="001B78AD" w:rsidP="001B78AD">
      <w:pPr>
        <w:rPr>
          <w:iCs/>
        </w:rPr>
      </w:pPr>
    </w:p>
    <w:p w:rsidR="00C809D6" w:rsidRPr="00DF6A74" w:rsidRDefault="00C809D6" w:rsidP="00C809D6">
      <w:pPr>
        <w:rPr>
          <w:iCs/>
        </w:rPr>
      </w:pPr>
      <w:r w:rsidRPr="00FE614D">
        <w:rPr>
          <w:i/>
          <w:iCs/>
        </w:rPr>
        <w:t xml:space="preserve">Stk. </w:t>
      </w:r>
      <w:r>
        <w:rPr>
          <w:i/>
          <w:iCs/>
        </w:rPr>
        <w:t>1</w:t>
      </w:r>
      <w:r w:rsidRPr="00FE614D">
        <w:rPr>
          <w:i/>
          <w:iCs/>
        </w:rPr>
        <w:t>.</w:t>
      </w:r>
      <w:r w:rsidRPr="00FE614D">
        <w:rPr>
          <w:iCs/>
        </w:rPr>
        <w:t xml:space="preserve"> </w:t>
      </w:r>
      <w:r>
        <w:rPr>
          <w:iCs/>
        </w:rPr>
        <w:t xml:space="preserve">Ved opgørelsen af en kommunes slutskat og kirkeskat for indkomståret 2014 efter § 16 i lov om kommunal indkomstskat korrigeres den opgjorte slutskat for den beregnede virkning af de ændringer i udskrivningsgrundlaget for kommuneskat og kirkeskat for 2014, der følger af ændringerne i ligningslovens § 9 J, stk. 2 og 4, i denne lovs § 1, nr. 1 og 2, samt den fremrykkede ikrafttræden af ligningslovens § 13 A i denne lovs § </w:t>
      </w:r>
      <w:r w:rsidR="00632741">
        <w:rPr>
          <w:iCs/>
        </w:rPr>
        <w:t>9</w:t>
      </w:r>
      <w:r>
        <w:rPr>
          <w:iCs/>
        </w:rPr>
        <w:t>, nr. 1.</w:t>
      </w:r>
    </w:p>
    <w:p w:rsidR="00C809D6" w:rsidRPr="00DF6A74" w:rsidRDefault="00C809D6" w:rsidP="00C809D6">
      <w:pPr>
        <w:rPr>
          <w:iCs/>
        </w:rPr>
      </w:pPr>
    </w:p>
    <w:p w:rsidR="00C809D6" w:rsidRDefault="00C809D6" w:rsidP="00C809D6">
      <w:pPr>
        <w:rPr>
          <w:iCs/>
        </w:rPr>
      </w:pPr>
      <w:r w:rsidRPr="00DF6A74">
        <w:rPr>
          <w:i/>
          <w:iCs/>
        </w:rPr>
        <w:t xml:space="preserve">Stk. </w:t>
      </w:r>
      <w:r>
        <w:rPr>
          <w:i/>
          <w:iCs/>
        </w:rPr>
        <w:t>2</w:t>
      </w:r>
      <w:r w:rsidRPr="00DF6A74">
        <w:rPr>
          <w:i/>
          <w:iCs/>
        </w:rPr>
        <w:t>.</w:t>
      </w:r>
      <w:r w:rsidRPr="00DF6A74">
        <w:rPr>
          <w:iCs/>
        </w:rPr>
        <w:t xml:space="preserve"> </w:t>
      </w:r>
      <w:r>
        <w:rPr>
          <w:iCs/>
        </w:rPr>
        <w:t>Den beregnede korrektion af kommunens slutskat og kirkeskat efter stk. 1 fastsættes af økonomi- og indenrigsministeren på grundlag af de oplysninger vedrørende indkomståret 2014, der foreligger pr. 1. maj 2016.</w:t>
      </w:r>
    </w:p>
    <w:p w:rsidR="00C809D6" w:rsidRDefault="00C809D6" w:rsidP="00C809D6">
      <w:pPr>
        <w:rPr>
          <w:iCs/>
        </w:rPr>
      </w:pPr>
    </w:p>
    <w:p w:rsidR="00C809D6" w:rsidRDefault="00C809D6" w:rsidP="00C809D6">
      <w:pPr>
        <w:rPr>
          <w:iCs/>
        </w:rPr>
      </w:pPr>
      <w:r w:rsidRPr="00C809D6">
        <w:rPr>
          <w:i/>
          <w:iCs/>
        </w:rPr>
        <w:t>Stk. 3.</w:t>
      </w:r>
      <w:r>
        <w:rPr>
          <w:iCs/>
        </w:rPr>
        <w:t xml:space="preserve"> Virksomheder, der får omlagt afgiftsperioder efter lovens § 2, nr. 1, kan senest 1. marts 2014 anmode told- og skatteforvaltningen om ændring af afgiftsperioden.</w:t>
      </w:r>
    </w:p>
    <w:p w:rsidR="001B28F1" w:rsidRDefault="001B28F1" w:rsidP="00C809D6">
      <w:pPr>
        <w:rPr>
          <w:iCs/>
        </w:rPr>
      </w:pPr>
    </w:p>
    <w:p w:rsidR="005B34D0" w:rsidRDefault="005B34D0" w:rsidP="005B34D0">
      <w:pPr>
        <w:rPr>
          <w:iCs/>
        </w:rPr>
      </w:pPr>
      <w:r w:rsidRPr="000853E2">
        <w:rPr>
          <w:i/>
          <w:iCs/>
        </w:rPr>
        <w:t xml:space="preserve">Stk. </w:t>
      </w:r>
      <w:r>
        <w:rPr>
          <w:i/>
          <w:iCs/>
        </w:rPr>
        <w:t>4</w:t>
      </w:r>
      <w:r w:rsidRPr="000853E2">
        <w:rPr>
          <w:i/>
          <w:iCs/>
        </w:rPr>
        <w:t>.</w:t>
      </w:r>
      <w:r w:rsidRPr="000853E2">
        <w:rPr>
          <w:iCs/>
        </w:rPr>
        <w:t xml:space="preserve"> For løbende l</w:t>
      </w:r>
      <w:r>
        <w:rPr>
          <w:iCs/>
        </w:rPr>
        <w:t>everancer omfattet af lovens § 4, nr. 1, § 5, nr. 1, og § 6</w:t>
      </w:r>
      <w:r w:rsidRPr="000853E2">
        <w:rPr>
          <w:iCs/>
        </w:rPr>
        <w:t xml:space="preserve">, nr. 1, for hvilke afregningsperioden påbegyndes inden 1. januar 2014 og afsluttes efter dette tidspunkt, beregnes afgiften af så stor en del af leverancen, som </w:t>
      </w:r>
      <w:r w:rsidR="00832EC3">
        <w:rPr>
          <w:iCs/>
        </w:rPr>
        <w:t xml:space="preserve">i tidsrummet </w:t>
      </w:r>
      <w:r w:rsidRPr="000853E2">
        <w:rPr>
          <w:iCs/>
        </w:rPr>
        <w:t xml:space="preserve">fra 1. januar 2014 til afregningsperiodens afslutning </w:t>
      </w:r>
      <w:r w:rsidR="001F4C19">
        <w:rPr>
          <w:iCs/>
        </w:rPr>
        <w:t xml:space="preserve">er leveret </w:t>
      </w:r>
      <w:r w:rsidRPr="000853E2">
        <w:rPr>
          <w:iCs/>
        </w:rPr>
        <w:t>i forhold til den samlede afregningsperiode.</w:t>
      </w:r>
    </w:p>
    <w:p w:rsidR="005B34D0" w:rsidRPr="000853E2" w:rsidRDefault="005B34D0" w:rsidP="005B34D0">
      <w:pPr>
        <w:rPr>
          <w:iCs/>
        </w:rPr>
      </w:pPr>
    </w:p>
    <w:p w:rsidR="00605E9E" w:rsidRPr="00DF6A74" w:rsidRDefault="005B34D0" w:rsidP="001B78AD">
      <w:pPr>
        <w:rPr>
          <w:i/>
          <w:iCs/>
        </w:rPr>
      </w:pPr>
      <w:r w:rsidRPr="000853E2">
        <w:rPr>
          <w:i/>
          <w:iCs/>
        </w:rPr>
        <w:t xml:space="preserve">Stk. </w:t>
      </w:r>
      <w:r>
        <w:rPr>
          <w:i/>
          <w:iCs/>
        </w:rPr>
        <w:t>5</w:t>
      </w:r>
      <w:r w:rsidRPr="000853E2">
        <w:rPr>
          <w:i/>
          <w:iCs/>
        </w:rPr>
        <w:t>.</w:t>
      </w:r>
      <w:r>
        <w:rPr>
          <w:iCs/>
        </w:rPr>
        <w:t xml:space="preserve"> § 4, nr. 1, § 5, nr. 1, og § 6</w:t>
      </w:r>
      <w:r w:rsidRPr="000853E2">
        <w:rPr>
          <w:iCs/>
        </w:rPr>
        <w:t xml:space="preserve">, nr. 1, </w:t>
      </w:r>
      <w:r w:rsidR="009D1EDF">
        <w:rPr>
          <w:iCs/>
        </w:rPr>
        <w:t>har virkning</w:t>
      </w:r>
      <w:r w:rsidRPr="000853E2">
        <w:rPr>
          <w:iCs/>
        </w:rPr>
        <w:t xml:space="preserve"> for energiafgiftspligtige varer, der fra 1. januar 2014 udleveres til forbrug fra registrerede virksomheder, forbruges af registrerede virksomheder, angives til fortoldning, modtages fra udlandet eller medtages fra udlandet.</w:t>
      </w:r>
    </w:p>
    <w:p w:rsidR="001B78AD" w:rsidRPr="00FE0369" w:rsidRDefault="00C94459" w:rsidP="00376FD2">
      <w:pPr>
        <w:jc w:val="center"/>
        <w:rPr>
          <w:iCs/>
          <w:sz w:val="28"/>
        </w:rPr>
      </w:pPr>
      <w:r>
        <w:rPr>
          <w:iCs/>
          <w:sz w:val="28"/>
        </w:rPr>
        <w:br w:type="page"/>
      </w:r>
    </w:p>
    <w:p w:rsidR="00C94459" w:rsidRPr="00130E69" w:rsidRDefault="00C94459" w:rsidP="00C94459">
      <w:pPr>
        <w:jc w:val="right"/>
        <w:rPr>
          <w:b/>
          <w:iCs/>
        </w:rPr>
      </w:pPr>
      <w:r>
        <w:rPr>
          <w:b/>
          <w:iCs/>
        </w:rPr>
        <w:t>Bilag 1</w:t>
      </w:r>
    </w:p>
    <w:p w:rsidR="00C94459" w:rsidRDefault="00C94459" w:rsidP="00C94459">
      <w:pPr>
        <w:jc w:val="right"/>
        <w:rPr>
          <w:b/>
          <w:iCs/>
        </w:rPr>
      </w:pPr>
      <w:r w:rsidRPr="00130E69">
        <w:rPr>
          <w:b/>
          <w:iCs/>
        </w:rPr>
        <w:t>”Bilag 3 a</w:t>
      </w:r>
    </w:p>
    <w:p w:rsidR="00AE33F0" w:rsidRPr="004D15B2" w:rsidRDefault="00AE33F0" w:rsidP="00674C8A">
      <w:pPr>
        <w:jc w:val="left"/>
        <w:rPr>
          <w:b/>
          <w:iCs/>
        </w:rPr>
      </w:pPr>
      <w:r w:rsidRPr="00AE33F0">
        <w:rPr>
          <w:b/>
          <w:iCs/>
        </w:rPr>
        <w:t>Satser for elafgift</w:t>
      </w:r>
      <w:r w:rsidRPr="00A46B56">
        <w:rPr>
          <w:b/>
          <w:iCs/>
        </w:rPr>
        <w:t>slovens § 11, stk. 3</w:t>
      </w:r>
    </w:p>
    <w:p w:rsidR="00C94459" w:rsidRDefault="00C94459" w:rsidP="00C94459">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3"/>
        <w:gridCol w:w="1837"/>
        <w:gridCol w:w="1396"/>
        <w:gridCol w:w="1396"/>
        <w:gridCol w:w="1396"/>
      </w:tblGrid>
      <w:tr w:rsidR="00C94459" w:rsidRPr="00F86E02" w:rsidTr="00DD4E34">
        <w:trPr>
          <w:trHeight w:val="1645"/>
        </w:trPr>
        <w:tc>
          <w:tcPr>
            <w:tcW w:w="2603" w:type="dxa"/>
            <w:shd w:val="clear" w:color="auto" w:fill="auto"/>
          </w:tcPr>
          <w:p w:rsidR="00C94459" w:rsidRPr="00F86E02" w:rsidRDefault="00C94459" w:rsidP="00DD4E34">
            <w:pPr>
              <w:rPr>
                <w:bCs/>
              </w:rPr>
            </w:pPr>
          </w:p>
        </w:tc>
        <w:tc>
          <w:tcPr>
            <w:tcW w:w="1837" w:type="dxa"/>
            <w:shd w:val="clear" w:color="auto" w:fill="auto"/>
          </w:tcPr>
          <w:p w:rsidR="00C94459" w:rsidRPr="00F86E02" w:rsidRDefault="00C94459" w:rsidP="00DD4E34">
            <w:pPr>
              <w:rPr>
                <w:bCs/>
              </w:rPr>
            </w:pPr>
          </w:p>
        </w:tc>
        <w:tc>
          <w:tcPr>
            <w:tcW w:w="1396" w:type="dxa"/>
            <w:shd w:val="clear" w:color="auto" w:fill="auto"/>
          </w:tcPr>
          <w:p w:rsidR="00C94459" w:rsidRPr="00F86E02" w:rsidRDefault="00C94459" w:rsidP="00DD4E34">
            <w:pPr>
              <w:rPr>
                <w:bCs/>
              </w:rPr>
            </w:pPr>
            <w:r w:rsidRPr="00F86E02">
              <w:rPr>
                <w:bCs/>
              </w:rPr>
              <w:t>1. jan. -</w:t>
            </w:r>
          </w:p>
          <w:p w:rsidR="00C94459" w:rsidRPr="00F86E02" w:rsidRDefault="00C94459" w:rsidP="00DD4E34">
            <w:pPr>
              <w:rPr>
                <w:bCs/>
              </w:rPr>
            </w:pPr>
            <w:r w:rsidRPr="00F86E02">
              <w:rPr>
                <w:bCs/>
              </w:rPr>
              <w:t xml:space="preserve">31. dec. 2012  </w:t>
            </w:r>
          </w:p>
        </w:tc>
        <w:tc>
          <w:tcPr>
            <w:tcW w:w="1396" w:type="dxa"/>
            <w:shd w:val="clear" w:color="auto" w:fill="auto"/>
          </w:tcPr>
          <w:p w:rsidR="00C94459" w:rsidRPr="00F86E02" w:rsidRDefault="00C94459" w:rsidP="00DD4E34">
            <w:pPr>
              <w:rPr>
                <w:bCs/>
              </w:rPr>
            </w:pPr>
            <w:r w:rsidRPr="00F86E02">
              <w:rPr>
                <w:bCs/>
              </w:rPr>
              <w:t>1. jan. -</w:t>
            </w:r>
          </w:p>
          <w:p w:rsidR="00C94459" w:rsidRPr="00F86E02" w:rsidRDefault="00C94459" w:rsidP="00DD4E34">
            <w:pPr>
              <w:rPr>
                <w:bCs/>
              </w:rPr>
            </w:pPr>
            <w:r w:rsidRPr="00F86E02">
              <w:rPr>
                <w:bCs/>
              </w:rPr>
              <w:t xml:space="preserve">31. dec. 2013  </w:t>
            </w:r>
          </w:p>
        </w:tc>
        <w:tc>
          <w:tcPr>
            <w:tcW w:w="1396" w:type="dxa"/>
            <w:shd w:val="clear" w:color="auto" w:fill="auto"/>
          </w:tcPr>
          <w:p w:rsidR="00C94459" w:rsidRPr="00F86E02" w:rsidRDefault="00C94459" w:rsidP="00DD4E34">
            <w:pPr>
              <w:rPr>
                <w:bCs/>
                <w:lang w:val="en-US"/>
              </w:rPr>
            </w:pPr>
            <w:r w:rsidRPr="00F86E02">
              <w:rPr>
                <w:bCs/>
                <w:lang w:val="en-US"/>
              </w:rPr>
              <w:t>1. jan. -</w:t>
            </w:r>
          </w:p>
          <w:p w:rsidR="00C94459" w:rsidRPr="00F86E02" w:rsidRDefault="00C94459" w:rsidP="00DD4E34">
            <w:pPr>
              <w:rPr>
                <w:bCs/>
              </w:rPr>
            </w:pPr>
            <w:r w:rsidRPr="00F86E02">
              <w:rPr>
                <w:bCs/>
              </w:rPr>
              <w:t xml:space="preserve">31. dec. 2014  </w:t>
            </w:r>
          </w:p>
          <w:p w:rsidR="00C94459" w:rsidRPr="00F86E02" w:rsidRDefault="00C94459" w:rsidP="00DD4E34">
            <w:pPr>
              <w:rPr>
                <w:bCs/>
              </w:rPr>
            </w:pPr>
          </w:p>
        </w:tc>
      </w:tr>
      <w:tr w:rsidR="00C94459" w:rsidRPr="00F86E02" w:rsidTr="00DD4E34">
        <w:trPr>
          <w:trHeight w:val="274"/>
        </w:trPr>
        <w:tc>
          <w:tcPr>
            <w:tcW w:w="2603" w:type="dxa"/>
            <w:shd w:val="clear" w:color="auto" w:fill="auto"/>
          </w:tcPr>
          <w:p w:rsidR="00C94459" w:rsidRPr="00F86E02" w:rsidRDefault="00C94459" w:rsidP="00DD4E34">
            <w:pPr>
              <w:rPr>
                <w:bCs/>
              </w:rPr>
            </w:pPr>
            <w:r w:rsidRPr="00F86E02">
              <w:rPr>
                <w:bCs/>
              </w:rPr>
              <w:t>Tilbagebetaling</w:t>
            </w:r>
          </w:p>
        </w:tc>
        <w:tc>
          <w:tcPr>
            <w:tcW w:w="1837" w:type="dxa"/>
            <w:shd w:val="clear" w:color="auto" w:fill="auto"/>
          </w:tcPr>
          <w:p w:rsidR="00C94459" w:rsidRPr="00F86E02" w:rsidRDefault="00C94459" w:rsidP="00DD4E34">
            <w:pPr>
              <w:rPr>
                <w:bCs/>
              </w:rPr>
            </w:pPr>
            <w:r w:rsidRPr="00F86E02">
              <w:rPr>
                <w:bCs/>
              </w:rPr>
              <w:t>Øre/kWh</w:t>
            </w:r>
          </w:p>
        </w:tc>
        <w:tc>
          <w:tcPr>
            <w:tcW w:w="1396" w:type="dxa"/>
            <w:shd w:val="clear" w:color="auto" w:fill="auto"/>
          </w:tcPr>
          <w:p w:rsidR="00C94459" w:rsidRPr="00F86E02" w:rsidRDefault="00C94459" w:rsidP="00DD4E34">
            <w:pPr>
              <w:rPr>
                <w:bCs/>
              </w:rPr>
            </w:pPr>
            <w:r w:rsidRPr="00F86E02">
              <w:rPr>
                <w:bCs/>
              </w:rPr>
              <w:t>11,8</w:t>
            </w:r>
          </w:p>
        </w:tc>
        <w:tc>
          <w:tcPr>
            <w:tcW w:w="1396" w:type="dxa"/>
            <w:shd w:val="clear" w:color="auto" w:fill="auto"/>
          </w:tcPr>
          <w:p w:rsidR="00C94459" w:rsidRPr="00F86E02" w:rsidRDefault="00C94459" w:rsidP="00DD4E34">
            <w:pPr>
              <w:rPr>
                <w:bCs/>
              </w:rPr>
            </w:pPr>
            <w:r w:rsidRPr="00F86E02">
              <w:rPr>
                <w:bCs/>
              </w:rPr>
              <w:t>41,3</w:t>
            </w:r>
          </w:p>
        </w:tc>
        <w:tc>
          <w:tcPr>
            <w:tcW w:w="1396" w:type="dxa"/>
            <w:shd w:val="clear" w:color="auto" w:fill="auto"/>
          </w:tcPr>
          <w:p w:rsidR="00C94459" w:rsidRPr="00F86E02" w:rsidRDefault="00C94459" w:rsidP="00DD4E34">
            <w:pPr>
              <w:rPr>
                <w:bCs/>
              </w:rPr>
            </w:pPr>
            <w:r w:rsidRPr="00F86E02">
              <w:rPr>
                <w:bCs/>
              </w:rPr>
              <w:t>42,1</w:t>
            </w:r>
          </w:p>
        </w:tc>
      </w:tr>
    </w:tbl>
    <w:p w:rsidR="00C94459" w:rsidRPr="000853E2" w:rsidRDefault="00C94459" w:rsidP="00C94459">
      <w:pPr>
        <w:rPr>
          <w:iCs/>
        </w:rPr>
      </w:pPr>
    </w:p>
    <w:p w:rsidR="00C94459" w:rsidRPr="000853E2" w:rsidRDefault="00C94459" w:rsidP="00C94459">
      <w:pPr>
        <w:ind w:firstLine="720"/>
        <w:jc w:val="right"/>
        <w:rPr>
          <w:iCs/>
        </w:rPr>
      </w:pPr>
      <w:r>
        <w:rPr>
          <w:iCs/>
        </w:rPr>
        <w:t>”</w:t>
      </w:r>
    </w:p>
    <w:p w:rsidR="00C94459" w:rsidRPr="00FE0369" w:rsidRDefault="00C94459" w:rsidP="00376FD2">
      <w:pPr>
        <w:jc w:val="center"/>
        <w:rPr>
          <w:iCs/>
          <w:sz w:val="28"/>
        </w:rPr>
      </w:pPr>
      <w:r>
        <w:rPr>
          <w:iCs/>
          <w:sz w:val="28"/>
        </w:rPr>
        <w:br w:type="page"/>
      </w:r>
    </w:p>
    <w:p w:rsidR="006E18F2" w:rsidRDefault="006E18F2" w:rsidP="00376FD2">
      <w:pPr>
        <w:jc w:val="center"/>
        <w:rPr>
          <w:i/>
          <w:iCs/>
          <w:sz w:val="28"/>
        </w:rPr>
      </w:pPr>
    </w:p>
    <w:p w:rsidR="006E18F2" w:rsidRDefault="006E18F2" w:rsidP="00376FD2">
      <w:pPr>
        <w:jc w:val="center"/>
        <w:rPr>
          <w:i/>
          <w:iCs/>
          <w:sz w:val="28"/>
        </w:rPr>
      </w:pPr>
    </w:p>
    <w:p w:rsidR="00376FD2" w:rsidRPr="00BC172D" w:rsidRDefault="00376FD2" w:rsidP="00376FD2">
      <w:pPr>
        <w:jc w:val="center"/>
        <w:rPr>
          <w:i/>
          <w:iCs/>
          <w:sz w:val="28"/>
        </w:rPr>
      </w:pPr>
      <w:r w:rsidRPr="00BC172D">
        <w:rPr>
          <w:i/>
          <w:iCs/>
          <w:sz w:val="28"/>
        </w:rPr>
        <w:t>Bemærkninger til lovforslaget</w:t>
      </w:r>
    </w:p>
    <w:p w:rsidR="00376FD2" w:rsidRPr="00BC172D" w:rsidRDefault="00376FD2" w:rsidP="00376FD2">
      <w:pPr>
        <w:pStyle w:val="Overskrift2"/>
        <w:spacing w:line="240" w:lineRule="auto"/>
        <w:jc w:val="center"/>
        <w:rPr>
          <w:rFonts w:ascii="Times New Roman" w:hAnsi="Times New Roman" w:cs="Times New Roman"/>
          <w:i/>
          <w:sz w:val="24"/>
        </w:rPr>
      </w:pPr>
      <w:bookmarkStart w:id="1" w:name="_Toc210026133"/>
      <w:bookmarkStart w:id="2" w:name="_Toc207684802"/>
      <w:bookmarkStart w:id="3" w:name="_Toc207591971"/>
    </w:p>
    <w:p w:rsidR="00376FD2" w:rsidRPr="00BC172D" w:rsidRDefault="00376FD2" w:rsidP="00376FD2">
      <w:pPr>
        <w:pStyle w:val="Overskrift2"/>
        <w:spacing w:line="240" w:lineRule="auto"/>
        <w:jc w:val="center"/>
        <w:rPr>
          <w:rFonts w:ascii="Times New Roman" w:hAnsi="Times New Roman" w:cs="Times New Roman"/>
          <w:i/>
          <w:sz w:val="24"/>
        </w:rPr>
      </w:pPr>
      <w:r w:rsidRPr="00BC172D">
        <w:rPr>
          <w:rFonts w:ascii="Times New Roman" w:hAnsi="Times New Roman" w:cs="Times New Roman"/>
          <w:i/>
          <w:sz w:val="24"/>
        </w:rPr>
        <w:t>Almindelige bemærkninger</w:t>
      </w:r>
      <w:bookmarkEnd w:id="1"/>
      <w:bookmarkEnd w:id="2"/>
      <w:bookmarkEnd w:id="3"/>
    </w:p>
    <w:p w:rsidR="00376FD2" w:rsidRPr="00BC172D" w:rsidRDefault="00376FD2" w:rsidP="00376FD2">
      <w:pPr>
        <w:jc w:val="center"/>
        <w:rPr>
          <w:i/>
          <w:iCs/>
        </w:rPr>
      </w:pPr>
    </w:p>
    <w:p w:rsidR="00AA1F55" w:rsidRDefault="00376FD2">
      <w:pPr>
        <w:rPr>
          <w:iCs/>
        </w:rPr>
      </w:pPr>
      <w:r w:rsidRPr="00BC172D">
        <w:rPr>
          <w:i/>
          <w:iCs/>
        </w:rPr>
        <w:t>Indholdsfortegnelse</w:t>
      </w:r>
      <w:r w:rsidR="00145D6D" w:rsidRPr="00145D6D">
        <w:rPr>
          <w:iCs/>
        </w:rPr>
        <w:t xml:space="preserve"> </w:t>
      </w:r>
    </w:p>
    <w:p w:rsidR="008371A4" w:rsidRPr="00674C8A" w:rsidRDefault="008371A4" w:rsidP="00674C8A">
      <w:pPr>
        <w:numPr>
          <w:ilvl w:val="0"/>
          <w:numId w:val="12"/>
        </w:numPr>
        <w:rPr>
          <w:b/>
          <w:iCs/>
        </w:rPr>
      </w:pPr>
      <w:r>
        <w:rPr>
          <w:iCs/>
        </w:rPr>
        <w:t>Indledning</w:t>
      </w:r>
    </w:p>
    <w:p w:rsidR="008371A4" w:rsidRDefault="008371A4" w:rsidP="00674C8A">
      <w:pPr>
        <w:numPr>
          <w:ilvl w:val="0"/>
          <w:numId w:val="12"/>
        </w:numPr>
        <w:rPr>
          <w:iCs/>
        </w:rPr>
      </w:pPr>
      <w:r>
        <w:rPr>
          <w:iCs/>
        </w:rPr>
        <w:t>Lovforslagets formål og baggrund</w:t>
      </w:r>
    </w:p>
    <w:p w:rsidR="008371A4" w:rsidRDefault="008371A4" w:rsidP="00674C8A">
      <w:pPr>
        <w:numPr>
          <w:ilvl w:val="0"/>
          <w:numId w:val="12"/>
        </w:numPr>
        <w:rPr>
          <w:iCs/>
        </w:rPr>
      </w:pPr>
      <w:r w:rsidRPr="00674C8A">
        <w:rPr>
          <w:iCs/>
        </w:rPr>
        <w:t xml:space="preserve"> </w:t>
      </w:r>
      <w:r>
        <w:rPr>
          <w:iCs/>
        </w:rPr>
        <w:t>Lovforslagets enkelte elementer</w:t>
      </w:r>
    </w:p>
    <w:p w:rsidR="008371A4" w:rsidRDefault="00BB031E" w:rsidP="00674C8A">
      <w:pPr>
        <w:numPr>
          <w:ilvl w:val="1"/>
          <w:numId w:val="12"/>
        </w:numPr>
        <w:rPr>
          <w:iCs/>
        </w:rPr>
      </w:pPr>
      <w:r>
        <w:rPr>
          <w:iCs/>
        </w:rPr>
        <w:t>F</w:t>
      </w:r>
      <w:r w:rsidR="008371A4">
        <w:rPr>
          <w:iCs/>
        </w:rPr>
        <w:t>orhøjelse af beskæftigelsesfradraget</w:t>
      </w:r>
    </w:p>
    <w:p w:rsidR="008371A4" w:rsidRDefault="008371A4" w:rsidP="00674C8A">
      <w:pPr>
        <w:numPr>
          <w:ilvl w:val="2"/>
          <w:numId w:val="12"/>
        </w:numPr>
        <w:rPr>
          <w:iCs/>
        </w:rPr>
      </w:pPr>
      <w:r>
        <w:rPr>
          <w:iCs/>
        </w:rPr>
        <w:t>Gældende ret</w:t>
      </w:r>
    </w:p>
    <w:p w:rsidR="008371A4" w:rsidRDefault="008371A4" w:rsidP="00674C8A">
      <w:pPr>
        <w:numPr>
          <w:ilvl w:val="2"/>
          <w:numId w:val="12"/>
        </w:numPr>
        <w:rPr>
          <w:iCs/>
        </w:rPr>
      </w:pPr>
      <w:r>
        <w:rPr>
          <w:iCs/>
        </w:rPr>
        <w:t>Lovforslaget</w:t>
      </w:r>
    </w:p>
    <w:p w:rsidR="008371A4" w:rsidRDefault="00BB031E" w:rsidP="00674C8A">
      <w:pPr>
        <w:numPr>
          <w:ilvl w:val="1"/>
          <w:numId w:val="12"/>
        </w:numPr>
        <w:rPr>
          <w:iCs/>
        </w:rPr>
      </w:pPr>
      <w:r>
        <w:rPr>
          <w:iCs/>
        </w:rPr>
        <w:t>F</w:t>
      </w:r>
      <w:r w:rsidR="008371A4">
        <w:rPr>
          <w:iCs/>
        </w:rPr>
        <w:t>orhøjelse af det ekstra beskæftigelsesfradrag for enlige forsørgere</w:t>
      </w:r>
    </w:p>
    <w:p w:rsidR="008371A4" w:rsidRDefault="008371A4" w:rsidP="00674C8A">
      <w:pPr>
        <w:numPr>
          <w:ilvl w:val="2"/>
          <w:numId w:val="12"/>
        </w:numPr>
        <w:rPr>
          <w:iCs/>
        </w:rPr>
      </w:pPr>
      <w:r>
        <w:rPr>
          <w:iCs/>
        </w:rPr>
        <w:t>Gældende ret</w:t>
      </w:r>
    </w:p>
    <w:p w:rsidR="008371A4" w:rsidRDefault="008371A4" w:rsidP="00674C8A">
      <w:pPr>
        <w:numPr>
          <w:ilvl w:val="2"/>
          <w:numId w:val="12"/>
        </w:numPr>
        <w:rPr>
          <w:iCs/>
        </w:rPr>
      </w:pPr>
      <w:r>
        <w:rPr>
          <w:iCs/>
        </w:rPr>
        <w:t>Lovforslaget</w:t>
      </w:r>
    </w:p>
    <w:p w:rsidR="008371A4" w:rsidRDefault="008371A4" w:rsidP="00674C8A">
      <w:pPr>
        <w:numPr>
          <w:ilvl w:val="1"/>
          <w:numId w:val="12"/>
        </w:numPr>
        <w:rPr>
          <w:iCs/>
        </w:rPr>
      </w:pPr>
      <w:r>
        <w:rPr>
          <w:iCs/>
        </w:rPr>
        <w:t>Afskaffelse af den vægtbaserede emballageafgift</w:t>
      </w:r>
    </w:p>
    <w:p w:rsidR="008371A4" w:rsidRDefault="008371A4" w:rsidP="00674C8A">
      <w:pPr>
        <w:numPr>
          <w:ilvl w:val="2"/>
          <w:numId w:val="12"/>
        </w:numPr>
        <w:rPr>
          <w:iCs/>
        </w:rPr>
      </w:pPr>
      <w:r>
        <w:rPr>
          <w:iCs/>
        </w:rPr>
        <w:t>Gældende ret</w:t>
      </w:r>
    </w:p>
    <w:p w:rsidR="008371A4" w:rsidRDefault="008371A4" w:rsidP="00674C8A">
      <w:pPr>
        <w:numPr>
          <w:ilvl w:val="2"/>
          <w:numId w:val="12"/>
        </w:numPr>
        <w:rPr>
          <w:iCs/>
        </w:rPr>
      </w:pPr>
      <w:r>
        <w:rPr>
          <w:iCs/>
        </w:rPr>
        <w:t>Lovforslaget</w:t>
      </w:r>
    </w:p>
    <w:p w:rsidR="008371A4" w:rsidRDefault="008371A4" w:rsidP="00674C8A">
      <w:pPr>
        <w:numPr>
          <w:ilvl w:val="1"/>
          <w:numId w:val="12"/>
        </w:numPr>
        <w:rPr>
          <w:iCs/>
        </w:rPr>
      </w:pPr>
      <w:r>
        <w:rPr>
          <w:iCs/>
        </w:rPr>
        <w:t>Forhøjelse af grænsen for skattekreditter vedrørende forsknings- og udviklingsaktiviteter</w:t>
      </w:r>
    </w:p>
    <w:p w:rsidR="008371A4" w:rsidRDefault="008371A4" w:rsidP="00674C8A">
      <w:pPr>
        <w:numPr>
          <w:ilvl w:val="2"/>
          <w:numId w:val="12"/>
        </w:numPr>
        <w:rPr>
          <w:iCs/>
        </w:rPr>
      </w:pPr>
      <w:r>
        <w:rPr>
          <w:iCs/>
        </w:rPr>
        <w:t>Gældende ret</w:t>
      </w:r>
    </w:p>
    <w:p w:rsidR="008371A4" w:rsidRDefault="008371A4" w:rsidP="00674C8A">
      <w:pPr>
        <w:numPr>
          <w:ilvl w:val="2"/>
          <w:numId w:val="12"/>
        </w:numPr>
        <w:rPr>
          <w:iCs/>
        </w:rPr>
      </w:pPr>
      <w:r>
        <w:rPr>
          <w:iCs/>
        </w:rPr>
        <w:t>Lovforslaget</w:t>
      </w:r>
    </w:p>
    <w:p w:rsidR="008371A4" w:rsidRDefault="00BB031E" w:rsidP="00674C8A">
      <w:pPr>
        <w:numPr>
          <w:ilvl w:val="1"/>
          <w:numId w:val="12"/>
        </w:numPr>
        <w:rPr>
          <w:iCs/>
        </w:rPr>
      </w:pPr>
      <w:r>
        <w:rPr>
          <w:iCs/>
        </w:rPr>
        <w:t>L</w:t>
      </w:r>
      <w:r w:rsidR="008371A4">
        <w:rPr>
          <w:iCs/>
        </w:rPr>
        <w:t>empelse af momskredittid for små virksomheder</w:t>
      </w:r>
    </w:p>
    <w:p w:rsidR="008371A4" w:rsidRDefault="008371A4" w:rsidP="00674C8A">
      <w:pPr>
        <w:numPr>
          <w:ilvl w:val="2"/>
          <w:numId w:val="12"/>
        </w:numPr>
        <w:rPr>
          <w:iCs/>
        </w:rPr>
      </w:pPr>
      <w:r>
        <w:rPr>
          <w:iCs/>
        </w:rPr>
        <w:t>Gældende ret</w:t>
      </w:r>
    </w:p>
    <w:p w:rsidR="008371A4" w:rsidRDefault="008371A4" w:rsidP="00674C8A">
      <w:pPr>
        <w:numPr>
          <w:ilvl w:val="2"/>
          <w:numId w:val="12"/>
        </w:numPr>
        <w:rPr>
          <w:iCs/>
        </w:rPr>
      </w:pPr>
      <w:r>
        <w:rPr>
          <w:iCs/>
        </w:rPr>
        <w:t>Lovforslaget</w:t>
      </w:r>
    </w:p>
    <w:p w:rsidR="008371A4" w:rsidRDefault="008371A4" w:rsidP="00674C8A">
      <w:pPr>
        <w:numPr>
          <w:ilvl w:val="1"/>
          <w:numId w:val="12"/>
        </w:numPr>
        <w:rPr>
          <w:iCs/>
        </w:rPr>
      </w:pPr>
      <w:r>
        <w:rPr>
          <w:iCs/>
        </w:rPr>
        <w:t>Lempelse af virksomhedernes afgift på brændsel</w:t>
      </w:r>
    </w:p>
    <w:p w:rsidR="008371A4" w:rsidRDefault="008371A4" w:rsidP="00674C8A">
      <w:pPr>
        <w:numPr>
          <w:ilvl w:val="2"/>
          <w:numId w:val="12"/>
        </w:numPr>
        <w:rPr>
          <w:iCs/>
        </w:rPr>
      </w:pPr>
      <w:r>
        <w:rPr>
          <w:iCs/>
        </w:rPr>
        <w:t>Gældende ret</w:t>
      </w:r>
    </w:p>
    <w:p w:rsidR="008371A4" w:rsidRDefault="008371A4" w:rsidP="00674C8A">
      <w:pPr>
        <w:numPr>
          <w:ilvl w:val="2"/>
          <w:numId w:val="12"/>
        </w:numPr>
        <w:rPr>
          <w:iCs/>
        </w:rPr>
      </w:pPr>
      <w:r>
        <w:rPr>
          <w:iCs/>
        </w:rPr>
        <w:t>Lovforslaget</w:t>
      </w:r>
    </w:p>
    <w:p w:rsidR="008371A4" w:rsidRDefault="008371A4" w:rsidP="00674C8A">
      <w:pPr>
        <w:numPr>
          <w:ilvl w:val="1"/>
          <w:numId w:val="12"/>
        </w:numPr>
        <w:rPr>
          <w:iCs/>
        </w:rPr>
      </w:pPr>
      <w:r>
        <w:rPr>
          <w:iCs/>
        </w:rPr>
        <w:t>Fradrag for selvstændiges syge- og arbejdsskadeforsikring</w:t>
      </w:r>
    </w:p>
    <w:p w:rsidR="008371A4" w:rsidRDefault="008371A4" w:rsidP="00674C8A">
      <w:pPr>
        <w:numPr>
          <w:ilvl w:val="2"/>
          <w:numId w:val="12"/>
        </w:numPr>
        <w:rPr>
          <w:iCs/>
        </w:rPr>
      </w:pPr>
      <w:r>
        <w:rPr>
          <w:iCs/>
        </w:rPr>
        <w:t>Gældende ret</w:t>
      </w:r>
    </w:p>
    <w:p w:rsidR="008371A4" w:rsidRDefault="008371A4" w:rsidP="00674C8A">
      <w:pPr>
        <w:numPr>
          <w:ilvl w:val="2"/>
          <w:numId w:val="12"/>
        </w:numPr>
        <w:rPr>
          <w:iCs/>
        </w:rPr>
      </w:pPr>
      <w:r>
        <w:rPr>
          <w:iCs/>
        </w:rPr>
        <w:t>Lovforslaget</w:t>
      </w:r>
    </w:p>
    <w:p w:rsidR="008371A4" w:rsidRDefault="008371A4" w:rsidP="00674C8A">
      <w:pPr>
        <w:numPr>
          <w:ilvl w:val="0"/>
          <w:numId w:val="12"/>
        </w:numPr>
        <w:rPr>
          <w:iCs/>
        </w:rPr>
      </w:pPr>
      <w:r>
        <w:rPr>
          <w:iCs/>
        </w:rPr>
        <w:t>Økonomiske konsekvenser for det offentlige</w:t>
      </w:r>
    </w:p>
    <w:p w:rsidR="008371A4" w:rsidRDefault="008371A4" w:rsidP="00674C8A">
      <w:pPr>
        <w:numPr>
          <w:ilvl w:val="1"/>
          <w:numId w:val="12"/>
        </w:numPr>
        <w:rPr>
          <w:iCs/>
        </w:rPr>
      </w:pPr>
      <w:r>
        <w:rPr>
          <w:iCs/>
        </w:rPr>
        <w:t xml:space="preserve">De samlede økonomiske konsekvenser </w:t>
      </w:r>
      <w:r w:rsidR="00B5608F">
        <w:rPr>
          <w:iCs/>
        </w:rPr>
        <w:t>af skatte- og afgiftselementer i Aftaler om finansloven for 2014</w:t>
      </w:r>
    </w:p>
    <w:p w:rsidR="00B5608F" w:rsidRDefault="00B5608F" w:rsidP="00674C8A">
      <w:pPr>
        <w:numPr>
          <w:ilvl w:val="1"/>
          <w:numId w:val="12"/>
        </w:numPr>
        <w:rPr>
          <w:iCs/>
        </w:rPr>
      </w:pPr>
      <w:r>
        <w:rPr>
          <w:iCs/>
        </w:rPr>
        <w:t>Forhøjelse af beskæftigelsesfradragene</w:t>
      </w:r>
    </w:p>
    <w:p w:rsidR="00B5608F" w:rsidRDefault="00B5608F" w:rsidP="00674C8A">
      <w:pPr>
        <w:numPr>
          <w:ilvl w:val="1"/>
          <w:numId w:val="12"/>
        </w:numPr>
        <w:rPr>
          <w:iCs/>
        </w:rPr>
      </w:pPr>
      <w:r>
        <w:rPr>
          <w:iCs/>
        </w:rPr>
        <w:t>Afskaffelse af den vægtbaserede emballageafgift</w:t>
      </w:r>
    </w:p>
    <w:p w:rsidR="00B5608F" w:rsidRDefault="00B5608F" w:rsidP="00674C8A">
      <w:pPr>
        <w:numPr>
          <w:ilvl w:val="1"/>
          <w:numId w:val="12"/>
        </w:numPr>
        <w:rPr>
          <w:iCs/>
        </w:rPr>
      </w:pPr>
      <w:r>
        <w:rPr>
          <w:iCs/>
        </w:rPr>
        <w:t>Forhøjelse af grænsen for skattekreditter vedrørende forsknings- og udviklingsaktiviteter</w:t>
      </w:r>
    </w:p>
    <w:p w:rsidR="00B5608F" w:rsidRDefault="00B5608F" w:rsidP="00674C8A">
      <w:pPr>
        <w:numPr>
          <w:ilvl w:val="1"/>
          <w:numId w:val="12"/>
        </w:numPr>
        <w:rPr>
          <w:iCs/>
        </w:rPr>
      </w:pPr>
      <w:r>
        <w:rPr>
          <w:iCs/>
        </w:rPr>
        <w:t>Lempelse af momskredittid for små virksomheder</w:t>
      </w:r>
    </w:p>
    <w:p w:rsidR="00B5608F" w:rsidRDefault="00B5608F" w:rsidP="00674C8A">
      <w:pPr>
        <w:numPr>
          <w:ilvl w:val="1"/>
          <w:numId w:val="12"/>
        </w:numPr>
        <w:rPr>
          <w:iCs/>
        </w:rPr>
      </w:pPr>
      <w:r>
        <w:rPr>
          <w:iCs/>
        </w:rPr>
        <w:t>Lempelse af virksomhedernes afgift på brændsel</w:t>
      </w:r>
    </w:p>
    <w:p w:rsidR="00B5608F" w:rsidRDefault="00B5608F" w:rsidP="00674C8A">
      <w:pPr>
        <w:numPr>
          <w:ilvl w:val="1"/>
          <w:numId w:val="12"/>
        </w:numPr>
        <w:rPr>
          <w:iCs/>
        </w:rPr>
      </w:pPr>
      <w:r>
        <w:rPr>
          <w:iCs/>
        </w:rPr>
        <w:t>Fradrag for selvstændiges syge- og arbejdsskadeforsikring</w:t>
      </w:r>
    </w:p>
    <w:p w:rsidR="00B5608F" w:rsidRDefault="00B5608F" w:rsidP="00674C8A">
      <w:pPr>
        <w:numPr>
          <w:ilvl w:val="0"/>
          <w:numId w:val="12"/>
        </w:numPr>
        <w:rPr>
          <w:iCs/>
        </w:rPr>
      </w:pPr>
      <w:r>
        <w:rPr>
          <w:iCs/>
        </w:rPr>
        <w:t>Administrative konsekvenser for det offentlige</w:t>
      </w:r>
    </w:p>
    <w:p w:rsidR="00B5608F" w:rsidRDefault="00BB031E" w:rsidP="00674C8A">
      <w:pPr>
        <w:numPr>
          <w:ilvl w:val="1"/>
          <w:numId w:val="12"/>
        </w:numPr>
        <w:rPr>
          <w:iCs/>
        </w:rPr>
      </w:pPr>
      <w:r>
        <w:rPr>
          <w:iCs/>
        </w:rPr>
        <w:t>F</w:t>
      </w:r>
      <w:r w:rsidR="00B5608F">
        <w:rPr>
          <w:iCs/>
        </w:rPr>
        <w:t>orhøjelse af beskæftigelsesfradraget</w:t>
      </w:r>
    </w:p>
    <w:p w:rsidR="00B5608F" w:rsidRDefault="00BB031E" w:rsidP="00674C8A">
      <w:pPr>
        <w:numPr>
          <w:ilvl w:val="1"/>
          <w:numId w:val="12"/>
        </w:numPr>
        <w:rPr>
          <w:iCs/>
        </w:rPr>
      </w:pPr>
      <w:r>
        <w:rPr>
          <w:iCs/>
        </w:rPr>
        <w:t>F</w:t>
      </w:r>
      <w:r w:rsidR="00B5608F">
        <w:rPr>
          <w:iCs/>
        </w:rPr>
        <w:t>orhøjelse af det ekstra beskæftigelsesfradrag for enlige forsørgere</w:t>
      </w:r>
    </w:p>
    <w:p w:rsidR="00B5608F" w:rsidRDefault="00B5608F" w:rsidP="00674C8A">
      <w:pPr>
        <w:numPr>
          <w:ilvl w:val="1"/>
          <w:numId w:val="12"/>
        </w:numPr>
        <w:rPr>
          <w:iCs/>
        </w:rPr>
      </w:pPr>
      <w:r>
        <w:rPr>
          <w:iCs/>
        </w:rPr>
        <w:t>Afskaffelse af den vægtbaserede emballageafgift</w:t>
      </w:r>
    </w:p>
    <w:p w:rsidR="00B5608F" w:rsidRDefault="00B5608F" w:rsidP="00674C8A">
      <w:pPr>
        <w:numPr>
          <w:ilvl w:val="1"/>
          <w:numId w:val="12"/>
        </w:numPr>
        <w:rPr>
          <w:iCs/>
        </w:rPr>
      </w:pPr>
      <w:r>
        <w:rPr>
          <w:iCs/>
        </w:rPr>
        <w:t>Forhøjelse af grænsen for skattekreditter vedrørende forsknings- og udviklingsaktiviteter</w:t>
      </w:r>
    </w:p>
    <w:p w:rsidR="00B5608F" w:rsidRDefault="00BB031E" w:rsidP="00674C8A">
      <w:pPr>
        <w:numPr>
          <w:ilvl w:val="1"/>
          <w:numId w:val="12"/>
        </w:numPr>
        <w:rPr>
          <w:iCs/>
        </w:rPr>
      </w:pPr>
      <w:r>
        <w:rPr>
          <w:iCs/>
        </w:rPr>
        <w:t>L</w:t>
      </w:r>
      <w:r w:rsidR="00B5608F">
        <w:rPr>
          <w:iCs/>
        </w:rPr>
        <w:t>empelse af momskredittid for små virksomheder</w:t>
      </w:r>
    </w:p>
    <w:p w:rsidR="00B5608F" w:rsidRDefault="00B5608F" w:rsidP="00674C8A">
      <w:pPr>
        <w:numPr>
          <w:ilvl w:val="1"/>
          <w:numId w:val="12"/>
        </w:numPr>
        <w:rPr>
          <w:iCs/>
        </w:rPr>
      </w:pPr>
      <w:r>
        <w:rPr>
          <w:iCs/>
        </w:rPr>
        <w:t>Lempelse af virksomhedernes afgift på brændsler</w:t>
      </w:r>
    </w:p>
    <w:p w:rsidR="00B5608F" w:rsidRDefault="00B5608F" w:rsidP="00674C8A">
      <w:pPr>
        <w:numPr>
          <w:ilvl w:val="1"/>
          <w:numId w:val="12"/>
        </w:numPr>
        <w:rPr>
          <w:iCs/>
        </w:rPr>
      </w:pPr>
      <w:r>
        <w:rPr>
          <w:iCs/>
        </w:rPr>
        <w:t>Fradrag for selvstændiges syge- og arbejdsskadeforsikring</w:t>
      </w:r>
    </w:p>
    <w:p w:rsidR="00B5608F" w:rsidRDefault="00B5608F" w:rsidP="00674C8A">
      <w:pPr>
        <w:numPr>
          <w:ilvl w:val="0"/>
          <w:numId w:val="12"/>
        </w:numPr>
        <w:rPr>
          <w:iCs/>
        </w:rPr>
      </w:pPr>
      <w:r>
        <w:rPr>
          <w:iCs/>
        </w:rPr>
        <w:t>Økonomiske konsekvenser for erhvervslivet</w:t>
      </w:r>
    </w:p>
    <w:p w:rsidR="00B5608F" w:rsidRDefault="00B5608F" w:rsidP="00674C8A">
      <w:pPr>
        <w:numPr>
          <w:ilvl w:val="1"/>
          <w:numId w:val="12"/>
        </w:numPr>
        <w:rPr>
          <w:iCs/>
        </w:rPr>
      </w:pPr>
      <w:r>
        <w:rPr>
          <w:iCs/>
        </w:rPr>
        <w:t>Samlede økonomiske konsekvenser for erhvervslivet</w:t>
      </w:r>
    </w:p>
    <w:p w:rsidR="00B5608F" w:rsidRDefault="00B5608F" w:rsidP="00674C8A">
      <w:pPr>
        <w:numPr>
          <w:ilvl w:val="1"/>
          <w:numId w:val="12"/>
        </w:numPr>
        <w:rPr>
          <w:iCs/>
        </w:rPr>
      </w:pPr>
      <w:r>
        <w:rPr>
          <w:iCs/>
        </w:rPr>
        <w:t>Forhøjelse af beskæftigelsesfradragene</w:t>
      </w:r>
    </w:p>
    <w:p w:rsidR="00B5608F" w:rsidRDefault="00B5608F" w:rsidP="00674C8A">
      <w:pPr>
        <w:numPr>
          <w:ilvl w:val="1"/>
          <w:numId w:val="12"/>
        </w:numPr>
        <w:rPr>
          <w:iCs/>
        </w:rPr>
      </w:pPr>
      <w:r>
        <w:rPr>
          <w:iCs/>
        </w:rPr>
        <w:t>Afskaffelse af den vægtbaserede emballageafgift</w:t>
      </w:r>
    </w:p>
    <w:p w:rsidR="00B5608F" w:rsidRDefault="00B5608F" w:rsidP="00674C8A">
      <w:pPr>
        <w:numPr>
          <w:ilvl w:val="1"/>
          <w:numId w:val="12"/>
        </w:numPr>
        <w:rPr>
          <w:iCs/>
        </w:rPr>
      </w:pPr>
      <w:r>
        <w:rPr>
          <w:iCs/>
        </w:rPr>
        <w:t>Forhøjelse af grænsen for skattekreditter vedrørende forsknings- og udviklingsaktivit</w:t>
      </w:r>
      <w:r w:rsidR="004B653A">
        <w:rPr>
          <w:iCs/>
        </w:rPr>
        <w:t>eter</w:t>
      </w:r>
    </w:p>
    <w:p w:rsidR="004B653A" w:rsidRDefault="004B653A" w:rsidP="00674C8A">
      <w:pPr>
        <w:numPr>
          <w:ilvl w:val="1"/>
          <w:numId w:val="12"/>
        </w:numPr>
        <w:rPr>
          <w:iCs/>
        </w:rPr>
      </w:pPr>
      <w:r>
        <w:rPr>
          <w:iCs/>
        </w:rPr>
        <w:t>Lempelse af momskredittid for små virksomheder</w:t>
      </w:r>
    </w:p>
    <w:p w:rsidR="004B653A" w:rsidRDefault="004B653A" w:rsidP="00674C8A">
      <w:pPr>
        <w:numPr>
          <w:ilvl w:val="1"/>
          <w:numId w:val="12"/>
        </w:numPr>
        <w:rPr>
          <w:iCs/>
        </w:rPr>
      </w:pPr>
      <w:r>
        <w:rPr>
          <w:iCs/>
        </w:rPr>
        <w:t>Lempelse af virksomhedernes afgift på brændsler</w:t>
      </w:r>
    </w:p>
    <w:p w:rsidR="004B653A" w:rsidRDefault="004B653A" w:rsidP="00674C8A">
      <w:pPr>
        <w:numPr>
          <w:ilvl w:val="1"/>
          <w:numId w:val="12"/>
        </w:numPr>
        <w:rPr>
          <w:iCs/>
        </w:rPr>
      </w:pPr>
      <w:r>
        <w:rPr>
          <w:iCs/>
        </w:rPr>
        <w:t>Fradrag for selvstændiges syge- og arbejdsskadeforsikring</w:t>
      </w:r>
    </w:p>
    <w:p w:rsidR="004B653A" w:rsidRDefault="004B653A" w:rsidP="00674C8A">
      <w:pPr>
        <w:numPr>
          <w:ilvl w:val="0"/>
          <w:numId w:val="12"/>
        </w:numPr>
        <w:rPr>
          <w:iCs/>
        </w:rPr>
      </w:pPr>
      <w:r>
        <w:rPr>
          <w:iCs/>
        </w:rPr>
        <w:t>Administrative konsekvenser for erhvervslivet</w:t>
      </w:r>
    </w:p>
    <w:p w:rsidR="004B653A" w:rsidRDefault="004B653A" w:rsidP="00674C8A">
      <w:pPr>
        <w:numPr>
          <w:ilvl w:val="0"/>
          <w:numId w:val="12"/>
        </w:numPr>
        <w:rPr>
          <w:iCs/>
        </w:rPr>
      </w:pPr>
      <w:r>
        <w:rPr>
          <w:iCs/>
        </w:rPr>
        <w:t>Administrative konsekvenser for borgerne</w:t>
      </w:r>
    </w:p>
    <w:p w:rsidR="004B653A" w:rsidRDefault="004B653A" w:rsidP="00674C8A">
      <w:pPr>
        <w:numPr>
          <w:ilvl w:val="0"/>
          <w:numId w:val="12"/>
        </w:numPr>
        <w:rPr>
          <w:iCs/>
        </w:rPr>
      </w:pPr>
      <w:r>
        <w:rPr>
          <w:iCs/>
        </w:rPr>
        <w:t>Miljømæssige konsekvenser</w:t>
      </w:r>
    </w:p>
    <w:p w:rsidR="004B653A" w:rsidRDefault="004B653A" w:rsidP="00674C8A">
      <w:pPr>
        <w:numPr>
          <w:ilvl w:val="0"/>
          <w:numId w:val="12"/>
        </w:numPr>
        <w:rPr>
          <w:iCs/>
        </w:rPr>
      </w:pPr>
      <w:r>
        <w:rPr>
          <w:iCs/>
        </w:rPr>
        <w:t>Forholdet til EU-retten</w:t>
      </w:r>
    </w:p>
    <w:p w:rsidR="004B653A" w:rsidRDefault="004B653A" w:rsidP="00674C8A">
      <w:pPr>
        <w:numPr>
          <w:ilvl w:val="0"/>
          <w:numId w:val="12"/>
        </w:numPr>
        <w:rPr>
          <w:iCs/>
        </w:rPr>
      </w:pPr>
      <w:r>
        <w:rPr>
          <w:iCs/>
        </w:rPr>
        <w:t>Hørte myndigheder og organisationer m.v.</w:t>
      </w:r>
    </w:p>
    <w:p w:rsidR="004B653A" w:rsidRPr="008371A4" w:rsidRDefault="004B653A" w:rsidP="00674C8A">
      <w:pPr>
        <w:numPr>
          <w:ilvl w:val="0"/>
          <w:numId w:val="12"/>
        </w:numPr>
        <w:rPr>
          <w:iCs/>
        </w:rPr>
      </w:pPr>
      <w:r>
        <w:rPr>
          <w:iCs/>
        </w:rPr>
        <w:t>Sammenfattende skema</w:t>
      </w:r>
    </w:p>
    <w:p w:rsidR="00376FD2" w:rsidRPr="00BC172D" w:rsidRDefault="00376FD2">
      <w:pPr>
        <w:rPr>
          <w:b/>
          <w:iCs/>
        </w:rPr>
      </w:pPr>
      <w:r w:rsidRPr="00145D6D">
        <w:rPr>
          <w:iCs/>
        </w:rPr>
        <w:t xml:space="preserve"> </w:t>
      </w:r>
    </w:p>
    <w:p w:rsidR="00376FD2" w:rsidRPr="00BC172D" w:rsidRDefault="00376FD2" w:rsidP="00376FD2"/>
    <w:p w:rsidR="00376FD2" w:rsidRPr="00BC172D" w:rsidRDefault="00376FD2" w:rsidP="00376FD2">
      <w:pPr>
        <w:rPr>
          <w:i/>
          <w:iCs/>
        </w:rPr>
      </w:pPr>
      <w:r w:rsidRPr="00BC172D">
        <w:rPr>
          <w:i/>
          <w:iCs/>
        </w:rPr>
        <w:t>1. Indledning</w:t>
      </w:r>
    </w:p>
    <w:p w:rsidR="00CF669F" w:rsidRDefault="00CF669F" w:rsidP="009258DD">
      <w:r>
        <w:t>Lovforslaget er en del af aftale af 26. november 2013 om finansloven for 2014 mellem Regeringen (Socialdemokraterne, Radikale Venstre og Socialistisk Folkeparti), Venstre og Det Konservative Folkeparti.</w:t>
      </w:r>
    </w:p>
    <w:p w:rsidR="00CF669F" w:rsidRDefault="00CF669F" w:rsidP="00376FD2"/>
    <w:p w:rsidR="009258DD" w:rsidRPr="009258DD" w:rsidRDefault="008F54EC" w:rsidP="009258DD">
      <w:r>
        <w:t>Aftaleparterne</w:t>
      </w:r>
      <w:r w:rsidR="009258DD" w:rsidRPr="009258DD">
        <w:t xml:space="preserve"> er enige om at fremrykke skatte- og afgiftslempelser fra Aftaler om Vækstplan DK</w:t>
      </w:r>
      <w:r w:rsidR="00EB3CFA">
        <w:t xml:space="preserve"> og</w:t>
      </w:r>
      <w:r w:rsidR="00EB4D27">
        <w:t xml:space="preserve"> at fremrykke</w:t>
      </w:r>
      <w:r w:rsidR="00EB3CFA">
        <w:t xml:space="preserve"> forhøjelse</w:t>
      </w:r>
      <w:r w:rsidR="00EB4D27">
        <w:t>r</w:t>
      </w:r>
      <w:r w:rsidR="00EB3CFA">
        <w:t xml:space="preserve"> af</w:t>
      </w:r>
      <w:r w:rsidR="00EB4D27">
        <w:t xml:space="preserve"> det almindelige</w:t>
      </w:r>
      <w:r w:rsidR="00EB3CFA">
        <w:t xml:space="preserve"> beskæftigelsesfradrag</w:t>
      </w:r>
      <w:r w:rsidR="00EB4D27">
        <w:t xml:space="preserve"> og</w:t>
      </w:r>
      <w:r w:rsidR="00EB3CFA">
        <w:t xml:space="preserve"> det ekstra beskæftigelsesfradrag for enlige forsørgere</w:t>
      </w:r>
      <w:r w:rsidR="009258DD" w:rsidRPr="009258DD">
        <w:t>. Det vil forbedre virksomhedernes rammevilkår allerede fra 2014, og det vil isoleret set bidrage til at understøtte vækst og beskæftigelse på kort sigt.</w:t>
      </w:r>
    </w:p>
    <w:p w:rsidR="009258DD" w:rsidRPr="009258DD" w:rsidRDefault="009258DD" w:rsidP="009258DD"/>
    <w:p w:rsidR="00376FD2" w:rsidRPr="00BC172D" w:rsidRDefault="00376FD2" w:rsidP="00376FD2">
      <w:pPr>
        <w:rPr>
          <w:i/>
          <w:iCs/>
        </w:rPr>
      </w:pPr>
      <w:r w:rsidRPr="00BC172D">
        <w:rPr>
          <w:i/>
          <w:iCs/>
        </w:rPr>
        <w:t xml:space="preserve">2. Lovforslagets formål og baggrund </w:t>
      </w:r>
    </w:p>
    <w:p w:rsidR="00E404F8" w:rsidRDefault="00D41816" w:rsidP="00D41816">
      <w:pPr>
        <w:rPr>
          <w:rFonts w:asciiTheme="minorHAnsi" w:hAnsiTheme="minorHAnsi" w:cs="Times New Roman"/>
          <w:szCs w:val="24"/>
        </w:rPr>
      </w:pPr>
      <w:r w:rsidRPr="00AD67D7">
        <w:rPr>
          <w:rFonts w:asciiTheme="minorHAnsi" w:hAnsiTheme="minorHAnsi" w:cs="Times New Roman"/>
          <w:szCs w:val="24"/>
        </w:rPr>
        <w:t xml:space="preserve">Med dette lovforslag udmøntes i henhold til </w:t>
      </w:r>
      <w:r w:rsidRPr="00AD67D7">
        <w:rPr>
          <w:rFonts w:asciiTheme="minorHAnsi" w:hAnsiTheme="minorHAnsi" w:cs="Times New Roman"/>
          <w:i/>
          <w:szCs w:val="24"/>
        </w:rPr>
        <w:t>Aftaler om finansloven for 2014</w:t>
      </w:r>
      <w:r w:rsidRPr="00AD67D7">
        <w:rPr>
          <w:rFonts w:asciiTheme="minorHAnsi" w:hAnsiTheme="minorHAnsi" w:cs="Times New Roman"/>
          <w:szCs w:val="24"/>
        </w:rPr>
        <w:t xml:space="preserve"> fremrykningen af en række skattelettelser i </w:t>
      </w:r>
      <w:r w:rsidRPr="00AD67D7">
        <w:rPr>
          <w:rFonts w:asciiTheme="minorHAnsi" w:hAnsiTheme="minorHAnsi" w:cs="Times New Roman"/>
          <w:i/>
          <w:szCs w:val="24"/>
        </w:rPr>
        <w:t>Aftale om en skattereform fra 2012</w:t>
      </w:r>
      <w:r w:rsidRPr="00AD67D7">
        <w:rPr>
          <w:rFonts w:asciiTheme="minorHAnsi" w:hAnsiTheme="minorHAnsi" w:cs="Times New Roman"/>
          <w:szCs w:val="24"/>
        </w:rPr>
        <w:t xml:space="preserve"> og </w:t>
      </w:r>
      <w:r w:rsidRPr="00AD67D7">
        <w:rPr>
          <w:rFonts w:asciiTheme="minorHAnsi" w:hAnsiTheme="minorHAnsi" w:cs="Times New Roman"/>
          <w:i/>
          <w:szCs w:val="24"/>
        </w:rPr>
        <w:t>Aftaler om Vækstplan DK</w:t>
      </w:r>
      <w:r w:rsidRPr="00AD67D7">
        <w:rPr>
          <w:rFonts w:asciiTheme="minorHAnsi" w:hAnsiTheme="minorHAnsi" w:cs="Times New Roman"/>
          <w:szCs w:val="24"/>
        </w:rPr>
        <w:t>.</w:t>
      </w:r>
    </w:p>
    <w:p w:rsidR="00D41816" w:rsidRPr="00AD67D7" w:rsidRDefault="00D41816" w:rsidP="00D41816">
      <w:pPr>
        <w:rPr>
          <w:rFonts w:asciiTheme="minorHAnsi" w:hAnsiTheme="minorHAnsi" w:cs="Times New Roman"/>
          <w:szCs w:val="24"/>
        </w:rPr>
      </w:pPr>
      <w:r w:rsidRPr="00AD67D7">
        <w:rPr>
          <w:rFonts w:asciiTheme="minorHAnsi" w:hAnsiTheme="minorHAnsi" w:cs="Times New Roman"/>
          <w:szCs w:val="24"/>
        </w:rPr>
        <w:t xml:space="preserve"> </w:t>
      </w:r>
    </w:p>
    <w:p w:rsidR="00D41816" w:rsidRPr="00AD67D7" w:rsidRDefault="00D41816" w:rsidP="00D41816">
      <w:pPr>
        <w:rPr>
          <w:rFonts w:asciiTheme="minorHAnsi" w:hAnsiTheme="minorHAnsi" w:cs="Times New Roman"/>
          <w:szCs w:val="24"/>
        </w:rPr>
      </w:pPr>
      <w:r w:rsidRPr="00AD67D7">
        <w:rPr>
          <w:rFonts w:asciiTheme="minorHAnsi" w:hAnsiTheme="minorHAnsi" w:cs="Times New Roman"/>
          <w:szCs w:val="24"/>
        </w:rPr>
        <w:t xml:space="preserve">Følgende elementer i </w:t>
      </w:r>
      <w:r w:rsidRPr="00AD67D7">
        <w:rPr>
          <w:rFonts w:asciiTheme="minorHAnsi" w:hAnsiTheme="minorHAnsi" w:cs="Times New Roman"/>
          <w:i/>
          <w:szCs w:val="24"/>
        </w:rPr>
        <w:t>Aftale om en skattereform fra 2012</w:t>
      </w:r>
      <w:r w:rsidRPr="00AD67D7">
        <w:rPr>
          <w:rFonts w:asciiTheme="minorHAnsi" w:hAnsiTheme="minorHAnsi" w:cs="Times New Roman"/>
          <w:szCs w:val="24"/>
        </w:rPr>
        <w:t xml:space="preserve"> fremrykkes:</w:t>
      </w:r>
    </w:p>
    <w:p w:rsidR="00D41816" w:rsidRPr="00AD67D7" w:rsidRDefault="00D41816" w:rsidP="00D41816">
      <w:pPr>
        <w:pStyle w:val="Listeafsnit"/>
        <w:numPr>
          <w:ilvl w:val="0"/>
          <w:numId w:val="10"/>
        </w:numPr>
        <w:spacing w:after="200" w:line="276" w:lineRule="auto"/>
        <w:rPr>
          <w:rFonts w:asciiTheme="minorHAnsi" w:hAnsiTheme="minorHAnsi"/>
        </w:rPr>
      </w:pPr>
      <w:r w:rsidRPr="00AD67D7">
        <w:rPr>
          <w:rFonts w:asciiTheme="minorHAnsi" w:hAnsiTheme="minorHAnsi"/>
        </w:rPr>
        <w:t xml:space="preserve">Forhøjelse af beskæftigelsesfradraget i perioden 2014 til 2017, således at beskæftigelsesfradraget udgør 7,65 pct. i 2014 stigende til 8,75 pct. i 2017. Det maksimale beskæftigelsesfradrag udgør 25.000 kr. i 2014 stigende til 28.600 kr. i 2018. Herved øges gevinsten ved at være i arbejde for lønmodtagere. </w:t>
      </w:r>
    </w:p>
    <w:p w:rsidR="00D41816" w:rsidRPr="00AD67D7" w:rsidRDefault="00CA3E47" w:rsidP="00D41816">
      <w:pPr>
        <w:pStyle w:val="Listeafsnit"/>
        <w:numPr>
          <w:ilvl w:val="0"/>
          <w:numId w:val="10"/>
        </w:numPr>
        <w:spacing w:after="200" w:line="276" w:lineRule="auto"/>
        <w:rPr>
          <w:rFonts w:asciiTheme="minorHAnsi" w:hAnsiTheme="minorHAnsi"/>
        </w:rPr>
      </w:pPr>
      <w:r>
        <w:rPr>
          <w:rFonts w:asciiTheme="minorHAnsi" w:hAnsiTheme="minorHAnsi"/>
        </w:rPr>
        <w:t>Forhøjelse af</w:t>
      </w:r>
      <w:r w:rsidR="00D41816" w:rsidRPr="00AD67D7">
        <w:rPr>
          <w:rFonts w:asciiTheme="minorHAnsi" w:hAnsiTheme="minorHAnsi"/>
        </w:rPr>
        <w:t xml:space="preserve"> det ekstra beskæftigelsesfradrag</w:t>
      </w:r>
      <w:r w:rsidR="00417EB1">
        <w:rPr>
          <w:rFonts w:asciiTheme="minorHAnsi" w:hAnsiTheme="minorHAnsi"/>
        </w:rPr>
        <w:t xml:space="preserve"> for enlige forsørgere</w:t>
      </w:r>
      <w:r w:rsidR="00D41816" w:rsidRPr="00AD67D7">
        <w:rPr>
          <w:rFonts w:asciiTheme="minorHAnsi" w:hAnsiTheme="minorHAnsi"/>
        </w:rPr>
        <w:t>, så det får fuld virkning fra 2014. Det ekstra beskæftigelsesfradrag vil således fra 2014 udgøre 5,4 pct., dog maksimalt 17.700 kr. Det maksimale samlede beskæftigelsesfradrag for enlige forsørgere kan således udgøre 42.700 kr. i 2014. Dermed vil enlige forsørgere få markant mere ud af at arbejde.</w:t>
      </w:r>
    </w:p>
    <w:p w:rsidR="00D41816" w:rsidRPr="00AD67D7" w:rsidRDefault="00D41816" w:rsidP="00D41816">
      <w:pPr>
        <w:rPr>
          <w:rFonts w:asciiTheme="minorHAnsi" w:hAnsiTheme="minorHAnsi" w:cs="Times New Roman"/>
          <w:szCs w:val="24"/>
        </w:rPr>
      </w:pPr>
      <w:r w:rsidRPr="00AD67D7">
        <w:rPr>
          <w:rFonts w:asciiTheme="minorHAnsi" w:hAnsiTheme="minorHAnsi" w:cs="Times New Roman"/>
          <w:szCs w:val="24"/>
        </w:rPr>
        <w:t xml:space="preserve">Følgende elementer i </w:t>
      </w:r>
      <w:r w:rsidRPr="00AD67D7">
        <w:rPr>
          <w:rFonts w:asciiTheme="minorHAnsi" w:hAnsiTheme="minorHAnsi" w:cs="Times New Roman"/>
          <w:i/>
          <w:szCs w:val="24"/>
        </w:rPr>
        <w:t>Aftaler om Vækstplan DK</w:t>
      </w:r>
      <w:r w:rsidRPr="00AD67D7">
        <w:rPr>
          <w:rFonts w:asciiTheme="minorHAnsi" w:hAnsiTheme="minorHAnsi" w:cs="Times New Roman"/>
          <w:szCs w:val="24"/>
        </w:rPr>
        <w:t xml:space="preserve"> fremrykkes til 2014:</w:t>
      </w:r>
    </w:p>
    <w:p w:rsidR="00D41816" w:rsidRPr="00AD67D7" w:rsidRDefault="00D41816" w:rsidP="00D41816">
      <w:pPr>
        <w:pStyle w:val="Listeafsnit"/>
        <w:numPr>
          <w:ilvl w:val="0"/>
          <w:numId w:val="9"/>
        </w:numPr>
        <w:spacing w:after="200" w:line="276" w:lineRule="auto"/>
        <w:rPr>
          <w:rFonts w:asciiTheme="minorHAnsi" w:hAnsiTheme="minorHAnsi"/>
        </w:rPr>
      </w:pPr>
      <w:r w:rsidRPr="00AD67D7">
        <w:rPr>
          <w:rFonts w:asciiTheme="minorHAnsi" w:hAnsiTheme="minorHAnsi"/>
        </w:rPr>
        <w:t>Afskaffelse af den vægtbaserede emballageafgift, hvorved der sikres både en direkte reduktion af virksomhedernes produktionsomkostninger og betydelige lettelser af virksomhedernes administrative byrder.</w:t>
      </w:r>
    </w:p>
    <w:p w:rsidR="00D41816" w:rsidRPr="00AD67D7" w:rsidRDefault="00D41816" w:rsidP="00D41816">
      <w:pPr>
        <w:pStyle w:val="Listeafsnit"/>
        <w:numPr>
          <w:ilvl w:val="0"/>
          <w:numId w:val="9"/>
        </w:numPr>
        <w:spacing w:after="200" w:line="276" w:lineRule="auto"/>
        <w:rPr>
          <w:rFonts w:asciiTheme="minorHAnsi" w:hAnsiTheme="minorHAnsi"/>
        </w:rPr>
      </w:pPr>
      <w:r w:rsidRPr="00AD67D7">
        <w:rPr>
          <w:rFonts w:asciiTheme="minorHAnsi" w:hAnsiTheme="minorHAnsi"/>
        </w:rPr>
        <w:t>Forhøjelse af skattekreditten for forsknings- og udviklingsaktiviteter i virksomhederne. Dermed får virksomhederne bedre muligheder for at gennemføre aktiviteter relateret til forskning og udvikling. Det understøtter vækst og innovation.</w:t>
      </w:r>
    </w:p>
    <w:p w:rsidR="00D41816" w:rsidRPr="00AD67D7" w:rsidRDefault="00D41816" w:rsidP="00D41816">
      <w:pPr>
        <w:pStyle w:val="Listeafsnit"/>
        <w:numPr>
          <w:ilvl w:val="0"/>
          <w:numId w:val="9"/>
        </w:numPr>
        <w:spacing w:after="200" w:line="276" w:lineRule="auto"/>
        <w:rPr>
          <w:rFonts w:asciiTheme="minorHAnsi" w:hAnsiTheme="minorHAnsi"/>
        </w:rPr>
      </w:pPr>
      <w:r w:rsidRPr="00AD67D7">
        <w:rPr>
          <w:rFonts w:asciiTheme="minorHAnsi" w:hAnsiTheme="minorHAnsi"/>
        </w:rPr>
        <w:t>Udvidelse af definitionen af små virksomheder til at omfatte virksomheder med en omsætning mellem 1 og 5 mio. kr., hvorved disse virksomheder fremover afregner moms halvårligt</w:t>
      </w:r>
      <w:r w:rsidR="00417EB1">
        <w:rPr>
          <w:rFonts w:asciiTheme="minorHAnsi" w:hAnsiTheme="minorHAnsi"/>
        </w:rPr>
        <w:t>. Dermed styrkes</w:t>
      </w:r>
      <w:r w:rsidRPr="00AD67D7">
        <w:rPr>
          <w:rFonts w:asciiTheme="minorHAnsi" w:hAnsiTheme="minorHAnsi"/>
        </w:rPr>
        <w:t xml:space="preserve"> virksomhedernes likviditet. </w:t>
      </w:r>
    </w:p>
    <w:p w:rsidR="00D41816" w:rsidRPr="00AD67D7" w:rsidRDefault="00D41816" w:rsidP="00D41816">
      <w:pPr>
        <w:pStyle w:val="Listeafsnit"/>
        <w:numPr>
          <w:ilvl w:val="0"/>
          <w:numId w:val="9"/>
        </w:numPr>
        <w:spacing w:after="200" w:line="276" w:lineRule="auto"/>
        <w:rPr>
          <w:rFonts w:asciiTheme="minorHAnsi" w:hAnsiTheme="minorHAnsi"/>
        </w:rPr>
      </w:pPr>
      <w:r w:rsidRPr="00AD67D7">
        <w:rPr>
          <w:rFonts w:asciiTheme="minorHAnsi" w:hAnsiTheme="minorHAnsi"/>
        </w:rPr>
        <w:t>Nedbringelse af energiafgifterne på brændsler til proces til EU’s minimumsafgifter, hvilket vil mindske virksomheder</w:t>
      </w:r>
      <w:r w:rsidR="00E404F8">
        <w:rPr>
          <w:rFonts w:asciiTheme="minorHAnsi" w:hAnsiTheme="minorHAnsi"/>
        </w:rPr>
        <w:t>ne</w:t>
      </w:r>
      <w:r w:rsidRPr="00AD67D7">
        <w:rPr>
          <w:rFonts w:asciiTheme="minorHAnsi" w:hAnsiTheme="minorHAnsi"/>
        </w:rPr>
        <w:t>s produktionsrelaterede omkostninger.</w:t>
      </w:r>
    </w:p>
    <w:p w:rsidR="00D41816" w:rsidRPr="00AD67D7" w:rsidRDefault="00D41816" w:rsidP="00D41816">
      <w:pPr>
        <w:pStyle w:val="Listeafsnit"/>
        <w:numPr>
          <w:ilvl w:val="0"/>
          <w:numId w:val="9"/>
        </w:numPr>
        <w:spacing w:after="200" w:line="276" w:lineRule="auto"/>
        <w:rPr>
          <w:rFonts w:asciiTheme="minorHAnsi" w:hAnsiTheme="minorHAnsi"/>
        </w:rPr>
      </w:pPr>
      <w:r w:rsidRPr="00AD67D7">
        <w:rPr>
          <w:rFonts w:asciiTheme="minorHAnsi" w:hAnsiTheme="minorHAnsi"/>
        </w:rPr>
        <w:t xml:space="preserve">Fradrag for selvstændiges syge- og arbejdsskadeforsikring. Dermed </w:t>
      </w:r>
      <w:r w:rsidR="00417EB1">
        <w:rPr>
          <w:rFonts w:asciiTheme="minorHAnsi" w:hAnsiTheme="minorHAnsi"/>
        </w:rPr>
        <w:t>sikres</w:t>
      </w:r>
      <w:r w:rsidRPr="00AD67D7">
        <w:rPr>
          <w:rFonts w:asciiTheme="minorHAnsi" w:hAnsiTheme="minorHAnsi"/>
        </w:rPr>
        <w:t xml:space="preserve"> der et ligningsmæssigt fradrag for </w:t>
      </w:r>
      <w:r w:rsidR="00417EB1">
        <w:rPr>
          <w:rFonts w:asciiTheme="minorHAnsi" w:hAnsiTheme="minorHAnsi"/>
        </w:rPr>
        <w:t>disse udgifter</w:t>
      </w:r>
      <w:r w:rsidRPr="00AD67D7">
        <w:rPr>
          <w:rFonts w:asciiTheme="minorHAnsi" w:hAnsiTheme="minorHAnsi"/>
        </w:rPr>
        <w:t xml:space="preserve"> i lighed med det, der gælder for selvstændiges indbetalinger til personligt medlemskab af en A-kasse.</w:t>
      </w:r>
    </w:p>
    <w:p w:rsidR="00376FD2" w:rsidRPr="00BC172D" w:rsidRDefault="00376FD2" w:rsidP="00376FD2">
      <w:pPr>
        <w:rPr>
          <w:i/>
          <w:iCs/>
        </w:rPr>
      </w:pPr>
      <w:r w:rsidRPr="00BC172D">
        <w:rPr>
          <w:i/>
          <w:iCs/>
        </w:rPr>
        <w:t>3. Lovforslagets enkelte elementer</w:t>
      </w:r>
    </w:p>
    <w:p w:rsidR="007569ED" w:rsidRPr="000E49FC" w:rsidRDefault="007569ED" w:rsidP="007569ED">
      <w:pPr>
        <w:spacing w:line="264" w:lineRule="auto"/>
        <w:rPr>
          <w:i/>
          <w:iCs/>
        </w:rPr>
      </w:pPr>
    </w:p>
    <w:p w:rsidR="007569ED" w:rsidRPr="000E49FC" w:rsidRDefault="007569ED" w:rsidP="007569ED">
      <w:pPr>
        <w:spacing w:line="264" w:lineRule="auto"/>
        <w:rPr>
          <w:i/>
          <w:iCs/>
        </w:rPr>
      </w:pPr>
      <w:r w:rsidRPr="000E49FC">
        <w:rPr>
          <w:i/>
          <w:iCs/>
        </w:rPr>
        <w:t xml:space="preserve">3.1. </w:t>
      </w:r>
      <w:r w:rsidR="00C066FF">
        <w:rPr>
          <w:i/>
          <w:iCs/>
        </w:rPr>
        <w:t>F</w:t>
      </w:r>
      <w:r>
        <w:rPr>
          <w:i/>
          <w:iCs/>
        </w:rPr>
        <w:t>orhøjelse af beskæft</w:t>
      </w:r>
      <w:r w:rsidRPr="000E49FC">
        <w:rPr>
          <w:i/>
          <w:iCs/>
        </w:rPr>
        <w:t xml:space="preserve">igelsesfradraget </w:t>
      </w:r>
    </w:p>
    <w:p w:rsidR="00417EB1" w:rsidRDefault="00417EB1" w:rsidP="007569ED">
      <w:pPr>
        <w:spacing w:line="264" w:lineRule="auto"/>
        <w:rPr>
          <w:i/>
          <w:iCs/>
        </w:rPr>
      </w:pPr>
    </w:p>
    <w:p w:rsidR="007569ED" w:rsidRPr="000E49FC" w:rsidRDefault="007569ED" w:rsidP="007569ED">
      <w:pPr>
        <w:spacing w:line="264" w:lineRule="auto"/>
        <w:rPr>
          <w:i/>
          <w:iCs/>
        </w:rPr>
      </w:pPr>
      <w:r w:rsidRPr="000E49FC">
        <w:rPr>
          <w:i/>
          <w:iCs/>
        </w:rPr>
        <w:t>3.1.1. Gældende ret</w:t>
      </w:r>
    </w:p>
    <w:p w:rsidR="007569ED" w:rsidRDefault="007569ED" w:rsidP="00B2109F">
      <w:pPr>
        <w:rPr>
          <w:iCs/>
        </w:rPr>
      </w:pPr>
      <w:r w:rsidRPr="000E49FC">
        <w:rPr>
          <w:iCs/>
        </w:rPr>
        <w:t>Alle erhvervsaktive f</w:t>
      </w:r>
      <w:r>
        <w:rPr>
          <w:iCs/>
        </w:rPr>
        <w:t>radrager</w:t>
      </w:r>
      <w:r w:rsidRPr="000E49FC">
        <w:rPr>
          <w:iCs/>
        </w:rPr>
        <w:t xml:space="preserve"> ved </w:t>
      </w:r>
      <w:r>
        <w:rPr>
          <w:iCs/>
        </w:rPr>
        <w:t xml:space="preserve">opgørelsen af </w:t>
      </w:r>
      <w:r w:rsidRPr="000E49FC">
        <w:rPr>
          <w:iCs/>
        </w:rPr>
        <w:t>den skattepligtige indkomst et beskæftigelsesfradrag. Beskæftigelsesfradraget indgår i de ligningsmæssige fradrag og beregnes af arbejdsmarkedsbidragsgrundlaget med fradrag af indskud til pensionsordninger. Det drejer sig både om eventuelle indbetalinger til arbejdsgiveradministrerede pensionsordninger, herunder ATP, og om indbetalinger til p</w:t>
      </w:r>
      <w:r>
        <w:rPr>
          <w:iCs/>
        </w:rPr>
        <w:t>rivattegnede pensionsordninger.</w:t>
      </w:r>
    </w:p>
    <w:p w:rsidR="007569ED" w:rsidRDefault="007569ED" w:rsidP="00B2109F">
      <w:pPr>
        <w:rPr>
          <w:iCs/>
        </w:rPr>
      </w:pPr>
    </w:p>
    <w:p w:rsidR="007569ED" w:rsidRPr="000E49FC" w:rsidRDefault="007569ED" w:rsidP="00B2109F">
      <w:pPr>
        <w:rPr>
          <w:iCs/>
        </w:rPr>
      </w:pPr>
      <w:r w:rsidRPr="000E49FC">
        <w:rPr>
          <w:iCs/>
        </w:rPr>
        <w:t>I 201</w:t>
      </w:r>
      <w:r>
        <w:rPr>
          <w:iCs/>
        </w:rPr>
        <w:t>4</w:t>
      </w:r>
      <w:r w:rsidRPr="000E49FC">
        <w:rPr>
          <w:iCs/>
        </w:rPr>
        <w:t xml:space="preserve"> udgør beskæftigelsesfradraget </w:t>
      </w:r>
      <w:r>
        <w:rPr>
          <w:iCs/>
        </w:rPr>
        <w:t>7,25</w:t>
      </w:r>
      <w:r w:rsidRPr="000E49FC">
        <w:rPr>
          <w:iCs/>
        </w:rPr>
        <w:t xml:space="preserve"> pct. </w:t>
      </w:r>
      <w:r w:rsidRPr="000E49FC">
        <w:t>Det</w:t>
      </w:r>
      <w:r w:rsidRPr="000E49FC">
        <w:rPr>
          <w:iCs/>
        </w:rPr>
        <w:t xml:space="preserve"> kan dog maksimalt udgøre </w:t>
      </w:r>
      <w:r>
        <w:rPr>
          <w:iCs/>
        </w:rPr>
        <w:t xml:space="preserve">et grundbeløb på 23.300 kr. (2010-niveau). Efter regulering i henhold til personskattelovens § 20 udgør det maksimale beskæftigelsesfradrag 23.800 kr. i 2014. </w:t>
      </w:r>
      <w:r w:rsidRPr="000E49FC">
        <w:rPr>
          <w:iCs/>
        </w:rPr>
        <w:t xml:space="preserve">Da fradraget gives som et ligningsmæssigt fradrag </w:t>
      </w:r>
      <w:r>
        <w:rPr>
          <w:iCs/>
        </w:rPr>
        <w:t xml:space="preserve">ved opgørelsen af </w:t>
      </w:r>
      <w:r w:rsidRPr="000E49FC">
        <w:rPr>
          <w:iCs/>
        </w:rPr>
        <w:t>den skattepligtige indkomst, der er beskatningsgrundlag for sundhedsbidraget, kommune- og kirkeskatten, har det i 201</w:t>
      </w:r>
      <w:r>
        <w:rPr>
          <w:iCs/>
        </w:rPr>
        <w:t>4</w:t>
      </w:r>
      <w:r w:rsidRPr="000E49FC">
        <w:rPr>
          <w:iCs/>
        </w:rPr>
        <w:t xml:space="preserve"> en </w:t>
      </w:r>
      <w:r>
        <w:rPr>
          <w:iCs/>
        </w:rPr>
        <w:t xml:space="preserve">gennemsnitlig </w:t>
      </w:r>
      <w:r w:rsidRPr="000E49FC">
        <w:rPr>
          <w:iCs/>
        </w:rPr>
        <w:t xml:space="preserve">skattemæssig fradragsværdi </w:t>
      </w:r>
      <w:r>
        <w:rPr>
          <w:iCs/>
        </w:rPr>
        <w:t xml:space="preserve">(skatteværdi) </w:t>
      </w:r>
      <w:r w:rsidRPr="000E49FC">
        <w:rPr>
          <w:iCs/>
        </w:rPr>
        <w:t>på ca. 3</w:t>
      </w:r>
      <w:r>
        <w:rPr>
          <w:iCs/>
        </w:rPr>
        <w:t>0</w:t>
      </w:r>
      <w:r w:rsidRPr="000E49FC">
        <w:rPr>
          <w:iCs/>
        </w:rPr>
        <w:t>,</w:t>
      </w:r>
      <w:r>
        <w:rPr>
          <w:iCs/>
        </w:rPr>
        <w:t>6</w:t>
      </w:r>
      <w:r w:rsidRPr="000E49FC">
        <w:rPr>
          <w:iCs/>
        </w:rPr>
        <w:t xml:space="preserve"> pct. </w:t>
      </w:r>
    </w:p>
    <w:p w:rsidR="007569ED" w:rsidRPr="000E49FC" w:rsidRDefault="007569ED" w:rsidP="00B2109F">
      <w:pPr>
        <w:rPr>
          <w:iCs/>
        </w:rPr>
      </w:pPr>
    </w:p>
    <w:p w:rsidR="007569ED" w:rsidRDefault="007569ED" w:rsidP="00B2109F">
      <w:pPr>
        <w:rPr>
          <w:iCs/>
        </w:rPr>
      </w:pPr>
      <w:r w:rsidRPr="000E49FC">
        <w:rPr>
          <w:iCs/>
        </w:rPr>
        <w:t>Frem til 20</w:t>
      </w:r>
      <w:r>
        <w:rPr>
          <w:iCs/>
        </w:rPr>
        <w:t>22</w:t>
      </w:r>
      <w:r w:rsidRPr="000E49FC">
        <w:rPr>
          <w:iCs/>
        </w:rPr>
        <w:t xml:space="preserve"> forhøjes beskæftigelsesfradraget gradvist til </w:t>
      </w:r>
      <w:r>
        <w:rPr>
          <w:iCs/>
        </w:rPr>
        <w:t>10,65</w:t>
      </w:r>
      <w:r w:rsidRPr="000E49FC">
        <w:rPr>
          <w:iCs/>
        </w:rPr>
        <w:t xml:space="preserve"> pct. og det maksimale fradrag til </w:t>
      </w:r>
      <w:r>
        <w:rPr>
          <w:iCs/>
        </w:rPr>
        <w:t>34</w:t>
      </w:r>
      <w:r w:rsidRPr="000E49FC">
        <w:rPr>
          <w:iCs/>
        </w:rPr>
        <w:t>.</w:t>
      </w:r>
      <w:r>
        <w:rPr>
          <w:iCs/>
        </w:rPr>
        <w:t>1</w:t>
      </w:r>
      <w:r w:rsidRPr="000E49FC">
        <w:rPr>
          <w:iCs/>
        </w:rPr>
        <w:t xml:space="preserve">00 kr. </w:t>
      </w:r>
      <w:r>
        <w:rPr>
          <w:iCs/>
        </w:rPr>
        <w:t xml:space="preserve">(2010-niveau). </w:t>
      </w:r>
      <w:r w:rsidRPr="000E49FC">
        <w:rPr>
          <w:iCs/>
        </w:rPr>
        <w:t xml:space="preserve">Den gradvise forhøjelse blev vedtaget som led i </w:t>
      </w:r>
      <w:r>
        <w:rPr>
          <w:iCs/>
        </w:rPr>
        <w:t>2012</w:t>
      </w:r>
      <w:r w:rsidRPr="000E49FC">
        <w:rPr>
          <w:iCs/>
        </w:rPr>
        <w:t>-skatte</w:t>
      </w:r>
      <w:r w:rsidRPr="000E49FC">
        <w:rPr>
          <w:iCs/>
        </w:rPr>
        <w:softHyphen/>
        <w:t xml:space="preserve">reformen </w:t>
      </w:r>
      <w:r>
        <w:rPr>
          <w:iCs/>
        </w:rPr>
        <w:t xml:space="preserve">fra juni 2012 </w:t>
      </w:r>
      <w:r w:rsidRPr="000E49FC">
        <w:rPr>
          <w:iCs/>
        </w:rPr>
        <w:t xml:space="preserve">og sikrer, at </w:t>
      </w:r>
      <w:r>
        <w:rPr>
          <w:iCs/>
        </w:rPr>
        <w:t xml:space="preserve">skatteværdien </w:t>
      </w:r>
      <w:r w:rsidRPr="000E49FC">
        <w:rPr>
          <w:iCs/>
        </w:rPr>
        <w:t xml:space="preserve">af beskæftigelsesfradraget </w:t>
      </w:r>
      <w:r>
        <w:rPr>
          <w:iCs/>
        </w:rPr>
        <w:t xml:space="preserve">gradvist forhøjes </w:t>
      </w:r>
      <w:r w:rsidRPr="000E49FC">
        <w:rPr>
          <w:iCs/>
        </w:rPr>
        <w:t xml:space="preserve">på trods af reduktionen af skatteværdien af ligningsmæssige fradrag. Denne reduktion sker med 1 pct.-point årligt i perioden 2012 til 2019, hvilket betyder, at </w:t>
      </w:r>
      <w:r>
        <w:rPr>
          <w:iCs/>
        </w:rPr>
        <w:t>skatteværdien</w:t>
      </w:r>
      <w:r w:rsidRPr="000E49FC">
        <w:rPr>
          <w:iCs/>
        </w:rPr>
        <w:t xml:space="preserve"> af ligningsmæssige fradrag, der i 201</w:t>
      </w:r>
      <w:r>
        <w:rPr>
          <w:iCs/>
        </w:rPr>
        <w:t>4 udgør ca. 30</w:t>
      </w:r>
      <w:r w:rsidRPr="000E49FC">
        <w:rPr>
          <w:iCs/>
        </w:rPr>
        <w:t>,</w:t>
      </w:r>
      <w:r>
        <w:rPr>
          <w:iCs/>
        </w:rPr>
        <w:t>6</w:t>
      </w:r>
      <w:r w:rsidRPr="000E49FC">
        <w:rPr>
          <w:iCs/>
        </w:rPr>
        <w:t xml:space="preserve"> pct., gradvist reduceres til ca. 25,</w:t>
      </w:r>
      <w:r>
        <w:rPr>
          <w:iCs/>
        </w:rPr>
        <w:t>6</w:t>
      </w:r>
      <w:r w:rsidRPr="000E49FC">
        <w:rPr>
          <w:iCs/>
        </w:rPr>
        <w:t xml:space="preserve"> pct. fr</w:t>
      </w:r>
      <w:r>
        <w:rPr>
          <w:iCs/>
        </w:rPr>
        <w:t>em til 2019.</w:t>
      </w:r>
    </w:p>
    <w:p w:rsidR="007569ED" w:rsidRDefault="007569ED" w:rsidP="00B2109F">
      <w:pPr>
        <w:rPr>
          <w:iCs/>
        </w:rPr>
      </w:pPr>
    </w:p>
    <w:p w:rsidR="007569ED" w:rsidRPr="00A55056" w:rsidRDefault="007569ED" w:rsidP="00B2109F">
      <w:pPr>
        <w:rPr>
          <w:i/>
          <w:iCs/>
        </w:rPr>
      </w:pPr>
      <w:r>
        <w:rPr>
          <w:iCs/>
        </w:rPr>
        <w:t xml:space="preserve">Indfasningsforløbet af beskæftigelsesfradraget efter gældende regler i 2014-2022 fremgår af </w:t>
      </w:r>
      <w:r w:rsidRPr="00A55056">
        <w:rPr>
          <w:i/>
          <w:iCs/>
        </w:rPr>
        <w:t xml:space="preserve">tabel </w:t>
      </w:r>
      <w:r w:rsidR="00652B6A">
        <w:rPr>
          <w:i/>
          <w:iCs/>
        </w:rPr>
        <w:t>3.1.1</w:t>
      </w:r>
      <w:r w:rsidRPr="00E77249">
        <w:rPr>
          <w:iCs/>
        </w:rPr>
        <w:t xml:space="preserve"> i </w:t>
      </w:r>
      <w:r w:rsidRPr="00A55056">
        <w:rPr>
          <w:i/>
          <w:iCs/>
        </w:rPr>
        <w:t>afsnit 3.1.2.</w:t>
      </w:r>
    </w:p>
    <w:p w:rsidR="007569ED" w:rsidRPr="000E49FC" w:rsidRDefault="007569ED" w:rsidP="007569ED">
      <w:pPr>
        <w:spacing w:line="264" w:lineRule="auto"/>
        <w:rPr>
          <w:iCs/>
        </w:rPr>
      </w:pPr>
    </w:p>
    <w:p w:rsidR="007569ED" w:rsidRPr="000E49FC" w:rsidRDefault="007569ED" w:rsidP="007569ED">
      <w:pPr>
        <w:spacing w:line="264" w:lineRule="auto"/>
        <w:rPr>
          <w:i/>
          <w:iCs/>
        </w:rPr>
      </w:pPr>
      <w:r w:rsidRPr="000E49FC">
        <w:rPr>
          <w:i/>
          <w:iCs/>
        </w:rPr>
        <w:t xml:space="preserve">3.1.2. Lovforslaget </w:t>
      </w:r>
    </w:p>
    <w:p w:rsidR="00652B6A" w:rsidRDefault="00652B6A" w:rsidP="00652B6A">
      <w:r w:rsidRPr="000E49FC">
        <w:rPr>
          <w:iCs/>
        </w:rPr>
        <w:t xml:space="preserve">Det foreslås at </w:t>
      </w:r>
      <w:r w:rsidRPr="005416A6">
        <w:t>f</w:t>
      </w:r>
      <w:r>
        <w:t>remrykke 2012-skattereformens f</w:t>
      </w:r>
      <w:r w:rsidRPr="005416A6">
        <w:t>orhøje</w:t>
      </w:r>
      <w:r>
        <w:t>lse af b</w:t>
      </w:r>
      <w:r w:rsidRPr="005416A6">
        <w:t>eskæftigelsesfradraget i perioden 2014</w:t>
      </w:r>
      <w:r>
        <w:t>-</w:t>
      </w:r>
      <w:r w:rsidRPr="005416A6">
        <w:t xml:space="preserve">2017, således at </w:t>
      </w:r>
      <w:r>
        <w:t xml:space="preserve">det i 2014 forhøjes til </w:t>
      </w:r>
      <w:r w:rsidRPr="005416A6">
        <w:t xml:space="preserve">7,65 pct. stigende til 8,75 pct. i 2017. Det maksimale beskæftigelsesfradrag </w:t>
      </w:r>
      <w:r>
        <w:t>forhøjes samtidigt til</w:t>
      </w:r>
      <w:r w:rsidRPr="005416A6">
        <w:t xml:space="preserve"> 25.000 kr. i 2014 </w:t>
      </w:r>
      <w:r>
        <w:t xml:space="preserve">(2014-niveau) </w:t>
      </w:r>
      <w:r w:rsidRPr="005416A6">
        <w:t>stigende til 28.600 kr. i 201</w:t>
      </w:r>
      <w:r>
        <w:t>7 (2014-niveau)</w:t>
      </w:r>
      <w:r w:rsidRPr="005416A6">
        <w:t>.</w:t>
      </w:r>
    </w:p>
    <w:p w:rsidR="00652B6A" w:rsidRDefault="00652B6A" w:rsidP="00652B6A"/>
    <w:p w:rsidR="00652B6A" w:rsidRDefault="00652B6A" w:rsidP="00652B6A">
      <w:pPr>
        <w:rPr>
          <w:iCs/>
        </w:rPr>
      </w:pPr>
      <w:r w:rsidRPr="000E49FC">
        <w:rPr>
          <w:iCs/>
        </w:rPr>
        <w:t xml:space="preserve">Den foreslåede indfasning af </w:t>
      </w:r>
      <w:r>
        <w:rPr>
          <w:iCs/>
        </w:rPr>
        <w:t xml:space="preserve">den fremrykkede forhøjelse i 2014-2017 </w:t>
      </w:r>
      <w:r w:rsidRPr="000E49FC">
        <w:rPr>
          <w:iCs/>
        </w:rPr>
        <w:t xml:space="preserve">fremgår af </w:t>
      </w:r>
      <w:r w:rsidRPr="00C07D03">
        <w:rPr>
          <w:i/>
          <w:iCs/>
        </w:rPr>
        <w:t xml:space="preserve">tabel </w:t>
      </w:r>
      <w:r>
        <w:rPr>
          <w:i/>
          <w:iCs/>
        </w:rPr>
        <w:t>3.1.1</w:t>
      </w:r>
      <w:r w:rsidRPr="000E49FC">
        <w:rPr>
          <w:iCs/>
        </w:rPr>
        <w:t xml:space="preserve">. Tabellen angiver procenten for beskæftigelsesfradraget </w:t>
      </w:r>
      <w:r>
        <w:rPr>
          <w:iCs/>
        </w:rPr>
        <w:t>og</w:t>
      </w:r>
      <w:r w:rsidRPr="000E49FC">
        <w:rPr>
          <w:iCs/>
        </w:rPr>
        <w:t xml:space="preserve"> det maksimale beskæftigelsesfradrag. Endvidere er angivet skatteværdien af det maksimale fradrag i en gennemsnitskommune. Til sammenligning er også vist de tilsvarende talstørrelser i henhold til nugældende regler.</w:t>
      </w:r>
      <w:r>
        <w:rPr>
          <w:iCs/>
        </w:rPr>
        <w:t xml:space="preserve"> Der foreslås ingen ændringer af det gældende indfasningsforløb for 2018-2022, som er angivet i kursiv i tabellen.</w:t>
      </w:r>
    </w:p>
    <w:p w:rsidR="00652B6A" w:rsidRDefault="00652B6A" w:rsidP="00652B6A"/>
    <w:tbl>
      <w:tblPr>
        <w:tblW w:w="5000" w:type="pct"/>
        <w:tblLayout w:type="fixed"/>
        <w:tblCellMar>
          <w:top w:w="28" w:type="dxa"/>
          <w:left w:w="28" w:type="dxa"/>
          <w:bottom w:w="28" w:type="dxa"/>
          <w:right w:w="28" w:type="dxa"/>
        </w:tblCellMar>
        <w:tblLook w:val="04A0" w:firstRow="1" w:lastRow="0" w:firstColumn="1" w:lastColumn="0" w:noHBand="0" w:noVBand="1"/>
      </w:tblPr>
      <w:tblGrid>
        <w:gridCol w:w="3234"/>
        <w:gridCol w:w="655"/>
        <w:gridCol w:w="654"/>
        <w:gridCol w:w="655"/>
        <w:gridCol w:w="654"/>
        <w:gridCol w:w="655"/>
        <w:gridCol w:w="654"/>
        <w:gridCol w:w="655"/>
        <w:gridCol w:w="654"/>
        <w:gridCol w:w="655"/>
      </w:tblGrid>
      <w:tr w:rsidR="00652B6A" w:rsidRPr="004D0008" w:rsidTr="00652B6A">
        <w:tc>
          <w:tcPr>
            <w:tcW w:w="9125" w:type="dxa"/>
            <w:gridSpan w:val="10"/>
            <w:tcBorders>
              <w:top w:val="single" w:sz="4" w:space="0" w:color="auto"/>
              <w:bottom w:val="single" w:sz="4" w:space="0" w:color="auto"/>
            </w:tcBorders>
            <w:vAlign w:val="center"/>
          </w:tcPr>
          <w:p w:rsidR="00652B6A" w:rsidRPr="00884B84" w:rsidRDefault="00652B6A" w:rsidP="00652B6A">
            <w:pPr>
              <w:pStyle w:val="Normal-Tabeltal"/>
              <w:keepNext/>
              <w:spacing w:line="240" w:lineRule="auto"/>
              <w:ind w:left="0" w:right="0"/>
              <w:jc w:val="left"/>
              <w:rPr>
                <w:rFonts w:ascii="Times New Roman" w:hAnsi="Times New Roman"/>
                <w:b/>
                <w:sz w:val="24"/>
              </w:rPr>
            </w:pPr>
            <w:r w:rsidRPr="00884B84">
              <w:rPr>
                <w:rFonts w:ascii="Times New Roman" w:hAnsi="Times New Roman"/>
                <w:b/>
                <w:sz w:val="24"/>
              </w:rPr>
              <w:t xml:space="preserve">Tabel </w:t>
            </w:r>
            <w:r>
              <w:rPr>
                <w:rFonts w:ascii="Times New Roman" w:hAnsi="Times New Roman"/>
                <w:b/>
                <w:sz w:val="24"/>
              </w:rPr>
              <w:t>3.1.</w:t>
            </w:r>
            <w:r w:rsidRPr="00884B84">
              <w:rPr>
                <w:rFonts w:ascii="Times New Roman" w:hAnsi="Times New Roman"/>
                <w:b/>
                <w:sz w:val="24"/>
              </w:rPr>
              <w:t xml:space="preserve">1. Indfasningsforløb for forhøjelsen af det almindelige beskæftigelsesfradrag efter gældende regler og </w:t>
            </w:r>
            <w:r>
              <w:rPr>
                <w:rFonts w:ascii="Times New Roman" w:hAnsi="Times New Roman"/>
                <w:b/>
                <w:sz w:val="24"/>
              </w:rPr>
              <w:t>med forhøjelsen i 2014-2017</w:t>
            </w:r>
            <w:r w:rsidRPr="00884B84">
              <w:rPr>
                <w:rFonts w:ascii="Times New Roman" w:hAnsi="Times New Roman"/>
                <w:b/>
                <w:sz w:val="24"/>
              </w:rPr>
              <w:t xml:space="preserve"> efter lovforslaget</w:t>
            </w:r>
          </w:p>
        </w:tc>
      </w:tr>
      <w:tr w:rsidR="00652B6A" w:rsidRPr="00884B84" w:rsidTr="00652B6A">
        <w:tc>
          <w:tcPr>
            <w:tcW w:w="3234" w:type="dxa"/>
            <w:tcBorders>
              <w:top w:val="single" w:sz="4" w:space="0" w:color="auto"/>
              <w:bottom w:val="single" w:sz="4" w:space="0" w:color="auto"/>
              <w:right w:val="single" w:sz="4" w:space="0" w:color="auto"/>
            </w:tcBorders>
            <w:vAlign w:val="center"/>
          </w:tcPr>
          <w:p w:rsidR="00652B6A" w:rsidRPr="006F2E57" w:rsidRDefault="00652B6A" w:rsidP="00652B6A">
            <w:pPr>
              <w:pStyle w:val="Normal-Tabeltal"/>
              <w:keepNext/>
              <w:spacing w:line="240" w:lineRule="auto"/>
              <w:ind w:left="0" w:right="0"/>
              <w:jc w:val="left"/>
              <w:rPr>
                <w:rFonts w:ascii="Garamond" w:hAnsi="Garamond"/>
                <w:b/>
                <w:sz w:val="18"/>
                <w:szCs w:val="18"/>
              </w:rPr>
            </w:pPr>
            <w:r w:rsidRPr="006F2E57">
              <w:rPr>
                <w:rFonts w:ascii="Garamond" w:hAnsi="Garamond"/>
                <w:sz w:val="18"/>
                <w:szCs w:val="18"/>
              </w:rPr>
              <w:t>(2014- niveau)</w:t>
            </w:r>
          </w:p>
        </w:tc>
        <w:tc>
          <w:tcPr>
            <w:tcW w:w="655" w:type="dxa"/>
            <w:tcBorders>
              <w:top w:val="single" w:sz="4" w:space="0" w:color="auto"/>
              <w:left w:val="single" w:sz="4" w:space="0" w:color="auto"/>
              <w:bottom w:val="single" w:sz="4" w:space="0" w:color="auto"/>
              <w:right w:val="single" w:sz="4" w:space="0" w:color="auto"/>
            </w:tcBorders>
            <w:vAlign w:val="center"/>
          </w:tcPr>
          <w:p w:rsidR="00652B6A" w:rsidRPr="006F2E57" w:rsidRDefault="00652B6A" w:rsidP="00652B6A">
            <w:pPr>
              <w:pStyle w:val="Normal-Tabeltal"/>
              <w:keepNext/>
              <w:spacing w:line="240" w:lineRule="auto"/>
              <w:ind w:left="0" w:right="0"/>
              <w:jc w:val="center"/>
              <w:rPr>
                <w:rFonts w:ascii="Garamond" w:hAnsi="Garamond"/>
                <w:b/>
                <w:sz w:val="18"/>
                <w:szCs w:val="18"/>
              </w:rPr>
            </w:pPr>
            <w:r w:rsidRPr="006F2E57">
              <w:rPr>
                <w:rFonts w:ascii="Garamond" w:hAnsi="Garamond"/>
                <w:b/>
                <w:sz w:val="18"/>
                <w:szCs w:val="18"/>
              </w:rPr>
              <w:t>2014</w:t>
            </w:r>
          </w:p>
        </w:tc>
        <w:tc>
          <w:tcPr>
            <w:tcW w:w="654" w:type="dxa"/>
            <w:tcBorders>
              <w:top w:val="single" w:sz="4" w:space="0" w:color="auto"/>
              <w:left w:val="single" w:sz="4" w:space="0" w:color="auto"/>
              <w:bottom w:val="single" w:sz="4" w:space="0" w:color="auto"/>
              <w:right w:val="single" w:sz="4" w:space="0" w:color="auto"/>
            </w:tcBorders>
            <w:vAlign w:val="center"/>
          </w:tcPr>
          <w:p w:rsidR="00652B6A" w:rsidRPr="006F2E57" w:rsidRDefault="00652B6A" w:rsidP="00652B6A">
            <w:pPr>
              <w:pStyle w:val="Normal-Tabelkolonneoverskrift"/>
              <w:keepNext/>
              <w:spacing w:line="240" w:lineRule="auto"/>
              <w:ind w:right="0"/>
              <w:jc w:val="center"/>
              <w:rPr>
                <w:rFonts w:ascii="Garamond" w:hAnsi="Garamond"/>
                <w:sz w:val="18"/>
                <w:szCs w:val="18"/>
              </w:rPr>
            </w:pPr>
            <w:r w:rsidRPr="006F2E57">
              <w:rPr>
                <w:rFonts w:ascii="Garamond" w:hAnsi="Garamond"/>
                <w:sz w:val="18"/>
                <w:szCs w:val="18"/>
              </w:rPr>
              <w:t>2015</w:t>
            </w:r>
          </w:p>
        </w:tc>
        <w:tc>
          <w:tcPr>
            <w:tcW w:w="655" w:type="dxa"/>
            <w:tcBorders>
              <w:top w:val="single" w:sz="4" w:space="0" w:color="auto"/>
              <w:left w:val="single" w:sz="4" w:space="0" w:color="auto"/>
              <w:bottom w:val="single" w:sz="4" w:space="0" w:color="auto"/>
              <w:right w:val="single" w:sz="4" w:space="0" w:color="auto"/>
            </w:tcBorders>
            <w:vAlign w:val="center"/>
          </w:tcPr>
          <w:p w:rsidR="00652B6A" w:rsidRPr="006F2E57" w:rsidRDefault="00652B6A" w:rsidP="00652B6A">
            <w:pPr>
              <w:pStyle w:val="Normal-Tabelkolonneoverskrift"/>
              <w:keepNext/>
              <w:spacing w:line="240" w:lineRule="auto"/>
              <w:ind w:right="0"/>
              <w:jc w:val="center"/>
              <w:rPr>
                <w:rFonts w:ascii="Garamond" w:hAnsi="Garamond"/>
                <w:sz w:val="18"/>
                <w:szCs w:val="18"/>
              </w:rPr>
            </w:pPr>
            <w:r w:rsidRPr="006F2E57">
              <w:rPr>
                <w:rFonts w:ascii="Garamond" w:hAnsi="Garamond"/>
                <w:sz w:val="18"/>
                <w:szCs w:val="18"/>
              </w:rPr>
              <w:t>2016</w:t>
            </w:r>
          </w:p>
        </w:tc>
        <w:tc>
          <w:tcPr>
            <w:tcW w:w="654" w:type="dxa"/>
            <w:tcBorders>
              <w:top w:val="single" w:sz="4" w:space="0" w:color="auto"/>
              <w:left w:val="single" w:sz="4" w:space="0" w:color="auto"/>
              <w:bottom w:val="single" w:sz="4" w:space="0" w:color="auto"/>
              <w:right w:val="single" w:sz="4" w:space="0" w:color="auto"/>
            </w:tcBorders>
            <w:vAlign w:val="center"/>
          </w:tcPr>
          <w:p w:rsidR="00652B6A" w:rsidRPr="006F2E57" w:rsidRDefault="00652B6A" w:rsidP="00652B6A">
            <w:pPr>
              <w:pStyle w:val="Normal-Tabelkolonneoverskrift"/>
              <w:keepNext/>
              <w:spacing w:line="240" w:lineRule="auto"/>
              <w:ind w:right="0"/>
              <w:jc w:val="center"/>
              <w:rPr>
                <w:rFonts w:ascii="Garamond" w:hAnsi="Garamond"/>
                <w:sz w:val="18"/>
                <w:szCs w:val="18"/>
              </w:rPr>
            </w:pPr>
            <w:r w:rsidRPr="006F2E57">
              <w:rPr>
                <w:rFonts w:ascii="Garamond" w:hAnsi="Garamond"/>
                <w:sz w:val="18"/>
                <w:szCs w:val="18"/>
              </w:rPr>
              <w:t>2017</w:t>
            </w:r>
          </w:p>
        </w:tc>
        <w:tc>
          <w:tcPr>
            <w:tcW w:w="655" w:type="dxa"/>
            <w:tcBorders>
              <w:top w:val="single" w:sz="4" w:space="0" w:color="auto"/>
              <w:left w:val="single" w:sz="4" w:space="0" w:color="auto"/>
              <w:bottom w:val="single" w:sz="4" w:space="0" w:color="auto"/>
              <w:right w:val="single" w:sz="4" w:space="0" w:color="auto"/>
            </w:tcBorders>
            <w:vAlign w:val="center"/>
          </w:tcPr>
          <w:p w:rsidR="00652B6A" w:rsidRPr="006F2E57" w:rsidRDefault="00652B6A" w:rsidP="00652B6A">
            <w:pPr>
              <w:pStyle w:val="Normal-Tabelkolonneoverskrift"/>
              <w:keepNext/>
              <w:spacing w:line="240" w:lineRule="auto"/>
              <w:ind w:right="0"/>
              <w:jc w:val="center"/>
              <w:rPr>
                <w:rFonts w:ascii="Garamond" w:hAnsi="Garamond"/>
                <w:b w:val="0"/>
                <w:i/>
                <w:sz w:val="18"/>
                <w:szCs w:val="18"/>
              </w:rPr>
            </w:pPr>
            <w:r w:rsidRPr="006F2E57">
              <w:rPr>
                <w:rFonts w:ascii="Garamond" w:hAnsi="Garamond"/>
                <w:b w:val="0"/>
                <w:i/>
                <w:sz w:val="18"/>
                <w:szCs w:val="18"/>
              </w:rPr>
              <w:t>2018</w:t>
            </w:r>
          </w:p>
        </w:tc>
        <w:tc>
          <w:tcPr>
            <w:tcW w:w="654" w:type="dxa"/>
            <w:tcBorders>
              <w:top w:val="single" w:sz="4" w:space="0" w:color="auto"/>
              <w:left w:val="single" w:sz="4" w:space="0" w:color="auto"/>
              <w:bottom w:val="single" w:sz="4" w:space="0" w:color="auto"/>
              <w:right w:val="single" w:sz="4" w:space="0" w:color="auto"/>
            </w:tcBorders>
            <w:vAlign w:val="center"/>
          </w:tcPr>
          <w:p w:rsidR="00652B6A" w:rsidRPr="006F2E57" w:rsidRDefault="00652B6A" w:rsidP="00652B6A">
            <w:pPr>
              <w:pStyle w:val="Normal-Tabelkolonneoverskrift"/>
              <w:keepNext/>
              <w:spacing w:line="240" w:lineRule="auto"/>
              <w:ind w:right="0"/>
              <w:jc w:val="center"/>
              <w:rPr>
                <w:rFonts w:ascii="Garamond" w:hAnsi="Garamond"/>
                <w:b w:val="0"/>
                <w:i/>
                <w:sz w:val="18"/>
                <w:szCs w:val="18"/>
              </w:rPr>
            </w:pPr>
            <w:r w:rsidRPr="006F2E57">
              <w:rPr>
                <w:rFonts w:ascii="Garamond" w:hAnsi="Garamond"/>
                <w:b w:val="0"/>
                <w:i/>
                <w:sz w:val="18"/>
                <w:szCs w:val="18"/>
              </w:rPr>
              <w:t>2019</w:t>
            </w:r>
          </w:p>
        </w:tc>
        <w:tc>
          <w:tcPr>
            <w:tcW w:w="655" w:type="dxa"/>
            <w:tcBorders>
              <w:top w:val="single" w:sz="4" w:space="0" w:color="auto"/>
              <w:left w:val="single" w:sz="4" w:space="0" w:color="auto"/>
              <w:bottom w:val="single" w:sz="4" w:space="0" w:color="auto"/>
              <w:right w:val="single" w:sz="4" w:space="0" w:color="auto"/>
            </w:tcBorders>
            <w:vAlign w:val="center"/>
          </w:tcPr>
          <w:p w:rsidR="00652B6A" w:rsidRPr="006F2E57" w:rsidRDefault="00652B6A" w:rsidP="00652B6A">
            <w:pPr>
              <w:pStyle w:val="Normal-Tabeltal"/>
              <w:keepNext/>
              <w:spacing w:line="240" w:lineRule="auto"/>
              <w:ind w:left="0" w:right="0"/>
              <w:jc w:val="center"/>
              <w:rPr>
                <w:rFonts w:ascii="Garamond" w:hAnsi="Garamond"/>
                <w:i/>
                <w:sz w:val="18"/>
                <w:szCs w:val="18"/>
              </w:rPr>
            </w:pPr>
            <w:r w:rsidRPr="006F2E57">
              <w:rPr>
                <w:rFonts w:ascii="Garamond" w:hAnsi="Garamond"/>
                <w:i/>
                <w:sz w:val="18"/>
                <w:szCs w:val="18"/>
              </w:rPr>
              <w:t>2020</w:t>
            </w:r>
          </w:p>
        </w:tc>
        <w:tc>
          <w:tcPr>
            <w:tcW w:w="654" w:type="dxa"/>
            <w:tcBorders>
              <w:top w:val="single" w:sz="4" w:space="0" w:color="auto"/>
              <w:left w:val="single" w:sz="4" w:space="0" w:color="auto"/>
              <w:bottom w:val="single" w:sz="4" w:space="0" w:color="auto"/>
              <w:right w:val="single" w:sz="4" w:space="0" w:color="auto"/>
            </w:tcBorders>
            <w:vAlign w:val="center"/>
          </w:tcPr>
          <w:p w:rsidR="00652B6A" w:rsidRPr="006F2E57" w:rsidRDefault="00652B6A" w:rsidP="00652B6A">
            <w:pPr>
              <w:pStyle w:val="Normal-Tabeltal"/>
              <w:keepNext/>
              <w:spacing w:line="240" w:lineRule="auto"/>
              <w:ind w:left="0" w:right="0"/>
              <w:jc w:val="center"/>
              <w:rPr>
                <w:rFonts w:ascii="Garamond" w:hAnsi="Garamond"/>
                <w:i/>
                <w:sz w:val="18"/>
                <w:szCs w:val="18"/>
              </w:rPr>
            </w:pPr>
            <w:r w:rsidRPr="006F2E57">
              <w:rPr>
                <w:rFonts w:ascii="Garamond" w:hAnsi="Garamond"/>
                <w:i/>
                <w:sz w:val="18"/>
                <w:szCs w:val="18"/>
              </w:rPr>
              <w:t>2021</w:t>
            </w:r>
          </w:p>
        </w:tc>
        <w:tc>
          <w:tcPr>
            <w:tcW w:w="655" w:type="dxa"/>
            <w:tcBorders>
              <w:top w:val="single" w:sz="4" w:space="0" w:color="auto"/>
              <w:left w:val="single" w:sz="4" w:space="0" w:color="auto"/>
              <w:bottom w:val="single" w:sz="4" w:space="0" w:color="auto"/>
            </w:tcBorders>
            <w:vAlign w:val="center"/>
          </w:tcPr>
          <w:p w:rsidR="00652B6A" w:rsidRPr="006F2E57" w:rsidRDefault="00652B6A" w:rsidP="00652B6A">
            <w:pPr>
              <w:pStyle w:val="Normal-Tabeltal"/>
              <w:keepNext/>
              <w:spacing w:line="240" w:lineRule="auto"/>
              <w:ind w:left="0" w:right="0"/>
              <w:jc w:val="center"/>
              <w:rPr>
                <w:rFonts w:ascii="Garamond" w:hAnsi="Garamond"/>
                <w:i/>
                <w:sz w:val="18"/>
                <w:szCs w:val="18"/>
              </w:rPr>
            </w:pPr>
            <w:r w:rsidRPr="006F2E57">
              <w:rPr>
                <w:rFonts w:ascii="Garamond" w:hAnsi="Garamond"/>
                <w:i/>
                <w:sz w:val="18"/>
                <w:szCs w:val="18"/>
              </w:rPr>
              <w:t>2022</w:t>
            </w:r>
          </w:p>
        </w:tc>
      </w:tr>
      <w:tr w:rsidR="00652B6A" w:rsidRPr="00884B84" w:rsidTr="00652B6A">
        <w:tc>
          <w:tcPr>
            <w:tcW w:w="3234" w:type="dxa"/>
            <w:tcBorders>
              <w:top w:val="single" w:sz="4" w:space="0" w:color="auto"/>
              <w:right w:val="single" w:sz="4" w:space="0" w:color="auto"/>
            </w:tcBorders>
            <w:vAlign w:val="bottom"/>
          </w:tcPr>
          <w:p w:rsidR="00652B6A" w:rsidRPr="006F2E57" w:rsidRDefault="00652B6A" w:rsidP="00652B6A">
            <w:pPr>
              <w:keepNext/>
              <w:rPr>
                <w:iCs/>
                <w:sz w:val="18"/>
                <w:szCs w:val="18"/>
              </w:rPr>
            </w:pPr>
            <w:r w:rsidRPr="006F2E57">
              <w:rPr>
                <w:b/>
                <w:sz w:val="18"/>
                <w:szCs w:val="18"/>
              </w:rPr>
              <w:t>Gældende regler</w:t>
            </w:r>
          </w:p>
        </w:tc>
        <w:tc>
          <w:tcPr>
            <w:tcW w:w="655" w:type="dxa"/>
            <w:tcBorders>
              <w:top w:val="single" w:sz="4" w:space="0" w:color="auto"/>
              <w:left w:val="single" w:sz="4" w:space="0" w:color="auto"/>
            </w:tcBorders>
          </w:tcPr>
          <w:p w:rsidR="00652B6A" w:rsidRPr="006F2E57" w:rsidRDefault="00652B6A" w:rsidP="00652B6A">
            <w:pPr>
              <w:keepNext/>
              <w:rPr>
                <w:iCs/>
                <w:sz w:val="18"/>
                <w:szCs w:val="18"/>
              </w:rPr>
            </w:pPr>
          </w:p>
        </w:tc>
        <w:tc>
          <w:tcPr>
            <w:tcW w:w="654" w:type="dxa"/>
            <w:tcBorders>
              <w:top w:val="single" w:sz="4" w:space="0" w:color="auto"/>
            </w:tcBorders>
          </w:tcPr>
          <w:p w:rsidR="00652B6A" w:rsidRPr="006F2E57" w:rsidRDefault="00652B6A" w:rsidP="00652B6A">
            <w:pPr>
              <w:keepNext/>
              <w:rPr>
                <w:iCs/>
                <w:sz w:val="18"/>
                <w:szCs w:val="18"/>
              </w:rPr>
            </w:pPr>
          </w:p>
        </w:tc>
        <w:tc>
          <w:tcPr>
            <w:tcW w:w="655" w:type="dxa"/>
            <w:tcBorders>
              <w:top w:val="single" w:sz="4" w:space="0" w:color="auto"/>
            </w:tcBorders>
          </w:tcPr>
          <w:p w:rsidR="00652B6A" w:rsidRPr="006F2E57" w:rsidRDefault="00652B6A" w:rsidP="00652B6A">
            <w:pPr>
              <w:keepNext/>
              <w:rPr>
                <w:iCs/>
                <w:sz w:val="18"/>
                <w:szCs w:val="18"/>
              </w:rPr>
            </w:pPr>
          </w:p>
        </w:tc>
        <w:tc>
          <w:tcPr>
            <w:tcW w:w="654" w:type="dxa"/>
            <w:tcBorders>
              <w:top w:val="single" w:sz="4" w:space="0" w:color="auto"/>
              <w:right w:val="single" w:sz="4" w:space="0" w:color="auto"/>
            </w:tcBorders>
          </w:tcPr>
          <w:p w:rsidR="00652B6A" w:rsidRPr="006F2E57" w:rsidRDefault="00652B6A" w:rsidP="00652B6A">
            <w:pPr>
              <w:keepNext/>
              <w:rPr>
                <w:iCs/>
                <w:sz w:val="18"/>
                <w:szCs w:val="18"/>
              </w:rPr>
            </w:pPr>
          </w:p>
        </w:tc>
        <w:tc>
          <w:tcPr>
            <w:tcW w:w="655" w:type="dxa"/>
            <w:tcBorders>
              <w:top w:val="single" w:sz="4" w:space="0" w:color="auto"/>
              <w:left w:val="single" w:sz="4" w:space="0" w:color="auto"/>
            </w:tcBorders>
          </w:tcPr>
          <w:p w:rsidR="00652B6A" w:rsidRPr="006F2E57" w:rsidRDefault="00652B6A" w:rsidP="00652B6A">
            <w:pPr>
              <w:keepNext/>
              <w:rPr>
                <w:i/>
                <w:iCs/>
                <w:sz w:val="18"/>
                <w:szCs w:val="18"/>
              </w:rPr>
            </w:pPr>
          </w:p>
        </w:tc>
        <w:tc>
          <w:tcPr>
            <w:tcW w:w="654" w:type="dxa"/>
            <w:tcBorders>
              <w:top w:val="single" w:sz="4" w:space="0" w:color="auto"/>
            </w:tcBorders>
          </w:tcPr>
          <w:p w:rsidR="00652B6A" w:rsidRPr="006F2E57" w:rsidRDefault="00652B6A" w:rsidP="00652B6A">
            <w:pPr>
              <w:keepNext/>
              <w:rPr>
                <w:i/>
                <w:iCs/>
                <w:sz w:val="18"/>
                <w:szCs w:val="18"/>
              </w:rPr>
            </w:pPr>
          </w:p>
        </w:tc>
        <w:tc>
          <w:tcPr>
            <w:tcW w:w="655" w:type="dxa"/>
            <w:tcBorders>
              <w:top w:val="single" w:sz="4" w:space="0" w:color="auto"/>
            </w:tcBorders>
          </w:tcPr>
          <w:p w:rsidR="00652B6A" w:rsidRPr="006F2E57" w:rsidRDefault="00652B6A" w:rsidP="00652B6A">
            <w:pPr>
              <w:keepNext/>
              <w:rPr>
                <w:i/>
                <w:iCs/>
                <w:sz w:val="18"/>
                <w:szCs w:val="18"/>
              </w:rPr>
            </w:pPr>
          </w:p>
        </w:tc>
        <w:tc>
          <w:tcPr>
            <w:tcW w:w="654" w:type="dxa"/>
            <w:tcBorders>
              <w:top w:val="single" w:sz="4" w:space="0" w:color="auto"/>
            </w:tcBorders>
          </w:tcPr>
          <w:p w:rsidR="00652B6A" w:rsidRPr="006F2E57" w:rsidRDefault="00652B6A" w:rsidP="00652B6A">
            <w:pPr>
              <w:keepNext/>
              <w:rPr>
                <w:i/>
                <w:iCs/>
                <w:sz w:val="18"/>
                <w:szCs w:val="18"/>
              </w:rPr>
            </w:pPr>
          </w:p>
        </w:tc>
        <w:tc>
          <w:tcPr>
            <w:tcW w:w="655" w:type="dxa"/>
            <w:tcBorders>
              <w:top w:val="single" w:sz="4" w:space="0" w:color="auto"/>
            </w:tcBorders>
          </w:tcPr>
          <w:p w:rsidR="00652B6A" w:rsidRPr="006F2E57" w:rsidRDefault="00652B6A" w:rsidP="00652B6A">
            <w:pPr>
              <w:keepNext/>
              <w:rPr>
                <w:i/>
                <w:iCs/>
                <w:sz w:val="18"/>
                <w:szCs w:val="18"/>
              </w:rPr>
            </w:pPr>
          </w:p>
        </w:tc>
      </w:tr>
      <w:tr w:rsidR="00652B6A" w:rsidRPr="00884B84" w:rsidTr="00652B6A">
        <w:tc>
          <w:tcPr>
            <w:tcW w:w="3234" w:type="dxa"/>
            <w:tcBorders>
              <w:right w:val="single" w:sz="4" w:space="0" w:color="auto"/>
            </w:tcBorders>
            <w:vAlign w:val="bottom"/>
          </w:tcPr>
          <w:p w:rsidR="00652B6A" w:rsidRPr="006F2E57" w:rsidRDefault="00652B6A" w:rsidP="00652B6A">
            <w:pPr>
              <w:keepNext/>
              <w:rPr>
                <w:bCs/>
                <w:sz w:val="18"/>
                <w:szCs w:val="18"/>
              </w:rPr>
            </w:pPr>
            <w:r w:rsidRPr="006F2E57">
              <w:rPr>
                <w:sz w:val="18"/>
                <w:szCs w:val="18"/>
              </w:rPr>
              <w:t>Beskæftigelsesfradrag, pct.</w:t>
            </w:r>
          </w:p>
        </w:tc>
        <w:tc>
          <w:tcPr>
            <w:tcW w:w="655" w:type="dxa"/>
            <w:tcBorders>
              <w:left w:val="single" w:sz="4" w:space="0" w:color="auto"/>
            </w:tcBorders>
            <w:vAlign w:val="bottom"/>
          </w:tcPr>
          <w:p w:rsidR="00652B6A" w:rsidRPr="006F2E57" w:rsidRDefault="00652B6A" w:rsidP="00652B6A">
            <w:pPr>
              <w:keepNext/>
              <w:jc w:val="right"/>
              <w:rPr>
                <w:sz w:val="18"/>
                <w:szCs w:val="18"/>
              </w:rPr>
            </w:pPr>
            <w:r w:rsidRPr="006F2E57">
              <w:rPr>
                <w:sz w:val="18"/>
                <w:szCs w:val="18"/>
              </w:rPr>
              <w:t>7,25</w:t>
            </w:r>
          </w:p>
        </w:tc>
        <w:tc>
          <w:tcPr>
            <w:tcW w:w="654" w:type="dxa"/>
            <w:vAlign w:val="bottom"/>
          </w:tcPr>
          <w:p w:rsidR="00652B6A" w:rsidRPr="006F2E57" w:rsidRDefault="00652B6A" w:rsidP="00652B6A">
            <w:pPr>
              <w:keepNext/>
              <w:jc w:val="right"/>
              <w:rPr>
                <w:sz w:val="18"/>
                <w:szCs w:val="18"/>
              </w:rPr>
            </w:pPr>
            <w:r w:rsidRPr="006F2E57">
              <w:rPr>
                <w:sz w:val="18"/>
                <w:szCs w:val="18"/>
              </w:rPr>
              <w:t>7,80</w:t>
            </w:r>
          </w:p>
        </w:tc>
        <w:tc>
          <w:tcPr>
            <w:tcW w:w="655" w:type="dxa"/>
            <w:vAlign w:val="bottom"/>
          </w:tcPr>
          <w:p w:rsidR="00652B6A" w:rsidRPr="006F2E57" w:rsidRDefault="00652B6A" w:rsidP="00652B6A">
            <w:pPr>
              <w:keepNext/>
              <w:jc w:val="right"/>
              <w:rPr>
                <w:sz w:val="18"/>
                <w:szCs w:val="18"/>
              </w:rPr>
            </w:pPr>
            <w:r w:rsidRPr="006F2E57">
              <w:rPr>
                <w:sz w:val="18"/>
                <w:szCs w:val="18"/>
              </w:rPr>
              <w:t>8,15</w:t>
            </w:r>
          </w:p>
        </w:tc>
        <w:tc>
          <w:tcPr>
            <w:tcW w:w="654" w:type="dxa"/>
            <w:tcBorders>
              <w:right w:val="single" w:sz="4" w:space="0" w:color="auto"/>
            </w:tcBorders>
            <w:vAlign w:val="bottom"/>
          </w:tcPr>
          <w:p w:rsidR="00652B6A" w:rsidRPr="006F2E57" w:rsidRDefault="00652B6A" w:rsidP="00652B6A">
            <w:pPr>
              <w:keepNext/>
              <w:jc w:val="right"/>
              <w:rPr>
                <w:sz w:val="18"/>
                <w:szCs w:val="18"/>
              </w:rPr>
            </w:pPr>
            <w:r w:rsidRPr="006F2E57">
              <w:rPr>
                <w:sz w:val="18"/>
                <w:szCs w:val="18"/>
              </w:rPr>
              <w:t>8,60</w:t>
            </w:r>
          </w:p>
        </w:tc>
        <w:tc>
          <w:tcPr>
            <w:tcW w:w="655" w:type="dxa"/>
            <w:tcBorders>
              <w:left w:val="single" w:sz="4" w:space="0" w:color="auto"/>
            </w:tcBorders>
            <w:vAlign w:val="bottom"/>
          </w:tcPr>
          <w:p w:rsidR="00652B6A" w:rsidRPr="006F2E57" w:rsidRDefault="00652B6A" w:rsidP="00652B6A">
            <w:pPr>
              <w:keepNext/>
              <w:jc w:val="right"/>
              <w:rPr>
                <w:i/>
                <w:sz w:val="18"/>
                <w:szCs w:val="18"/>
              </w:rPr>
            </w:pPr>
            <w:r w:rsidRPr="006F2E57">
              <w:rPr>
                <w:i/>
                <w:sz w:val="18"/>
                <w:szCs w:val="18"/>
              </w:rPr>
              <w:t>9,50</w:t>
            </w:r>
          </w:p>
        </w:tc>
        <w:tc>
          <w:tcPr>
            <w:tcW w:w="654" w:type="dxa"/>
            <w:vAlign w:val="bottom"/>
          </w:tcPr>
          <w:p w:rsidR="00652B6A" w:rsidRPr="006F2E57" w:rsidRDefault="00652B6A" w:rsidP="00652B6A">
            <w:pPr>
              <w:keepNext/>
              <w:jc w:val="right"/>
              <w:rPr>
                <w:i/>
                <w:sz w:val="18"/>
                <w:szCs w:val="18"/>
              </w:rPr>
            </w:pPr>
            <w:r w:rsidRPr="006F2E57">
              <w:rPr>
                <w:i/>
                <w:sz w:val="18"/>
                <w:szCs w:val="18"/>
              </w:rPr>
              <w:t>10,10</w:t>
            </w:r>
          </w:p>
        </w:tc>
        <w:tc>
          <w:tcPr>
            <w:tcW w:w="655" w:type="dxa"/>
            <w:vAlign w:val="bottom"/>
          </w:tcPr>
          <w:p w:rsidR="00652B6A" w:rsidRPr="006F2E57" w:rsidRDefault="00652B6A" w:rsidP="00652B6A">
            <w:pPr>
              <w:keepNext/>
              <w:jc w:val="right"/>
              <w:rPr>
                <w:i/>
                <w:sz w:val="18"/>
                <w:szCs w:val="18"/>
              </w:rPr>
            </w:pPr>
            <w:r w:rsidRPr="006F2E57">
              <w:rPr>
                <w:i/>
                <w:sz w:val="18"/>
                <w:szCs w:val="18"/>
              </w:rPr>
              <w:t>10,50</w:t>
            </w:r>
          </w:p>
        </w:tc>
        <w:tc>
          <w:tcPr>
            <w:tcW w:w="654" w:type="dxa"/>
            <w:vAlign w:val="bottom"/>
          </w:tcPr>
          <w:p w:rsidR="00652B6A" w:rsidRPr="006F2E57" w:rsidRDefault="00652B6A" w:rsidP="00652B6A">
            <w:pPr>
              <w:keepNext/>
              <w:jc w:val="right"/>
              <w:rPr>
                <w:i/>
                <w:sz w:val="18"/>
                <w:szCs w:val="18"/>
              </w:rPr>
            </w:pPr>
            <w:r w:rsidRPr="006F2E57">
              <w:rPr>
                <w:i/>
                <w:sz w:val="18"/>
                <w:szCs w:val="18"/>
              </w:rPr>
              <w:t>10,60</w:t>
            </w:r>
          </w:p>
        </w:tc>
        <w:tc>
          <w:tcPr>
            <w:tcW w:w="655" w:type="dxa"/>
            <w:vAlign w:val="bottom"/>
          </w:tcPr>
          <w:p w:rsidR="00652B6A" w:rsidRPr="006F2E57" w:rsidRDefault="00652B6A" w:rsidP="00652B6A">
            <w:pPr>
              <w:keepNext/>
              <w:jc w:val="right"/>
              <w:rPr>
                <w:i/>
                <w:sz w:val="18"/>
                <w:szCs w:val="18"/>
              </w:rPr>
            </w:pPr>
            <w:r w:rsidRPr="006F2E57">
              <w:rPr>
                <w:i/>
                <w:sz w:val="18"/>
                <w:szCs w:val="18"/>
              </w:rPr>
              <w:t>10,65</w:t>
            </w:r>
          </w:p>
        </w:tc>
      </w:tr>
      <w:tr w:rsidR="00652B6A" w:rsidRPr="00884B84" w:rsidTr="00652B6A">
        <w:tc>
          <w:tcPr>
            <w:tcW w:w="3234" w:type="dxa"/>
            <w:tcBorders>
              <w:right w:val="single" w:sz="4" w:space="0" w:color="auto"/>
            </w:tcBorders>
            <w:vAlign w:val="bottom"/>
          </w:tcPr>
          <w:p w:rsidR="00652B6A" w:rsidRPr="006F2E57" w:rsidRDefault="00652B6A" w:rsidP="00652B6A">
            <w:pPr>
              <w:keepNext/>
              <w:rPr>
                <w:bCs/>
                <w:sz w:val="18"/>
                <w:szCs w:val="18"/>
              </w:rPr>
            </w:pPr>
            <w:r w:rsidRPr="006F2E57">
              <w:rPr>
                <w:sz w:val="18"/>
                <w:szCs w:val="18"/>
              </w:rPr>
              <w:t xml:space="preserve">Maks. fradrag, kr. (2014-niveau) </w:t>
            </w:r>
          </w:p>
        </w:tc>
        <w:tc>
          <w:tcPr>
            <w:tcW w:w="655" w:type="dxa"/>
            <w:tcBorders>
              <w:left w:val="single" w:sz="4" w:space="0" w:color="auto"/>
            </w:tcBorders>
            <w:vAlign w:val="bottom"/>
          </w:tcPr>
          <w:p w:rsidR="00652B6A" w:rsidRPr="006F2E57" w:rsidRDefault="00652B6A" w:rsidP="00652B6A">
            <w:pPr>
              <w:keepNext/>
              <w:jc w:val="right"/>
              <w:rPr>
                <w:sz w:val="18"/>
                <w:szCs w:val="18"/>
              </w:rPr>
            </w:pPr>
            <w:r w:rsidRPr="006F2E57">
              <w:rPr>
                <w:sz w:val="18"/>
                <w:szCs w:val="18"/>
              </w:rPr>
              <w:t>23.800</w:t>
            </w:r>
          </w:p>
        </w:tc>
        <w:tc>
          <w:tcPr>
            <w:tcW w:w="654" w:type="dxa"/>
            <w:vAlign w:val="bottom"/>
          </w:tcPr>
          <w:p w:rsidR="00652B6A" w:rsidRPr="006F2E57" w:rsidRDefault="00652B6A" w:rsidP="00652B6A">
            <w:pPr>
              <w:keepNext/>
              <w:jc w:val="right"/>
              <w:rPr>
                <w:sz w:val="18"/>
                <w:szCs w:val="18"/>
              </w:rPr>
            </w:pPr>
            <w:r w:rsidRPr="006F2E57">
              <w:rPr>
                <w:sz w:val="18"/>
                <w:szCs w:val="18"/>
              </w:rPr>
              <w:t>25.600</w:t>
            </w:r>
          </w:p>
        </w:tc>
        <w:tc>
          <w:tcPr>
            <w:tcW w:w="655" w:type="dxa"/>
            <w:vAlign w:val="bottom"/>
          </w:tcPr>
          <w:p w:rsidR="00652B6A" w:rsidRPr="006F2E57" w:rsidRDefault="00652B6A" w:rsidP="00652B6A">
            <w:pPr>
              <w:keepNext/>
              <w:jc w:val="right"/>
              <w:rPr>
                <w:sz w:val="18"/>
                <w:szCs w:val="18"/>
              </w:rPr>
            </w:pPr>
            <w:r w:rsidRPr="006F2E57">
              <w:rPr>
                <w:sz w:val="18"/>
                <w:szCs w:val="18"/>
              </w:rPr>
              <w:t>26.600</w:t>
            </w:r>
          </w:p>
        </w:tc>
        <w:tc>
          <w:tcPr>
            <w:tcW w:w="654" w:type="dxa"/>
            <w:tcBorders>
              <w:right w:val="single" w:sz="4" w:space="0" w:color="auto"/>
            </w:tcBorders>
            <w:vAlign w:val="bottom"/>
          </w:tcPr>
          <w:p w:rsidR="00652B6A" w:rsidRPr="006F2E57" w:rsidRDefault="00652B6A" w:rsidP="00652B6A">
            <w:pPr>
              <w:keepNext/>
              <w:jc w:val="right"/>
              <w:rPr>
                <w:sz w:val="18"/>
                <w:szCs w:val="18"/>
              </w:rPr>
            </w:pPr>
            <w:r w:rsidRPr="006F2E57">
              <w:rPr>
                <w:sz w:val="18"/>
                <w:szCs w:val="18"/>
              </w:rPr>
              <w:t>28.000</w:t>
            </w:r>
          </w:p>
        </w:tc>
        <w:tc>
          <w:tcPr>
            <w:tcW w:w="655" w:type="dxa"/>
            <w:tcBorders>
              <w:left w:val="single" w:sz="4" w:space="0" w:color="auto"/>
            </w:tcBorders>
            <w:vAlign w:val="bottom"/>
          </w:tcPr>
          <w:p w:rsidR="00652B6A" w:rsidRPr="006F2E57" w:rsidRDefault="00652B6A" w:rsidP="00652B6A">
            <w:pPr>
              <w:keepNext/>
              <w:jc w:val="right"/>
              <w:rPr>
                <w:i/>
                <w:sz w:val="18"/>
                <w:szCs w:val="18"/>
              </w:rPr>
            </w:pPr>
            <w:r w:rsidRPr="006F2E57">
              <w:rPr>
                <w:i/>
                <w:sz w:val="18"/>
                <w:szCs w:val="18"/>
              </w:rPr>
              <w:t>31.000</w:t>
            </w:r>
          </w:p>
        </w:tc>
        <w:tc>
          <w:tcPr>
            <w:tcW w:w="654" w:type="dxa"/>
            <w:vAlign w:val="bottom"/>
          </w:tcPr>
          <w:p w:rsidR="00652B6A" w:rsidRPr="006F2E57" w:rsidRDefault="00652B6A" w:rsidP="00652B6A">
            <w:pPr>
              <w:keepNext/>
              <w:jc w:val="right"/>
              <w:rPr>
                <w:i/>
                <w:sz w:val="18"/>
                <w:szCs w:val="18"/>
              </w:rPr>
            </w:pPr>
            <w:r w:rsidRPr="006F2E57">
              <w:rPr>
                <w:i/>
                <w:sz w:val="18"/>
                <w:szCs w:val="18"/>
              </w:rPr>
              <w:t>32.900</w:t>
            </w:r>
          </w:p>
        </w:tc>
        <w:tc>
          <w:tcPr>
            <w:tcW w:w="655" w:type="dxa"/>
            <w:vAlign w:val="bottom"/>
          </w:tcPr>
          <w:p w:rsidR="00652B6A" w:rsidRPr="006F2E57" w:rsidRDefault="00652B6A" w:rsidP="00652B6A">
            <w:pPr>
              <w:keepNext/>
              <w:jc w:val="right"/>
              <w:rPr>
                <w:i/>
                <w:sz w:val="18"/>
                <w:szCs w:val="18"/>
              </w:rPr>
            </w:pPr>
            <w:r w:rsidRPr="006F2E57">
              <w:rPr>
                <w:i/>
                <w:sz w:val="18"/>
                <w:szCs w:val="18"/>
              </w:rPr>
              <w:t>34.200</w:t>
            </w:r>
          </w:p>
        </w:tc>
        <w:tc>
          <w:tcPr>
            <w:tcW w:w="654" w:type="dxa"/>
            <w:vAlign w:val="bottom"/>
          </w:tcPr>
          <w:p w:rsidR="00652B6A" w:rsidRPr="006F2E57" w:rsidRDefault="00652B6A" w:rsidP="00652B6A">
            <w:pPr>
              <w:keepNext/>
              <w:jc w:val="right"/>
              <w:rPr>
                <w:i/>
                <w:sz w:val="18"/>
                <w:szCs w:val="18"/>
              </w:rPr>
            </w:pPr>
            <w:r w:rsidRPr="006F2E57">
              <w:rPr>
                <w:i/>
                <w:sz w:val="18"/>
                <w:szCs w:val="18"/>
              </w:rPr>
              <w:t>34.500</w:t>
            </w:r>
          </w:p>
        </w:tc>
        <w:tc>
          <w:tcPr>
            <w:tcW w:w="655" w:type="dxa"/>
            <w:vAlign w:val="bottom"/>
          </w:tcPr>
          <w:p w:rsidR="00652B6A" w:rsidRPr="006F2E57" w:rsidRDefault="00652B6A" w:rsidP="00652B6A">
            <w:pPr>
              <w:keepNext/>
              <w:jc w:val="right"/>
              <w:rPr>
                <w:i/>
                <w:sz w:val="18"/>
                <w:szCs w:val="18"/>
              </w:rPr>
            </w:pPr>
            <w:r w:rsidRPr="006F2E57">
              <w:rPr>
                <w:i/>
                <w:sz w:val="18"/>
                <w:szCs w:val="18"/>
              </w:rPr>
              <w:t>34.800</w:t>
            </w:r>
          </w:p>
        </w:tc>
      </w:tr>
      <w:tr w:rsidR="00652B6A" w:rsidRPr="00884B84" w:rsidTr="00652B6A">
        <w:tc>
          <w:tcPr>
            <w:tcW w:w="3234" w:type="dxa"/>
            <w:tcBorders>
              <w:right w:val="single" w:sz="4" w:space="0" w:color="auto"/>
            </w:tcBorders>
            <w:vAlign w:val="bottom"/>
          </w:tcPr>
          <w:p w:rsidR="00652B6A" w:rsidRPr="006F2E57" w:rsidRDefault="00652B6A" w:rsidP="00652B6A">
            <w:pPr>
              <w:pStyle w:val="Normal-Tabeltal"/>
              <w:keepNext/>
              <w:spacing w:line="240" w:lineRule="auto"/>
              <w:ind w:left="0" w:right="0"/>
              <w:jc w:val="left"/>
              <w:rPr>
                <w:rFonts w:ascii="Garamond" w:hAnsi="Garamond"/>
                <w:sz w:val="18"/>
                <w:szCs w:val="18"/>
              </w:rPr>
            </w:pPr>
            <w:r w:rsidRPr="006F2E57">
              <w:rPr>
                <w:rFonts w:ascii="Garamond" w:hAnsi="Garamond"/>
                <w:sz w:val="18"/>
                <w:szCs w:val="18"/>
              </w:rPr>
              <w:t>Skatteprocent</w:t>
            </w:r>
            <w:r w:rsidRPr="006F2E57">
              <w:rPr>
                <w:rFonts w:ascii="Garamond" w:hAnsi="Garamond"/>
                <w:sz w:val="18"/>
                <w:szCs w:val="18"/>
                <w:vertAlign w:val="superscript"/>
              </w:rPr>
              <w:t>1)</w:t>
            </w:r>
            <w:r w:rsidRPr="006F2E57">
              <w:rPr>
                <w:rFonts w:ascii="Garamond" w:hAnsi="Garamond"/>
                <w:sz w:val="18"/>
                <w:szCs w:val="18"/>
              </w:rPr>
              <w:t>, pct.</w:t>
            </w:r>
          </w:p>
        </w:tc>
        <w:tc>
          <w:tcPr>
            <w:tcW w:w="655" w:type="dxa"/>
            <w:tcBorders>
              <w:left w:val="single" w:sz="4" w:space="0" w:color="auto"/>
            </w:tcBorders>
            <w:vAlign w:val="bottom"/>
          </w:tcPr>
          <w:p w:rsidR="00652B6A" w:rsidRPr="006F2E57" w:rsidRDefault="00652B6A" w:rsidP="00652B6A">
            <w:pPr>
              <w:keepNext/>
              <w:jc w:val="right"/>
              <w:rPr>
                <w:sz w:val="18"/>
                <w:szCs w:val="18"/>
              </w:rPr>
            </w:pPr>
            <w:r w:rsidRPr="006F2E57">
              <w:rPr>
                <w:sz w:val="18"/>
                <w:szCs w:val="18"/>
              </w:rPr>
              <w:t>30,6</w:t>
            </w:r>
          </w:p>
        </w:tc>
        <w:tc>
          <w:tcPr>
            <w:tcW w:w="654" w:type="dxa"/>
            <w:vAlign w:val="bottom"/>
          </w:tcPr>
          <w:p w:rsidR="00652B6A" w:rsidRPr="006F2E57" w:rsidRDefault="00652B6A" w:rsidP="00652B6A">
            <w:pPr>
              <w:keepNext/>
              <w:jc w:val="right"/>
              <w:rPr>
                <w:sz w:val="18"/>
                <w:szCs w:val="18"/>
              </w:rPr>
            </w:pPr>
            <w:r w:rsidRPr="006F2E57">
              <w:rPr>
                <w:sz w:val="18"/>
                <w:szCs w:val="18"/>
              </w:rPr>
              <w:t>29,6</w:t>
            </w:r>
          </w:p>
        </w:tc>
        <w:tc>
          <w:tcPr>
            <w:tcW w:w="655" w:type="dxa"/>
            <w:vAlign w:val="bottom"/>
          </w:tcPr>
          <w:p w:rsidR="00652B6A" w:rsidRPr="006F2E57" w:rsidRDefault="00652B6A" w:rsidP="00652B6A">
            <w:pPr>
              <w:keepNext/>
              <w:jc w:val="right"/>
              <w:rPr>
                <w:sz w:val="18"/>
                <w:szCs w:val="18"/>
              </w:rPr>
            </w:pPr>
            <w:r w:rsidRPr="006F2E57">
              <w:rPr>
                <w:sz w:val="18"/>
                <w:szCs w:val="18"/>
              </w:rPr>
              <w:t>28,6</w:t>
            </w:r>
          </w:p>
        </w:tc>
        <w:tc>
          <w:tcPr>
            <w:tcW w:w="654" w:type="dxa"/>
            <w:tcBorders>
              <w:right w:val="single" w:sz="4" w:space="0" w:color="auto"/>
            </w:tcBorders>
            <w:vAlign w:val="bottom"/>
          </w:tcPr>
          <w:p w:rsidR="00652B6A" w:rsidRPr="006F2E57" w:rsidRDefault="00652B6A" w:rsidP="00652B6A">
            <w:pPr>
              <w:keepNext/>
              <w:jc w:val="right"/>
              <w:rPr>
                <w:sz w:val="18"/>
                <w:szCs w:val="18"/>
              </w:rPr>
            </w:pPr>
            <w:r w:rsidRPr="006F2E57">
              <w:rPr>
                <w:sz w:val="18"/>
                <w:szCs w:val="18"/>
              </w:rPr>
              <w:t>27,6</w:t>
            </w:r>
          </w:p>
        </w:tc>
        <w:tc>
          <w:tcPr>
            <w:tcW w:w="655" w:type="dxa"/>
            <w:tcBorders>
              <w:left w:val="single" w:sz="4" w:space="0" w:color="auto"/>
            </w:tcBorders>
            <w:vAlign w:val="bottom"/>
          </w:tcPr>
          <w:p w:rsidR="00652B6A" w:rsidRPr="006F2E57" w:rsidRDefault="00652B6A" w:rsidP="00652B6A">
            <w:pPr>
              <w:keepNext/>
              <w:jc w:val="right"/>
              <w:rPr>
                <w:i/>
                <w:sz w:val="18"/>
                <w:szCs w:val="18"/>
              </w:rPr>
            </w:pPr>
            <w:r w:rsidRPr="006F2E57">
              <w:rPr>
                <w:i/>
                <w:sz w:val="18"/>
                <w:szCs w:val="18"/>
              </w:rPr>
              <w:t>26,6</w:t>
            </w:r>
          </w:p>
        </w:tc>
        <w:tc>
          <w:tcPr>
            <w:tcW w:w="654" w:type="dxa"/>
            <w:vAlign w:val="bottom"/>
          </w:tcPr>
          <w:p w:rsidR="00652B6A" w:rsidRPr="006F2E57" w:rsidRDefault="00652B6A" w:rsidP="00652B6A">
            <w:pPr>
              <w:keepNext/>
              <w:jc w:val="right"/>
              <w:rPr>
                <w:i/>
                <w:sz w:val="18"/>
                <w:szCs w:val="18"/>
              </w:rPr>
            </w:pPr>
            <w:r w:rsidRPr="006F2E57">
              <w:rPr>
                <w:i/>
                <w:sz w:val="18"/>
                <w:szCs w:val="18"/>
              </w:rPr>
              <w:t>25,6</w:t>
            </w:r>
          </w:p>
        </w:tc>
        <w:tc>
          <w:tcPr>
            <w:tcW w:w="655" w:type="dxa"/>
            <w:vAlign w:val="bottom"/>
          </w:tcPr>
          <w:p w:rsidR="00652B6A" w:rsidRPr="006F2E57" w:rsidRDefault="00652B6A" w:rsidP="00652B6A">
            <w:pPr>
              <w:keepNext/>
              <w:jc w:val="right"/>
              <w:rPr>
                <w:i/>
                <w:sz w:val="18"/>
                <w:szCs w:val="18"/>
              </w:rPr>
            </w:pPr>
            <w:r w:rsidRPr="006F2E57">
              <w:rPr>
                <w:i/>
                <w:sz w:val="18"/>
                <w:szCs w:val="18"/>
              </w:rPr>
              <w:t>25,6</w:t>
            </w:r>
          </w:p>
        </w:tc>
        <w:tc>
          <w:tcPr>
            <w:tcW w:w="654" w:type="dxa"/>
            <w:vAlign w:val="bottom"/>
          </w:tcPr>
          <w:p w:rsidR="00652B6A" w:rsidRPr="006F2E57" w:rsidRDefault="00652B6A" w:rsidP="00652B6A">
            <w:pPr>
              <w:keepNext/>
              <w:jc w:val="right"/>
              <w:rPr>
                <w:i/>
                <w:sz w:val="18"/>
                <w:szCs w:val="18"/>
              </w:rPr>
            </w:pPr>
            <w:r w:rsidRPr="006F2E57">
              <w:rPr>
                <w:i/>
                <w:sz w:val="18"/>
                <w:szCs w:val="18"/>
              </w:rPr>
              <w:t>25,6</w:t>
            </w:r>
          </w:p>
        </w:tc>
        <w:tc>
          <w:tcPr>
            <w:tcW w:w="655" w:type="dxa"/>
            <w:vAlign w:val="bottom"/>
          </w:tcPr>
          <w:p w:rsidR="00652B6A" w:rsidRPr="006F2E57" w:rsidRDefault="00652B6A" w:rsidP="00652B6A">
            <w:pPr>
              <w:keepNext/>
              <w:jc w:val="right"/>
              <w:rPr>
                <w:i/>
                <w:sz w:val="18"/>
                <w:szCs w:val="18"/>
              </w:rPr>
            </w:pPr>
            <w:r w:rsidRPr="006F2E57">
              <w:rPr>
                <w:i/>
                <w:sz w:val="18"/>
                <w:szCs w:val="18"/>
              </w:rPr>
              <w:t>25,6</w:t>
            </w:r>
          </w:p>
        </w:tc>
      </w:tr>
      <w:tr w:rsidR="00652B6A" w:rsidRPr="00884B84" w:rsidTr="00652B6A">
        <w:tc>
          <w:tcPr>
            <w:tcW w:w="3234" w:type="dxa"/>
            <w:tcBorders>
              <w:bottom w:val="single" w:sz="4" w:space="0" w:color="auto"/>
              <w:right w:val="single" w:sz="4" w:space="0" w:color="auto"/>
            </w:tcBorders>
            <w:vAlign w:val="bottom"/>
          </w:tcPr>
          <w:p w:rsidR="00652B6A" w:rsidRPr="006F2E57" w:rsidRDefault="00652B6A" w:rsidP="00652B6A">
            <w:pPr>
              <w:keepNext/>
              <w:rPr>
                <w:bCs/>
                <w:sz w:val="18"/>
                <w:szCs w:val="18"/>
              </w:rPr>
            </w:pPr>
            <w:r w:rsidRPr="006F2E57">
              <w:rPr>
                <w:sz w:val="18"/>
                <w:szCs w:val="18"/>
              </w:rPr>
              <w:t>Skatteværdi af maks. fradrag, kr.</w:t>
            </w:r>
          </w:p>
        </w:tc>
        <w:tc>
          <w:tcPr>
            <w:tcW w:w="655" w:type="dxa"/>
            <w:tcBorders>
              <w:left w:val="single" w:sz="4" w:space="0" w:color="auto"/>
              <w:bottom w:val="single" w:sz="4" w:space="0" w:color="auto"/>
            </w:tcBorders>
            <w:vAlign w:val="bottom"/>
          </w:tcPr>
          <w:p w:rsidR="00652B6A" w:rsidRPr="006F2E57" w:rsidRDefault="00652B6A" w:rsidP="00652B6A">
            <w:pPr>
              <w:keepNext/>
              <w:jc w:val="right"/>
              <w:rPr>
                <w:sz w:val="18"/>
                <w:szCs w:val="18"/>
              </w:rPr>
            </w:pPr>
            <w:r w:rsidRPr="006F2E57">
              <w:rPr>
                <w:sz w:val="18"/>
                <w:szCs w:val="18"/>
              </w:rPr>
              <w:t>7.283</w:t>
            </w:r>
          </w:p>
        </w:tc>
        <w:tc>
          <w:tcPr>
            <w:tcW w:w="654" w:type="dxa"/>
            <w:tcBorders>
              <w:bottom w:val="single" w:sz="4" w:space="0" w:color="auto"/>
            </w:tcBorders>
            <w:vAlign w:val="bottom"/>
          </w:tcPr>
          <w:p w:rsidR="00652B6A" w:rsidRPr="006F2E57" w:rsidRDefault="00652B6A" w:rsidP="00652B6A">
            <w:pPr>
              <w:keepNext/>
              <w:jc w:val="right"/>
              <w:rPr>
                <w:sz w:val="18"/>
                <w:szCs w:val="18"/>
              </w:rPr>
            </w:pPr>
            <w:r w:rsidRPr="006F2E57">
              <w:rPr>
                <w:sz w:val="18"/>
                <w:szCs w:val="18"/>
              </w:rPr>
              <w:t>7.578</w:t>
            </w:r>
          </w:p>
        </w:tc>
        <w:tc>
          <w:tcPr>
            <w:tcW w:w="655" w:type="dxa"/>
            <w:tcBorders>
              <w:bottom w:val="single" w:sz="4" w:space="0" w:color="auto"/>
            </w:tcBorders>
            <w:vAlign w:val="bottom"/>
          </w:tcPr>
          <w:p w:rsidR="00652B6A" w:rsidRPr="006F2E57" w:rsidRDefault="00652B6A" w:rsidP="00652B6A">
            <w:pPr>
              <w:keepNext/>
              <w:jc w:val="right"/>
              <w:rPr>
                <w:sz w:val="18"/>
                <w:szCs w:val="18"/>
              </w:rPr>
            </w:pPr>
            <w:r w:rsidRPr="006F2E57">
              <w:rPr>
                <w:sz w:val="18"/>
                <w:szCs w:val="18"/>
              </w:rPr>
              <w:t>7.608</w:t>
            </w:r>
          </w:p>
        </w:tc>
        <w:tc>
          <w:tcPr>
            <w:tcW w:w="654" w:type="dxa"/>
            <w:tcBorders>
              <w:bottom w:val="single" w:sz="4" w:space="0" w:color="auto"/>
              <w:right w:val="single" w:sz="4" w:space="0" w:color="auto"/>
            </w:tcBorders>
            <w:vAlign w:val="bottom"/>
          </w:tcPr>
          <w:p w:rsidR="00652B6A" w:rsidRPr="006F2E57" w:rsidRDefault="00652B6A" w:rsidP="00652B6A">
            <w:pPr>
              <w:keepNext/>
              <w:jc w:val="right"/>
              <w:rPr>
                <w:sz w:val="18"/>
                <w:szCs w:val="18"/>
              </w:rPr>
            </w:pPr>
            <w:r w:rsidRPr="006F2E57">
              <w:rPr>
                <w:sz w:val="18"/>
                <w:szCs w:val="18"/>
              </w:rPr>
              <w:t>7.728</w:t>
            </w:r>
          </w:p>
        </w:tc>
        <w:tc>
          <w:tcPr>
            <w:tcW w:w="655" w:type="dxa"/>
            <w:tcBorders>
              <w:left w:val="single" w:sz="4" w:space="0" w:color="auto"/>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8.246</w:t>
            </w:r>
          </w:p>
        </w:tc>
        <w:tc>
          <w:tcPr>
            <w:tcW w:w="654" w:type="dxa"/>
            <w:tcBorders>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8.422</w:t>
            </w:r>
          </w:p>
        </w:tc>
        <w:tc>
          <w:tcPr>
            <w:tcW w:w="655" w:type="dxa"/>
            <w:tcBorders>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8.755</w:t>
            </w:r>
          </w:p>
        </w:tc>
        <w:tc>
          <w:tcPr>
            <w:tcW w:w="654" w:type="dxa"/>
            <w:tcBorders>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8.832</w:t>
            </w:r>
          </w:p>
        </w:tc>
        <w:tc>
          <w:tcPr>
            <w:tcW w:w="655" w:type="dxa"/>
            <w:tcBorders>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8.909</w:t>
            </w:r>
          </w:p>
        </w:tc>
      </w:tr>
      <w:tr w:rsidR="00652B6A" w:rsidRPr="00884B84" w:rsidTr="00652B6A">
        <w:tc>
          <w:tcPr>
            <w:tcW w:w="3234" w:type="dxa"/>
            <w:tcBorders>
              <w:top w:val="single" w:sz="4" w:space="0" w:color="auto"/>
              <w:right w:val="single" w:sz="4" w:space="0" w:color="auto"/>
            </w:tcBorders>
            <w:vAlign w:val="bottom"/>
          </w:tcPr>
          <w:p w:rsidR="00652B6A" w:rsidRPr="006F2E57" w:rsidRDefault="00652B6A" w:rsidP="00652B6A">
            <w:pPr>
              <w:keepNext/>
              <w:rPr>
                <w:iCs/>
                <w:sz w:val="18"/>
                <w:szCs w:val="18"/>
              </w:rPr>
            </w:pPr>
            <w:r w:rsidRPr="006F2E57">
              <w:rPr>
                <w:b/>
                <w:sz w:val="18"/>
                <w:szCs w:val="18"/>
              </w:rPr>
              <w:t>Lovforslag</w:t>
            </w:r>
          </w:p>
        </w:tc>
        <w:tc>
          <w:tcPr>
            <w:tcW w:w="655" w:type="dxa"/>
            <w:tcBorders>
              <w:top w:val="single" w:sz="4" w:space="0" w:color="auto"/>
              <w:left w:val="single" w:sz="4" w:space="0" w:color="auto"/>
            </w:tcBorders>
          </w:tcPr>
          <w:p w:rsidR="00652B6A" w:rsidRPr="006F2E57" w:rsidRDefault="00652B6A" w:rsidP="00652B6A">
            <w:pPr>
              <w:keepNext/>
              <w:jc w:val="right"/>
              <w:rPr>
                <w:iCs/>
                <w:sz w:val="18"/>
                <w:szCs w:val="18"/>
              </w:rPr>
            </w:pPr>
          </w:p>
        </w:tc>
        <w:tc>
          <w:tcPr>
            <w:tcW w:w="654" w:type="dxa"/>
            <w:tcBorders>
              <w:top w:val="single" w:sz="4" w:space="0" w:color="auto"/>
            </w:tcBorders>
          </w:tcPr>
          <w:p w:rsidR="00652B6A" w:rsidRPr="006F2E57" w:rsidRDefault="00652B6A" w:rsidP="00652B6A">
            <w:pPr>
              <w:keepNext/>
              <w:jc w:val="right"/>
              <w:rPr>
                <w:iCs/>
                <w:sz w:val="18"/>
                <w:szCs w:val="18"/>
              </w:rPr>
            </w:pPr>
          </w:p>
        </w:tc>
        <w:tc>
          <w:tcPr>
            <w:tcW w:w="655" w:type="dxa"/>
            <w:tcBorders>
              <w:top w:val="single" w:sz="4" w:space="0" w:color="auto"/>
            </w:tcBorders>
          </w:tcPr>
          <w:p w:rsidR="00652B6A" w:rsidRPr="006F2E57" w:rsidRDefault="00652B6A" w:rsidP="00652B6A">
            <w:pPr>
              <w:keepNext/>
              <w:jc w:val="right"/>
              <w:rPr>
                <w:iCs/>
                <w:sz w:val="18"/>
                <w:szCs w:val="18"/>
              </w:rPr>
            </w:pPr>
          </w:p>
        </w:tc>
        <w:tc>
          <w:tcPr>
            <w:tcW w:w="654" w:type="dxa"/>
            <w:tcBorders>
              <w:top w:val="single" w:sz="4" w:space="0" w:color="auto"/>
              <w:right w:val="single" w:sz="4" w:space="0" w:color="auto"/>
            </w:tcBorders>
          </w:tcPr>
          <w:p w:rsidR="00652B6A" w:rsidRPr="006F2E57" w:rsidRDefault="00652B6A" w:rsidP="00652B6A">
            <w:pPr>
              <w:keepNext/>
              <w:jc w:val="right"/>
              <w:rPr>
                <w:iCs/>
                <w:sz w:val="18"/>
                <w:szCs w:val="18"/>
              </w:rPr>
            </w:pPr>
          </w:p>
        </w:tc>
        <w:tc>
          <w:tcPr>
            <w:tcW w:w="655" w:type="dxa"/>
            <w:tcBorders>
              <w:top w:val="single" w:sz="4" w:space="0" w:color="auto"/>
              <w:left w:val="single" w:sz="4" w:space="0" w:color="auto"/>
            </w:tcBorders>
          </w:tcPr>
          <w:p w:rsidR="00652B6A" w:rsidRPr="006F2E57" w:rsidRDefault="00652B6A" w:rsidP="00652B6A">
            <w:pPr>
              <w:keepNext/>
              <w:jc w:val="right"/>
              <w:rPr>
                <w:i/>
                <w:iCs/>
                <w:sz w:val="18"/>
                <w:szCs w:val="18"/>
              </w:rPr>
            </w:pPr>
          </w:p>
        </w:tc>
        <w:tc>
          <w:tcPr>
            <w:tcW w:w="654" w:type="dxa"/>
            <w:tcBorders>
              <w:top w:val="single" w:sz="4" w:space="0" w:color="auto"/>
            </w:tcBorders>
          </w:tcPr>
          <w:p w:rsidR="00652B6A" w:rsidRPr="006F2E57" w:rsidRDefault="00652B6A" w:rsidP="00652B6A">
            <w:pPr>
              <w:keepNext/>
              <w:jc w:val="right"/>
              <w:rPr>
                <w:i/>
                <w:iCs/>
                <w:sz w:val="18"/>
                <w:szCs w:val="18"/>
              </w:rPr>
            </w:pPr>
          </w:p>
        </w:tc>
        <w:tc>
          <w:tcPr>
            <w:tcW w:w="655" w:type="dxa"/>
            <w:tcBorders>
              <w:top w:val="single" w:sz="4" w:space="0" w:color="auto"/>
            </w:tcBorders>
          </w:tcPr>
          <w:p w:rsidR="00652B6A" w:rsidRPr="006F2E57" w:rsidRDefault="00652B6A" w:rsidP="00652B6A">
            <w:pPr>
              <w:keepNext/>
              <w:jc w:val="right"/>
              <w:rPr>
                <w:i/>
                <w:iCs/>
                <w:sz w:val="18"/>
                <w:szCs w:val="18"/>
              </w:rPr>
            </w:pPr>
          </w:p>
        </w:tc>
        <w:tc>
          <w:tcPr>
            <w:tcW w:w="654" w:type="dxa"/>
            <w:tcBorders>
              <w:top w:val="single" w:sz="4" w:space="0" w:color="auto"/>
            </w:tcBorders>
          </w:tcPr>
          <w:p w:rsidR="00652B6A" w:rsidRPr="006F2E57" w:rsidRDefault="00652B6A" w:rsidP="00652B6A">
            <w:pPr>
              <w:keepNext/>
              <w:jc w:val="right"/>
              <w:rPr>
                <w:i/>
                <w:iCs/>
                <w:sz w:val="18"/>
                <w:szCs w:val="18"/>
              </w:rPr>
            </w:pPr>
          </w:p>
        </w:tc>
        <w:tc>
          <w:tcPr>
            <w:tcW w:w="655" w:type="dxa"/>
            <w:tcBorders>
              <w:top w:val="single" w:sz="4" w:space="0" w:color="auto"/>
            </w:tcBorders>
          </w:tcPr>
          <w:p w:rsidR="00652B6A" w:rsidRPr="006F2E57" w:rsidRDefault="00652B6A" w:rsidP="00652B6A">
            <w:pPr>
              <w:keepNext/>
              <w:jc w:val="right"/>
              <w:rPr>
                <w:i/>
                <w:iCs/>
                <w:sz w:val="18"/>
                <w:szCs w:val="18"/>
              </w:rPr>
            </w:pPr>
          </w:p>
        </w:tc>
      </w:tr>
      <w:tr w:rsidR="00652B6A" w:rsidRPr="00884B84" w:rsidTr="00652B6A">
        <w:tc>
          <w:tcPr>
            <w:tcW w:w="3234" w:type="dxa"/>
            <w:tcBorders>
              <w:right w:val="single" w:sz="4" w:space="0" w:color="auto"/>
            </w:tcBorders>
            <w:vAlign w:val="bottom"/>
          </w:tcPr>
          <w:p w:rsidR="00652B6A" w:rsidRPr="006F2E57" w:rsidRDefault="00652B6A" w:rsidP="00652B6A">
            <w:pPr>
              <w:keepNext/>
              <w:rPr>
                <w:sz w:val="18"/>
                <w:szCs w:val="18"/>
              </w:rPr>
            </w:pPr>
            <w:r w:rsidRPr="006F2E57">
              <w:rPr>
                <w:sz w:val="18"/>
                <w:szCs w:val="18"/>
              </w:rPr>
              <w:t>Beskæftigelsesfradrag, pct.</w:t>
            </w:r>
          </w:p>
        </w:tc>
        <w:tc>
          <w:tcPr>
            <w:tcW w:w="655" w:type="dxa"/>
            <w:tcBorders>
              <w:left w:val="single" w:sz="4" w:space="0" w:color="auto"/>
            </w:tcBorders>
            <w:vAlign w:val="bottom"/>
          </w:tcPr>
          <w:p w:rsidR="00652B6A" w:rsidRPr="006F2E57" w:rsidRDefault="00652B6A" w:rsidP="00652B6A">
            <w:pPr>
              <w:keepNext/>
              <w:jc w:val="right"/>
              <w:rPr>
                <w:b/>
                <w:sz w:val="18"/>
                <w:szCs w:val="18"/>
              </w:rPr>
            </w:pPr>
            <w:r w:rsidRPr="006F2E57">
              <w:rPr>
                <w:b/>
                <w:sz w:val="18"/>
                <w:szCs w:val="18"/>
              </w:rPr>
              <w:t>7,65</w:t>
            </w:r>
          </w:p>
        </w:tc>
        <w:tc>
          <w:tcPr>
            <w:tcW w:w="654" w:type="dxa"/>
            <w:vAlign w:val="bottom"/>
          </w:tcPr>
          <w:p w:rsidR="00652B6A" w:rsidRPr="006F2E57" w:rsidRDefault="00652B6A" w:rsidP="00652B6A">
            <w:pPr>
              <w:keepNext/>
              <w:jc w:val="right"/>
              <w:rPr>
                <w:b/>
                <w:sz w:val="18"/>
                <w:szCs w:val="18"/>
              </w:rPr>
            </w:pPr>
            <w:r w:rsidRPr="006F2E57">
              <w:rPr>
                <w:b/>
                <w:sz w:val="18"/>
                <w:szCs w:val="18"/>
              </w:rPr>
              <w:t>8,05</w:t>
            </w:r>
          </w:p>
        </w:tc>
        <w:tc>
          <w:tcPr>
            <w:tcW w:w="655" w:type="dxa"/>
            <w:vAlign w:val="bottom"/>
          </w:tcPr>
          <w:p w:rsidR="00652B6A" w:rsidRPr="006F2E57" w:rsidRDefault="00652B6A" w:rsidP="00652B6A">
            <w:pPr>
              <w:keepNext/>
              <w:jc w:val="right"/>
              <w:rPr>
                <w:b/>
                <w:sz w:val="18"/>
                <w:szCs w:val="18"/>
              </w:rPr>
            </w:pPr>
            <w:r w:rsidRPr="006F2E57">
              <w:rPr>
                <w:b/>
                <w:sz w:val="18"/>
                <w:szCs w:val="18"/>
              </w:rPr>
              <w:t>8,30</w:t>
            </w:r>
          </w:p>
        </w:tc>
        <w:tc>
          <w:tcPr>
            <w:tcW w:w="654" w:type="dxa"/>
            <w:tcBorders>
              <w:right w:val="single" w:sz="4" w:space="0" w:color="auto"/>
            </w:tcBorders>
            <w:vAlign w:val="bottom"/>
          </w:tcPr>
          <w:p w:rsidR="00652B6A" w:rsidRPr="006F2E57" w:rsidRDefault="00652B6A" w:rsidP="00652B6A">
            <w:pPr>
              <w:keepNext/>
              <w:jc w:val="right"/>
              <w:rPr>
                <w:b/>
                <w:sz w:val="18"/>
                <w:szCs w:val="18"/>
              </w:rPr>
            </w:pPr>
            <w:r w:rsidRPr="006F2E57">
              <w:rPr>
                <w:b/>
                <w:sz w:val="18"/>
                <w:szCs w:val="18"/>
              </w:rPr>
              <w:t>8,75</w:t>
            </w:r>
          </w:p>
        </w:tc>
        <w:tc>
          <w:tcPr>
            <w:tcW w:w="655" w:type="dxa"/>
            <w:tcBorders>
              <w:left w:val="single" w:sz="4" w:space="0" w:color="auto"/>
            </w:tcBorders>
            <w:vAlign w:val="bottom"/>
          </w:tcPr>
          <w:p w:rsidR="00652B6A" w:rsidRPr="006F2E57" w:rsidRDefault="00652B6A" w:rsidP="00652B6A">
            <w:pPr>
              <w:keepNext/>
              <w:jc w:val="right"/>
              <w:rPr>
                <w:i/>
                <w:sz w:val="18"/>
                <w:szCs w:val="18"/>
              </w:rPr>
            </w:pPr>
            <w:r w:rsidRPr="006F2E57">
              <w:rPr>
                <w:i/>
                <w:sz w:val="18"/>
                <w:szCs w:val="18"/>
              </w:rPr>
              <w:t>9,50</w:t>
            </w:r>
          </w:p>
        </w:tc>
        <w:tc>
          <w:tcPr>
            <w:tcW w:w="654" w:type="dxa"/>
            <w:vAlign w:val="bottom"/>
          </w:tcPr>
          <w:p w:rsidR="00652B6A" w:rsidRPr="006F2E57" w:rsidRDefault="00652B6A" w:rsidP="00652B6A">
            <w:pPr>
              <w:keepNext/>
              <w:jc w:val="right"/>
              <w:rPr>
                <w:i/>
                <w:sz w:val="18"/>
                <w:szCs w:val="18"/>
              </w:rPr>
            </w:pPr>
            <w:r w:rsidRPr="006F2E57">
              <w:rPr>
                <w:i/>
                <w:sz w:val="18"/>
                <w:szCs w:val="18"/>
              </w:rPr>
              <w:t>10,10</w:t>
            </w:r>
          </w:p>
        </w:tc>
        <w:tc>
          <w:tcPr>
            <w:tcW w:w="655" w:type="dxa"/>
            <w:vAlign w:val="bottom"/>
          </w:tcPr>
          <w:p w:rsidR="00652B6A" w:rsidRPr="006F2E57" w:rsidRDefault="00652B6A" w:rsidP="00652B6A">
            <w:pPr>
              <w:keepNext/>
              <w:jc w:val="right"/>
              <w:rPr>
                <w:i/>
                <w:sz w:val="18"/>
                <w:szCs w:val="18"/>
              </w:rPr>
            </w:pPr>
            <w:r w:rsidRPr="006F2E57">
              <w:rPr>
                <w:i/>
                <w:sz w:val="18"/>
                <w:szCs w:val="18"/>
              </w:rPr>
              <w:t>10,50</w:t>
            </w:r>
          </w:p>
        </w:tc>
        <w:tc>
          <w:tcPr>
            <w:tcW w:w="654" w:type="dxa"/>
            <w:vAlign w:val="bottom"/>
          </w:tcPr>
          <w:p w:rsidR="00652B6A" w:rsidRPr="006F2E57" w:rsidRDefault="00652B6A" w:rsidP="00652B6A">
            <w:pPr>
              <w:keepNext/>
              <w:jc w:val="right"/>
              <w:rPr>
                <w:i/>
                <w:sz w:val="18"/>
                <w:szCs w:val="18"/>
              </w:rPr>
            </w:pPr>
            <w:r w:rsidRPr="006F2E57">
              <w:rPr>
                <w:i/>
                <w:sz w:val="18"/>
                <w:szCs w:val="18"/>
              </w:rPr>
              <w:t>10,60</w:t>
            </w:r>
          </w:p>
        </w:tc>
        <w:tc>
          <w:tcPr>
            <w:tcW w:w="655" w:type="dxa"/>
            <w:vAlign w:val="bottom"/>
          </w:tcPr>
          <w:p w:rsidR="00652B6A" w:rsidRPr="006F2E57" w:rsidRDefault="00652B6A" w:rsidP="00652B6A">
            <w:pPr>
              <w:keepNext/>
              <w:jc w:val="right"/>
              <w:rPr>
                <w:i/>
                <w:sz w:val="18"/>
                <w:szCs w:val="18"/>
              </w:rPr>
            </w:pPr>
            <w:r w:rsidRPr="006F2E57">
              <w:rPr>
                <w:i/>
                <w:sz w:val="18"/>
                <w:szCs w:val="18"/>
              </w:rPr>
              <w:t>10,65</w:t>
            </w:r>
          </w:p>
        </w:tc>
      </w:tr>
      <w:tr w:rsidR="00652B6A" w:rsidRPr="00884B84" w:rsidTr="00652B6A">
        <w:tc>
          <w:tcPr>
            <w:tcW w:w="3234" w:type="dxa"/>
            <w:tcBorders>
              <w:right w:val="single" w:sz="4" w:space="0" w:color="auto"/>
            </w:tcBorders>
            <w:vAlign w:val="bottom"/>
          </w:tcPr>
          <w:p w:rsidR="00652B6A" w:rsidRPr="006F2E57" w:rsidRDefault="00652B6A" w:rsidP="00652B6A">
            <w:pPr>
              <w:keepNext/>
              <w:rPr>
                <w:sz w:val="18"/>
                <w:szCs w:val="18"/>
              </w:rPr>
            </w:pPr>
            <w:r w:rsidRPr="006F2E57">
              <w:rPr>
                <w:sz w:val="18"/>
                <w:szCs w:val="18"/>
              </w:rPr>
              <w:t>Maks. fradrag, kr. (2014-niveau)</w:t>
            </w:r>
          </w:p>
        </w:tc>
        <w:tc>
          <w:tcPr>
            <w:tcW w:w="655" w:type="dxa"/>
            <w:tcBorders>
              <w:left w:val="single" w:sz="4" w:space="0" w:color="auto"/>
            </w:tcBorders>
            <w:vAlign w:val="bottom"/>
          </w:tcPr>
          <w:p w:rsidR="00652B6A" w:rsidRPr="006F2E57" w:rsidRDefault="00652B6A" w:rsidP="00652B6A">
            <w:pPr>
              <w:keepNext/>
              <w:jc w:val="right"/>
              <w:rPr>
                <w:b/>
                <w:sz w:val="18"/>
                <w:szCs w:val="18"/>
              </w:rPr>
            </w:pPr>
            <w:r w:rsidRPr="006F2E57">
              <w:rPr>
                <w:b/>
                <w:sz w:val="18"/>
                <w:szCs w:val="18"/>
              </w:rPr>
              <w:t>25.000</w:t>
            </w:r>
          </w:p>
        </w:tc>
        <w:tc>
          <w:tcPr>
            <w:tcW w:w="654" w:type="dxa"/>
            <w:vAlign w:val="bottom"/>
          </w:tcPr>
          <w:p w:rsidR="00652B6A" w:rsidRPr="006F2E57" w:rsidRDefault="00652B6A" w:rsidP="00652B6A">
            <w:pPr>
              <w:keepNext/>
              <w:jc w:val="right"/>
              <w:rPr>
                <w:b/>
                <w:sz w:val="18"/>
                <w:szCs w:val="18"/>
              </w:rPr>
            </w:pPr>
            <w:r w:rsidRPr="006F2E57">
              <w:rPr>
                <w:b/>
                <w:sz w:val="18"/>
                <w:szCs w:val="18"/>
              </w:rPr>
              <w:t>26.400</w:t>
            </w:r>
          </w:p>
        </w:tc>
        <w:tc>
          <w:tcPr>
            <w:tcW w:w="655" w:type="dxa"/>
            <w:vAlign w:val="bottom"/>
          </w:tcPr>
          <w:p w:rsidR="00652B6A" w:rsidRPr="006F2E57" w:rsidRDefault="00652B6A" w:rsidP="00652B6A">
            <w:pPr>
              <w:keepNext/>
              <w:jc w:val="right"/>
              <w:rPr>
                <w:b/>
                <w:sz w:val="18"/>
                <w:szCs w:val="18"/>
              </w:rPr>
            </w:pPr>
            <w:r w:rsidRPr="006F2E57">
              <w:rPr>
                <w:b/>
                <w:sz w:val="18"/>
                <w:szCs w:val="18"/>
              </w:rPr>
              <w:t>27.200</w:t>
            </w:r>
          </w:p>
        </w:tc>
        <w:tc>
          <w:tcPr>
            <w:tcW w:w="654" w:type="dxa"/>
            <w:tcBorders>
              <w:right w:val="single" w:sz="4" w:space="0" w:color="auto"/>
            </w:tcBorders>
            <w:vAlign w:val="bottom"/>
          </w:tcPr>
          <w:p w:rsidR="00652B6A" w:rsidRPr="006F2E57" w:rsidRDefault="00652B6A" w:rsidP="00652B6A">
            <w:pPr>
              <w:keepNext/>
              <w:jc w:val="right"/>
              <w:rPr>
                <w:b/>
                <w:sz w:val="18"/>
                <w:szCs w:val="18"/>
              </w:rPr>
            </w:pPr>
            <w:r w:rsidRPr="006F2E57">
              <w:rPr>
                <w:b/>
                <w:sz w:val="18"/>
                <w:szCs w:val="18"/>
              </w:rPr>
              <w:t>28.600</w:t>
            </w:r>
          </w:p>
        </w:tc>
        <w:tc>
          <w:tcPr>
            <w:tcW w:w="655" w:type="dxa"/>
            <w:tcBorders>
              <w:left w:val="single" w:sz="4" w:space="0" w:color="auto"/>
            </w:tcBorders>
            <w:vAlign w:val="bottom"/>
          </w:tcPr>
          <w:p w:rsidR="00652B6A" w:rsidRPr="006F2E57" w:rsidRDefault="00652B6A" w:rsidP="00652B6A">
            <w:pPr>
              <w:keepNext/>
              <w:jc w:val="right"/>
              <w:rPr>
                <w:i/>
                <w:sz w:val="18"/>
                <w:szCs w:val="18"/>
              </w:rPr>
            </w:pPr>
            <w:r w:rsidRPr="006F2E57">
              <w:rPr>
                <w:i/>
                <w:sz w:val="18"/>
                <w:szCs w:val="18"/>
              </w:rPr>
              <w:t>31.000</w:t>
            </w:r>
          </w:p>
        </w:tc>
        <w:tc>
          <w:tcPr>
            <w:tcW w:w="654" w:type="dxa"/>
            <w:vAlign w:val="bottom"/>
          </w:tcPr>
          <w:p w:rsidR="00652B6A" w:rsidRPr="006F2E57" w:rsidRDefault="00652B6A" w:rsidP="00652B6A">
            <w:pPr>
              <w:keepNext/>
              <w:jc w:val="right"/>
              <w:rPr>
                <w:i/>
                <w:sz w:val="18"/>
                <w:szCs w:val="18"/>
              </w:rPr>
            </w:pPr>
            <w:r w:rsidRPr="006F2E57">
              <w:rPr>
                <w:i/>
                <w:sz w:val="18"/>
                <w:szCs w:val="18"/>
              </w:rPr>
              <w:t>32.900</w:t>
            </w:r>
          </w:p>
        </w:tc>
        <w:tc>
          <w:tcPr>
            <w:tcW w:w="655" w:type="dxa"/>
            <w:vAlign w:val="bottom"/>
          </w:tcPr>
          <w:p w:rsidR="00652B6A" w:rsidRPr="006F2E57" w:rsidRDefault="00652B6A" w:rsidP="00652B6A">
            <w:pPr>
              <w:keepNext/>
              <w:jc w:val="right"/>
              <w:rPr>
                <w:i/>
                <w:sz w:val="18"/>
                <w:szCs w:val="18"/>
              </w:rPr>
            </w:pPr>
            <w:r w:rsidRPr="006F2E57">
              <w:rPr>
                <w:i/>
                <w:sz w:val="18"/>
                <w:szCs w:val="18"/>
              </w:rPr>
              <w:t>34.200</w:t>
            </w:r>
          </w:p>
        </w:tc>
        <w:tc>
          <w:tcPr>
            <w:tcW w:w="654" w:type="dxa"/>
            <w:vAlign w:val="bottom"/>
          </w:tcPr>
          <w:p w:rsidR="00652B6A" w:rsidRPr="006F2E57" w:rsidRDefault="00652B6A" w:rsidP="00652B6A">
            <w:pPr>
              <w:keepNext/>
              <w:jc w:val="right"/>
              <w:rPr>
                <w:i/>
                <w:sz w:val="18"/>
                <w:szCs w:val="18"/>
              </w:rPr>
            </w:pPr>
            <w:r w:rsidRPr="006F2E57">
              <w:rPr>
                <w:i/>
                <w:sz w:val="18"/>
                <w:szCs w:val="18"/>
              </w:rPr>
              <w:t>34.500</w:t>
            </w:r>
          </w:p>
        </w:tc>
        <w:tc>
          <w:tcPr>
            <w:tcW w:w="655" w:type="dxa"/>
            <w:vAlign w:val="bottom"/>
          </w:tcPr>
          <w:p w:rsidR="00652B6A" w:rsidRPr="006F2E57" w:rsidRDefault="00652B6A" w:rsidP="00652B6A">
            <w:pPr>
              <w:keepNext/>
              <w:jc w:val="right"/>
              <w:rPr>
                <w:i/>
                <w:sz w:val="18"/>
                <w:szCs w:val="18"/>
              </w:rPr>
            </w:pPr>
            <w:r w:rsidRPr="006F2E57">
              <w:rPr>
                <w:i/>
                <w:sz w:val="18"/>
                <w:szCs w:val="18"/>
              </w:rPr>
              <w:t>34.800</w:t>
            </w:r>
          </w:p>
        </w:tc>
      </w:tr>
      <w:tr w:rsidR="00652B6A" w:rsidRPr="00884B84" w:rsidTr="00652B6A">
        <w:tc>
          <w:tcPr>
            <w:tcW w:w="3234" w:type="dxa"/>
            <w:tcBorders>
              <w:right w:val="single" w:sz="4" w:space="0" w:color="auto"/>
            </w:tcBorders>
            <w:vAlign w:val="bottom"/>
          </w:tcPr>
          <w:p w:rsidR="00652B6A" w:rsidRPr="006F2E57" w:rsidRDefault="00652B6A" w:rsidP="00652B6A">
            <w:pPr>
              <w:pStyle w:val="Normal-Tabeltal"/>
              <w:keepNext/>
              <w:spacing w:line="240" w:lineRule="auto"/>
              <w:ind w:left="0" w:right="0"/>
              <w:jc w:val="left"/>
              <w:rPr>
                <w:rFonts w:ascii="Garamond" w:hAnsi="Garamond"/>
                <w:sz w:val="18"/>
                <w:szCs w:val="18"/>
              </w:rPr>
            </w:pPr>
            <w:r w:rsidRPr="006F2E57">
              <w:rPr>
                <w:rFonts w:ascii="Garamond" w:hAnsi="Garamond"/>
                <w:sz w:val="18"/>
                <w:szCs w:val="18"/>
              </w:rPr>
              <w:t>Skatteprocent</w:t>
            </w:r>
            <w:r w:rsidRPr="006F2E57">
              <w:rPr>
                <w:rFonts w:ascii="Garamond" w:hAnsi="Garamond"/>
                <w:sz w:val="18"/>
                <w:szCs w:val="18"/>
                <w:vertAlign w:val="superscript"/>
              </w:rPr>
              <w:t>1)</w:t>
            </w:r>
            <w:r w:rsidRPr="006F2E57">
              <w:rPr>
                <w:rFonts w:ascii="Garamond" w:hAnsi="Garamond"/>
                <w:sz w:val="18"/>
                <w:szCs w:val="18"/>
              </w:rPr>
              <w:t>, pct.</w:t>
            </w:r>
          </w:p>
        </w:tc>
        <w:tc>
          <w:tcPr>
            <w:tcW w:w="655" w:type="dxa"/>
            <w:tcBorders>
              <w:left w:val="single" w:sz="4" w:space="0" w:color="auto"/>
            </w:tcBorders>
            <w:vAlign w:val="bottom"/>
          </w:tcPr>
          <w:p w:rsidR="00652B6A" w:rsidRPr="006F2E57" w:rsidRDefault="00652B6A" w:rsidP="00652B6A">
            <w:pPr>
              <w:keepNext/>
              <w:jc w:val="right"/>
              <w:rPr>
                <w:sz w:val="18"/>
                <w:szCs w:val="18"/>
              </w:rPr>
            </w:pPr>
            <w:r w:rsidRPr="006F2E57">
              <w:rPr>
                <w:sz w:val="18"/>
                <w:szCs w:val="18"/>
              </w:rPr>
              <w:t>30,6</w:t>
            </w:r>
          </w:p>
        </w:tc>
        <w:tc>
          <w:tcPr>
            <w:tcW w:w="654" w:type="dxa"/>
            <w:vAlign w:val="bottom"/>
          </w:tcPr>
          <w:p w:rsidR="00652B6A" w:rsidRPr="006F2E57" w:rsidRDefault="00652B6A" w:rsidP="00652B6A">
            <w:pPr>
              <w:keepNext/>
              <w:jc w:val="right"/>
              <w:rPr>
                <w:sz w:val="18"/>
                <w:szCs w:val="18"/>
              </w:rPr>
            </w:pPr>
            <w:r w:rsidRPr="006F2E57">
              <w:rPr>
                <w:sz w:val="18"/>
                <w:szCs w:val="18"/>
              </w:rPr>
              <w:t>29,6</w:t>
            </w:r>
          </w:p>
        </w:tc>
        <w:tc>
          <w:tcPr>
            <w:tcW w:w="655" w:type="dxa"/>
            <w:vAlign w:val="bottom"/>
          </w:tcPr>
          <w:p w:rsidR="00652B6A" w:rsidRPr="006F2E57" w:rsidRDefault="00652B6A" w:rsidP="00652B6A">
            <w:pPr>
              <w:keepNext/>
              <w:jc w:val="right"/>
              <w:rPr>
                <w:sz w:val="18"/>
                <w:szCs w:val="18"/>
              </w:rPr>
            </w:pPr>
            <w:r w:rsidRPr="006F2E57">
              <w:rPr>
                <w:sz w:val="18"/>
                <w:szCs w:val="18"/>
              </w:rPr>
              <w:t>28,6</w:t>
            </w:r>
          </w:p>
        </w:tc>
        <w:tc>
          <w:tcPr>
            <w:tcW w:w="654" w:type="dxa"/>
            <w:tcBorders>
              <w:right w:val="single" w:sz="4" w:space="0" w:color="auto"/>
            </w:tcBorders>
            <w:vAlign w:val="bottom"/>
          </w:tcPr>
          <w:p w:rsidR="00652B6A" w:rsidRPr="006F2E57" w:rsidRDefault="00652B6A" w:rsidP="00652B6A">
            <w:pPr>
              <w:keepNext/>
              <w:jc w:val="right"/>
              <w:rPr>
                <w:sz w:val="18"/>
                <w:szCs w:val="18"/>
              </w:rPr>
            </w:pPr>
            <w:r w:rsidRPr="006F2E57">
              <w:rPr>
                <w:sz w:val="18"/>
                <w:szCs w:val="18"/>
              </w:rPr>
              <w:t>27,6</w:t>
            </w:r>
          </w:p>
        </w:tc>
        <w:tc>
          <w:tcPr>
            <w:tcW w:w="655" w:type="dxa"/>
            <w:tcBorders>
              <w:left w:val="single" w:sz="4" w:space="0" w:color="auto"/>
            </w:tcBorders>
            <w:vAlign w:val="bottom"/>
          </w:tcPr>
          <w:p w:rsidR="00652B6A" w:rsidRPr="006F2E57" w:rsidRDefault="00652B6A" w:rsidP="00652B6A">
            <w:pPr>
              <w:keepNext/>
              <w:jc w:val="right"/>
              <w:rPr>
                <w:i/>
                <w:sz w:val="18"/>
                <w:szCs w:val="18"/>
              </w:rPr>
            </w:pPr>
            <w:r w:rsidRPr="006F2E57">
              <w:rPr>
                <w:i/>
                <w:sz w:val="18"/>
                <w:szCs w:val="18"/>
              </w:rPr>
              <w:t>26,6</w:t>
            </w:r>
          </w:p>
        </w:tc>
        <w:tc>
          <w:tcPr>
            <w:tcW w:w="654" w:type="dxa"/>
            <w:vAlign w:val="bottom"/>
          </w:tcPr>
          <w:p w:rsidR="00652B6A" w:rsidRPr="006F2E57" w:rsidRDefault="00652B6A" w:rsidP="00652B6A">
            <w:pPr>
              <w:keepNext/>
              <w:jc w:val="right"/>
              <w:rPr>
                <w:i/>
                <w:sz w:val="18"/>
                <w:szCs w:val="18"/>
              </w:rPr>
            </w:pPr>
            <w:r w:rsidRPr="006F2E57">
              <w:rPr>
                <w:i/>
                <w:sz w:val="18"/>
                <w:szCs w:val="18"/>
              </w:rPr>
              <w:t>25,6</w:t>
            </w:r>
          </w:p>
        </w:tc>
        <w:tc>
          <w:tcPr>
            <w:tcW w:w="655" w:type="dxa"/>
            <w:vAlign w:val="bottom"/>
          </w:tcPr>
          <w:p w:rsidR="00652B6A" w:rsidRPr="006F2E57" w:rsidRDefault="00652B6A" w:rsidP="00652B6A">
            <w:pPr>
              <w:keepNext/>
              <w:jc w:val="right"/>
              <w:rPr>
                <w:i/>
                <w:sz w:val="18"/>
                <w:szCs w:val="18"/>
              </w:rPr>
            </w:pPr>
            <w:r w:rsidRPr="006F2E57">
              <w:rPr>
                <w:i/>
                <w:sz w:val="18"/>
                <w:szCs w:val="18"/>
              </w:rPr>
              <w:t>25,6</w:t>
            </w:r>
          </w:p>
        </w:tc>
        <w:tc>
          <w:tcPr>
            <w:tcW w:w="654" w:type="dxa"/>
            <w:vAlign w:val="bottom"/>
          </w:tcPr>
          <w:p w:rsidR="00652B6A" w:rsidRPr="006F2E57" w:rsidRDefault="00652B6A" w:rsidP="00652B6A">
            <w:pPr>
              <w:keepNext/>
              <w:jc w:val="right"/>
              <w:rPr>
                <w:i/>
                <w:sz w:val="18"/>
                <w:szCs w:val="18"/>
              </w:rPr>
            </w:pPr>
            <w:r w:rsidRPr="006F2E57">
              <w:rPr>
                <w:i/>
                <w:sz w:val="18"/>
                <w:szCs w:val="18"/>
              </w:rPr>
              <w:t>25,6</w:t>
            </w:r>
          </w:p>
        </w:tc>
        <w:tc>
          <w:tcPr>
            <w:tcW w:w="655" w:type="dxa"/>
            <w:vAlign w:val="bottom"/>
          </w:tcPr>
          <w:p w:rsidR="00652B6A" w:rsidRPr="006F2E57" w:rsidRDefault="00652B6A" w:rsidP="00652B6A">
            <w:pPr>
              <w:keepNext/>
              <w:jc w:val="right"/>
              <w:rPr>
                <w:i/>
                <w:sz w:val="18"/>
                <w:szCs w:val="18"/>
              </w:rPr>
            </w:pPr>
            <w:r w:rsidRPr="006F2E57">
              <w:rPr>
                <w:i/>
                <w:sz w:val="18"/>
                <w:szCs w:val="18"/>
              </w:rPr>
              <w:t>25,6</w:t>
            </w:r>
          </w:p>
        </w:tc>
      </w:tr>
      <w:tr w:rsidR="00652B6A" w:rsidRPr="00884B84" w:rsidTr="00652B6A">
        <w:tc>
          <w:tcPr>
            <w:tcW w:w="3234" w:type="dxa"/>
            <w:tcBorders>
              <w:bottom w:val="single" w:sz="4" w:space="0" w:color="auto"/>
              <w:right w:val="single" w:sz="4" w:space="0" w:color="auto"/>
            </w:tcBorders>
          </w:tcPr>
          <w:p w:rsidR="00652B6A" w:rsidRPr="006F2E57" w:rsidRDefault="00652B6A" w:rsidP="00652B6A">
            <w:pPr>
              <w:keepNext/>
              <w:rPr>
                <w:sz w:val="18"/>
                <w:szCs w:val="18"/>
              </w:rPr>
            </w:pPr>
            <w:r w:rsidRPr="006F2E57">
              <w:rPr>
                <w:sz w:val="18"/>
                <w:szCs w:val="18"/>
              </w:rPr>
              <w:t>Skatteværdi af maks. fradrag, kr.</w:t>
            </w:r>
          </w:p>
        </w:tc>
        <w:tc>
          <w:tcPr>
            <w:tcW w:w="655" w:type="dxa"/>
            <w:tcBorders>
              <w:left w:val="single" w:sz="4" w:space="0" w:color="auto"/>
              <w:bottom w:val="single" w:sz="4" w:space="0" w:color="auto"/>
            </w:tcBorders>
            <w:vAlign w:val="bottom"/>
          </w:tcPr>
          <w:p w:rsidR="00652B6A" w:rsidRPr="006F2E57" w:rsidRDefault="00652B6A" w:rsidP="00652B6A">
            <w:pPr>
              <w:keepNext/>
              <w:jc w:val="right"/>
              <w:rPr>
                <w:sz w:val="18"/>
                <w:szCs w:val="18"/>
              </w:rPr>
            </w:pPr>
            <w:r w:rsidRPr="006F2E57">
              <w:rPr>
                <w:sz w:val="18"/>
                <w:szCs w:val="18"/>
              </w:rPr>
              <w:t>7.650</w:t>
            </w:r>
          </w:p>
        </w:tc>
        <w:tc>
          <w:tcPr>
            <w:tcW w:w="654" w:type="dxa"/>
            <w:tcBorders>
              <w:bottom w:val="single" w:sz="4" w:space="0" w:color="auto"/>
            </w:tcBorders>
            <w:vAlign w:val="bottom"/>
          </w:tcPr>
          <w:p w:rsidR="00652B6A" w:rsidRPr="006F2E57" w:rsidRDefault="00652B6A" w:rsidP="00652B6A">
            <w:pPr>
              <w:keepNext/>
              <w:jc w:val="right"/>
              <w:rPr>
                <w:sz w:val="18"/>
                <w:szCs w:val="18"/>
              </w:rPr>
            </w:pPr>
            <w:r w:rsidRPr="006F2E57">
              <w:rPr>
                <w:sz w:val="18"/>
                <w:szCs w:val="18"/>
              </w:rPr>
              <w:t>7.814</w:t>
            </w:r>
          </w:p>
        </w:tc>
        <w:tc>
          <w:tcPr>
            <w:tcW w:w="655" w:type="dxa"/>
            <w:tcBorders>
              <w:bottom w:val="single" w:sz="4" w:space="0" w:color="auto"/>
            </w:tcBorders>
            <w:vAlign w:val="bottom"/>
          </w:tcPr>
          <w:p w:rsidR="00652B6A" w:rsidRPr="006F2E57" w:rsidRDefault="00652B6A" w:rsidP="00652B6A">
            <w:pPr>
              <w:keepNext/>
              <w:jc w:val="right"/>
              <w:rPr>
                <w:sz w:val="18"/>
                <w:szCs w:val="18"/>
              </w:rPr>
            </w:pPr>
            <w:r w:rsidRPr="006F2E57">
              <w:rPr>
                <w:sz w:val="18"/>
                <w:szCs w:val="18"/>
              </w:rPr>
              <w:t>7.779</w:t>
            </w:r>
          </w:p>
        </w:tc>
        <w:tc>
          <w:tcPr>
            <w:tcW w:w="654" w:type="dxa"/>
            <w:tcBorders>
              <w:bottom w:val="single" w:sz="4" w:space="0" w:color="auto"/>
              <w:right w:val="single" w:sz="4" w:space="0" w:color="auto"/>
            </w:tcBorders>
            <w:vAlign w:val="bottom"/>
          </w:tcPr>
          <w:p w:rsidR="00652B6A" w:rsidRPr="006F2E57" w:rsidRDefault="00652B6A" w:rsidP="00652B6A">
            <w:pPr>
              <w:keepNext/>
              <w:jc w:val="right"/>
              <w:rPr>
                <w:sz w:val="18"/>
                <w:szCs w:val="18"/>
              </w:rPr>
            </w:pPr>
            <w:r w:rsidRPr="006F2E57">
              <w:rPr>
                <w:sz w:val="18"/>
                <w:szCs w:val="18"/>
              </w:rPr>
              <w:t>7.894</w:t>
            </w:r>
          </w:p>
        </w:tc>
        <w:tc>
          <w:tcPr>
            <w:tcW w:w="655" w:type="dxa"/>
            <w:tcBorders>
              <w:left w:val="single" w:sz="4" w:space="0" w:color="auto"/>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8.246</w:t>
            </w:r>
          </w:p>
        </w:tc>
        <w:tc>
          <w:tcPr>
            <w:tcW w:w="654" w:type="dxa"/>
            <w:tcBorders>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8.422</w:t>
            </w:r>
          </w:p>
        </w:tc>
        <w:tc>
          <w:tcPr>
            <w:tcW w:w="655" w:type="dxa"/>
            <w:tcBorders>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8.755</w:t>
            </w:r>
          </w:p>
        </w:tc>
        <w:tc>
          <w:tcPr>
            <w:tcW w:w="654" w:type="dxa"/>
            <w:tcBorders>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8.832</w:t>
            </w:r>
          </w:p>
        </w:tc>
        <w:tc>
          <w:tcPr>
            <w:tcW w:w="655" w:type="dxa"/>
            <w:tcBorders>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8.909</w:t>
            </w:r>
          </w:p>
        </w:tc>
      </w:tr>
      <w:tr w:rsidR="00652B6A" w:rsidRPr="00884B84" w:rsidTr="00652B6A">
        <w:tc>
          <w:tcPr>
            <w:tcW w:w="3234" w:type="dxa"/>
            <w:tcBorders>
              <w:top w:val="single" w:sz="4" w:space="0" w:color="auto"/>
              <w:right w:val="single" w:sz="4" w:space="0" w:color="auto"/>
            </w:tcBorders>
          </w:tcPr>
          <w:p w:rsidR="00652B6A" w:rsidRPr="006F2E57" w:rsidRDefault="00652B6A" w:rsidP="00652B6A">
            <w:pPr>
              <w:keepNext/>
              <w:rPr>
                <w:b/>
                <w:sz w:val="18"/>
                <w:szCs w:val="18"/>
              </w:rPr>
            </w:pPr>
            <w:r w:rsidRPr="006F2E57">
              <w:rPr>
                <w:b/>
                <w:sz w:val="18"/>
                <w:szCs w:val="18"/>
              </w:rPr>
              <w:t>Ændring</w:t>
            </w:r>
          </w:p>
        </w:tc>
        <w:tc>
          <w:tcPr>
            <w:tcW w:w="655" w:type="dxa"/>
            <w:tcBorders>
              <w:top w:val="single" w:sz="4" w:space="0" w:color="auto"/>
              <w:left w:val="single" w:sz="4" w:space="0" w:color="auto"/>
            </w:tcBorders>
            <w:vAlign w:val="bottom"/>
          </w:tcPr>
          <w:p w:rsidR="00652B6A" w:rsidRPr="006F2E57" w:rsidRDefault="00652B6A" w:rsidP="00652B6A">
            <w:pPr>
              <w:keepNext/>
              <w:jc w:val="right"/>
              <w:rPr>
                <w:sz w:val="18"/>
                <w:szCs w:val="18"/>
              </w:rPr>
            </w:pPr>
          </w:p>
        </w:tc>
        <w:tc>
          <w:tcPr>
            <w:tcW w:w="654" w:type="dxa"/>
            <w:tcBorders>
              <w:top w:val="single" w:sz="4" w:space="0" w:color="auto"/>
            </w:tcBorders>
            <w:vAlign w:val="bottom"/>
          </w:tcPr>
          <w:p w:rsidR="00652B6A" w:rsidRPr="006F2E57" w:rsidRDefault="00652B6A" w:rsidP="00652B6A">
            <w:pPr>
              <w:keepNext/>
              <w:jc w:val="right"/>
              <w:rPr>
                <w:sz w:val="18"/>
                <w:szCs w:val="18"/>
              </w:rPr>
            </w:pPr>
          </w:p>
        </w:tc>
        <w:tc>
          <w:tcPr>
            <w:tcW w:w="655" w:type="dxa"/>
            <w:tcBorders>
              <w:top w:val="single" w:sz="4" w:space="0" w:color="auto"/>
            </w:tcBorders>
            <w:vAlign w:val="bottom"/>
          </w:tcPr>
          <w:p w:rsidR="00652B6A" w:rsidRPr="006F2E57" w:rsidRDefault="00652B6A" w:rsidP="00652B6A">
            <w:pPr>
              <w:keepNext/>
              <w:jc w:val="right"/>
              <w:rPr>
                <w:sz w:val="18"/>
                <w:szCs w:val="18"/>
              </w:rPr>
            </w:pPr>
          </w:p>
        </w:tc>
        <w:tc>
          <w:tcPr>
            <w:tcW w:w="654" w:type="dxa"/>
            <w:tcBorders>
              <w:top w:val="single" w:sz="4" w:space="0" w:color="auto"/>
              <w:right w:val="single" w:sz="4" w:space="0" w:color="auto"/>
            </w:tcBorders>
            <w:vAlign w:val="bottom"/>
          </w:tcPr>
          <w:p w:rsidR="00652B6A" w:rsidRPr="006F2E57" w:rsidRDefault="00652B6A" w:rsidP="00652B6A">
            <w:pPr>
              <w:keepNext/>
              <w:jc w:val="right"/>
              <w:rPr>
                <w:sz w:val="18"/>
                <w:szCs w:val="18"/>
              </w:rPr>
            </w:pPr>
          </w:p>
        </w:tc>
        <w:tc>
          <w:tcPr>
            <w:tcW w:w="655" w:type="dxa"/>
            <w:tcBorders>
              <w:top w:val="single" w:sz="4" w:space="0" w:color="auto"/>
              <w:left w:val="single" w:sz="4" w:space="0" w:color="auto"/>
            </w:tcBorders>
            <w:vAlign w:val="bottom"/>
          </w:tcPr>
          <w:p w:rsidR="00652B6A" w:rsidRPr="006F2E57" w:rsidRDefault="00652B6A" w:rsidP="00652B6A">
            <w:pPr>
              <w:keepNext/>
              <w:jc w:val="right"/>
              <w:rPr>
                <w:i/>
                <w:sz w:val="18"/>
                <w:szCs w:val="18"/>
              </w:rPr>
            </w:pPr>
          </w:p>
        </w:tc>
        <w:tc>
          <w:tcPr>
            <w:tcW w:w="654" w:type="dxa"/>
            <w:tcBorders>
              <w:top w:val="single" w:sz="4" w:space="0" w:color="auto"/>
            </w:tcBorders>
            <w:vAlign w:val="bottom"/>
          </w:tcPr>
          <w:p w:rsidR="00652B6A" w:rsidRPr="006F2E57" w:rsidRDefault="00652B6A" w:rsidP="00652B6A">
            <w:pPr>
              <w:keepNext/>
              <w:jc w:val="right"/>
              <w:rPr>
                <w:i/>
                <w:sz w:val="18"/>
                <w:szCs w:val="18"/>
              </w:rPr>
            </w:pPr>
          </w:p>
        </w:tc>
        <w:tc>
          <w:tcPr>
            <w:tcW w:w="655" w:type="dxa"/>
            <w:tcBorders>
              <w:top w:val="single" w:sz="4" w:space="0" w:color="auto"/>
            </w:tcBorders>
            <w:vAlign w:val="bottom"/>
          </w:tcPr>
          <w:p w:rsidR="00652B6A" w:rsidRPr="006F2E57" w:rsidRDefault="00652B6A" w:rsidP="00652B6A">
            <w:pPr>
              <w:keepNext/>
              <w:jc w:val="right"/>
              <w:rPr>
                <w:i/>
                <w:sz w:val="18"/>
                <w:szCs w:val="18"/>
              </w:rPr>
            </w:pPr>
          </w:p>
        </w:tc>
        <w:tc>
          <w:tcPr>
            <w:tcW w:w="654" w:type="dxa"/>
            <w:tcBorders>
              <w:top w:val="single" w:sz="4" w:space="0" w:color="auto"/>
            </w:tcBorders>
            <w:vAlign w:val="bottom"/>
          </w:tcPr>
          <w:p w:rsidR="00652B6A" w:rsidRPr="006F2E57" w:rsidRDefault="00652B6A" w:rsidP="00652B6A">
            <w:pPr>
              <w:keepNext/>
              <w:jc w:val="right"/>
              <w:rPr>
                <w:i/>
                <w:sz w:val="18"/>
                <w:szCs w:val="18"/>
              </w:rPr>
            </w:pPr>
          </w:p>
        </w:tc>
        <w:tc>
          <w:tcPr>
            <w:tcW w:w="655" w:type="dxa"/>
            <w:tcBorders>
              <w:top w:val="single" w:sz="4" w:space="0" w:color="auto"/>
            </w:tcBorders>
            <w:vAlign w:val="bottom"/>
          </w:tcPr>
          <w:p w:rsidR="00652B6A" w:rsidRPr="006F2E57" w:rsidRDefault="00652B6A" w:rsidP="00652B6A">
            <w:pPr>
              <w:keepNext/>
              <w:jc w:val="right"/>
              <w:rPr>
                <w:i/>
                <w:sz w:val="18"/>
                <w:szCs w:val="18"/>
              </w:rPr>
            </w:pPr>
          </w:p>
        </w:tc>
      </w:tr>
      <w:tr w:rsidR="00652B6A" w:rsidRPr="00884B84" w:rsidTr="00652B6A">
        <w:tc>
          <w:tcPr>
            <w:tcW w:w="3234" w:type="dxa"/>
            <w:tcBorders>
              <w:right w:val="single" w:sz="4" w:space="0" w:color="auto"/>
            </w:tcBorders>
            <w:vAlign w:val="bottom"/>
          </w:tcPr>
          <w:p w:rsidR="00652B6A" w:rsidRPr="006F2E57" w:rsidRDefault="00652B6A" w:rsidP="00652B6A">
            <w:pPr>
              <w:keepNext/>
              <w:rPr>
                <w:sz w:val="18"/>
                <w:szCs w:val="18"/>
              </w:rPr>
            </w:pPr>
            <w:r w:rsidRPr="006F2E57">
              <w:rPr>
                <w:sz w:val="18"/>
                <w:szCs w:val="18"/>
              </w:rPr>
              <w:t>Beskæftigelsesfradrag, pct.</w:t>
            </w:r>
          </w:p>
        </w:tc>
        <w:tc>
          <w:tcPr>
            <w:tcW w:w="655" w:type="dxa"/>
            <w:tcBorders>
              <w:left w:val="single" w:sz="4" w:space="0" w:color="auto"/>
            </w:tcBorders>
            <w:vAlign w:val="bottom"/>
          </w:tcPr>
          <w:p w:rsidR="00652B6A" w:rsidRPr="006F2E57" w:rsidRDefault="00652B6A" w:rsidP="00652B6A">
            <w:pPr>
              <w:keepNext/>
              <w:jc w:val="right"/>
              <w:rPr>
                <w:sz w:val="18"/>
                <w:szCs w:val="18"/>
              </w:rPr>
            </w:pPr>
            <w:r w:rsidRPr="006F2E57">
              <w:rPr>
                <w:sz w:val="18"/>
                <w:szCs w:val="18"/>
              </w:rPr>
              <w:t>0,40</w:t>
            </w:r>
          </w:p>
        </w:tc>
        <w:tc>
          <w:tcPr>
            <w:tcW w:w="654" w:type="dxa"/>
            <w:vAlign w:val="bottom"/>
          </w:tcPr>
          <w:p w:rsidR="00652B6A" w:rsidRPr="006F2E57" w:rsidRDefault="00652B6A" w:rsidP="00652B6A">
            <w:pPr>
              <w:keepNext/>
              <w:jc w:val="right"/>
              <w:rPr>
                <w:sz w:val="18"/>
                <w:szCs w:val="18"/>
              </w:rPr>
            </w:pPr>
            <w:r w:rsidRPr="006F2E57">
              <w:rPr>
                <w:sz w:val="18"/>
                <w:szCs w:val="18"/>
              </w:rPr>
              <w:t>0,25</w:t>
            </w:r>
          </w:p>
        </w:tc>
        <w:tc>
          <w:tcPr>
            <w:tcW w:w="655" w:type="dxa"/>
            <w:vAlign w:val="bottom"/>
          </w:tcPr>
          <w:p w:rsidR="00652B6A" w:rsidRPr="006F2E57" w:rsidRDefault="00652B6A" w:rsidP="00652B6A">
            <w:pPr>
              <w:keepNext/>
              <w:jc w:val="right"/>
              <w:rPr>
                <w:sz w:val="18"/>
                <w:szCs w:val="18"/>
              </w:rPr>
            </w:pPr>
            <w:r w:rsidRPr="006F2E57">
              <w:rPr>
                <w:sz w:val="18"/>
                <w:szCs w:val="18"/>
              </w:rPr>
              <w:t>0,15</w:t>
            </w:r>
          </w:p>
        </w:tc>
        <w:tc>
          <w:tcPr>
            <w:tcW w:w="654" w:type="dxa"/>
            <w:tcBorders>
              <w:right w:val="single" w:sz="4" w:space="0" w:color="auto"/>
            </w:tcBorders>
            <w:vAlign w:val="bottom"/>
          </w:tcPr>
          <w:p w:rsidR="00652B6A" w:rsidRPr="006F2E57" w:rsidRDefault="00652B6A" w:rsidP="00652B6A">
            <w:pPr>
              <w:keepNext/>
              <w:jc w:val="right"/>
              <w:rPr>
                <w:sz w:val="18"/>
                <w:szCs w:val="18"/>
              </w:rPr>
            </w:pPr>
            <w:r w:rsidRPr="006F2E57">
              <w:rPr>
                <w:sz w:val="18"/>
                <w:szCs w:val="18"/>
              </w:rPr>
              <w:t>0,15</w:t>
            </w:r>
          </w:p>
        </w:tc>
        <w:tc>
          <w:tcPr>
            <w:tcW w:w="655" w:type="dxa"/>
            <w:tcBorders>
              <w:left w:val="single" w:sz="4" w:space="0" w:color="auto"/>
            </w:tcBorders>
            <w:vAlign w:val="bottom"/>
          </w:tcPr>
          <w:p w:rsidR="00652B6A" w:rsidRPr="006F2E57" w:rsidRDefault="00652B6A" w:rsidP="00652B6A">
            <w:pPr>
              <w:keepNext/>
              <w:jc w:val="right"/>
              <w:rPr>
                <w:i/>
                <w:sz w:val="18"/>
                <w:szCs w:val="18"/>
              </w:rPr>
            </w:pPr>
            <w:r w:rsidRPr="006F2E57">
              <w:rPr>
                <w:i/>
                <w:sz w:val="18"/>
                <w:szCs w:val="18"/>
              </w:rPr>
              <w:t>0,00</w:t>
            </w:r>
          </w:p>
        </w:tc>
        <w:tc>
          <w:tcPr>
            <w:tcW w:w="654" w:type="dxa"/>
            <w:vAlign w:val="bottom"/>
          </w:tcPr>
          <w:p w:rsidR="00652B6A" w:rsidRPr="006F2E57" w:rsidRDefault="00652B6A" w:rsidP="00652B6A">
            <w:pPr>
              <w:keepNext/>
              <w:jc w:val="right"/>
              <w:rPr>
                <w:i/>
                <w:sz w:val="18"/>
                <w:szCs w:val="18"/>
              </w:rPr>
            </w:pPr>
            <w:r w:rsidRPr="006F2E57">
              <w:rPr>
                <w:i/>
                <w:sz w:val="18"/>
                <w:szCs w:val="18"/>
              </w:rPr>
              <w:t>0,00</w:t>
            </w:r>
          </w:p>
        </w:tc>
        <w:tc>
          <w:tcPr>
            <w:tcW w:w="655" w:type="dxa"/>
            <w:vAlign w:val="bottom"/>
          </w:tcPr>
          <w:p w:rsidR="00652B6A" w:rsidRPr="006F2E57" w:rsidRDefault="00652B6A" w:rsidP="00652B6A">
            <w:pPr>
              <w:keepNext/>
              <w:jc w:val="right"/>
              <w:rPr>
                <w:i/>
                <w:sz w:val="18"/>
                <w:szCs w:val="18"/>
              </w:rPr>
            </w:pPr>
            <w:r w:rsidRPr="006F2E57">
              <w:rPr>
                <w:i/>
                <w:sz w:val="18"/>
                <w:szCs w:val="18"/>
              </w:rPr>
              <w:t>0,00</w:t>
            </w:r>
          </w:p>
        </w:tc>
        <w:tc>
          <w:tcPr>
            <w:tcW w:w="654" w:type="dxa"/>
            <w:vAlign w:val="bottom"/>
          </w:tcPr>
          <w:p w:rsidR="00652B6A" w:rsidRPr="006F2E57" w:rsidRDefault="00652B6A" w:rsidP="00652B6A">
            <w:pPr>
              <w:keepNext/>
              <w:jc w:val="right"/>
              <w:rPr>
                <w:i/>
                <w:sz w:val="18"/>
                <w:szCs w:val="18"/>
              </w:rPr>
            </w:pPr>
            <w:r w:rsidRPr="006F2E57">
              <w:rPr>
                <w:i/>
                <w:sz w:val="18"/>
                <w:szCs w:val="18"/>
              </w:rPr>
              <w:t>0,00</w:t>
            </w:r>
          </w:p>
        </w:tc>
        <w:tc>
          <w:tcPr>
            <w:tcW w:w="655" w:type="dxa"/>
            <w:vAlign w:val="bottom"/>
          </w:tcPr>
          <w:p w:rsidR="00652B6A" w:rsidRPr="006F2E57" w:rsidRDefault="00652B6A" w:rsidP="00652B6A">
            <w:pPr>
              <w:keepNext/>
              <w:jc w:val="right"/>
              <w:rPr>
                <w:i/>
                <w:sz w:val="18"/>
                <w:szCs w:val="18"/>
              </w:rPr>
            </w:pPr>
            <w:r w:rsidRPr="006F2E57">
              <w:rPr>
                <w:i/>
                <w:sz w:val="18"/>
                <w:szCs w:val="18"/>
              </w:rPr>
              <w:t>0,00</w:t>
            </w:r>
          </w:p>
        </w:tc>
      </w:tr>
      <w:tr w:rsidR="00652B6A" w:rsidRPr="00884B84" w:rsidTr="00652B6A">
        <w:tc>
          <w:tcPr>
            <w:tcW w:w="3234" w:type="dxa"/>
            <w:tcBorders>
              <w:right w:val="single" w:sz="4" w:space="0" w:color="auto"/>
            </w:tcBorders>
            <w:vAlign w:val="bottom"/>
          </w:tcPr>
          <w:p w:rsidR="00652B6A" w:rsidRPr="006F2E57" w:rsidRDefault="00652B6A" w:rsidP="00652B6A">
            <w:pPr>
              <w:keepNext/>
              <w:rPr>
                <w:sz w:val="18"/>
                <w:szCs w:val="18"/>
              </w:rPr>
            </w:pPr>
            <w:r w:rsidRPr="006F2E57">
              <w:rPr>
                <w:sz w:val="18"/>
                <w:szCs w:val="18"/>
              </w:rPr>
              <w:t>Maks. fradrag, kr. (2014-niveau)</w:t>
            </w:r>
          </w:p>
        </w:tc>
        <w:tc>
          <w:tcPr>
            <w:tcW w:w="655" w:type="dxa"/>
            <w:tcBorders>
              <w:left w:val="single" w:sz="4" w:space="0" w:color="auto"/>
            </w:tcBorders>
            <w:vAlign w:val="bottom"/>
          </w:tcPr>
          <w:p w:rsidR="00652B6A" w:rsidRPr="006F2E57" w:rsidRDefault="00652B6A" w:rsidP="00652B6A">
            <w:pPr>
              <w:keepNext/>
              <w:jc w:val="right"/>
              <w:rPr>
                <w:sz w:val="18"/>
                <w:szCs w:val="18"/>
              </w:rPr>
            </w:pPr>
            <w:r w:rsidRPr="006F2E57">
              <w:rPr>
                <w:sz w:val="18"/>
                <w:szCs w:val="18"/>
              </w:rPr>
              <w:t>1.200</w:t>
            </w:r>
          </w:p>
        </w:tc>
        <w:tc>
          <w:tcPr>
            <w:tcW w:w="654" w:type="dxa"/>
            <w:vAlign w:val="bottom"/>
          </w:tcPr>
          <w:p w:rsidR="00652B6A" w:rsidRPr="006F2E57" w:rsidRDefault="00652B6A" w:rsidP="00652B6A">
            <w:pPr>
              <w:keepNext/>
              <w:jc w:val="right"/>
              <w:rPr>
                <w:sz w:val="18"/>
                <w:szCs w:val="18"/>
              </w:rPr>
            </w:pPr>
            <w:r w:rsidRPr="006F2E57">
              <w:rPr>
                <w:sz w:val="18"/>
                <w:szCs w:val="18"/>
              </w:rPr>
              <w:t>800</w:t>
            </w:r>
          </w:p>
        </w:tc>
        <w:tc>
          <w:tcPr>
            <w:tcW w:w="655" w:type="dxa"/>
            <w:vAlign w:val="bottom"/>
          </w:tcPr>
          <w:p w:rsidR="00652B6A" w:rsidRPr="006F2E57" w:rsidRDefault="00652B6A" w:rsidP="00652B6A">
            <w:pPr>
              <w:keepNext/>
              <w:jc w:val="right"/>
              <w:rPr>
                <w:sz w:val="18"/>
                <w:szCs w:val="18"/>
              </w:rPr>
            </w:pPr>
            <w:r w:rsidRPr="006F2E57">
              <w:rPr>
                <w:sz w:val="18"/>
                <w:szCs w:val="18"/>
              </w:rPr>
              <w:t>600</w:t>
            </w:r>
          </w:p>
        </w:tc>
        <w:tc>
          <w:tcPr>
            <w:tcW w:w="654" w:type="dxa"/>
            <w:tcBorders>
              <w:right w:val="single" w:sz="4" w:space="0" w:color="auto"/>
            </w:tcBorders>
            <w:vAlign w:val="bottom"/>
          </w:tcPr>
          <w:p w:rsidR="00652B6A" w:rsidRPr="006F2E57" w:rsidRDefault="00652B6A" w:rsidP="00652B6A">
            <w:pPr>
              <w:keepNext/>
              <w:jc w:val="right"/>
              <w:rPr>
                <w:sz w:val="18"/>
                <w:szCs w:val="18"/>
              </w:rPr>
            </w:pPr>
            <w:r w:rsidRPr="006F2E57">
              <w:rPr>
                <w:sz w:val="18"/>
                <w:szCs w:val="18"/>
              </w:rPr>
              <w:t>600</w:t>
            </w:r>
          </w:p>
        </w:tc>
        <w:tc>
          <w:tcPr>
            <w:tcW w:w="655" w:type="dxa"/>
            <w:tcBorders>
              <w:left w:val="single" w:sz="4" w:space="0" w:color="auto"/>
            </w:tcBorders>
            <w:vAlign w:val="bottom"/>
          </w:tcPr>
          <w:p w:rsidR="00652B6A" w:rsidRPr="006F2E57" w:rsidRDefault="00652B6A" w:rsidP="00652B6A">
            <w:pPr>
              <w:keepNext/>
              <w:jc w:val="right"/>
              <w:rPr>
                <w:i/>
                <w:sz w:val="18"/>
                <w:szCs w:val="18"/>
              </w:rPr>
            </w:pPr>
            <w:r w:rsidRPr="006F2E57">
              <w:rPr>
                <w:i/>
                <w:sz w:val="18"/>
                <w:szCs w:val="18"/>
              </w:rPr>
              <w:t>0</w:t>
            </w:r>
          </w:p>
        </w:tc>
        <w:tc>
          <w:tcPr>
            <w:tcW w:w="654" w:type="dxa"/>
            <w:vAlign w:val="bottom"/>
          </w:tcPr>
          <w:p w:rsidR="00652B6A" w:rsidRPr="006F2E57" w:rsidRDefault="00652B6A" w:rsidP="00652B6A">
            <w:pPr>
              <w:keepNext/>
              <w:jc w:val="right"/>
              <w:rPr>
                <w:i/>
                <w:sz w:val="18"/>
                <w:szCs w:val="18"/>
              </w:rPr>
            </w:pPr>
            <w:r w:rsidRPr="006F2E57">
              <w:rPr>
                <w:i/>
                <w:sz w:val="18"/>
                <w:szCs w:val="18"/>
              </w:rPr>
              <w:t>0</w:t>
            </w:r>
          </w:p>
        </w:tc>
        <w:tc>
          <w:tcPr>
            <w:tcW w:w="655" w:type="dxa"/>
            <w:vAlign w:val="bottom"/>
          </w:tcPr>
          <w:p w:rsidR="00652B6A" w:rsidRPr="006F2E57" w:rsidRDefault="00652B6A" w:rsidP="00652B6A">
            <w:pPr>
              <w:keepNext/>
              <w:jc w:val="right"/>
              <w:rPr>
                <w:i/>
                <w:sz w:val="18"/>
                <w:szCs w:val="18"/>
              </w:rPr>
            </w:pPr>
            <w:r w:rsidRPr="006F2E57">
              <w:rPr>
                <w:i/>
                <w:sz w:val="18"/>
                <w:szCs w:val="18"/>
              </w:rPr>
              <w:t>0</w:t>
            </w:r>
          </w:p>
        </w:tc>
        <w:tc>
          <w:tcPr>
            <w:tcW w:w="654" w:type="dxa"/>
            <w:vAlign w:val="bottom"/>
          </w:tcPr>
          <w:p w:rsidR="00652B6A" w:rsidRPr="006F2E57" w:rsidRDefault="00652B6A" w:rsidP="00652B6A">
            <w:pPr>
              <w:keepNext/>
              <w:jc w:val="right"/>
              <w:rPr>
                <w:i/>
                <w:sz w:val="18"/>
                <w:szCs w:val="18"/>
              </w:rPr>
            </w:pPr>
            <w:r w:rsidRPr="006F2E57">
              <w:rPr>
                <w:i/>
                <w:sz w:val="18"/>
                <w:szCs w:val="18"/>
              </w:rPr>
              <w:t>0</w:t>
            </w:r>
          </w:p>
        </w:tc>
        <w:tc>
          <w:tcPr>
            <w:tcW w:w="655" w:type="dxa"/>
            <w:vAlign w:val="bottom"/>
          </w:tcPr>
          <w:p w:rsidR="00652B6A" w:rsidRPr="006F2E57" w:rsidRDefault="00652B6A" w:rsidP="00652B6A">
            <w:pPr>
              <w:keepNext/>
              <w:jc w:val="right"/>
              <w:rPr>
                <w:i/>
                <w:sz w:val="18"/>
                <w:szCs w:val="18"/>
              </w:rPr>
            </w:pPr>
            <w:r w:rsidRPr="006F2E57">
              <w:rPr>
                <w:i/>
                <w:sz w:val="18"/>
                <w:szCs w:val="18"/>
              </w:rPr>
              <w:t>0</w:t>
            </w:r>
          </w:p>
        </w:tc>
      </w:tr>
      <w:tr w:rsidR="00652B6A" w:rsidRPr="00884B84" w:rsidTr="00652B6A">
        <w:tc>
          <w:tcPr>
            <w:tcW w:w="3234" w:type="dxa"/>
            <w:tcBorders>
              <w:bottom w:val="single" w:sz="4" w:space="0" w:color="auto"/>
              <w:right w:val="single" w:sz="4" w:space="0" w:color="auto"/>
            </w:tcBorders>
          </w:tcPr>
          <w:p w:rsidR="00652B6A" w:rsidRPr="006F2E57" w:rsidRDefault="00652B6A" w:rsidP="00652B6A">
            <w:pPr>
              <w:keepNext/>
              <w:rPr>
                <w:sz w:val="18"/>
                <w:szCs w:val="18"/>
              </w:rPr>
            </w:pPr>
            <w:r w:rsidRPr="006F2E57">
              <w:rPr>
                <w:sz w:val="18"/>
                <w:szCs w:val="18"/>
              </w:rPr>
              <w:t>Skatteværdi af maks. fradrag, kr.</w:t>
            </w:r>
          </w:p>
        </w:tc>
        <w:tc>
          <w:tcPr>
            <w:tcW w:w="655" w:type="dxa"/>
            <w:tcBorders>
              <w:left w:val="single" w:sz="4" w:space="0" w:color="auto"/>
              <w:bottom w:val="single" w:sz="4" w:space="0" w:color="auto"/>
            </w:tcBorders>
            <w:vAlign w:val="bottom"/>
          </w:tcPr>
          <w:p w:rsidR="00652B6A" w:rsidRPr="006F2E57" w:rsidRDefault="00652B6A" w:rsidP="00652B6A">
            <w:pPr>
              <w:keepNext/>
              <w:jc w:val="right"/>
              <w:rPr>
                <w:sz w:val="18"/>
                <w:szCs w:val="18"/>
              </w:rPr>
            </w:pPr>
            <w:r w:rsidRPr="006F2E57">
              <w:rPr>
                <w:sz w:val="18"/>
                <w:szCs w:val="18"/>
              </w:rPr>
              <w:t>367</w:t>
            </w:r>
          </w:p>
        </w:tc>
        <w:tc>
          <w:tcPr>
            <w:tcW w:w="654" w:type="dxa"/>
            <w:tcBorders>
              <w:bottom w:val="single" w:sz="4" w:space="0" w:color="auto"/>
            </w:tcBorders>
            <w:vAlign w:val="bottom"/>
          </w:tcPr>
          <w:p w:rsidR="00652B6A" w:rsidRPr="006F2E57" w:rsidRDefault="00652B6A" w:rsidP="00652B6A">
            <w:pPr>
              <w:keepNext/>
              <w:jc w:val="right"/>
              <w:rPr>
                <w:sz w:val="18"/>
                <w:szCs w:val="18"/>
              </w:rPr>
            </w:pPr>
            <w:r w:rsidRPr="006F2E57">
              <w:rPr>
                <w:sz w:val="18"/>
                <w:szCs w:val="18"/>
              </w:rPr>
              <w:t>237</w:t>
            </w:r>
          </w:p>
        </w:tc>
        <w:tc>
          <w:tcPr>
            <w:tcW w:w="655" w:type="dxa"/>
            <w:tcBorders>
              <w:bottom w:val="single" w:sz="4" w:space="0" w:color="auto"/>
            </w:tcBorders>
            <w:vAlign w:val="bottom"/>
          </w:tcPr>
          <w:p w:rsidR="00652B6A" w:rsidRPr="006F2E57" w:rsidRDefault="00652B6A" w:rsidP="00652B6A">
            <w:pPr>
              <w:keepNext/>
              <w:jc w:val="right"/>
              <w:rPr>
                <w:sz w:val="18"/>
                <w:szCs w:val="18"/>
              </w:rPr>
            </w:pPr>
            <w:r w:rsidRPr="006F2E57">
              <w:rPr>
                <w:sz w:val="18"/>
                <w:szCs w:val="18"/>
              </w:rPr>
              <w:t>172</w:t>
            </w:r>
          </w:p>
        </w:tc>
        <w:tc>
          <w:tcPr>
            <w:tcW w:w="654" w:type="dxa"/>
            <w:tcBorders>
              <w:bottom w:val="single" w:sz="4" w:space="0" w:color="auto"/>
              <w:right w:val="single" w:sz="4" w:space="0" w:color="auto"/>
            </w:tcBorders>
            <w:vAlign w:val="bottom"/>
          </w:tcPr>
          <w:p w:rsidR="00652B6A" w:rsidRPr="006F2E57" w:rsidRDefault="00652B6A" w:rsidP="00652B6A">
            <w:pPr>
              <w:keepNext/>
              <w:jc w:val="right"/>
              <w:rPr>
                <w:sz w:val="18"/>
                <w:szCs w:val="18"/>
              </w:rPr>
            </w:pPr>
            <w:r w:rsidRPr="006F2E57">
              <w:rPr>
                <w:sz w:val="18"/>
                <w:szCs w:val="18"/>
              </w:rPr>
              <w:t>166</w:t>
            </w:r>
          </w:p>
        </w:tc>
        <w:tc>
          <w:tcPr>
            <w:tcW w:w="655" w:type="dxa"/>
            <w:tcBorders>
              <w:left w:val="single" w:sz="4" w:space="0" w:color="auto"/>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0</w:t>
            </w:r>
          </w:p>
        </w:tc>
        <w:tc>
          <w:tcPr>
            <w:tcW w:w="654" w:type="dxa"/>
            <w:tcBorders>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0</w:t>
            </w:r>
          </w:p>
        </w:tc>
        <w:tc>
          <w:tcPr>
            <w:tcW w:w="655" w:type="dxa"/>
            <w:tcBorders>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0</w:t>
            </w:r>
          </w:p>
        </w:tc>
        <w:tc>
          <w:tcPr>
            <w:tcW w:w="654" w:type="dxa"/>
            <w:tcBorders>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0</w:t>
            </w:r>
          </w:p>
        </w:tc>
        <w:tc>
          <w:tcPr>
            <w:tcW w:w="655" w:type="dxa"/>
            <w:tcBorders>
              <w:bottom w:val="single" w:sz="4" w:space="0" w:color="auto"/>
            </w:tcBorders>
            <w:vAlign w:val="bottom"/>
          </w:tcPr>
          <w:p w:rsidR="00652B6A" w:rsidRPr="006F2E57" w:rsidRDefault="00652B6A" w:rsidP="00652B6A">
            <w:pPr>
              <w:keepNext/>
              <w:jc w:val="right"/>
              <w:rPr>
                <w:i/>
                <w:sz w:val="18"/>
                <w:szCs w:val="18"/>
              </w:rPr>
            </w:pPr>
            <w:r w:rsidRPr="006F2E57">
              <w:rPr>
                <w:i/>
                <w:sz w:val="18"/>
                <w:szCs w:val="18"/>
              </w:rPr>
              <w:t>0</w:t>
            </w:r>
          </w:p>
        </w:tc>
      </w:tr>
      <w:tr w:rsidR="00652B6A" w:rsidRPr="004D0008" w:rsidTr="00652B6A">
        <w:tc>
          <w:tcPr>
            <w:tcW w:w="9125" w:type="dxa"/>
            <w:gridSpan w:val="10"/>
            <w:tcBorders>
              <w:top w:val="single" w:sz="4" w:space="0" w:color="auto"/>
            </w:tcBorders>
          </w:tcPr>
          <w:p w:rsidR="00652B6A" w:rsidRPr="00884B84" w:rsidRDefault="00652B6A" w:rsidP="00652B6A">
            <w:pPr>
              <w:keepNext/>
              <w:rPr>
                <w:iCs/>
                <w:sz w:val="20"/>
                <w:szCs w:val="20"/>
              </w:rPr>
            </w:pPr>
            <w:r w:rsidRPr="00884B84">
              <w:rPr>
                <w:iCs/>
                <w:sz w:val="20"/>
                <w:szCs w:val="20"/>
              </w:rPr>
              <w:t xml:space="preserve">1) </w:t>
            </w:r>
            <w:r w:rsidRPr="00884B84">
              <w:rPr>
                <w:sz w:val="20"/>
              </w:rPr>
              <w:t>De angivne procenter svarer til den skattemæssige fradragsværdi i en kommune med en landsgennemsnitlig kommune- og kirkeskatteprocent i 2014 på 25,6 pct.</w:t>
            </w:r>
          </w:p>
        </w:tc>
      </w:tr>
    </w:tbl>
    <w:p w:rsidR="00652B6A" w:rsidRPr="000E49FC" w:rsidRDefault="00652B6A" w:rsidP="00652B6A">
      <w:pPr>
        <w:spacing w:line="264" w:lineRule="auto"/>
        <w:rPr>
          <w:iCs/>
        </w:rPr>
      </w:pPr>
    </w:p>
    <w:p w:rsidR="00652B6A" w:rsidRPr="00C07D03" w:rsidRDefault="00652B6A" w:rsidP="00652B6A">
      <w:r>
        <w:t xml:space="preserve">Den foreslåede fremrykning vil medføre en stigning i beskæftigelsesfradraget på 0,4 pct.-point i 2014, 0,25 pct.-point i 2015 og 0,15 pct.-point i 2016 og 2017, </w:t>
      </w:r>
      <w:r w:rsidRPr="00C07D03">
        <w:rPr>
          <w:i/>
        </w:rPr>
        <w:t xml:space="preserve">jf. tabel </w:t>
      </w:r>
      <w:r>
        <w:rPr>
          <w:i/>
        </w:rPr>
        <w:t>3.1.</w:t>
      </w:r>
      <w:r w:rsidRPr="00C07D03">
        <w:rPr>
          <w:i/>
        </w:rPr>
        <w:t>1.</w:t>
      </w:r>
      <w:r>
        <w:t xml:space="preserve"> Endvidere forhøjes det maksimale fradrag med 1.200 kr. i 2014, 800 kr. i 2015 og 600 kr. i 2016 og 2017.</w:t>
      </w:r>
    </w:p>
    <w:p w:rsidR="00652B6A" w:rsidRPr="00B07925" w:rsidRDefault="00652B6A" w:rsidP="00652B6A"/>
    <w:p w:rsidR="00652B6A" w:rsidRDefault="00652B6A" w:rsidP="00652B6A">
      <w:pPr>
        <w:rPr>
          <w:iCs/>
        </w:rPr>
      </w:pPr>
      <w:r>
        <w:rPr>
          <w:iCs/>
        </w:rPr>
        <w:t xml:space="preserve">Forhøjelserne vil </w:t>
      </w:r>
      <w:r w:rsidRPr="000E49FC">
        <w:rPr>
          <w:iCs/>
        </w:rPr>
        <w:t xml:space="preserve">medføre en </w:t>
      </w:r>
      <w:r>
        <w:rPr>
          <w:iCs/>
        </w:rPr>
        <w:t xml:space="preserve">ekstra </w:t>
      </w:r>
      <w:r w:rsidRPr="000E49FC">
        <w:rPr>
          <w:iCs/>
        </w:rPr>
        <w:t>skattelettelse for alle erhvervsaktive</w:t>
      </w:r>
      <w:r>
        <w:rPr>
          <w:iCs/>
        </w:rPr>
        <w:t xml:space="preserve"> i 2014-2017 i forhold til de skattelettelser, der bliver udmøntet med 2012-skattereformen</w:t>
      </w:r>
      <w:r w:rsidRPr="000E49FC">
        <w:rPr>
          <w:iCs/>
        </w:rPr>
        <w:t>.</w:t>
      </w:r>
    </w:p>
    <w:p w:rsidR="00652B6A" w:rsidRDefault="00652B6A" w:rsidP="00652B6A">
      <w:pPr>
        <w:rPr>
          <w:iCs/>
        </w:rPr>
      </w:pPr>
    </w:p>
    <w:p w:rsidR="00652B6A" w:rsidRPr="000E49FC" w:rsidRDefault="00652B6A" w:rsidP="00652B6A">
      <w:pPr>
        <w:rPr>
          <w:iCs/>
        </w:rPr>
      </w:pPr>
      <w:r w:rsidRPr="000E49FC">
        <w:rPr>
          <w:iCs/>
        </w:rPr>
        <w:t>Forslaget vil have størst relativ betydning for erhvervsaktive med indkomst op til ca. 32</w:t>
      </w:r>
      <w:r>
        <w:rPr>
          <w:iCs/>
        </w:rPr>
        <w:t>7</w:t>
      </w:r>
      <w:r w:rsidRPr="000E49FC">
        <w:rPr>
          <w:iCs/>
        </w:rPr>
        <w:t xml:space="preserve">.000 kr. </w:t>
      </w:r>
      <w:r>
        <w:rPr>
          <w:iCs/>
        </w:rPr>
        <w:t xml:space="preserve">(2014-niveau). </w:t>
      </w:r>
      <w:r w:rsidRPr="000E49FC">
        <w:rPr>
          <w:iCs/>
        </w:rPr>
        <w:t xml:space="preserve">For en person med en lønindkomst på 250.000 kr. medfører forslaget isoleret set en </w:t>
      </w:r>
      <w:r>
        <w:rPr>
          <w:iCs/>
        </w:rPr>
        <w:t xml:space="preserve">ekstra </w:t>
      </w:r>
      <w:r w:rsidRPr="000E49FC">
        <w:rPr>
          <w:iCs/>
        </w:rPr>
        <w:t xml:space="preserve">skattelettelse på </w:t>
      </w:r>
      <w:r>
        <w:rPr>
          <w:iCs/>
        </w:rPr>
        <w:t>ca. 305</w:t>
      </w:r>
      <w:r w:rsidRPr="000E49FC">
        <w:rPr>
          <w:iCs/>
        </w:rPr>
        <w:t xml:space="preserve"> kr. i 201</w:t>
      </w:r>
      <w:r>
        <w:rPr>
          <w:iCs/>
        </w:rPr>
        <w:t>4</w:t>
      </w:r>
      <w:r w:rsidRPr="000E49FC">
        <w:rPr>
          <w:iCs/>
        </w:rPr>
        <w:t xml:space="preserve"> </w:t>
      </w:r>
      <w:r>
        <w:rPr>
          <w:iCs/>
        </w:rPr>
        <w:t xml:space="preserve">faldende </w:t>
      </w:r>
      <w:r w:rsidRPr="000E49FC">
        <w:rPr>
          <w:iCs/>
        </w:rPr>
        <w:t xml:space="preserve">til </w:t>
      </w:r>
      <w:r>
        <w:rPr>
          <w:iCs/>
        </w:rPr>
        <w:t>ca. 105 kr. i 2017</w:t>
      </w:r>
      <w:r w:rsidRPr="000E49FC">
        <w:rPr>
          <w:iCs/>
        </w:rPr>
        <w:t xml:space="preserve">. Er lønindkomsten på </w:t>
      </w:r>
      <w:r>
        <w:rPr>
          <w:iCs/>
        </w:rPr>
        <w:t xml:space="preserve">ca. </w:t>
      </w:r>
      <w:r w:rsidRPr="000E49FC">
        <w:rPr>
          <w:iCs/>
        </w:rPr>
        <w:t>32</w:t>
      </w:r>
      <w:r>
        <w:rPr>
          <w:iCs/>
        </w:rPr>
        <w:t>7</w:t>
      </w:r>
      <w:r w:rsidRPr="000E49FC">
        <w:rPr>
          <w:iCs/>
        </w:rPr>
        <w:t xml:space="preserve">.000 kr. eller derover, udgør </w:t>
      </w:r>
      <w:r>
        <w:rPr>
          <w:iCs/>
        </w:rPr>
        <w:t xml:space="preserve">den ekstra </w:t>
      </w:r>
      <w:r w:rsidRPr="000E49FC">
        <w:rPr>
          <w:iCs/>
        </w:rPr>
        <w:t xml:space="preserve">skattelettelse </w:t>
      </w:r>
      <w:r>
        <w:rPr>
          <w:iCs/>
        </w:rPr>
        <w:t>ca. 370</w:t>
      </w:r>
      <w:r w:rsidRPr="000E49FC">
        <w:rPr>
          <w:iCs/>
        </w:rPr>
        <w:t xml:space="preserve"> kr. i 201</w:t>
      </w:r>
      <w:r>
        <w:rPr>
          <w:iCs/>
        </w:rPr>
        <w:t>4</w:t>
      </w:r>
      <w:r w:rsidRPr="000E49FC">
        <w:rPr>
          <w:iCs/>
        </w:rPr>
        <w:t xml:space="preserve">, og den </w:t>
      </w:r>
      <w:r>
        <w:rPr>
          <w:iCs/>
        </w:rPr>
        <w:t>falder</w:t>
      </w:r>
      <w:r w:rsidRPr="000E49FC">
        <w:rPr>
          <w:iCs/>
        </w:rPr>
        <w:t xml:space="preserve"> grad</w:t>
      </w:r>
      <w:r>
        <w:rPr>
          <w:iCs/>
        </w:rPr>
        <w:t>vist til</w:t>
      </w:r>
      <w:r w:rsidRPr="000E49FC">
        <w:rPr>
          <w:iCs/>
        </w:rPr>
        <w:t xml:space="preserve"> </w:t>
      </w:r>
      <w:r>
        <w:rPr>
          <w:iCs/>
        </w:rPr>
        <w:t>ca. 165</w:t>
      </w:r>
      <w:r w:rsidRPr="000E49FC">
        <w:rPr>
          <w:iCs/>
        </w:rPr>
        <w:t xml:space="preserve"> kr. årligt </w:t>
      </w:r>
      <w:r>
        <w:rPr>
          <w:iCs/>
        </w:rPr>
        <w:t>i 2017</w:t>
      </w:r>
      <w:r w:rsidRPr="000E49FC">
        <w:rPr>
          <w:iCs/>
        </w:rPr>
        <w:t>.</w:t>
      </w:r>
      <w:r>
        <w:rPr>
          <w:iCs/>
        </w:rPr>
        <w:t xml:space="preserve"> Fra 2018 sker forhøjelserne af beskæftigelsesfradraget som planlagt i 2012-skattereformen.</w:t>
      </w:r>
    </w:p>
    <w:p w:rsidR="00652B6A" w:rsidRPr="000E49FC" w:rsidRDefault="00652B6A" w:rsidP="00652B6A">
      <w:pPr>
        <w:rPr>
          <w:iCs/>
        </w:rPr>
      </w:pPr>
    </w:p>
    <w:p w:rsidR="00652B6A" w:rsidRPr="000E49FC" w:rsidRDefault="00652B6A" w:rsidP="00652B6A">
      <w:pPr>
        <w:rPr>
          <w:iCs/>
        </w:rPr>
      </w:pPr>
      <w:r w:rsidRPr="000E49FC">
        <w:rPr>
          <w:iCs/>
        </w:rPr>
        <w:t>Forslaget bevirker, at marginalskatten på arbejdsindkomst op til ca. 32</w:t>
      </w:r>
      <w:r>
        <w:rPr>
          <w:iCs/>
        </w:rPr>
        <w:t>7</w:t>
      </w:r>
      <w:r w:rsidRPr="000E49FC">
        <w:rPr>
          <w:iCs/>
        </w:rPr>
        <w:t>.000</w:t>
      </w:r>
      <w:r>
        <w:rPr>
          <w:iCs/>
        </w:rPr>
        <w:t xml:space="preserve"> kr. reduceres med ca. 0,1 pct.-</w:t>
      </w:r>
      <w:r w:rsidRPr="000E49FC">
        <w:rPr>
          <w:iCs/>
        </w:rPr>
        <w:t>point i 201</w:t>
      </w:r>
      <w:r>
        <w:rPr>
          <w:iCs/>
        </w:rPr>
        <w:t>4 faldende til en reduktion på ca. 0,04 pct.-</w:t>
      </w:r>
      <w:r w:rsidRPr="000E49FC">
        <w:rPr>
          <w:iCs/>
        </w:rPr>
        <w:t xml:space="preserve">point </w:t>
      </w:r>
      <w:r>
        <w:rPr>
          <w:iCs/>
        </w:rPr>
        <w:t>i 2017</w:t>
      </w:r>
      <w:r w:rsidRPr="000E49FC">
        <w:rPr>
          <w:iCs/>
        </w:rPr>
        <w:t>.</w:t>
      </w:r>
    </w:p>
    <w:p w:rsidR="007569ED" w:rsidRPr="000E49FC" w:rsidRDefault="007569ED" w:rsidP="00B2109F">
      <w:pPr>
        <w:rPr>
          <w:iCs/>
        </w:rPr>
      </w:pPr>
    </w:p>
    <w:p w:rsidR="007569ED" w:rsidRPr="000E49FC" w:rsidRDefault="007569ED" w:rsidP="007569ED">
      <w:pPr>
        <w:spacing w:line="264" w:lineRule="auto"/>
        <w:rPr>
          <w:i/>
          <w:iCs/>
        </w:rPr>
      </w:pPr>
      <w:r w:rsidRPr="000E49FC">
        <w:rPr>
          <w:i/>
          <w:iCs/>
        </w:rPr>
        <w:t xml:space="preserve">3.2. </w:t>
      </w:r>
      <w:r w:rsidR="00C066FF">
        <w:rPr>
          <w:i/>
          <w:iCs/>
        </w:rPr>
        <w:t>F</w:t>
      </w:r>
      <w:r>
        <w:rPr>
          <w:i/>
          <w:iCs/>
        </w:rPr>
        <w:t xml:space="preserve">orhøjelse af det ekstra </w:t>
      </w:r>
      <w:r w:rsidRPr="000E49FC">
        <w:rPr>
          <w:i/>
          <w:iCs/>
        </w:rPr>
        <w:t>beskæftigelsesfradrag</w:t>
      </w:r>
      <w:r w:rsidR="002D0BE3">
        <w:rPr>
          <w:i/>
          <w:iCs/>
        </w:rPr>
        <w:t xml:space="preserve"> for</w:t>
      </w:r>
      <w:r w:rsidRPr="000E49FC">
        <w:rPr>
          <w:i/>
          <w:iCs/>
        </w:rPr>
        <w:t xml:space="preserve"> enlige forsørgere</w:t>
      </w:r>
    </w:p>
    <w:p w:rsidR="007569ED" w:rsidRPr="000E49FC" w:rsidRDefault="007569ED" w:rsidP="007569ED">
      <w:pPr>
        <w:spacing w:line="264" w:lineRule="auto"/>
        <w:rPr>
          <w:iCs/>
        </w:rPr>
      </w:pPr>
    </w:p>
    <w:p w:rsidR="007569ED" w:rsidRPr="000E49FC" w:rsidRDefault="007569ED" w:rsidP="007569ED">
      <w:pPr>
        <w:spacing w:line="264" w:lineRule="auto"/>
        <w:rPr>
          <w:i/>
          <w:iCs/>
        </w:rPr>
      </w:pPr>
      <w:r w:rsidRPr="000E49FC">
        <w:rPr>
          <w:i/>
          <w:iCs/>
        </w:rPr>
        <w:t>3.2.1. Gældende ret</w:t>
      </w:r>
    </w:p>
    <w:p w:rsidR="007569ED" w:rsidRDefault="007569ED" w:rsidP="00B2109F">
      <w:pPr>
        <w:rPr>
          <w:iCs/>
        </w:rPr>
      </w:pPr>
      <w:r>
        <w:rPr>
          <w:iCs/>
        </w:rPr>
        <w:t xml:space="preserve">Som led i 2012-skattereformen indføres der fra 2014 et ekstra beskæftigelsesfradrag </w:t>
      </w:r>
      <w:r w:rsidR="00DA4F0C">
        <w:rPr>
          <w:iCs/>
        </w:rPr>
        <w:t>for</w:t>
      </w:r>
      <w:r>
        <w:rPr>
          <w:iCs/>
        </w:rPr>
        <w:t xml:space="preserve"> enlige forsørgere. E</w:t>
      </w:r>
      <w:r w:rsidRPr="000E49FC">
        <w:rPr>
          <w:iCs/>
        </w:rPr>
        <w:t>nlige forsørgere omfatte</w:t>
      </w:r>
      <w:r>
        <w:rPr>
          <w:iCs/>
        </w:rPr>
        <w:t>r</w:t>
      </w:r>
      <w:r w:rsidRPr="000E49FC">
        <w:rPr>
          <w:iCs/>
        </w:rPr>
        <w:t xml:space="preserve"> den samme personkreds, som har ret til og modtager ekstra børnetilskud efter børnetilskudsl</w:t>
      </w:r>
      <w:r>
        <w:rPr>
          <w:iCs/>
        </w:rPr>
        <w:t>oven.</w:t>
      </w:r>
    </w:p>
    <w:p w:rsidR="007569ED" w:rsidRDefault="007569ED" w:rsidP="00B2109F">
      <w:pPr>
        <w:rPr>
          <w:iCs/>
        </w:rPr>
      </w:pPr>
    </w:p>
    <w:p w:rsidR="007569ED" w:rsidRDefault="007569ED" w:rsidP="00B2109F">
      <w:pPr>
        <w:rPr>
          <w:iCs/>
        </w:rPr>
      </w:pPr>
      <w:r>
        <w:rPr>
          <w:iCs/>
        </w:rPr>
        <w:t>Det ekstra b</w:t>
      </w:r>
      <w:r w:rsidRPr="000E49FC">
        <w:rPr>
          <w:iCs/>
        </w:rPr>
        <w:t>eskæftigelsesfradrag</w:t>
      </w:r>
      <w:r>
        <w:rPr>
          <w:iCs/>
        </w:rPr>
        <w:t xml:space="preserve"> </w:t>
      </w:r>
      <w:r w:rsidRPr="000E49FC">
        <w:rPr>
          <w:iCs/>
        </w:rPr>
        <w:t xml:space="preserve">indgår </w:t>
      </w:r>
      <w:r>
        <w:rPr>
          <w:iCs/>
        </w:rPr>
        <w:t xml:space="preserve">ligesom det almindelige beskæftigelsesfradrag </w:t>
      </w:r>
      <w:r w:rsidRPr="000E49FC">
        <w:rPr>
          <w:iCs/>
        </w:rPr>
        <w:t xml:space="preserve">i de ligningsmæssige fradrag og beregnes af </w:t>
      </w:r>
      <w:r>
        <w:rPr>
          <w:iCs/>
        </w:rPr>
        <w:t xml:space="preserve">samme grundlag, jf. </w:t>
      </w:r>
      <w:r w:rsidRPr="00A55056">
        <w:rPr>
          <w:i/>
          <w:iCs/>
        </w:rPr>
        <w:t xml:space="preserve">afsnit 3.1.1. </w:t>
      </w:r>
    </w:p>
    <w:p w:rsidR="007569ED" w:rsidRDefault="007569ED" w:rsidP="00B2109F">
      <w:pPr>
        <w:rPr>
          <w:iCs/>
        </w:rPr>
      </w:pPr>
    </w:p>
    <w:p w:rsidR="007569ED" w:rsidRPr="000E49FC" w:rsidRDefault="007569ED" w:rsidP="00B2109F">
      <w:pPr>
        <w:rPr>
          <w:iCs/>
        </w:rPr>
      </w:pPr>
      <w:r w:rsidRPr="000E49FC">
        <w:rPr>
          <w:iCs/>
        </w:rPr>
        <w:t>I 201</w:t>
      </w:r>
      <w:r>
        <w:rPr>
          <w:iCs/>
        </w:rPr>
        <w:t>4</w:t>
      </w:r>
      <w:r w:rsidRPr="000E49FC">
        <w:rPr>
          <w:iCs/>
        </w:rPr>
        <w:t xml:space="preserve"> udgør </w:t>
      </w:r>
      <w:r>
        <w:rPr>
          <w:iCs/>
        </w:rPr>
        <w:t xml:space="preserve">det ekstra </w:t>
      </w:r>
      <w:r w:rsidRPr="000E49FC">
        <w:rPr>
          <w:iCs/>
        </w:rPr>
        <w:t xml:space="preserve">beskæftigelsesfradrag </w:t>
      </w:r>
      <w:r w:rsidR="00DA4F0C">
        <w:rPr>
          <w:iCs/>
        </w:rPr>
        <w:t>for</w:t>
      </w:r>
      <w:r>
        <w:rPr>
          <w:iCs/>
        </w:rPr>
        <w:t xml:space="preserve"> enlige forsørgere 2,6 </w:t>
      </w:r>
      <w:r w:rsidRPr="000E49FC">
        <w:rPr>
          <w:iCs/>
        </w:rPr>
        <w:t>pct.</w:t>
      </w:r>
      <w:r>
        <w:rPr>
          <w:iCs/>
        </w:rPr>
        <w:t xml:space="preserve">, og det kan </w:t>
      </w:r>
      <w:r w:rsidRPr="000E49FC">
        <w:rPr>
          <w:iCs/>
        </w:rPr>
        <w:t xml:space="preserve">maksimalt udgøre </w:t>
      </w:r>
      <w:r>
        <w:rPr>
          <w:iCs/>
        </w:rPr>
        <w:t xml:space="preserve">et grundbeløb på 8.400 kr. (2010-niveau). Efter regulering i henhold til personskattelovens § 20 udgør det maksimale ekstra beskæftigelsesfradrag 8.600 kr. i 2014. </w:t>
      </w:r>
      <w:r w:rsidRPr="000E49FC">
        <w:rPr>
          <w:iCs/>
        </w:rPr>
        <w:t xml:space="preserve">Da fradraget gives som et ligningsmæssigt fradrag </w:t>
      </w:r>
      <w:r>
        <w:rPr>
          <w:iCs/>
        </w:rPr>
        <w:t xml:space="preserve">ved opgørelsen af </w:t>
      </w:r>
      <w:r w:rsidRPr="000E49FC">
        <w:rPr>
          <w:iCs/>
        </w:rPr>
        <w:t>den skattepligtige indkomst, der er beskatningsgrundlag for sundhedsbidraget, kommune- og kirkeskatten, har det i 201</w:t>
      </w:r>
      <w:r>
        <w:rPr>
          <w:iCs/>
        </w:rPr>
        <w:t>4</w:t>
      </w:r>
      <w:r w:rsidRPr="000E49FC">
        <w:rPr>
          <w:iCs/>
        </w:rPr>
        <w:t xml:space="preserve"> en </w:t>
      </w:r>
      <w:r>
        <w:rPr>
          <w:iCs/>
        </w:rPr>
        <w:t xml:space="preserve">gennemsnitlig </w:t>
      </w:r>
      <w:r w:rsidRPr="000E49FC">
        <w:rPr>
          <w:iCs/>
        </w:rPr>
        <w:t xml:space="preserve">skattemæssig fradragsværdi </w:t>
      </w:r>
      <w:r>
        <w:rPr>
          <w:iCs/>
        </w:rPr>
        <w:t xml:space="preserve">(skatteværdi) </w:t>
      </w:r>
      <w:r w:rsidRPr="000E49FC">
        <w:rPr>
          <w:iCs/>
        </w:rPr>
        <w:t>på ca. 3</w:t>
      </w:r>
      <w:r>
        <w:rPr>
          <w:iCs/>
        </w:rPr>
        <w:t>0</w:t>
      </w:r>
      <w:r w:rsidRPr="000E49FC">
        <w:rPr>
          <w:iCs/>
        </w:rPr>
        <w:t>,</w:t>
      </w:r>
      <w:r>
        <w:rPr>
          <w:iCs/>
        </w:rPr>
        <w:t>6</w:t>
      </w:r>
      <w:r w:rsidRPr="000E49FC">
        <w:rPr>
          <w:iCs/>
        </w:rPr>
        <w:t xml:space="preserve"> pct. </w:t>
      </w:r>
    </w:p>
    <w:p w:rsidR="007569ED" w:rsidRPr="000E49FC" w:rsidRDefault="007569ED" w:rsidP="00B2109F">
      <w:pPr>
        <w:rPr>
          <w:iCs/>
        </w:rPr>
      </w:pPr>
    </w:p>
    <w:p w:rsidR="007569ED" w:rsidRDefault="007569ED" w:rsidP="00B2109F">
      <w:pPr>
        <w:rPr>
          <w:iCs/>
        </w:rPr>
      </w:pPr>
      <w:r>
        <w:rPr>
          <w:iCs/>
        </w:rPr>
        <w:t>I 2015 forhøjes</w:t>
      </w:r>
      <w:r w:rsidRPr="000E49FC">
        <w:rPr>
          <w:iCs/>
        </w:rPr>
        <w:t xml:space="preserve"> </w:t>
      </w:r>
      <w:r>
        <w:rPr>
          <w:iCs/>
        </w:rPr>
        <w:t>det ekstra beskæftigelses</w:t>
      </w:r>
      <w:r w:rsidRPr="000E49FC">
        <w:rPr>
          <w:iCs/>
        </w:rPr>
        <w:t>fradrag</w:t>
      </w:r>
      <w:r>
        <w:rPr>
          <w:iCs/>
        </w:rPr>
        <w:t xml:space="preserve"> til 5,4 pct. </w:t>
      </w:r>
      <w:r w:rsidRPr="000E49FC">
        <w:rPr>
          <w:iCs/>
        </w:rPr>
        <w:t xml:space="preserve">og det maksimale fradrag til </w:t>
      </w:r>
      <w:r>
        <w:rPr>
          <w:iCs/>
        </w:rPr>
        <w:t>17</w:t>
      </w:r>
      <w:r w:rsidRPr="000E49FC">
        <w:rPr>
          <w:iCs/>
        </w:rPr>
        <w:t>.</w:t>
      </w:r>
      <w:r>
        <w:rPr>
          <w:iCs/>
        </w:rPr>
        <w:t>3</w:t>
      </w:r>
      <w:r w:rsidRPr="000E49FC">
        <w:rPr>
          <w:iCs/>
        </w:rPr>
        <w:t xml:space="preserve">00 kr. </w:t>
      </w:r>
      <w:r>
        <w:rPr>
          <w:iCs/>
        </w:rPr>
        <w:t xml:space="preserve">(2010-niveau), således at skatteværdien af fradraget fordobles i forhold til 2014. I de følgende år sker der en yderligere forhøjelse af fradraget, der sikrer, at skatteværdien </w:t>
      </w:r>
      <w:r w:rsidRPr="000E49FC">
        <w:rPr>
          <w:iCs/>
        </w:rPr>
        <w:t xml:space="preserve">af beskæftigelsesfradraget fastholdes på </w:t>
      </w:r>
      <w:r>
        <w:rPr>
          <w:iCs/>
        </w:rPr>
        <w:t>2015-niveauet</w:t>
      </w:r>
      <w:r w:rsidRPr="000E49FC">
        <w:rPr>
          <w:iCs/>
        </w:rPr>
        <w:t xml:space="preserve"> på trods af reduktionen af skatteværdien af ligningsmæssige fradrag. Denne reduktion sker med 1 pct.-point årligt i perioden 2012 til 2019, hvilket betyder, at </w:t>
      </w:r>
      <w:r>
        <w:rPr>
          <w:iCs/>
        </w:rPr>
        <w:t>skatteværdien</w:t>
      </w:r>
      <w:r w:rsidRPr="000E49FC">
        <w:rPr>
          <w:iCs/>
        </w:rPr>
        <w:t xml:space="preserve"> af ligningsmæssige fradrag, der i 201</w:t>
      </w:r>
      <w:r>
        <w:rPr>
          <w:iCs/>
        </w:rPr>
        <w:t>4 udgør ca. 30</w:t>
      </w:r>
      <w:r w:rsidRPr="000E49FC">
        <w:rPr>
          <w:iCs/>
        </w:rPr>
        <w:t>,</w:t>
      </w:r>
      <w:r>
        <w:rPr>
          <w:iCs/>
        </w:rPr>
        <w:t>6</w:t>
      </w:r>
      <w:r w:rsidRPr="000E49FC">
        <w:rPr>
          <w:iCs/>
        </w:rPr>
        <w:t xml:space="preserve"> pct., gradvist reduceres til ca. 25,</w:t>
      </w:r>
      <w:r>
        <w:rPr>
          <w:iCs/>
        </w:rPr>
        <w:t>6</w:t>
      </w:r>
      <w:r w:rsidRPr="000E49FC">
        <w:rPr>
          <w:iCs/>
        </w:rPr>
        <w:t xml:space="preserve"> pct. fr</w:t>
      </w:r>
      <w:r>
        <w:rPr>
          <w:iCs/>
        </w:rPr>
        <w:t>em til 2019. Fra 2019 udgør det ekstra beskæftigelsesfradrag således 6,25 pct., dog maks. 20.000 kr. (2010-niveau).</w:t>
      </w:r>
    </w:p>
    <w:p w:rsidR="007569ED" w:rsidRDefault="007569ED" w:rsidP="00B2109F">
      <w:pPr>
        <w:rPr>
          <w:iCs/>
        </w:rPr>
      </w:pPr>
    </w:p>
    <w:p w:rsidR="007569ED" w:rsidRDefault="007569ED" w:rsidP="00B2109F">
      <w:pPr>
        <w:rPr>
          <w:iCs/>
        </w:rPr>
      </w:pPr>
      <w:r>
        <w:rPr>
          <w:iCs/>
        </w:rPr>
        <w:t xml:space="preserve">Indfasningsforløbet af det ekstra beskæftigelsesfradrag </w:t>
      </w:r>
      <w:r w:rsidR="00DA4F0C">
        <w:rPr>
          <w:iCs/>
        </w:rPr>
        <w:t>for</w:t>
      </w:r>
      <w:r>
        <w:rPr>
          <w:iCs/>
        </w:rPr>
        <w:t xml:space="preserve"> enlige forsørgere efter gældende regler i perioden 2014-2022 fremgår af </w:t>
      </w:r>
      <w:r w:rsidRPr="00C07D03">
        <w:rPr>
          <w:i/>
          <w:iCs/>
        </w:rPr>
        <w:t xml:space="preserve">tabel </w:t>
      </w:r>
      <w:r w:rsidR="00652B6A">
        <w:rPr>
          <w:i/>
          <w:iCs/>
        </w:rPr>
        <w:t>3.2.1</w:t>
      </w:r>
      <w:r>
        <w:rPr>
          <w:iCs/>
        </w:rPr>
        <w:t xml:space="preserve"> i </w:t>
      </w:r>
      <w:r w:rsidRPr="00C07D03">
        <w:rPr>
          <w:i/>
          <w:iCs/>
        </w:rPr>
        <w:t>afsnit 3.2.2.</w:t>
      </w:r>
    </w:p>
    <w:p w:rsidR="007569ED" w:rsidRPr="000E49FC" w:rsidRDefault="007569ED" w:rsidP="007569ED">
      <w:pPr>
        <w:spacing w:line="264" w:lineRule="auto"/>
        <w:rPr>
          <w:iCs/>
        </w:rPr>
      </w:pPr>
    </w:p>
    <w:p w:rsidR="007569ED" w:rsidRPr="000E49FC" w:rsidRDefault="007569ED" w:rsidP="007569ED">
      <w:pPr>
        <w:spacing w:line="264" w:lineRule="auto"/>
        <w:rPr>
          <w:i/>
          <w:iCs/>
        </w:rPr>
      </w:pPr>
      <w:r w:rsidRPr="000E49FC">
        <w:rPr>
          <w:i/>
          <w:iCs/>
        </w:rPr>
        <w:t>3.2.2. Lovforslaget</w:t>
      </w:r>
    </w:p>
    <w:p w:rsidR="00652B6A" w:rsidRDefault="00652B6A" w:rsidP="00652B6A">
      <w:r w:rsidRPr="000E49FC">
        <w:rPr>
          <w:iCs/>
        </w:rPr>
        <w:t xml:space="preserve">Det foreslås </w:t>
      </w:r>
      <w:r w:rsidRPr="00DC52D1">
        <w:t xml:space="preserve">at </w:t>
      </w:r>
      <w:r>
        <w:t xml:space="preserve">fremrykke indfasningen af det </w:t>
      </w:r>
      <w:r w:rsidRPr="005416A6">
        <w:t>ekstra beskæftigelsesfradrag for enlige forsørgere</w:t>
      </w:r>
      <w:r>
        <w:t xml:space="preserve">, så fradraget får fuld skattemæssig effekt allerede fra 2014. Det foreslås således, at det ekstra beskæftigelsesfradrag i 2014 forhøjes til </w:t>
      </w:r>
      <w:r w:rsidRPr="005416A6">
        <w:t>5,</w:t>
      </w:r>
      <w:r>
        <w:t>4</w:t>
      </w:r>
      <w:r w:rsidRPr="005416A6">
        <w:t xml:space="preserve"> pct., dog maksimalt 17.</w:t>
      </w:r>
      <w:r>
        <w:t>7</w:t>
      </w:r>
      <w:r w:rsidRPr="005416A6">
        <w:t xml:space="preserve">00 kr. </w:t>
      </w:r>
      <w:r>
        <w:t>(2014-niveau).</w:t>
      </w:r>
      <w:r w:rsidRPr="005416A6">
        <w:t xml:space="preserve"> </w:t>
      </w:r>
    </w:p>
    <w:p w:rsidR="00652B6A" w:rsidRDefault="00652B6A" w:rsidP="00652B6A">
      <w:pPr>
        <w:rPr>
          <w:iCs/>
        </w:rPr>
      </w:pPr>
    </w:p>
    <w:p w:rsidR="00652B6A" w:rsidRDefault="00652B6A" w:rsidP="00652B6A">
      <w:pPr>
        <w:rPr>
          <w:iCs/>
        </w:rPr>
      </w:pPr>
      <w:r>
        <w:rPr>
          <w:iCs/>
        </w:rPr>
        <w:t>Der foreslås ingen ændringer af det gældende indfasningsforløb for 2015-2022, som er angivet i kursiv i tabel 3.2.1.</w:t>
      </w:r>
    </w:p>
    <w:p w:rsidR="00652B6A" w:rsidRPr="000E49FC" w:rsidRDefault="00652B6A" w:rsidP="00652B6A">
      <w:pPr>
        <w:spacing w:line="264" w:lineRule="auto"/>
        <w:rPr>
          <w:iCs/>
        </w:rPr>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3234"/>
        <w:gridCol w:w="655"/>
        <w:gridCol w:w="654"/>
        <w:gridCol w:w="655"/>
        <w:gridCol w:w="654"/>
        <w:gridCol w:w="655"/>
        <w:gridCol w:w="654"/>
        <w:gridCol w:w="655"/>
        <w:gridCol w:w="654"/>
        <w:gridCol w:w="655"/>
      </w:tblGrid>
      <w:tr w:rsidR="00652B6A" w:rsidRPr="004D0008" w:rsidTr="00652B6A">
        <w:tc>
          <w:tcPr>
            <w:tcW w:w="9125" w:type="dxa"/>
            <w:gridSpan w:val="10"/>
            <w:tcBorders>
              <w:top w:val="single" w:sz="4" w:space="0" w:color="auto"/>
              <w:bottom w:val="single" w:sz="4" w:space="0" w:color="auto"/>
            </w:tcBorders>
            <w:vAlign w:val="center"/>
          </w:tcPr>
          <w:p w:rsidR="00652B6A" w:rsidRPr="00884B84" w:rsidRDefault="00652B6A" w:rsidP="00652B6A">
            <w:pPr>
              <w:pStyle w:val="Normal-Tabeltal"/>
              <w:keepNext/>
              <w:spacing w:line="240" w:lineRule="auto"/>
              <w:ind w:left="0" w:right="0"/>
              <w:jc w:val="left"/>
              <w:rPr>
                <w:rFonts w:ascii="Times New Roman" w:hAnsi="Times New Roman"/>
                <w:b/>
                <w:sz w:val="24"/>
              </w:rPr>
            </w:pPr>
            <w:r w:rsidRPr="00884B84">
              <w:rPr>
                <w:rFonts w:ascii="Times New Roman" w:hAnsi="Times New Roman"/>
                <w:b/>
                <w:sz w:val="24"/>
              </w:rPr>
              <w:t xml:space="preserve">Tabel </w:t>
            </w:r>
            <w:r>
              <w:rPr>
                <w:rFonts w:ascii="Times New Roman" w:hAnsi="Times New Roman"/>
                <w:b/>
                <w:sz w:val="24"/>
              </w:rPr>
              <w:t>3.2.1</w:t>
            </w:r>
            <w:r w:rsidRPr="00884B84">
              <w:rPr>
                <w:rFonts w:ascii="Times New Roman" w:hAnsi="Times New Roman"/>
                <w:b/>
                <w:sz w:val="24"/>
              </w:rPr>
              <w:t xml:space="preserve">. Indfasningsforløb for </w:t>
            </w:r>
            <w:r>
              <w:rPr>
                <w:rFonts w:ascii="Times New Roman" w:hAnsi="Times New Roman"/>
                <w:b/>
                <w:sz w:val="24"/>
              </w:rPr>
              <w:t xml:space="preserve">det ekstra </w:t>
            </w:r>
            <w:r w:rsidRPr="00884B84">
              <w:rPr>
                <w:rFonts w:ascii="Times New Roman" w:hAnsi="Times New Roman"/>
                <w:b/>
                <w:sz w:val="24"/>
              </w:rPr>
              <w:t xml:space="preserve">beskæftigelsesfradrag </w:t>
            </w:r>
            <w:r>
              <w:rPr>
                <w:rFonts w:ascii="Times New Roman" w:hAnsi="Times New Roman"/>
                <w:b/>
                <w:sz w:val="24"/>
              </w:rPr>
              <w:t xml:space="preserve">til enlige forsørgere </w:t>
            </w:r>
            <w:r w:rsidRPr="00884B84">
              <w:rPr>
                <w:rFonts w:ascii="Times New Roman" w:hAnsi="Times New Roman"/>
                <w:b/>
                <w:sz w:val="24"/>
              </w:rPr>
              <w:t xml:space="preserve">efter gældende regler og </w:t>
            </w:r>
            <w:r>
              <w:rPr>
                <w:rFonts w:ascii="Times New Roman" w:hAnsi="Times New Roman"/>
                <w:b/>
                <w:sz w:val="24"/>
              </w:rPr>
              <w:t xml:space="preserve">med forhøjelsen i 2014 </w:t>
            </w:r>
            <w:r w:rsidRPr="00884B84">
              <w:rPr>
                <w:rFonts w:ascii="Times New Roman" w:hAnsi="Times New Roman"/>
                <w:b/>
                <w:sz w:val="24"/>
              </w:rPr>
              <w:t>efter lovforslaget</w:t>
            </w:r>
          </w:p>
        </w:tc>
      </w:tr>
      <w:tr w:rsidR="00652B6A" w:rsidRPr="00884B84" w:rsidTr="00652B6A">
        <w:tc>
          <w:tcPr>
            <w:tcW w:w="3234" w:type="dxa"/>
            <w:tcBorders>
              <w:top w:val="single" w:sz="4" w:space="0" w:color="auto"/>
              <w:bottom w:val="single" w:sz="4" w:space="0" w:color="auto"/>
              <w:right w:val="single" w:sz="4" w:space="0" w:color="auto"/>
            </w:tcBorders>
            <w:vAlign w:val="center"/>
          </w:tcPr>
          <w:p w:rsidR="00652B6A" w:rsidRPr="00652B6A" w:rsidRDefault="00652B6A" w:rsidP="00652B6A">
            <w:pPr>
              <w:pStyle w:val="Normal-Tabeltal"/>
              <w:keepNext/>
              <w:spacing w:line="240" w:lineRule="auto"/>
              <w:ind w:left="0" w:right="0"/>
              <w:jc w:val="left"/>
              <w:rPr>
                <w:rFonts w:ascii="Garamond" w:hAnsi="Garamond"/>
                <w:b/>
                <w:sz w:val="18"/>
                <w:szCs w:val="18"/>
              </w:rPr>
            </w:pPr>
            <w:r w:rsidRPr="00652B6A">
              <w:rPr>
                <w:rFonts w:ascii="Garamond" w:hAnsi="Garamond"/>
                <w:sz w:val="18"/>
                <w:szCs w:val="18"/>
              </w:rPr>
              <w:t>(2014- niveau)</w:t>
            </w:r>
          </w:p>
        </w:tc>
        <w:tc>
          <w:tcPr>
            <w:tcW w:w="655" w:type="dxa"/>
            <w:tcBorders>
              <w:top w:val="single" w:sz="4" w:space="0" w:color="auto"/>
              <w:left w:val="single" w:sz="4" w:space="0" w:color="auto"/>
              <w:bottom w:val="single" w:sz="4" w:space="0" w:color="auto"/>
              <w:right w:val="single" w:sz="4" w:space="0" w:color="auto"/>
            </w:tcBorders>
            <w:vAlign w:val="center"/>
          </w:tcPr>
          <w:p w:rsidR="00652B6A" w:rsidRPr="00652B6A" w:rsidRDefault="00652B6A" w:rsidP="00652B6A">
            <w:pPr>
              <w:pStyle w:val="Normal-Tabeltal"/>
              <w:keepNext/>
              <w:spacing w:line="240" w:lineRule="auto"/>
              <w:ind w:left="0" w:right="0"/>
              <w:jc w:val="center"/>
              <w:rPr>
                <w:rFonts w:ascii="Garamond" w:hAnsi="Garamond"/>
                <w:b/>
                <w:sz w:val="18"/>
                <w:szCs w:val="18"/>
              </w:rPr>
            </w:pPr>
            <w:r w:rsidRPr="00652B6A">
              <w:rPr>
                <w:rFonts w:ascii="Garamond" w:hAnsi="Garamond"/>
                <w:b/>
                <w:sz w:val="18"/>
                <w:szCs w:val="18"/>
              </w:rPr>
              <w:t>2014</w:t>
            </w:r>
          </w:p>
        </w:tc>
        <w:tc>
          <w:tcPr>
            <w:tcW w:w="654" w:type="dxa"/>
            <w:tcBorders>
              <w:top w:val="single" w:sz="4" w:space="0" w:color="auto"/>
              <w:left w:val="single" w:sz="4" w:space="0" w:color="auto"/>
              <w:bottom w:val="single" w:sz="4" w:space="0" w:color="auto"/>
              <w:right w:val="single" w:sz="4" w:space="0" w:color="auto"/>
            </w:tcBorders>
            <w:vAlign w:val="center"/>
          </w:tcPr>
          <w:p w:rsidR="00652B6A" w:rsidRPr="00652B6A" w:rsidRDefault="00652B6A" w:rsidP="00652B6A">
            <w:pPr>
              <w:pStyle w:val="Normal-Tabelkolonneoverskrift"/>
              <w:keepNext/>
              <w:spacing w:line="240" w:lineRule="auto"/>
              <w:ind w:right="0"/>
              <w:jc w:val="center"/>
              <w:rPr>
                <w:rFonts w:ascii="Garamond" w:hAnsi="Garamond"/>
                <w:b w:val="0"/>
                <w:i/>
                <w:sz w:val="18"/>
                <w:szCs w:val="18"/>
              </w:rPr>
            </w:pPr>
            <w:r w:rsidRPr="00652B6A">
              <w:rPr>
                <w:rFonts w:ascii="Garamond" w:hAnsi="Garamond"/>
                <w:b w:val="0"/>
                <w:i/>
                <w:sz w:val="18"/>
                <w:szCs w:val="18"/>
              </w:rPr>
              <w:t>2015</w:t>
            </w:r>
          </w:p>
        </w:tc>
        <w:tc>
          <w:tcPr>
            <w:tcW w:w="655" w:type="dxa"/>
            <w:tcBorders>
              <w:top w:val="single" w:sz="4" w:space="0" w:color="auto"/>
              <w:left w:val="single" w:sz="4" w:space="0" w:color="auto"/>
              <w:bottom w:val="single" w:sz="4" w:space="0" w:color="auto"/>
              <w:right w:val="single" w:sz="4" w:space="0" w:color="auto"/>
            </w:tcBorders>
            <w:vAlign w:val="center"/>
          </w:tcPr>
          <w:p w:rsidR="00652B6A" w:rsidRPr="00652B6A" w:rsidRDefault="00652B6A" w:rsidP="00652B6A">
            <w:pPr>
              <w:pStyle w:val="Normal-Tabelkolonneoverskrift"/>
              <w:keepNext/>
              <w:spacing w:line="240" w:lineRule="auto"/>
              <w:ind w:right="0"/>
              <w:jc w:val="center"/>
              <w:rPr>
                <w:rFonts w:ascii="Garamond" w:hAnsi="Garamond"/>
                <w:b w:val="0"/>
                <w:i/>
                <w:sz w:val="18"/>
                <w:szCs w:val="18"/>
              </w:rPr>
            </w:pPr>
            <w:r w:rsidRPr="00652B6A">
              <w:rPr>
                <w:rFonts w:ascii="Garamond" w:hAnsi="Garamond"/>
                <w:b w:val="0"/>
                <w:i/>
                <w:sz w:val="18"/>
                <w:szCs w:val="18"/>
              </w:rPr>
              <w:t>2016</w:t>
            </w:r>
          </w:p>
        </w:tc>
        <w:tc>
          <w:tcPr>
            <w:tcW w:w="654" w:type="dxa"/>
            <w:tcBorders>
              <w:top w:val="single" w:sz="4" w:space="0" w:color="auto"/>
              <w:left w:val="single" w:sz="4" w:space="0" w:color="auto"/>
              <w:bottom w:val="single" w:sz="4" w:space="0" w:color="auto"/>
              <w:right w:val="single" w:sz="4" w:space="0" w:color="auto"/>
            </w:tcBorders>
            <w:vAlign w:val="center"/>
          </w:tcPr>
          <w:p w:rsidR="00652B6A" w:rsidRPr="00652B6A" w:rsidRDefault="00652B6A" w:rsidP="00652B6A">
            <w:pPr>
              <w:pStyle w:val="Normal-Tabelkolonneoverskrift"/>
              <w:keepNext/>
              <w:spacing w:line="240" w:lineRule="auto"/>
              <w:ind w:right="0"/>
              <w:jc w:val="center"/>
              <w:rPr>
                <w:rFonts w:ascii="Garamond" w:hAnsi="Garamond"/>
                <w:b w:val="0"/>
                <w:i/>
                <w:sz w:val="18"/>
                <w:szCs w:val="18"/>
              </w:rPr>
            </w:pPr>
            <w:r w:rsidRPr="00652B6A">
              <w:rPr>
                <w:rFonts w:ascii="Garamond" w:hAnsi="Garamond"/>
                <w:b w:val="0"/>
                <w:i/>
                <w:sz w:val="18"/>
                <w:szCs w:val="18"/>
              </w:rPr>
              <w:t>2017</w:t>
            </w:r>
          </w:p>
        </w:tc>
        <w:tc>
          <w:tcPr>
            <w:tcW w:w="655" w:type="dxa"/>
            <w:tcBorders>
              <w:top w:val="single" w:sz="4" w:space="0" w:color="auto"/>
              <w:left w:val="single" w:sz="4" w:space="0" w:color="auto"/>
              <w:bottom w:val="single" w:sz="4" w:space="0" w:color="auto"/>
              <w:right w:val="single" w:sz="4" w:space="0" w:color="auto"/>
            </w:tcBorders>
            <w:vAlign w:val="center"/>
          </w:tcPr>
          <w:p w:rsidR="00652B6A" w:rsidRPr="00652B6A" w:rsidRDefault="00652B6A" w:rsidP="00652B6A">
            <w:pPr>
              <w:pStyle w:val="Normal-Tabelkolonneoverskrift"/>
              <w:keepNext/>
              <w:spacing w:line="240" w:lineRule="auto"/>
              <w:ind w:right="0"/>
              <w:jc w:val="center"/>
              <w:rPr>
                <w:rFonts w:ascii="Garamond" w:hAnsi="Garamond"/>
                <w:b w:val="0"/>
                <w:i/>
                <w:sz w:val="18"/>
                <w:szCs w:val="18"/>
              </w:rPr>
            </w:pPr>
            <w:r w:rsidRPr="00652B6A">
              <w:rPr>
                <w:rFonts w:ascii="Garamond" w:hAnsi="Garamond"/>
                <w:b w:val="0"/>
                <w:i/>
                <w:sz w:val="18"/>
                <w:szCs w:val="18"/>
              </w:rPr>
              <w:t>2018</w:t>
            </w:r>
          </w:p>
        </w:tc>
        <w:tc>
          <w:tcPr>
            <w:tcW w:w="654" w:type="dxa"/>
            <w:tcBorders>
              <w:top w:val="single" w:sz="4" w:space="0" w:color="auto"/>
              <w:left w:val="single" w:sz="4" w:space="0" w:color="auto"/>
              <w:bottom w:val="single" w:sz="4" w:space="0" w:color="auto"/>
              <w:right w:val="single" w:sz="4" w:space="0" w:color="auto"/>
            </w:tcBorders>
            <w:vAlign w:val="center"/>
          </w:tcPr>
          <w:p w:rsidR="00652B6A" w:rsidRPr="00652B6A" w:rsidRDefault="00652B6A" w:rsidP="00652B6A">
            <w:pPr>
              <w:pStyle w:val="Normal-Tabelkolonneoverskrift"/>
              <w:keepNext/>
              <w:spacing w:line="240" w:lineRule="auto"/>
              <w:ind w:right="0"/>
              <w:jc w:val="center"/>
              <w:rPr>
                <w:rFonts w:ascii="Garamond" w:hAnsi="Garamond"/>
                <w:b w:val="0"/>
                <w:i/>
                <w:sz w:val="18"/>
                <w:szCs w:val="18"/>
              </w:rPr>
            </w:pPr>
            <w:r w:rsidRPr="00652B6A">
              <w:rPr>
                <w:rFonts w:ascii="Garamond" w:hAnsi="Garamond"/>
                <w:b w:val="0"/>
                <w:i/>
                <w:sz w:val="18"/>
                <w:szCs w:val="18"/>
              </w:rPr>
              <w:t>2019</w:t>
            </w:r>
          </w:p>
        </w:tc>
        <w:tc>
          <w:tcPr>
            <w:tcW w:w="655" w:type="dxa"/>
            <w:tcBorders>
              <w:top w:val="single" w:sz="4" w:space="0" w:color="auto"/>
              <w:left w:val="single" w:sz="4" w:space="0" w:color="auto"/>
              <w:bottom w:val="single" w:sz="4" w:space="0" w:color="auto"/>
              <w:right w:val="single" w:sz="4" w:space="0" w:color="auto"/>
            </w:tcBorders>
            <w:vAlign w:val="center"/>
          </w:tcPr>
          <w:p w:rsidR="00652B6A" w:rsidRPr="00652B6A" w:rsidRDefault="00652B6A" w:rsidP="00652B6A">
            <w:pPr>
              <w:pStyle w:val="Normal-Tabeltal"/>
              <w:keepNext/>
              <w:spacing w:line="240" w:lineRule="auto"/>
              <w:ind w:left="0" w:right="0"/>
              <w:jc w:val="center"/>
              <w:rPr>
                <w:rFonts w:ascii="Garamond" w:hAnsi="Garamond"/>
                <w:i/>
                <w:sz w:val="18"/>
                <w:szCs w:val="18"/>
              </w:rPr>
            </w:pPr>
            <w:r w:rsidRPr="00652B6A">
              <w:rPr>
                <w:rFonts w:ascii="Garamond" w:hAnsi="Garamond"/>
                <w:i/>
                <w:sz w:val="18"/>
                <w:szCs w:val="18"/>
              </w:rPr>
              <w:t>2020</w:t>
            </w:r>
          </w:p>
        </w:tc>
        <w:tc>
          <w:tcPr>
            <w:tcW w:w="654" w:type="dxa"/>
            <w:tcBorders>
              <w:top w:val="single" w:sz="4" w:space="0" w:color="auto"/>
              <w:left w:val="single" w:sz="4" w:space="0" w:color="auto"/>
              <w:bottom w:val="single" w:sz="4" w:space="0" w:color="auto"/>
              <w:right w:val="single" w:sz="4" w:space="0" w:color="auto"/>
            </w:tcBorders>
            <w:vAlign w:val="center"/>
          </w:tcPr>
          <w:p w:rsidR="00652B6A" w:rsidRPr="00652B6A" w:rsidRDefault="00652B6A" w:rsidP="00652B6A">
            <w:pPr>
              <w:pStyle w:val="Normal-Tabeltal"/>
              <w:keepNext/>
              <w:spacing w:line="240" w:lineRule="auto"/>
              <w:ind w:left="0" w:right="0"/>
              <w:jc w:val="center"/>
              <w:rPr>
                <w:rFonts w:ascii="Garamond" w:hAnsi="Garamond"/>
                <w:i/>
                <w:sz w:val="18"/>
                <w:szCs w:val="18"/>
              </w:rPr>
            </w:pPr>
            <w:r w:rsidRPr="00652B6A">
              <w:rPr>
                <w:rFonts w:ascii="Garamond" w:hAnsi="Garamond"/>
                <w:i/>
                <w:sz w:val="18"/>
                <w:szCs w:val="18"/>
              </w:rPr>
              <w:t>2021</w:t>
            </w:r>
          </w:p>
        </w:tc>
        <w:tc>
          <w:tcPr>
            <w:tcW w:w="655" w:type="dxa"/>
            <w:tcBorders>
              <w:top w:val="single" w:sz="4" w:space="0" w:color="auto"/>
              <w:left w:val="single" w:sz="4" w:space="0" w:color="auto"/>
              <w:bottom w:val="single" w:sz="4" w:space="0" w:color="auto"/>
            </w:tcBorders>
            <w:vAlign w:val="center"/>
          </w:tcPr>
          <w:p w:rsidR="00652B6A" w:rsidRPr="00652B6A" w:rsidRDefault="00652B6A" w:rsidP="00652B6A">
            <w:pPr>
              <w:pStyle w:val="Normal-Tabeltal"/>
              <w:keepNext/>
              <w:spacing w:line="240" w:lineRule="auto"/>
              <w:ind w:left="0" w:right="0"/>
              <w:jc w:val="center"/>
              <w:rPr>
                <w:rFonts w:ascii="Garamond" w:hAnsi="Garamond"/>
                <w:i/>
                <w:sz w:val="18"/>
                <w:szCs w:val="18"/>
              </w:rPr>
            </w:pPr>
            <w:r w:rsidRPr="00652B6A">
              <w:rPr>
                <w:rFonts w:ascii="Garamond" w:hAnsi="Garamond"/>
                <w:i/>
                <w:sz w:val="18"/>
                <w:szCs w:val="18"/>
              </w:rPr>
              <w:t>2022</w:t>
            </w:r>
          </w:p>
        </w:tc>
      </w:tr>
      <w:tr w:rsidR="00652B6A" w:rsidRPr="00884B84" w:rsidTr="00652B6A">
        <w:tc>
          <w:tcPr>
            <w:tcW w:w="3234" w:type="dxa"/>
            <w:tcBorders>
              <w:top w:val="single" w:sz="4" w:space="0" w:color="auto"/>
              <w:right w:val="single" w:sz="4" w:space="0" w:color="auto"/>
            </w:tcBorders>
            <w:vAlign w:val="bottom"/>
          </w:tcPr>
          <w:p w:rsidR="00652B6A" w:rsidRPr="00652B6A" w:rsidRDefault="00652B6A" w:rsidP="00652B6A">
            <w:pPr>
              <w:keepNext/>
              <w:rPr>
                <w:iCs/>
                <w:sz w:val="18"/>
                <w:szCs w:val="18"/>
              </w:rPr>
            </w:pPr>
            <w:r w:rsidRPr="00652B6A">
              <w:rPr>
                <w:b/>
                <w:sz w:val="18"/>
                <w:szCs w:val="18"/>
              </w:rPr>
              <w:t>Gældende regler</w:t>
            </w:r>
          </w:p>
        </w:tc>
        <w:tc>
          <w:tcPr>
            <w:tcW w:w="655" w:type="dxa"/>
            <w:tcBorders>
              <w:top w:val="single" w:sz="4" w:space="0" w:color="auto"/>
              <w:left w:val="single" w:sz="4" w:space="0" w:color="auto"/>
              <w:right w:val="single" w:sz="4" w:space="0" w:color="auto"/>
            </w:tcBorders>
          </w:tcPr>
          <w:p w:rsidR="00652B6A" w:rsidRPr="00652B6A" w:rsidRDefault="00652B6A" w:rsidP="00652B6A">
            <w:pPr>
              <w:keepNext/>
              <w:rPr>
                <w:iCs/>
                <w:sz w:val="18"/>
                <w:szCs w:val="18"/>
              </w:rPr>
            </w:pPr>
          </w:p>
        </w:tc>
        <w:tc>
          <w:tcPr>
            <w:tcW w:w="654" w:type="dxa"/>
            <w:tcBorders>
              <w:top w:val="single" w:sz="4" w:space="0" w:color="auto"/>
              <w:left w:val="single" w:sz="4" w:space="0" w:color="auto"/>
            </w:tcBorders>
          </w:tcPr>
          <w:p w:rsidR="00652B6A" w:rsidRPr="00652B6A" w:rsidRDefault="00652B6A" w:rsidP="00652B6A">
            <w:pPr>
              <w:keepNext/>
              <w:rPr>
                <w:iCs/>
                <w:sz w:val="18"/>
                <w:szCs w:val="18"/>
              </w:rPr>
            </w:pPr>
          </w:p>
        </w:tc>
        <w:tc>
          <w:tcPr>
            <w:tcW w:w="655" w:type="dxa"/>
            <w:tcBorders>
              <w:top w:val="single" w:sz="4" w:space="0" w:color="auto"/>
            </w:tcBorders>
          </w:tcPr>
          <w:p w:rsidR="00652B6A" w:rsidRPr="00652B6A" w:rsidRDefault="00652B6A" w:rsidP="00652B6A">
            <w:pPr>
              <w:keepNext/>
              <w:rPr>
                <w:iCs/>
                <w:sz w:val="18"/>
                <w:szCs w:val="18"/>
              </w:rPr>
            </w:pPr>
          </w:p>
        </w:tc>
        <w:tc>
          <w:tcPr>
            <w:tcW w:w="654" w:type="dxa"/>
            <w:tcBorders>
              <w:top w:val="single" w:sz="4" w:space="0" w:color="auto"/>
            </w:tcBorders>
          </w:tcPr>
          <w:p w:rsidR="00652B6A" w:rsidRPr="00652B6A" w:rsidRDefault="00652B6A" w:rsidP="00652B6A">
            <w:pPr>
              <w:keepNext/>
              <w:rPr>
                <w:iCs/>
                <w:sz w:val="18"/>
                <w:szCs w:val="18"/>
              </w:rPr>
            </w:pPr>
          </w:p>
        </w:tc>
        <w:tc>
          <w:tcPr>
            <w:tcW w:w="655" w:type="dxa"/>
            <w:tcBorders>
              <w:top w:val="single" w:sz="4" w:space="0" w:color="auto"/>
            </w:tcBorders>
          </w:tcPr>
          <w:p w:rsidR="00652B6A" w:rsidRPr="00652B6A" w:rsidRDefault="00652B6A" w:rsidP="00652B6A">
            <w:pPr>
              <w:keepNext/>
              <w:rPr>
                <w:i/>
                <w:iCs/>
                <w:sz w:val="18"/>
                <w:szCs w:val="18"/>
              </w:rPr>
            </w:pPr>
          </w:p>
        </w:tc>
        <w:tc>
          <w:tcPr>
            <w:tcW w:w="654" w:type="dxa"/>
            <w:tcBorders>
              <w:top w:val="single" w:sz="4" w:space="0" w:color="auto"/>
            </w:tcBorders>
          </w:tcPr>
          <w:p w:rsidR="00652B6A" w:rsidRPr="00652B6A" w:rsidRDefault="00652B6A" w:rsidP="00652B6A">
            <w:pPr>
              <w:keepNext/>
              <w:rPr>
                <w:i/>
                <w:iCs/>
                <w:sz w:val="18"/>
                <w:szCs w:val="18"/>
              </w:rPr>
            </w:pPr>
          </w:p>
        </w:tc>
        <w:tc>
          <w:tcPr>
            <w:tcW w:w="655" w:type="dxa"/>
            <w:tcBorders>
              <w:top w:val="single" w:sz="4" w:space="0" w:color="auto"/>
            </w:tcBorders>
          </w:tcPr>
          <w:p w:rsidR="00652B6A" w:rsidRPr="00652B6A" w:rsidRDefault="00652B6A" w:rsidP="00652B6A">
            <w:pPr>
              <w:keepNext/>
              <w:rPr>
                <w:i/>
                <w:iCs/>
                <w:sz w:val="18"/>
                <w:szCs w:val="18"/>
              </w:rPr>
            </w:pPr>
          </w:p>
        </w:tc>
        <w:tc>
          <w:tcPr>
            <w:tcW w:w="654" w:type="dxa"/>
            <w:tcBorders>
              <w:top w:val="single" w:sz="4" w:space="0" w:color="auto"/>
            </w:tcBorders>
          </w:tcPr>
          <w:p w:rsidR="00652B6A" w:rsidRPr="00652B6A" w:rsidRDefault="00652B6A" w:rsidP="00652B6A">
            <w:pPr>
              <w:keepNext/>
              <w:rPr>
                <w:i/>
                <w:iCs/>
                <w:sz w:val="18"/>
                <w:szCs w:val="18"/>
              </w:rPr>
            </w:pPr>
          </w:p>
        </w:tc>
        <w:tc>
          <w:tcPr>
            <w:tcW w:w="655" w:type="dxa"/>
            <w:tcBorders>
              <w:top w:val="single" w:sz="4" w:space="0" w:color="auto"/>
            </w:tcBorders>
          </w:tcPr>
          <w:p w:rsidR="00652B6A" w:rsidRPr="00652B6A" w:rsidRDefault="00652B6A" w:rsidP="00652B6A">
            <w:pPr>
              <w:keepNext/>
              <w:rPr>
                <w:i/>
                <w:iCs/>
                <w:sz w:val="18"/>
                <w:szCs w:val="18"/>
              </w:rPr>
            </w:pPr>
          </w:p>
        </w:tc>
      </w:tr>
      <w:tr w:rsidR="00652B6A" w:rsidRPr="00884B84" w:rsidTr="00652B6A">
        <w:tc>
          <w:tcPr>
            <w:tcW w:w="3234" w:type="dxa"/>
            <w:tcBorders>
              <w:right w:val="single" w:sz="4" w:space="0" w:color="auto"/>
            </w:tcBorders>
            <w:vAlign w:val="bottom"/>
          </w:tcPr>
          <w:p w:rsidR="00652B6A" w:rsidRPr="00652B6A" w:rsidRDefault="00652B6A" w:rsidP="00652B6A">
            <w:pPr>
              <w:keepNext/>
              <w:rPr>
                <w:bCs/>
                <w:sz w:val="18"/>
                <w:szCs w:val="18"/>
              </w:rPr>
            </w:pPr>
            <w:r w:rsidRPr="00652B6A">
              <w:rPr>
                <w:sz w:val="18"/>
                <w:szCs w:val="18"/>
              </w:rPr>
              <w:t>Ekstra beskæftigelsesfradrag til enlige forsørgere, pct.</w:t>
            </w:r>
          </w:p>
        </w:tc>
        <w:tc>
          <w:tcPr>
            <w:tcW w:w="655" w:type="dxa"/>
            <w:tcBorders>
              <w:left w:val="single" w:sz="4" w:space="0" w:color="auto"/>
              <w:right w:val="single" w:sz="4" w:space="0" w:color="auto"/>
            </w:tcBorders>
            <w:vAlign w:val="bottom"/>
          </w:tcPr>
          <w:p w:rsidR="00652B6A" w:rsidRPr="00652B6A" w:rsidRDefault="00652B6A" w:rsidP="00652B6A">
            <w:pPr>
              <w:keepNext/>
              <w:jc w:val="right"/>
              <w:rPr>
                <w:bCs/>
                <w:sz w:val="18"/>
                <w:szCs w:val="18"/>
              </w:rPr>
            </w:pPr>
            <w:r w:rsidRPr="00652B6A">
              <w:rPr>
                <w:bCs/>
                <w:sz w:val="18"/>
                <w:szCs w:val="18"/>
              </w:rPr>
              <w:t>2,60</w:t>
            </w:r>
          </w:p>
        </w:tc>
        <w:tc>
          <w:tcPr>
            <w:tcW w:w="654" w:type="dxa"/>
            <w:tcBorders>
              <w:left w:val="single" w:sz="4" w:space="0" w:color="auto"/>
            </w:tcBorders>
            <w:vAlign w:val="bottom"/>
          </w:tcPr>
          <w:p w:rsidR="00652B6A" w:rsidRPr="00652B6A" w:rsidRDefault="00652B6A" w:rsidP="00652B6A">
            <w:pPr>
              <w:keepNext/>
              <w:jc w:val="right"/>
              <w:rPr>
                <w:bCs/>
                <w:i/>
                <w:sz w:val="18"/>
                <w:szCs w:val="18"/>
              </w:rPr>
            </w:pPr>
            <w:r w:rsidRPr="00652B6A">
              <w:rPr>
                <w:bCs/>
                <w:i/>
                <w:sz w:val="18"/>
                <w:szCs w:val="18"/>
              </w:rPr>
              <w:t>5,40</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5,60</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5,75</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6,00</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6,25</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6,25</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6,25</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6,25</w:t>
            </w:r>
          </w:p>
        </w:tc>
      </w:tr>
      <w:tr w:rsidR="00652B6A" w:rsidRPr="00884B84" w:rsidTr="00652B6A">
        <w:tc>
          <w:tcPr>
            <w:tcW w:w="3234" w:type="dxa"/>
            <w:tcBorders>
              <w:right w:val="single" w:sz="4" w:space="0" w:color="auto"/>
            </w:tcBorders>
            <w:vAlign w:val="bottom"/>
          </w:tcPr>
          <w:p w:rsidR="00652B6A" w:rsidRPr="00652B6A" w:rsidRDefault="00652B6A" w:rsidP="00652B6A">
            <w:pPr>
              <w:keepNext/>
              <w:rPr>
                <w:bCs/>
                <w:sz w:val="18"/>
                <w:szCs w:val="18"/>
              </w:rPr>
            </w:pPr>
            <w:r w:rsidRPr="00652B6A">
              <w:rPr>
                <w:sz w:val="18"/>
                <w:szCs w:val="18"/>
              </w:rPr>
              <w:t xml:space="preserve">Maks. fradrag, kr. (2014-niveau) </w:t>
            </w:r>
          </w:p>
        </w:tc>
        <w:tc>
          <w:tcPr>
            <w:tcW w:w="655" w:type="dxa"/>
            <w:tcBorders>
              <w:left w:val="single" w:sz="4" w:space="0" w:color="auto"/>
              <w:right w:val="single" w:sz="4" w:space="0" w:color="auto"/>
            </w:tcBorders>
            <w:vAlign w:val="bottom"/>
          </w:tcPr>
          <w:p w:rsidR="00652B6A" w:rsidRPr="00652B6A" w:rsidRDefault="00652B6A" w:rsidP="00652B6A">
            <w:pPr>
              <w:keepNext/>
              <w:jc w:val="right"/>
              <w:rPr>
                <w:bCs/>
                <w:sz w:val="18"/>
                <w:szCs w:val="18"/>
              </w:rPr>
            </w:pPr>
            <w:r w:rsidRPr="00652B6A">
              <w:rPr>
                <w:bCs/>
                <w:sz w:val="18"/>
                <w:szCs w:val="18"/>
              </w:rPr>
              <w:t>8.600</w:t>
            </w:r>
          </w:p>
        </w:tc>
        <w:tc>
          <w:tcPr>
            <w:tcW w:w="654" w:type="dxa"/>
            <w:tcBorders>
              <w:left w:val="single" w:sz="4" w:space="0" w:color="auto"/>
            </w:tcBorders>
            <w:vAlign w:val="bottom"/>
          </w:tcPr>
          <w:p w:rsidR="00652B6A" w:rsidRPr="00652B6A" w:rsidRDefault="00652B6A" w:rsidP="00652B6A">
            <w:pPr>
              <w:keepNext/>
              <w:jc w:val="right"/>
              <w:rPr>
                <w:bCs/>
                <w:i/>
                <w:sz w:val="18"/>
                <w:szCs w:val="18"/>
              </w:rPr>
            </w:pPr>
            <w:r w:rsidRPr="00652B6A">
              <w:rPr>
                <w:bCs/>
                <w:i/>
                <w:sz w:val="18"/>
                <w:szCs w:val="18"/>
              </w:rPr>
              <w:t>17.700</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18.300</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18.900</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19.700</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20.400</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20.400</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20.400</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20.400</w:t>
            </w:r>
          </w:p>
        </w:tc>
      </w:tr>
      <w:tr w:rsidR="00652B6A" w:rsidRPr="00884B84" w:rsidTr="00652B6A">
        <w:tc>
          <w:tcPr>
            <w:tcW w:w="3234" w:type="dxa"/>
            <w:tcBorders>
              <w:right w:val="single" w:sz="4" w:space="0" w:color="auto"/>
            </w:tcBorders>
            <w:vAlign w:val="bottom"/>
          </w:tcPr>
          <w:p w:rsidR="00652B6A" w:rsidRPr="00652B6A" w:rsidRDefault="00652B6A" w:rsidP="00652B6A">
            <w:pPr>
              <w:pStyle w:val="Normal-Tabeltal"/>
              <w:keepNext/>
              <w:spacing w:line="240" w:lineRule="auto"/>
              <w:ind w:left="0" w:right="0"/>
              <w:jc w:val="left"/>
              <w:rPr>
                <w:rFonts w:ascii="Garamond" w:hAnsi="Garamond"/>
                <w:sz w:val="18"/>
                <w:szCs w:val="18"/>
              </w:rPr>
            </w:pPr>
            <w:r w:rsidRPr="00652B6A">
              <w:rPr>
                <w:rFonts w:ascii="Garamond" w:hAnsi="Garamond"/>
                <w:sz w:val="18"/>
                <w:szCs w:val="18"/>
              </w:rPr>
              <w:t>Skatteprocent</w:t>
            </w:r>
            <w:r w:rsidRPr="00652B6A">
              <w:rPr>
                <w:rFonts w:ascii="Garamond" w:hAnsi="Garamond"/>
                <w:sz w:val="18"/>
                <w:szCs w:val="18"/>
                <w:vertAlign w:val="superscript"/>
              </w:rPr>
              <w:t>1)</w:t>
            </w:r>
            <w:r w:rsidRPr="00652B6A">
              <w:rPr>
                <w:rFonts w:ascii="Garamond" w:hAnsi="Garamond"/>
                <w:sz w:val="18"/>
                <w:szCs w:val="18"/>
              </w:rPr>
              <w:t>, pct.</w:t>
            </w:r>
          </w:p>
        </w:tc>
        <w:tc>
          <w:tcPr>
            <w:tcW w:w="655" w:type="dxa"/>
            <w:tcBorders>
              <w:left w:val="single" w:sz="4" w:space="0" w:color="auto"/>
              <w:right w:val="single" w:sz="4" w:space="0" w:color="auto"/>
            </w:tcBorders>
            <w:vAlign w:val="bottom"/>
          </w:tcPr>
          <w:p w:rsidR="00652B6A" w:rsidRPr="00652B6A" w:rsidRDefault="00652B6A" w:rsidP="00652B6A">
            <w:pPr>
              <w:keepNext/>
              <w:jc w:val="right"/>
              <w:rPr>
                <w:sz w:val="18"/>
                <w:szCs w:val="18"/>
              </w:rPr>
            </w:pPr>
            <w:r w:rsidRPr="00652B6A">
              <w:rPr>
                <w:sz w:val="18"/>
                <w:szCs w:val="18"/>
              </w:rPr>
              <w:t>30,6</w:t>
            </w:r>
          </w:p>
        </w:tc>
        <w:tc>
          <w:tcPr>
            <w:tcW w:w="654" w:type="dxa"/>
            <w:tcBorders>
              <w:left w:val="single" w:sz="4" w:space="0" w:color="auto"/>
            </w:tcBorders>
            <w:vAlign w:val="bottom"/>
          </w:tcPr>
          <w:p w:rsidR="00652B6A" w:rsidRPr="00652B6A" w:rsidRDefault="00652B6A" w:rsidP="00652B6A">
            <w:pPr>
              <w:keepNext/>
              <w:jc w:val="right"/>
              <w:rPr>
                <w:i/>
                <w:sz w:val="18"/>
                <w:szCs w:val="18"/>
              </w:rPr>
            </w:pPr>
            <w:r w:rsidRPr="00652B6A">
              <w:rPr>
                <w:i/>
                <w:sz w:val="18"/>
                <w:szCs w:val="18"/>
              </w:rPr>
              <w:t>29,6</w:t>
            </w:r>
          </w:p>
        </w:tc>
        <w:tc>
          <w:tcPr>
            <w:tcW w:w="655" w:type="dxa"/>
            <w:vAlign w:val="bottom"/>
          </w:tcPr>
          <w:p w:rsidR="00652B6A" w:rsidRPr="00652B6A" w:rsidRDefault="00652B6A" w:rsidP="00652B6A">
            <w:pPr>
              <w:keepNext/>
              <w:jc w:val="right"/>
              <w:rPr>
                <w:i/>
                <w:sz w:val="18"/>
                <w:szCs w:val="18"/>
              </w:rPr>
            </w:pPr>
            <w:r w:rsidRPr="00652B6A">
              <w:rPr>
                <w:i/>
                <w:sz w:val="18"/>
                <w:szCs w:val="18"/>
              </w:rPr>
              <w:t>28,6</w:t>
            </w:r>
          </w:p>
        </w:tc>
        <w:tc>
          <w:tcPr>
            <w:tcW w:w="654" w:type="dxa"/>
            <w:vAlign w:val="bottom"/>
          </w:tcPr>
          <w:p w:rsidR="00652B6A" w:rsidRPr="00652B6A" w:rsidRDefault="00652B6A" w:rsidP="00652B6A">
            <w:pPr>
              <w:keepNext/>
              <w:jc w:val="right"/>
              <w:rPr>
                <w:i/>
                <w:sz w:val="18"/>
                <w:szCs w:val="18"/>
              </w:rPr>
            </w:pPr>
            <w:r w:rsidRPr="00652B6A">
              <w:rPr>
                <w:i/>
                <w:sz w:val="18"/>
                <w:szCs w:val="18"/>
              </w:rPr>
              <w:t>27,6</w:t>
            </w:r>
          </w:p>
        </w:tc>
        <w:tc>
          <w:tcPr>
            <w:tcW w:w="655" w:type="dxa"/>
            <w:vAlign w:val="bottom"/>
          </w:tcPr>
          <w:p w:rsidR="00652B6A" w:rsidRPr="00652B6A" w:rsidRDefault="00652B6A" w:rsidP="00652B6A">
            <w:pPr>
              <w:keepNext/>
              <w:jc w:val="right"/>
              <w:rPr>
                <w:i/>
                <w:sz w:val="18"/>
                <w:szCs w:val="18"/>
              </w:rPr>
            </w:pPr>
            <w:r w:rsidRPr="00652B6A">
              <w:rPr>
                <w:i/>
                <w:sz w:val="18"/>
                <w:szCs w:val="18"/>
              </w:rPr>
              <w:t>26,6</w:t>
            </w:r>
          </w:p>
        </w:tc>
        <w:tc>
          <w:tcPr>
            <w:tcW w:w="654" w:type="dxa"/>
            <w:vAlign w:val="bottom"/>
          </w:tcPr>
          <w:p w:rsidR="00652B6A" w:rsidRPr="00652B6A" w:rsidRDefault="00652B6A" w:rsidP="00652B6A">
            <w:pPr>
              <w:keepNext/>
              <w:jc w:val="right"/>
              <w:rPr>
                <w:i/>
                <w:sz w:val="18"/>
                <w:szCs w:val="18"/>
              </w:rPr>
            </w:pPr>
            <w:r w:rsidRPr="00652B6A">
              <w:rPr>
                <w:i/>
                <w:sz w:val="18"/>
                <w:szCs w:val="18"/>
              </w:rPr>
              <w:t>25,6</w:t>
            </w:r>
          </w:p>
        </w:tc>
        <w:tc>
          <w:tcPr>
            <w:tcW w:w="655" w:type="dxa"/>
            <w:vAlign w:val="bottom"/>
          </w:tcPr>
          <w:p w:rsidR="00652B6A" w:rsidRPr="00652B6A" w:rsidRDefault="00652B6A" w:rsidP="00652B6A">
            <w:pPr>
              <w:keepNext/>
              <w:jc w:val="right"/>
              <w:rPr>
                <w:i/>
                <w:sz w:val="18"/>
                <w:szCs w:val="18"/>
              </w:rPr>
            </w:pPr>
            <w:r w:rsidRPr="00652B6A">
              <w:rPr>
                <w:i/>
                <w:sz w:val="18"/>
                <w:szCs w:val="18"/>
              </w:rPr>
              <w:t>25,6</w:t>
            </w:r>
          </w:p>
        </w:tc>
        <w:tc>
          <w:tcPr>
            <w:tcW w:w="654" w:type="dxa"/>
            <w:vAlign w:val="bottom"/>
          </w:tcPr>
          <w:p w:rsidR="00652B6A" w:rsidRPr="00652B6A" w:rsidRDefault="00652B6A" w:rsidP="00652B6A">
            <w:pPr>
              <w:keepNext/>
              <w:jc w:val="right"/>
              <w:rPr>
                <w:i/>
                <w:sz w:val="18"/>
                <w:szCs w:val="18"/>
              </w:rPr>
            </w:pPr>
            <w:r w:rsidRPr="00652B6A">
              <w:rPr>
                <w:i/>
                <w:sz w:val="18"/>
                <w:szCs w:val="18"/>
              </w:rPr>
              <w:t>25,6</w:t>
            </w:r>
          </w:p>
        </w:tc>
        <w:tc>
          <w:tcPr>
            <w:tcW w:w="655" w:type="dxa"/>
            <w:vAlign w:val="bottom"/>
          </w:tcPr>
          <w:p w:rsidR="00652B6A" w:rsidRPr="00652B6A" w:rsidRDefault="00652B6A" w:rsidP="00652B6A">
            <w:pPr>
              <w:keepNext/>
              <w:jc w:val="right"/>
              <w:rPr>
                <w:i/>
                <w:sz w:val="18"/>
                <w:szCs w:val="18"/>
              </w:rPr>
            </w:pPr>
            <w:r w:rsidRPr="00652B6A">
              <w:rPr>
                <w:i/>
                <w:sz w:val="18"/>
                <w:szCs w:val="18"/>
              </w:rPr>
              <w:t>25,6</w:t>
            </w:r>
          </w:p>
        </w:tc>
      </w:tr>
      <w:tr w:rsidR="00652B6A" w:rsidRPr="00884B84" w:rsidTr="00652B6A">
        <w:tc>
          <w:tcPr>
            <w:tcW w:w="3234" w:type="dxa"/>
            <w:tcBorders>
              <w:bottom w:val="single" w:sz="4" w:space="0" w:color="auto"/>
              <w:right w:val="single" w:sz="4" w:space="0" w:color="auto"/>
            </w:tcBorders>
            <w:vAlign w:val="bottom"/>
          </w:tcPr>
          <w:p w:rsidR="00652B6A" w:rsidRPr="00652B6A" w:rsidRDefault="00652B6A" w:rsidP="00652B6A">
            <w:pPr>
              <w:keepNext/>
              <w:rPr>
                <w:bCs/>
                <w:sz w:val="18"/>
                <w:szCs w:val="18"/>
              </w:rPr>
            </w:pPr>
            <w:r w:rsidRPr="00652B6A">
              <w:rPr>
                <w:sz w:val="18"/>
                <w:szCs w:val="18"/>
              </w:rPr>
              <w:t>Skatteværdi af maks. fradrag, kr.</w:t>
            </w:r>
          </w:p>
        </w:tc>
        <w:tc>
          <w:tcPr>
            <w:tcW w:w="655" w:type="dxa"/>
            <w:tcBorders>
              <w:left w:val="single" w:sz="4" w:space="0" w:color="auto"/>
              <w:bottom w:val="single" w:sz="4" w:space="0" w:color="auto"/>
              <w:right w:val="single" w:sz="4" w:space="0" w:color="auto"/>
            </w:tcBorders>
            <w:vAlign w:val="bottom"/>
          </w:tcPr>
          <w:p w:rsidR="00652B6A" w:rsidRPr="00652B6A" w:rsidRDefault="00652B6A" w:rsidP="00652B6A">
            <w:pPr>
              <w:keepNext/>
              <w:jc w:val="right"/>
              <w:rPr>
                <w:sz w:val="18"/>
                <w:szCs w:val="18"/>
              </w:rPr>
            </w:pPr>
            <w:r w:rsidRPr="00652B6A">
              <w:rPr>
                <w:sz w:val="18"/>
                <w:szCs w:val="18"/>
              </w:rPr>
              <w:t>2.632</w:t>
            </w:r>
          </w:p>
        </w:tc>
        <w:tc>
          <w:tcPr>
            <w:tcW w:w="654" w:type="dxa"/>
            <w:tcBorders>
              <w:left w:val="single" w:sz="4" w:space="0" w:color="auto"/>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5.239</w:t>
            </w:r>
          </w:p>
        </w:tc>
        <w:tc>
          <w:tcPr>
            <w:tcW w:w="655"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5.234</w:t>
            </w:r>
          </w:p>
        </w:tc>
        <w:tc>
          <w:tcPr>
            <w:tcW w:w="654"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5.216</w:t>
            </w:r>
          </w:p>
        </w:tc>
        <w:tc>
          <w:tcPr>
            <w:tcW w:w="655"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5.240</w:t>
            </w:r>
          </w:p>
        </w:tc>
        <w:tc>
          <w:tcPr>
            <w:tcW w:w="654"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5.222</w:t>
            </w:r>
          </w:p>
        </w:tc>
        <w:tc>
          <w:tcPr>
            <w:tcW w:w="655"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5.222</w:t>
            </w:r>
          </w:p>
        </w:tc>
        <w:tc>
          <w:tcPr>
            <w:tcW w:w="654"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5.222</w:t>
            </w:r>
          </w:p>
        </w:tc>
        <w:tc>
          <w:tcPr>
            <w:tcW w:w="655"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5.222</w:t>
            </w:r>
          </w:p>
        </w:tc>
      </w:tr>
      <w:tr w:rsidR="00652B6A" w:rsidRPr="00884B84" w:rsidTr="00652B6A">
        <w:tc>
          <w:tcPr>
            <w:tcW w:w="3234" w:type="dxa"/>
            <w:tcBorders>
              <w:top w:val="single" w:sz="4" w:space="0" w:color="auto"/>
              <w:right w:val="single" w:sz="4" w:space="0" w:color="auto"/>
            </w:tcBorders>
            <w:vAlign w:val="bottom"/>
          </w:tcPr>
          <w:p w:rsidR="00652B6A" w:rsidRPr="00652B6A" w:rsidRDefault="00652B6A" w:rsidP="00652B6A">
            <w:pPr>
              <w:keepNext/>
              <w:rPr>
                <w:iCs/>
                <w:sz w:val="18"/>
                <w:szCs w:val="18"/>
              </w:rPr>
            </w:pPr>
            <w:r w:rsidRPr="00652B6A">
              <w:rPr>
                <w:b/>
                <w:sz w:val="18"/>
                <w:szCs w:val="18"/>
              </w:rPr>
              <w:t>Lovforslag</w:t>
            </w:r>
          </w:p>
        </w:tc>
        <w:tc>
          <w:tcPr>
            <w:tcW w:w="655" w:type="dxa"/>
            <w:tcBorders>
              <w:top w:val="single" w:sz="4" w:space="0" w:color="auto"/>
              <w:left w:val="single" w:sz="4" w:space="0" w:color="auto"/>
              <w:right w:val="single" w:sz="4" w:space="0" w:color="auto"/>
            </w:tcBorders>
          </w:tcPr>
          <w:p w:rsidR="00652B6A" w:rsidRPr="00652B6A" w:rsidRDefault="00652B6A" w:rsidP="00652B6A">
            <w:pPr>
              <w:keepNext/>
              <w:jc w:val="right"/>
              <w:rPr>
                <w:iCs/>
                <w:sz w:val="18"/>
                <w:szCs w:val="18"/>
              </w:rPr>
            </w:pPr>
          </w:p>
        </w:tc>
        <w:tc>
          <w:tcPr>
            <w:tcW w:w="654" w:type="dxa"/>
            <w:tcBorders>
              <w:top w:val="single" w:sz="4" w:space="0" w:color="auto"/>
              <w:left w:val="single" w:sz="4" w:space="0" w:color="auto"/>
            </w:tcBorders>
          </w:tcPr>
          <w:p w:rsidR="00652B6A" w:rsidRPr="00652B6A" w:rsidRDefault="00652B6A" w:rsidP="00652B6A">
            <w:pPr>
              <w:keepNext/>
              <w:jc w:val="right"/>
              <w:rPr>
                <w:i/>
                <w:iCs/>
                <w:sz w:val="18"/>
                <w:szCs w:val="18"/>
              </w:rPr>
            </w:pPr>
          </w:p>
        </w:tc>
        <w:tc>
          <w:tcPr>
            <w:tcW w:w="655" w:type="dxa"/>
            <w:tcBorders>
              <w:top w:val="single" w:sz="4" w:space="0" w:color="auto"/>
            </w:tcBorders>
          </w:tcPr>
          <w:p w:rsidR="00652B6A" w:rsidRPr="00652B6A" w:rsidRDefault="00652B6A" w:rsidP="00652B6A">
            <w:pPr>
              <w:keepNext/>
              <w:jc w:val="right"/>
              <w:rPr>
                <w:i/>
                <w:iCs/>
                <w:sz w:val="18"/>
                <w:szCs w:val="18"/>
              </w:rPr>
            </w:pPr>
          </w:p>
        </w:tc>
        <w:tc>
          <w:tcPr>
            <w:tcW w:w="654" w:type="dxa"/>
            <w:tcBorders>
              <w:top w:val="single" w:sz="4" w:space="0" w:color="auto"/>
            </w:tcBorders>
          </w:tcPr>
          <w:p w:rsidR="00652B6A" w:rsidRPr="00652B6A" w:rsidRDefault="00652B6A" w:rsidP="00652B6A">
            <w:pPr>
              <w:keepNext/>
              <w:jc w:val="right"/>
              <w:rPr>
                <w:i/>
                <w:iCs/>
                <w:sz w:val="18"/>
                <w:szCs w:val="18"/>
              </w:rPr>
            </w:pPr>
          </w:p>
        </w:tc>
        <w:tc>
          <w:tcPr>
            <w:tcW w:w="655" w:type="dxa"/>
            <w:tcBorders>
              <w:top w:val="single" w:sz="4" w:space="0" w:color="auto"/>
            </w:tcBorders>
          </w:tcPr>
          <w:p w:rsidR="00652B6A" w:rsidRPr="00652B6A" w:rsidRDefault="00652B6A" w:rsidP="00652B6A">
            <w:pPr>
              <w:keepNext/>
              <w:jc w:val="right"/>
              <w:rPr>
                <w:i/>
                <w:iCs/>
                <w:sz w:val="18"/>
                <w:szCs w:val="18"/>
              </w:rPr>
            </w:pPr>
          </w:p>
        </w:tc>
        <w:tc>
          <w:tcPr>
            <w:tcW w:w="654" w:type="dxa"/>
            <w:tcBorders>
              <w:top w:val="single" w:sz="4" w:space="0" w:color="auto"/>
            </w:tcBorders>
          </w:tcPr>
          <w:p w:rsidR="00652B6A" w:rsidRPr="00652B6A" w:rsidRDefault="00652B6A" w:rsidP="00652B6A">
            <w:pPr>
              <w:keepNext/>
              <w:jc w:val="right"/>
              <w:rPr>
                <w:i/>
                <w:iCs/>
                <w:sz w:val="18"/>
                <w:szCs w:val="18"/>
              </w:rPr>
            </w:pPr>
          </w:p>
        </w:tc>
        <w:tc>
          <w:tcPr>
            <w:tcW w:w="655" w:type="dxa"/>
            <w:tcBorders>
              <w:top w:val="single" w:sz="4" w:space="0" w:color="auto"/>
            </w:tcBorders>
          </w:tcPr>
          <w:p w:rsidR="00652B6A" w:rsidRPr="00652B6A" w:rsidRDefault="00652B6A" w:rsidP="00652B6A">
            <w:pPr>
              <w:keepNext/>
              <w:jc w:val="right"/>
              <w:rPr>
                <w:i/>
                <w:iCs/>
                <w:sz w:val="18"/>
                <w:szCs w:val="18"/>
              </w:rPr>
            </w:pPr>
          </w:p>
        </w:tc>
        <w:tc>
          <w:tcPr>
            <w:tcW w:w="654" w:type="dxa"/>
            <w:tcBorders>
              <w:top w:val="single" w:sz="4" w:space="0" w:color="auto"/>
            </w:tcBorders>
          </w:tcPr>
          <w:p w:rsidR="00652B6A" w:rsidRPr="00652B6A" w:rsidRDefault="00652B6A" w:rsidP="00652B6A">
            <w:pPr>
              <w:keepNext/>
              <w:jc w:val="right"/>
              <w:rPr>
                <w:i/>
                <w:iCs/>
                <w:sz w:val="18"/>
                <w:szCs w:val="18"/>
              </w:rPr>
            </w:pPr>
          </w:p>
        </w:tc>
        <w:tc>
          <w:tcPr>
            <w:tcW w:w="655" w:type="dxa"/>
            <w:tcBorders>
              <w:top w:val="single" w:sz="4" w:space="0" w:color="auto"/>
            </w:tcBorders>
          </w:tcPr>
          <w:p w:rsidR="00652B6A" w:rsidRPr="00652B6A" w:rsidRDefault="00652B6A" w:rsidP="00652B6A">
            <w:pPr>
              <w:keepNext/>
              <w:jc w:val="right"/>
              <w:rPr>
                <w:i/>
                <w:iCs/>
                <w:sz w:val="18"/>
                <w:szCs w:val="18"/>
              </w:rPr>
            </w:pPr>
          </w:p>
        </w:tc>
      </w:tr>
      <w:tr w:rsidR="00652B6A" w:rsidRPr="00884B84" w:rsidTr="00652B6A">
        <w:tc>
          <w:tcPr>
            <w:tcW w:w="3234" w:type="dxa"/>
            <w:tcBorders>
              <w:right w:val="single" w:sz="4" w:space="0" w:color="auto"/>
            </w:tcBorders>
            <w:vAlign w:val="bottom"/>
          </w:tcPr>
          <w:p w:rsidR="00652B6A" w:rsidRPr="00652B6A" w:rsidRDefault="00652B6A" w:rsidP="00652B6A">
            <w:pPr>
              <w:keepNext/>
              <w:rPr>
                <w:sz w:val="18"/>
                <w:szCs w:val="18"/>
              </w:rPr>
            </w:pPr>
            <w:r w:rsidRPr="00652B6A">
              <w:rPr>
                <w:sz w:val="18"/>
                <w:szCs w:val="18"/>
              </w:rPr>
              <w:t>Ekstra beskæftigelsesfradrag til enlige forsørgere, pct.</w:t>
            </w:r>
          </w:p>
        </w:tc>
        <w:tc>
          <w:tcPr>
            <w:tcW w:w="655" w:type="dxa"/>
            <w:tcBorders>
              <w:left w:val="single" w:sz="4" w:space="0" w:color="auto"/>
              <w:right w:val="single" w:sz="4" w:space="0" w:color="auto"/>
            </w:tcBorders>
            <w:vAlign w:val="bottom"/>
          </w:tcPr>
          <w:p w:rsidR="00652B6A" w:rsidRPr="00652B6A" w:rsidRDefault="00652B6A" w:rsidP="00652B6A">
            <w:pPr>
              <w:keepNext/>
              <w:jc w:val="right"/>
              <w:rPr>
                <w:b/>
                <w:bCs/>
                <w:sz w:val="18"/>
                <w:szCs w:val="18"/>
              </w:rPr>
            </w:pPr>
            <w:r w:rsidRPr="00652B6A">
              <w:rPr>
                <w:b/>
                <w:bCs/>
                <w:sz w:val="18"/>
                <w:szCs w:val="18"/>
              </w:rPr>
              <w:t>5,40</w:t>
            </w:r>
          </w:p>
        </w:tc>
        <w:tc>
          <w:tcPr>
            <w:tcW w:w="654" w:type="dxa"/>
            <w:tcBorders>
              <w:left w:val="single" w:sz="4" w:space="0" w:color="auto"/>
            </w:tcBorders>
            <w:vAlign w:val="bottom"/>
          </w:tcPr>
          <w:p w:rsidR="00652B6A" w:rsidRPr="00652B6A" w:rsidRDefault="00652B6A" w:rsidP="00652B6A">
            <w:pPr>
              <w:keepNext/>
              <w:jc w:val="right"/>
              <w:rPr>
                <w:bCs/>
                <w:i/>
                <w:sz w:val="18"/>
                <w:szCs w:val="18"/>
              </w:rPr>
            </w:pPr>
            <w:r w:rsidRPr="00652B6A">
              <w:rPr>
                <w:bCs/>
                <w:i/>
                <w:sz w:val="18"/>
                <w:szCs w:val="18"/>
              </w:rPr>
              <w:t>5,40</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5,60</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5,75</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6,00</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6,25</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6,25</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6,25</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6,25</w:t>
            </w:r>
          </w:p>
        </w:tc>
      </w:tr>
      <w:tr w:rsidR="00652B6A" w:rsidRPr="00884B84" w:rsidTr="00652B6A">
        <w:tc>
          <w:tcPr>
            <w:tcW w:w="3234" w:type="dxa"/>
            <w:tcBorders>
              <w:right w:val="single" w:sz="4" w:space="0" w:color="auto"/>
            </w:tcBorders>
            <w:vAlign w:val="bottom"/>
          </w:tcPr>
          <w:p w:rsidR="00652B6A" w:rsidRPr="00652B6A" w:rsidRDefault="00652B6A" w:rsidP="00652B6A">
            <w:pPr>
              <w:keepNext/>
              <w:rPr>
                <w:sz w:val="18"/>
                <w:szCs w:val="18"/>
              </w:rPr>
            </w:pPr>
            <w:r w:rsidRPr="00652B6A">
              <w:rPr>
                <w:sz w:val="18"/>
                <w:szCs w:val="18"/>
              </w:rPr>
              <w:t>Maks. fradrag, kr. (2014-niveau)</w:t>
            </w:r>
          </w:p>
        </w:tc>
        <w:tc>
          <w:tcPr>
            <w:tcW w:w="655" w:type="dxa"/>
            <w:tcBorders>
              <w:left w:val="single" w:sz="4" w:space="0" w:color="auto"/>
              <w:right w:val="single" w:sz="4" w:space="0" w:color="auto"/>
            </w:tcBorders>
            <w:vAlign w:val="bottom"/>
          </w:tcPr>
          <w:p w:rsidR="00652B6A" w:rsidRPr="00652B6A" w:rsidRDefault="00652B6A" w:rsidP="00652B6A">
            <w:pPr>
              <w:keepNext/>
              <w:jc w:val="right"/>
              <w:rPr>
                <w:b/>
                <w:bCs/>
                <w:sz w:val="18"/>
                <w:szCs w:val="18"/>
              </w:rPr>
            </w:pPr>
            <w:r w:rsidRPr="00652B6A">
              <w:rPr>
                <w:b/>
                <w:bCs/>
                <w:sz w:val="18"/>
                <w:szCs w:val="18"/>
              </w:rPr>
              <w:t>17.700</w:t>
            </w:r>
          </w:p>
        </w:tc>
        <w:tc>
          <w:tcPr>
            <w:tcW w:w="654" w:type="dxa"/>
            <w:tcBorders>
              <w:left w:val="single" w:sz="4" w:space="0" w:color="auto"/>
            </w:tcBorders>
            <w:vAlign w:val="bottom"/>
          </w:tcPr>
          <w:p w:rsidR="00652B6A" w:rsidRPr="00652B6A" w:rsidRDefault="00652B6A" w:rsidP="00652B6A">
            <w:pPr>
              <w:keepNext/>
              <w:jc w:val="right"/>
              <w:rPr>
                <w:bCs/>
                <w:i/>
                <w:sz w:val="18"/>
                <w:szCs w:val="18"/>
              </w:rPr>
            </w:pPr>
            <w:r w:rsidRPr="00652B6A">
              <w:rPr>
                <w:bCs/>
                <w:i/>
                <w:sz w:val="18"/>
                <w:szCs w:val="18"/>
              </w:rPr>
              <w:t>17.700</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18.300</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18.900</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19.700</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20.400</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20.400</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20.400</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20.400</w:t>
            </w:r>
          </w:p>
        </w:tc>
      </w:tr>
      <w:tr w:rsidR="00652B6A" w:rsidRPr="00884B84" w:rsidTr="00652B6A">
        <w:tc>
          <w:tcPr>
            <w:tcW w:w="3234" w:type="dxa"/>
            <w:tcBorders>
              <w:right w:val="single" w:sz="4" w:space="0" w:color="auto"/>
            </w:tcBorders>
            <w:vAlign w:val="bottom"/>
          </w:tcPr>
          <w:p w:rsidR="00652B6A" w:rsidRPr="00652B6A" w:rsidRDefault="00652B6A" w:rsidP="00652B6A">
            <w:pPr>
              <w:pStyle w:val="Normal-Tabeltal"/>
              <w:keepNext/>
              <w:spacing w:line="240" w:lineRule="auto"/>
              <w:ind w:left="0" w:right="0"/>
              <w:jc w:val="left"/>
              <w:rPr>
                <w:rFonts w:ascii="Garamond" w:hAnsi="Garamond"/>
                <w:sz w:val="18"/>
                <w:szCs w:val="18"/>
              </w:rPr>
            </w:pPr>
            <w:r w:rsidRPr="00652B6A">
              <w:rPr>
                <w:rFonts w:ascii="Garamond" w:hAnsi="Garamond"/>
                <w:sz w:val="18"/>
                <w:szCs w:val="18"/>
              </w:rPr>
              <w:t>Skatteprocent</w:t>
            </w:r>
            <w:r w:rsidRPr="00652B6A">
              <w:rPr>
                <w:rFonts w:ascii="Garamond" w:hAnsi="Garamond"/>
                <w:sz w:val="18"/>
                <w:szCs w:val="18"/>
                <w:vertAlign w:val="superscript"/>
              </w:rPr>
              <w:t>1)</w:t>
            </w:r>
            <w:r w:rsidRPr="00652B6A">
              <w:rPr>
                <w:rFonts w:ascii="Garamond" w:hAnsi="Garamond"/>
                <w:sz w:val="18"/>
                <w:szCs w:val="18"/>
              </w:rPr>
              <w:t>, pct.</w:t>
            </w:r>
          </w:p>
        </w:tc>
        <w:tc>
          <w:tcPr>
            <w:tcW w:w="655" w:type="dxa"/>
            <w:tcBorders>
              <w:left w:val="single" w:sz="4" w:space="0" w:color="auto"/>
              <w:right w:val="single" w:sz="4" w:space="0" w:color="auto"/>
            </w:tcBorders>
            <w:vAlign w:val="bottom"/>
          </w:tcPr>
          <w:p w:rsidR="00652B6A" w:rsidRPr="00652B6A" w:rsidRDefault="00652B6A" w:rsidP="00652B6A">
            <w:pPr>
              <w:keepNext/>
              <w:jc w:val="right"/>
              <w:rPr>
                <w:bCs/>
                <w:sz w:val="18"/>
                <w:szCs w:val="18"/>
              </w:rPr>
            </w:pPr>
            <w:r w:rsidRPr="00652B6A">
              <w:rPr>
                <w:bCs/>
                <w:sz w:val="18"/>
                <w:szCs w:val="18"/>
              </w:rPr>
              <w:t>30,6</w:t>
            </w:r>
          </w:p>
        </w:tc>
        <w:tc>
          <w:tcPr>
            <w:tcW w:w="654" w:type="dxa"/>
            <w:tcBorders>
              <w:left w:val="single" w:sz="4" w:space="0" w:color="auto"/>
            </w:tcBorders>
            <w:vAlign w:val="bottom"/>
          </w:tcPr>
          <w:p w:rsidR="00652B6A" w:rsidRPr="00652B6A" w:rsidRDefault="00652B6A" w:rsidP="00652B6A">
            <w:pPr>
              <w:keepNext/>
              <w:jc w:val="right"/>
              <w:rPr>
                <w:bCs/>
                <w:i/>
                <w:sz w:val="18"/>
                <w:szCs w:val="18"/>
              </w:rPr>
            </w:pPr>
            <w:r w:rsidRPr="00652B6A">
              <w:rPr>
                <w:bCs/>
                <w:i/>
                <w:sz w:val="18"/>
                <w:szCs w:val="18"/>
              </w:rPr>
              <w:t>29,6</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28,6</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27,6</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26,6</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25,6</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25,6</w:t>
            </w:r>
          </w:p>
        </w:tc>
        <w:tc>
          <w:tcPr>
            <w:tcW w:w="654" w:type="dxa"/>
            <w:vAlign w:val="bottom"/>
          </w:tcPr>
          <w:p w:rsidR="00652B6A" w:rsidRPr="00652B6A" w:rsidRDefault="00652B6A" w:rsidP="00652B6A">
            <w:pPr>
              <w:keepNext/>
              <w:jc w:val="right"/>
              <w:rPr>
                <w:bCs/>
                <w:i/>
                <w:sz w:val="18"/>
                <w:szCs w:val="18"/>
              </w:rPr>
            </w:pPr>
            <w:r w:rsidRPr="00652B6A">
              <w:rPr>
                <w:bCs/>
                <w:i/>
                <w:sz w:val="18"/>
                <w:szCs w:val="18"/>
              </w:rPr>
              <w:t>25,6</w:t>
            </w:r>
          </w:p>
        </w:tc>
        <w:tc>
          <w:tcPr>
            <w:tcW w:w="655" w:type="dxa"/>
            <w:vAlign w:val="bottom"/>
          </w:tcPr>
          <w:p w:rsidR="00652B6A" w:rsidRPr="00652B6A" w:rsidRDefault="00652B6A" w:rsidP="00652B6A">
            <w:pPr>
              <w:keepNext/>
              <w:jc w:val="right"/>
              <w:rPr>
                <w:bCs/>
                <w:i/>
                <w:sz w:val="18"/>
                <w:szCs w:val="18"/>
              </w:rPr>
            </w:pPr>
            <w:r w:rsidRPr="00652B6A">
              <w:rPr>
                <w:bCs/>
                <w:i/>
                <w:sz w:val="18"/>
                <w:szCs w:val="18"/>
              </w:rPr>
              <w:t>25,6</w:t>
            </w:r>
          </w:p>
        </w:tc>
      </w:tr>
      <w:tr w:rsidR="00652B6A" w:rsidRPr="00884B84" w:rsidTr="00652B6A">
        <w:tc>
          <w:tcPr>
            <w:tcW w:w="3234" w:type="dxa"/>
            <w:tcBorders>
              <w:bottom w:val="single" w:sz="4" w:space="0" w:color="auto"/>
              <w:right w:val="single" w:sz="4" w:space="0" w:color="auto"/>
            </w:tcBorders>
          </w:tcPr>
          <w:p w:rsidR="00652B6A" w:rsidRPr="00652B6A" w:rsidRDefault="00652B6A" w:rsidP="00652B6A">
            <w:pPr>
              <w:keepNext/>
              <w:rPr>
                <w:sz w:val="18"/>
                <w:szCs w:val="18"/>
              </w:rPr>
            </w:pPr>
            <w:r w:rsidRPr="00652B6A">
              <w:rPr>
                <w:sz w:val="18"/>
                <w:szCs w:val="18"/>
              </w:rPr>
              <w:t>Skatteværdi af maks. fradrag, kr.</w:t>
            </w:r>
          </w:p>
        </w:tc>
        <w:tc>
          <w:tcPr>
            <w:tcW w:w="655" w:type="dxa"/>
            <w:tcBorders>
              <w:left w:val="single" w:sz="4" w:space="0" w:color="auto"/>
              <w:bottom w:val="single" w:sz="4" w:space="0" w:color="auto"/>
              <w:right w:val="single" w:sz="4" w:space="0" w:color="auto"/>
            </w:tcBorders>
            <w:vAlign w:val="bottom"/>
          </w:tcPr>
          <w:p w:rsidR="00652B6A" w:rsidRPr="00652B6A" w:rsidRDefault="00652B6A" w:rsidP="00652B6A">
            <w:pPr>
              <w:keepNext/>
              <w:jc w:val="right"/>
              <w:rPr>
                <w:bCs/>
                <w:sz w:val="18"/>
                <w:szCs w:val="18"/>
              </w:rPr>
            </w:pPr>
            <w:r w:rsidRPr="00652B6A">
              <w:rPr>
                <w:bCs/>
                <w:sz w:val="18"/>
                <w:szCs w:val="18"/>
              </w:rPr>
              <w:t>5.416</w:t>
            </w:r>
          </w:p>
        </w:tc>
        <w:tc>
          <w:tcPr>
            <w:tcW w:w="654" w:type="dxa"/>
            <w:tcBorders>
              <w:left w:val="single" w:sz="4" w:space="0" w:color="auto"/>
              <w:bottom w:val="single" w:sz="4" w:space="0" w:color="auto"/>
            </w:tcBorders>
            <w:vAlign w:val="bottom"/>
          </w:tcPr>
          <w:p w:rsidR="00652B6A" w:rsidRPr="00652B6A" w:rsidRDefault="00652B6A" w:rsidP="00652B6A">
            <w:pPr>
              <w:keepNext/>
              <w:jc w:val="right"/>
              <w:rPr>
                <w:bCs/>
                <w:i/>
                <w:sz w:val="18"/>
                <w:szCs w:val="18"/>
              </w:rPr>
            </w:pPr>
            <w:r w:rsidRPr="00652B6A">
              <w:rPr>
                <w:bCs/>
                <w:i/>
                <w:sz w:val="18"/>
                <w:szCs w:val="18"/>
              </w:rPr>
              <w:t>5.239</w:t>
            </w:r>
          </w:p>
        </w:tc>
        <w:tc>
          <w:tcPr>
            <w:tcW w:w="655" w:type="dxa"/>
            <w:tcBorders>
              <w:bottom w:val="single" w:sz="4" w:space="0" w:color="auto"/>
            </w:tcBorders>
            <w:vAlign w:val="bottom"/>
          </w:tcPr>
          <w:p w:rsidR="00652B6A" w:rsidRPr="00652B6A" w:rsidRDefault="00652B6A" w:rsidP="00652B6A">
            <w:pPr>
              <w:keepNext/>
              <w:jc w:val="right"/>
              <w:rPr>
                <w:bCs/>
                <w:i/>
                <w:sz w:val="18"/>
                <w:szCs w:val="18"/>
              </w:rPr>
            </w:pPr>
            <w:r w:rsidRPr="00652B6A">
              <w:rPr>
                <w:bCs/>
                <w:i/>
                <w:sz w:val="18"/>
                <w:szCs w:val="18"/>
              </w:rPr>
              <w:t>5.234</w:t>
            </w:r>
          </w:p>
        </w:tc>
        <w:tc>
          <w:tcPr>
            <w:tcW w:w="654" w:type="dxa"/>
            <w:tcBorders>
              <w:bottom w:val="single" w:sz="4" w:space="0" w:color="auto"/>
            </w:tcBorders>
            <w:vAlign w:val="bottom"/>
          </w:tcPr>
          <w:p w:rsidR="00652B6A" w:rsidRPr="00652B6A" w:rsidRDefault="00652B6A" w:rsidP="00652B6A">
            <w:pPr>
              <w:keepNext/>
              <w:jc w:val="right"/>
              <w:rPr>
                <w:bCs/>
                <w:i/>
                <w:sz w:val="18"/>
                <w:szCs w:val="18"/>
              </w:rPr>
            </w:pPr>
            <w:r w:rsidRPr="00652B6A">
              <w:rPr>
                <w:bCs/>
                <w:i/>
                <w:sz w:val="18"/>
                <w:szCs w:val="18"/>
              </w:rPr>
              <w:t>5.216</w:t>
            </w:r>
          </w:p>
        </w:tc>
        <w:tc>
          <w:tcPr>
            <w:tcW w:w="655" w:type="dxa"/>
            <w:tcBorders>
              <w:bottom w:val="single" w:sz="4" w:space="0" w:color="auto"/>
            </w:tcBorders>
            <w:vAlign w:val="bottom"/>
          </w:tcPr>
          <w:p w:rsidR="00652B6A" w:rsidRPr="00652B6A" w:rsidRDefault="00652B6A" w:rsidP="00652B6A">
            <w:pPr>
              <w:keepNext/>
              <w:jc w:val="right"/>
              <w:rPr>
                <w:bCs/>
                <w:i/>
                <w:sz w:val="18"/>
                <w:szCs w:val="18"/>
              </w:rPr>
            </w:pPr>
            <w:r w:rsidRPr="00652B6A">
              <w:rPr>
                <w:bCs/>
                <w:i/>
                <w:sz w:val="18"/>
                <w:szCs w:val="18"/>
              </w:rPr>
              <w:t>5.240</w:t>
            </w:r>
          </w:p>
        </w:tc>
        <w:tc>
          <w:tcPr>
            <w:tcW w:w="654" w:type="dxa"/>
            <w:tcBorders>
              <w:bottom w:val="single" w:sz="4" w:space="0" w:color="auto"/>
            </w:tcBorders>
            <w:vAlign w:val="bottom"/>
          </w:tcPr>
          <w:p w:rsidR="00652B6A" w:rsidRPr="00652B6A" w:rsidRDefault="00652B6A" w:rsidP="00652B6A">
            <w:pPr>
              <w:keepNext/>
              <w:jc w:val="right"/>
              <w:rPr>
                <w:bCs/>
                <w:i/>
                <w:sz w:val="18"/>
                <w:szCs w:val="18"/>
              </w:rPr>
            </w:pPr>
            <w:r w:rsidRPr="00652B6A">
              <w:rPr>
                <w:bCs/>
                <w:i/>
                <w:sz w:val="18"/>
                <w:szCs w:val="18"/>
              </w:rPr>
              <w:t>5.222</w:t>
            </w:r>
          </w:p>
        </w:tc>
        <w:tc>
          <w:tcPr>
            <w:tcW w:w="655" w:type="dxa"/>
            <w:tcBorders>
              <w:bottom w:val="single" w:sz="4" w:space="0" w:color="auto"/>
            </w:tcBorders>
            <w:vAlign w:val="bottom"/>
          </w:tcPr>
          <w:p w:rsidR="00652B6A" w:rsidRPr="00652B6A" w:rsidRDefault="00652B6A" w:rsidP="00652B6A">
            <w:pPr>
              <w:keepNext/>
              <w:jc w:val="right"/>
              <w:rPr>
                <w:bCs/>
                <w:i/>
                <w:sz w:val="18"/>
                <w:szCs w:val="18"/>
              </w:rPr>
            </w:pPr>
            <w:r w:rsidRPr="00652B6A">
              <w:rPr>
                <w:bCs/>
                <w:i/>
                <w:sz w:val="18"/>
                <w:szCs w:val="18"/>
              </w:rPr>
              <w:t>5.222</w:t>
            </w:r>
          </w:p>
        </w:tc>
        <w:tc>
          <w:tcPr>
            <w:tcW w:w="654" w:type="dxa"/>
            <w:tcBorders>
              <w:bottom w:val="single" w:sz="4" w:space="0" w:color="auto"/>
            </w:tcBorders>
            <w:vAlign w:val="bottom"/>
          </w:tcPr>
          <w:p w:rsidR="00652B6A" w:rsidRPr="00652B6A" w:rsidRDefault="00652B6A" w:rsidP="00652B6A">
            <w:pPr>
              <w:keepNext/>
              <w:jc w:val="right"/>
              <w:rPr>
                <w:bCs/>
                <w:i/>
                <w:sz w:val="18"/>
                <w:szCs w:val="18"/>
              </w:rPr>
            </w:pPr>
            <w:r w:rsidRPr="00652B6A">
              <w:rPr>
                <w:bCs/>
                <w:i/>
                <w:sz w:val="18"/>
                <w:szCs w:val="18"/>
              </w:rPr>
              <w:t>5.222</w:t>
            </w:r>
          </w:p>
        </w:tc>
        <w:tc>
          <w:tcPr>
            <w:tcW w:w="655" w:type="dxa"/>
            <w:tcBorders>
              <w:bottom w:val="single" w:sz="4" w:space="0" w:color="auto"/>
            </w:tcBorders>
            <w:vAlign w:val="bottom"/>
          </w:tcPr>
          <w:p w:rsidR="00652B6A" w:rsidRPr="00652B6A" w:rsidRDefault="00652B6A" w:rsidP="00652B6A">
            <w:pPr>
              <w:keepNext/>
              <w:jc w:val="right"/>
              <w:rPr>
                <w:bCs/>
                <w:i/>
                <w:sz w:val="18"/>
                <w:szCs w:val="18"/>
              </w:rPr>
            </w:pPr>
            <w:r w:rsidRPr="00652B6A">
              <w:rPr>
                <w:bCs/>
                <w:i/>
                <w:sz w:val="18"/>
                <w:szCs w:val="18"/>
              </w:rPr>
              <w:t>5.222</w:t>
            </w:r>
          </w:p>
        </w:tc>
      </w:tr>
      <w:tr w:rsidR="00652B6A" w:rsidRPr="00884B84" w:rsidTr="00652B6A">
        <w:tc>
          <w:tcPr>
            <w:tcW w:w="3234" w:type="dxa"/>
            <w:tcBorders>
              <w:top w:val="single" w:sz="4" w:space="0" w:color="auto"/>
              <w:right w:val="single" w:sz="4" w:space="0" w:color="auto"/>
            </w:tcBorders>
          </w:tcPr>
          <w:p w:rsidR="00652B6A" w:rsidRPr="00652B6A" w:rsidRDefault="00652B6A" w:rsidP="00652B6A">
            <w:pPr>
              <w:keepNext/>
              <w:rPr>
                <w:b/>
                <w:sz w:val="18"/>
                <w:szCs w:val="18"/>
              </w:rPr>
            </w:pPr>
            <w:r w:rsidRPr="00652B6A">
              <w:rPr>
                <w:b/>
                <w:sz w:val="18"/>
                <w:szCs w:val="18"/>
              </w:rPr>
              <w:t>Ændring</w:t>
            </w:r>
          </w:p>
        </w:tc>
        <w:tc>
          <w:tcPr>
            <w:tcW w:w="655" w:type="dxa"/>
            <w:tcBorders>
              <w:top w:val="single" w:sz="4" w:space="0" w:color="auto"/>
              <w:left w:val="single" w:sz="4" w:space="0" w:color="auto"/>
              <w:right w:val="single" w:sz="4" w:space="0" w:color="auto"/>
            </w:tcBorders>
            <w:vAlign w:val="bottom"/>
          </w:tcPr>
          <w:p w:rsidR="00652B6A" w:rsidRPr="00652B6A" w:rsidRDefault="00652B6A" w:rsidP="00652B6A">
            <w:pPr>
              <w:keepNext/>
              <w:jc w:val="right"/>
              <w:rPr>
                <w:sz w:val="18"/>
                <w:szCs w:val="18"/>
              </w:rPr>
            </w:pPr>
          </w:p>
        </w:tc>
        <w:tc>
          <w:tcPr>
            <w:tcW w:w="654" w:type="dxa"/>
            <w:tcBorders>
              <w:top w:val="single" w:sz="4" w:space="0" w:color="auto"/>
              <w:left w:val="single" w:sz="4" w:space="0" w:color="auto"/>
            </w:tcBorders>
            <w:vAlign w:val="bottom"/>
          </w:tcPr>
          <w:p w:rsidR="00652B6A" w:rsidRPr="00652B6A" w:rsidRDefault="00652B6A" w:rsidP="00652B6A">
            <w:pPr>
              <w:keepNext/>
              <w:jc w:val="right"/>
              <w:rPr>
                <w:i/>
                <w:sz w:val="18"/>
                <w:szCs w:val="18"/>
              </w:rPr>
            </w:pPr>
          </w:p>
        </w:tc>
        <w:tc>
          <w:tcPr>
            <w:tcW w:w="655" w:type="dxa"/>
            <w:tcBorders>
              <w:top w:val="single" w:sz="4" w:space="0" w:color="auto"/>
            </w:tcBorders>
            <w:vAlign w:val="bottom"/>
          </w:tcPr>
          <w:p w:rsidR="00652B6A" w:rsidRPr="00652B6A" w:rsidRDefault="00652B6A" w:rsidP="00652B6A">
            <w:pPr>
              <w:keepNext/>
              <w:jc w:val="right"/>
              <w:rPr>
                <w:i/>
                <w:sz w:val="18"/>
                <w:szCs w:val="18"/>
              </w:rPr>
            </w:pPr>
          </w:p>
        </w:tc>
        <w:tc>
          <w:tcPr>
            <w:tcW w:w="654" w:type="dxa"/>
            <w:tcBorders>
              <w:top w:val="single" w:sz="4" w:space="0" w:color="auto"/>
            </w:tcBorders>
            <w:vAlign w:val="bottom"/>
          </w:tcPr>
          <w:p w:rsidR="00652B6A" w:rsidRPr="00652B6A" w:rsidRDefault="00652B6A" w:rsidP="00652B6A">
            <w:pPr>
              <w:keepNext/>
              <w:jc w:val="right"/>
              <w:rPr>
                <w:i/>
                <w:sz w:val="18"/>
                <w:szCs w:val="18"/>
              </w:rPr>
            </w:pPr>
          </w:p>
        </w:tc>
        <w:tc>
          <w:tcPr>
            <w:tcW w:w="655" w:type="dxa"/>
            <w:tcBorders>
              <w:top w:val="single" w:sz="4" w:space="0" w:color="auto"/>
            </w:tcBorders>
            <w:vAlign w:val="bottom"/>
          </w:tcPr>
          <w:p w:rsidR="00652B6A" w:rsidRPr="00652B6A" w:rsidRDefault="00652B6A" w:rsidP="00652B6A">
            <w:pPr>
              <w:keepNext/>
              <w:jc w:val="right"/>
              <w:rPr>
                <w:i/>
                <w:sz w:val="18"/>
                <w:szCs w:val="18"/>
              </w:rPr>
            </w:pPr>
          </w:p>
        </w:tc>
        <w:tc>
          <w:tcPr>
            <w:tcW w:w="654" w:type="dxa"/>
            <w:tcBorders>
              <w:top w:val="single" w:sz="4" w:space="0" w:color="auto"/>
            </w:tcBorders>
            <w:vAlign w:val="bottom"/>
          </w:tcPr>
          <w:p w:rsidR="00652B6A" w:rsidRPr="00652B6A" w:rsidRDefault="00652B6A" w:rsidP="00652B6A">
            <w:pPr>
              <w:keepNext/>
              <w:jc w:val="right"/>
              <w:rPr>
                <w:i/>
                <w:sz w:val="18"/>
                <w:szCs w:val="18"/>
              </w:rPr>
            </w:pPr>
          </w:p>
        </w:tc>
        <w:tc>
          <w:tcPr>
            <w:tcW w:w="655" w:type="dxa"/>
            <w:tcBorders>
              <w:top w:val="single" w:sz="4" w:space="0" w:color="auto"/>
            </w:tcBorders>
            <w:vAlign w:val="bottom"/>
          </w:tcPr>
          <w:p w:rsidR="00652B6A" w:rsidRPr="00652B6A" w:rsidRDefault="00652B6A" w:rsidP="00652B6A">
            <w:pPr>
              <w:keepNext/>
              <w:jc w:val="right"/>
              <w:rPr>
                <w:i/>
                <w:sz w:val="18"/>
                <w:szCs w:val="18"/>
              </w:rPr>
            </w:pPr>
          </w:p>
        </w:tc>
        <w:tc>
          <w:tcPr>
            <w:tcW w:w="654" w:type="dxa"/>
            <w:tcBorders>
              <w:top w:val="single" w:sz="4" w:space="0" w:color="auto"/>
            </w:tcBorders>
            <w:vAlign w:val="bottom"/>
          </w:tcPr>
          <w:p w:rsidR="00652B6A" w:rsidRPr="00652B6A" w:rsidRDefault="00652B6A" w:rsidP="00652B6A">
            <w:pPr>
              <w:keepNext/>
              <w:jc w:val="right"/>
              <w:rPr>
                <w:i/>
                <w:sz w:val="18"/>
                <w:szCs w:val="18"/>
              </w:rPr>
            </w:pPr>
          </w:p>
        </w:tc>
        <w:tc>
          <w:tcPr>
            <w:tcW w:w="655" w:type="dxa"/>
            <w:tcBorders>
              <w:top w:val="single" w:sz="4" w:space="0" w:color="auto"/>
            </w:tcBorders>
            <w:vAlign w:val="bottom"/>
          </w:tcPr>
          <w:p w:rsidR="00652B6A" w:rsidRPr="00652B6A" w:rsidRDefault="00652B6A" w:rsidP="00652B6A">
            <w:pPr>
              <w:keepNext/>
              <w:jc w:val="right"/>
              <w:rPr>
                <w:i/>
                <w:sz w:val="18"/>
                <w:szCs w:val="18"/>
              </w:rPr>
            </w:pPr>
          </w:p>
        </w:tc>
      </w:tr>
      <w:tr w:rsidR="00652B6A" w:rsidRPr="00884B84" w:rsidTr="00652B6A">
        <w:tc>
          <w:tcPr>
            <w:tcW w:w="3234" w:type="dxa"/>
            <w:tcBorders>
              <w:right w:val="single" w:sz="4" w:space="0" w:color="auto"/>
            </w:tcBorders>
            <w:vAlign w:val="bottom"/>
          </w:tcPr>
          <w:p w:rsidR="00652B6A" w:rsidRPr="00652B6A" w:rsidRDefault="00652B6A" w:rsidP="00652B6A">
            <w:pPr>
              <w:keepNext/>
              <w:rPr>
                <w:sz w:val="18"/>
                <w:szCs w:val="18"/>
              </w:rPr>
            </w:pPr>
            <w:r w:rsidRPr="00652B6A">
              <w:rPr>
                <w:sz w:val="18"/>
                <w:szCs w:val="18"/>
              </w:rPr>
              <w:t>Beskæftigelsesfradrag, pct.</w:t>
            </w:r>
          </w:p>
        </w:tc>
        <w:tc>
          <w:tcPr>
            <w:tcW w:w="655" w:type="dxa"/>
            <w:tcBorders>
              <w:left w:val="single" w:sz="4" w:space="0" w:color="auto"/>
              <w:right w:val="single" w:sz="4" w:space="0" w:color="auto"/>
            </w:tcBorders>
            <w:vAlign w:val="bottom"/>
          </w:tcPr>
          <w:p w:rsidR="00652B6A" w:rsidRPr="00652B6A" w:rsidRDefault="00652B6A" w:rsidP="00652B6A">
            <w:pPr>
              <w:keepNext/>
              <w:jc w:val="right"/>
              <w:rPr>
                <w:sz w:val="18"/>
                <w:szCs w:val="18"/>
              </w:rPr>
            </w:pPr>
            <w:r w:rsidRPr="00652B6A">
              <w:rPr>
                <w:sz w:val="18"/>
                <w:szCs w:val="18"/>
              </w:rPr>
              <w:t>2,80</w:t>
            </w:r>
          </w:p>
        </w:tc>
        <w:tc>
          <w:tcPr>
            <w:tcW w:w="654" w:type="dxa"/>
            <w:tcBorders>
              <w:left w:val="single" w:sz="4" w:space="0" w:color="auto"/>
            </w:tcBorders>
            <w:vAlign w:val="bottom"/>
          </w:tcPr>
          <w:p w:rsidR="00652B6A" w:rsidRPr="00652B6A" w:rsidRDefault="00652B6A" w:rsidP="00652B6A">
            <w:pPr>
              <w:keepNext/>
              <w:jc w:val="right"/>
              <w:rPr>
                <w:i/>
                <w:sz w:val="18"/>
                <w:szCs w:val="18"/>
              </w:rPr>
            </w:pPr>
            <w:r w:rsidRPr="00652B6A">
              <w:rPr>
                <w:i/>
                <w:sz w:val="18"/>
                <w:szCs w:val="18"/>
              </w:rPr>
              <w:t>0,00</w:t>
            </w:r>
          </w:p>
        </w:tc>
        <w:tc>
          <w:tcPr>
            <w:tcW w:w="655" w:type="dxa"/>
            <w:vAlign w:val="bottom"/>
          </w:tcPr>
          <w:p w:rsidR="00652B6A" w:rsidRPr="00652B6A" w:rsidRDefault="00652B6A" w:rsidP="00652B6A">
            <w:pPr>
              <w:keepNext/>
              <w:jc w:val="right"/>
              <w:rPr>
                <w:i/>
                <w:sz w:val="18"/>
                <w:szCs w:val="18"/>
              </w:rPr>
            </w:pPr>
            <w:r w:rsidRPr="00652B6A">
              <w:rPr>
                <w:i/>
                <w:sz w:val="18"/>
                <w:szCs w:val="18"/>
              </w:rPr>
              <w:t>0,00</w:t>
            </w:r>
          </w:p>
        </w:tc>
        <w:tc>
          <w:tcPr>
            <w:tcW w:w="654" w:type="dxa"/>
            <w:vAlign w:val="bottom"/>
          </w:tcPr>
          <w:p w:rsidR="00652B6A" w:rsidRPr="00652B6A" w:rsidRDefault="00652B6A" w:rsidP="00652B6A">
            <w:pPr>
              <w:keepNext/>
              <w:jc w:val="right"/>
              <w:rPr>
                <w:i/>
                <w:sz w:val="18"/>
                <w:szCs w:val="18"/>
              </w:rPr>
            </w:pPr>
            <w:r w:rsidRPr="00652B6A">
              <w:rPr>
                <w:i/>
                <w:sz w:val="18"/>
                <w:szCs w:val="18"/>
              </w:rPr>
              <w:t>0,00</w:t>
            </w:r>
          </w:p>
        </w:tc>
        <w:tc>
          <w:tcPr>
            <w:tcW w:w="655" w:type="dxa"/>
            <w:vAlign w:val="bottom"/>
          </w:tcPr>
          <w:p w:rsidR="00652B6A" w:rsidRPr="00652B6A" w:rsidRDefault="00652B6A" w:rsidP="00652B6A">
            <w:pPr>
              <w:keepNext/>
              <w:jc w:val="right"/>
              <w:rPr>
                <w:i/>
                <w:sz w:val="18"/>
                <w:szCs w:val="18"/>
              </w:rPr>
            </w:pPr>
            <w:r w:rsidRPr="00652B6A">
              <w:rPr>
                <w:i/>
                <w:sz w:val="18"/>
                <w:szCs w:val="18"/>
              </w:rPr>
              <w:t>0,00</w:t>
            </w:r>
          </w:p>
        </w:tc>
        <w:tc>
          <w:tcPr>
            <w:tcW w:w="654" w:type="dxa"/>
            <w:vAlign w:val="bottom"/>
          </w:tcPr>
          <w:p w:rsidR="00652B6A" w:rsidRPr="00652B6A" w:rsidRDefault="00652B6A" w:rsidP="00652B6A">
            <w:pPr>
              <w:keepNext/>
              <w:jc w:val="right"/>
              <w:rPr>
                <w:i/>
                <w:sz w:val="18"/>
                <w:szCs w:val="18"/>
              </w:rPr>
            </w:pPr>
            <w:r w:rsidRPr="00652B6A">
              <w:rPr>
                <w:i/>
                <w:sz w:val="18"/>
                <w:szCs w:val="18"/>
              </w:rPr>
              <w:t>0,00</w:t>
            </w:r>
          </w:p>
        </w:tc>
        <w:tc>
          <w:tcPr>
            <w:tcW w:w="655" w:type="dxa"/>
            <w:vAlign w:val="bottom"/>
          </w:tcPr>
          <w:p w:rsidR="00652B6A" w:rsidRPr="00652B6A" w:rsidRDefault="00652B6A" w:rsidP="00652B6A">
            <w:pPr>
              <w:keepNext/>
              <w:jc w:val="right"/>
              <w:rPr>
                <w:i/>
                <w:sz w:val="18"/>
                <w:szCs w:val="18"/>
              </w:rPr>
            </w:pPr>
            <w:r w:rsidRPr="00652B6A">
              <w:rPr>
                <w:i/>
                <w:sz w:val="18"/>
                <w:szCs w:val="18"/>
              </w:rPr>
              <w:t>0,00</w:t>
            </w:r>
          </w:p>
        </w:tc>
        <w:tc>
          <w:tcPr>
            <w:tcW w:w="654" w:type="dxa"/>
            <w:vAlign w:val="bottom"/>
          </w:tcPr>
          <w:p w:rsidR="00652B6A" w:rsidRPr="00652B6A" w:rsidRDefault="00652B6A" w:rsidP="00652B6A">
            <w:pPr>
              <w:keepNext/>
              <w:jc w:val="right"/>
              <w:rPr>
                <w:i/>
                <w:sz w:val="18"/>
                <w:szCs w:val="18"/>
              </w:rPr>
            </w:pPr>
            <w:r w:rsidRPr="00652B6A">
              <w:rPr>
                <w:i/>
                <w:sz w:val="18"/>
                <w:szCs w:val="18"/>
              </w:rPr>
              <w:t>0,00</w:t>
            </w:r>
          </w:p>
        </w:tc>
        <w:tc>
          <w:tcPr>
            <w:tcW w:w="655" w:type="dxa"/>
            <w:vAlign w:val="bottom"/>
          </w:tcPr>
          <w:p w:rsidR="00652B6A" w:rsidRPr="00652B6A" w:rsidRDefault="00652B6A" w:rsidP="00652B6A">
            <w:pPr>
              <w:keepNext/>
              <w:jc w:val="right"/>
              <w:rPr>
                <w:i/>
                <w:sz w:val="18"/>
                <w:szCs w:val="18"/>
              </w:rPr>
            </w:pPr>
            <w:r w:rsidRPr="00652B6A">
              <w:rPr>
                <w:i/>
                <w:sz w:val="18"/>
                <w:szCs w:val="18"/>
              </w:rPr>
              <w:t>0,00</w:t>
            </w:r>
          </w:p>
        </w:tc>
      </w:tr>
      <w:tr w:rsidR="00652B6A" w:rsidRPr="00884B84" w:rsidTr="00652B6A">
        <w:tc>
          <w:tcPr>
            <w:tcW w:w="3234" w:type="dxa"/>
            <w:tcBorders>
              <w:right w:val="single" w:sz="4" w:space="0" w:color="auto"/>
            </w:tcBorders>
            <w:vAlign w:val="bottom"/>
          </w:tcPr>
          <w:p w:rsidR="00652B6A" w:rsidRPr="00652B6A" w:rsidRDefault="00652B6A" w:rsidP="00652B6A">
            <w:pPr>
              <w:keepNext/>
              <w:rPr>
                <w:sz w:val="18"/>
                <w:szCs w:val="18"/>
              </w:rPr>
            </w:pPr>
            <w:r w:rsidRPr="00652B6A">
              <w:rPr>
                <w:sz w:val="18"/>
                <w:szCs w:val="18"/>
              </w:rPr>
              <w:t>Maks. fradrag, kr. (2014-niveau)</w:t>
            </w:r>
          </w:p>
        </w:tc>
        <w:tc>
          <w:tcPr>
            <w:tcW w:w="655" w:type="dxa"/>
            <w:tcBorders>
              <w:left w:val="single" w:sz="4" w:space="0" w:color="auto"/>
              <w:right w:val="single" w:sz="4" w:space="0" w:color="auto"/>
            </w:tcBorders>
            <w:vAlign w:val="bottom"/>
          </w:tcPr>
          <w:p w:rsidR="00652B6A" w:rsidRPr="00652B6A" w:rsidRDefault="00652B6A" w:rsidP="00652B6A">
            <w:pPr>
              <w:keepNext/>
              <w:jc w:val="right"/>
              <w:rPr>
                <w:sz w:val="18"/>
                <w:szCs w:val="18"/>
              </w:rPr>
            </w:pPr>
            <w:r w:rsidRPr="00652B6A">
              <w:rPr>
                <w:sz w:val="18"/>
                <w:szCs w:val="18"/>
              </w:rPr>
              <w:t>9.100</w:t>
            </w:r>
          </w:p>
        </w:tc>
        <w:tc>
          <w:tcPr>
            <w:tcW w:w="654" w:type="dxa"/>
            <w:tcBorders>
              <w:left w:val="single" w:sz="4" w:space="0" w:color="auto"/>
            </w:tcBorders>
            <w:vAlign w:val="bottom"/>
          </w:tcPr>
          <w:p w:rsidR="00652B6A" w:rsidRPr="00652B6A" w:rsidRDefault="00652B6A" w:rsidP="00652B6A">
            <w:pPr>
              <w:keepNext/>
              <w:jc w:val="right"/>
              <w:rPr>
                <w:i/>
                <w:sz w:val="18"/>
                <w:szCs w:val="18"/>
              </w:rPr>
            </w:pPr>
            <w:r w:rsidRPr="00652B6A">
              <w:rPr>
                <w:i/>
                <w:sz w:val="18"/>
                <w:szCs w:val="18"/>
              </w:rPr>
              <w:t>0</w:t>
            </w:r>
          </w:p>
        </w:tc>
        <w:tc>
          <w:tcPr>
            <w:tcW w:w="655" w:type="dxa"/>
            <w:vAlign w:val="bottom"/>
          </w:tcPr>
          <w:p w:rsidR="00652B6A" w:rsidRPr="00652B6A" w:rsidRDefault="00652B6A" w:rsidP="00652B6A">
            <w:pPr>
              <w:keepNext/>
              <w:jc w:val="right"/>
              <w:rPr>
                <w:i/>
                <w:sz w:val="18"/>
                <w:szCs w:val="18"/>
              </w:rPr>
            </w:pPr>
            <w:r w:rsidRPr="00652B6A">
              <w:rPr>
                <w:i/>
                <w:sz w:val="18"/>
                <w:szCs w:val="18"/>
              </w:rPr>
              <w:t>0</w:t>
            </w:r>
          </w:p>
        </w:tc>
        <w:tc>
          <w:tcPr>
            <w:tcW w:w="654" w:type="dxa"/>
            <w:vAlign w:val="bottom"/>
          </w:tcPr>
          <w:p w:rsidR="00652B6A" w:rsidRPr="00652B6A" w:rsidRDefault="00652B6A" w:rsidP="00652B6A">
            <w:pPr>
              <w:keepNext/>
              <w:jc w:val="right"/>
              <w:rPr>
                <w:i/>
                <w:sz w:val="18"/>
                <w:szCs w:val="18"/>
              </w:rPr>
            </w:pPr>
            <w:r w:rsidRPr="00652B6A">
              <w:rPr>
                <w:i/>
                <w:sz w:val="18"/>
                <w:szCs w:val="18"/>
              </w:rPr>
              <w:t>0</w:t>
            </w:r>
          </w:p>
        </w:tc>
        <w:tc>
          <w:tcPr>
            <w:tcW w:w="655" w:type="dxa"/>
            <w:vAlign w:val="bottom"/>
          </w:tcPr>
          <w:p w:rsidR="00652B6A" w:rsidRPr="00652B6A" w:rsidRDefault="00652B6A" w:rsidP="00652B6A">
            <w:pPr>
              <w:keepNext/>
              <w:jc w:val="right"/>
              <w:rPr>
                <w:i/>
                <w:sz w:val="18"/>
                <w:szCs w:val="18"/>
              </w:rPr>
            </w:pPr>
            <w:r w:rsidRPr="00652B6A">
              <w:rPr>
                <w:i/>
                <w:sz w:val="18"/>
                <w:szCs w:val="18"/>
              </w:rPr>
              <w:t>0</w:t>
            </w:r>
          </w:p>
        </w:tc>
        <w:tc>
          <w:tcPr>
            <w:tcW w:w="654" w:type="dxa"/>
            <w:vAlign w:val="bottom"/>
          </w:tcPr>
          <w:p w:rsidR="00652B6A" w:rsidRPr="00652B6A" w:rsidRDefault="00652B6A" w:rsidP="00652B6A">
            <w:pPr>
              <w:keepNext/>
              <w:jc w:val="right"/>
              <w:rPr>
                <w:i/>
                <w:sz w:val="18"/>
                <w:szCs w:val="18"/>
              </w:rPr>
            </w:pPr>
            <w:r w:rsidRPr="00652B6A">
              <w:rPr>
                <w:i/>
                <w:sz w:val="18"/>
                <w:szCs w:val="18"/>
              </w:rPr>
              <w:t>0</w:t>
            </w:r>
          </w:p>
        </w:tc>
        <w:tc>
          <w:tcPr>
            <w:tcW w:w="655" w:type="dxa"/>
            <w:vAlign w:val="bottom"/>
          </w:tcPr>
          <w:p w:rsidR="00652B6A" w:rsidRPr="00652B6A" w:rsidRDefault="00652B6A" w:rsidP="00652B6A">
            <w:pPr>
              <w:keepNext/>
              <w:jc w:val="right"/>
              <w:rPr>
                <w:i/>
                <w:sz w:val="18"/>
                <w:szCs w:val="18"/>
              </w:rPr>
            </w:pPr>
            <w:r w:rsidRPr="00652B6A">
              <w:rPr>
                <w:i/>
                <w:sz w:val="18"/>
                <w:szCs w:val="18"/>
              </w:rPr>
              <w:t>0</w:t>
            </w:r>
          </w:p>
        </w:tc>
        <w:tc>
          <w:tcPr>
            <w:tcW w:w="654" w:type="dxa"/>
            <w:vAlign w:val="bottom"/>
          </w:tcPr>
          <w:p w:rsidR="00652B6A" w:rsidRPr="00652B6A" w:rsidRDefault="00652B6A" w:rsidP="00652B6A">
            <w:pPr>
              <w:keepNext/>
              <w:jc w:val="right"/>
              <w:rPr>
                <w:i/>
                <w:sz w:val="18"/>
                <w:szCs w:val="18"/>
              </w:rPr>
            </w:pPr>
            <w:r w:rsidRPr="00652B6A">
              <w:rPr>
                <w:i/>
                <w:sz w:val="18"/>
                <w:szCs w:val="18"/>
              </w:rPr>
              <w:t>0</w:t>
            </w:r>
          </w:p>
        </w:tc>
        <w:tc>
          <w:tcPr>
            <w:tcW w:w="655" w:type="dxa"/>
            <w:vAlign w:val="bottom"/>
          </w:tcPr>
          <w:p w:rsidR="00652B6A" w:rsidRPr="00652B6A" w:rsidRDefault="00652B6A" w:rsidP="00652B6A">
            <w:pPr>
              <w:keepNext/>
              <w:jc w:val="right"/>
              <w:rPr>
                <w:i/>
                <w:sz w:val="18"/>
                <w:szCs w:val="18"/>
              </w:rPr>
            </w:pPr>
            <w:r w:rsidRPr="00652B6A">
              <w:rPr>
                <w:i/>
                <w:sz w:val="18"/>
                <w:szCs w:val="18"/>
              </w:rPr>
              <w:t>0</w:t>
            </w:r>
          </w:p>
        </w:tc>
      </w:tr>
      <w:tr w:rsidR="00652B6A" w:rsidRPr="00884B84" w:rsidTr="00652B6A">
        <w:tc>
          <w:tcPr>
            <w:tcW w:w="3234" w:type="dxa"/>
            <w:tcBorders>
              <w:bottom w:val="single" w:sz="4" w:space="0" w:color="auto"/>
              <w:right w:val="single" w:sz="4" w:space="0" w:color="auto"/>
            </w:tcBorders>
          </w:tcPr>
          <w:p w:rsidR="00652B6A" w:rsidRPr="00652B6A" w:rsidRDefault="00652B6A" w:rsidP="00652B6A">
            <w:pPr>
              <w:keepNext/>
              <w:rPr>
                <w:sz w:val="18"/>
                <w:szCs w:val="18"/>
              </w:rPr>
            </w:pPr>
            <w:r w:rsidRPr="00652B6A">
              <w:rPr>
                <w:sz w:val="18"/>
                <w:szCs w:val="18"/>
              </w:rPr>
              <w:t>Skatteværdi af maks. fradrag, kr.</w:t>
            </w:r>
          </w:p>
        </w:tc>
        <w:tc>
          <w:tcPr>
            <w:tcW w:w="655" w:type="dxa"/>
            <w:tcBorders>
              <w:left w:val="single" w:sz="4" w:space="0" w:color="auto"/>
              <w:bottom w:val="single" w:sz="4" w:space="0" w:color="auto"/>
              <w:right w:val="single" w:sz="4" w:space="0" w:color="auto"/>
            </w:tcBorders>
            <w:vAlign w:val="bottom"/>
          </w:tcPr>
          <w:p w:rsidR="00652B6A" w:rsidRPr="00652B6A" w:rsidRDefault="00652B6A" w:rsidP="00652B6A">
            <w:pPr>
              <w:keepNext/>
              <w:jc w:val="right"/>
              <w:rPr>
                <w:sz w:val="18"/>
                <w:szCs w:val="18"/>
              </w:rPr>
            </w:pPr>
            <w:r w:rsidRPr="00652B6A">
              <w:rPr>
                <w:sz w:val="18"/>
                <w:szCs w:val="18"/>
              </w:rPr>
              <w:t>2.785</w:t>
            </w:r>
          </w:p>
        </w:tc>
        <w:tc>
          <w:tcPr>
            <w:tcW w:w="654" w:type="dxa"/>
            <w:tcBorders>
              <w:left w:val="single" w:sz="4" w:space="0" w:color="auto"/>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0</w:t>
            </w:r>
          </w:p>
        </w:tc>
        <w:tc>
          <w:tcPr>
            <w:tcW w:w="655"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0</w:t>
            </w:r>
          </w:p>
        </w:tc>
        <w:tc>
          <w:tcPr>
            <w:tcW w:w="654"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0</w:t>
            </w:r>
          </w:p>
        </w:tc>
        <w:tc>
          <w:tcPr>
            <w:tcW w:w="655"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0</w:t>
            </w:r>
          </w:p>
        </w:tc>
        <w:tc>
          <w:tcPr>
            <w:tcW w:w="654"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0</w:t>
            </w:r>
          </w:p>
        </w:tc>
        <w:tc>
          <w:tcPr>
            <w:tcW w:w="655"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0</w:t>
            </w:r>
          </w:p>
        </w:tc>
        <w:tc>
          <w:tcPr>
            <w:tcW w:w="654"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0</w:t>
            </w:r>
          </w:p>
        </w:tc>
        <w:tc>
          <w:tcPr>
            <w:tcW w:w="655" w:type="dxa"/>
            <w:tcBorders>
              <w:bottom w:val="single" w:sz="4" w:space="0" w:color="auto"/>
            </w:tcBorders>
            <w:vAlign w:val="bottom"/>
          </w:tcPr>
          <w:p w:rsidR="00652B6A" w:rsidRPr="00652B6A" w:rsidRDefault="00652B6A" w:rsidP="00652B6A">
            <w:pPr>
              <w:keepNext/>
              <w:jc w:val="right"/>
              <w:rPr>
                <w:i/>
                <w:sz w:val="18"/>
                <w:szCs w:val="18"/>
              </w:rPr>
            </w:pPr>
            <w:r w:rsidRPr="00652B6A">
              <w:rPr>
                <w:i/>
                <w:sz w:val="18"/>
                <w:szCs w:val="18"/>
              </w:rPr>
              <w:t>0</w:t>
            </w:r>
          </w:p>
        </w:tc>
      </w:tr>
      <w:tr w:rsidR="00652B6A" w:rsidRPr="004563E3" w:rsidTr="00652B6A">
        <w:tc>
          <w:tcPr>
            <w:tcW w:w="9125" w:type="dxa"/>
            <w:gridSpan w:val="10"/>
            <w:tcBorders>
              <w:top w:val="single" w:sz="4" w:space="0" w:color="auto"/>
            </w:tcBorders>
          </w:tcPr>
          <w:p w:rsidR="00652B6A" w:rsidRPr="004563E3" w:rsidRDefault="00652B6A" w:rsidP="00652B6A">
            <w:pPr>
              <w:keepNext/>
              <w:rPr>
                <w:iCs/>
                <w:sz w:val="18"/>
                <w:szCs w:val="18"/>
              </w:rPr>
            </w:pPr>
            <w:r w:rsidRPr="004563E3">
              <w:rPr>
                <w:iCs/>
                <w:sz w:val="18"/>
                <w:szCs w:val="18"/>
              </w:rPr>
              <w:t xml:space="preserve">1) </w:t>
            </w:r>
            <w:r w:rsidRPr="004563E3">
              <w:rPr>
                <w:sz w:val="18"/>
                <w:szCs w:val="18"/>
              </w:rPr>
              <w:t>De angivne procenter svarer til den skattemæssige fradragsværdi i en kommune med en landsgennemsnitlig kommune- og kirkeskatteprocent i 2014 på 25,6 pct.</w:t>
            </w:r>
          </w:p>
        </w:tc>
      </w:tr>
    </w:tbl>
    <w:p w:rsidR="00652B6A" w:rsidRDefault="00652B6A" w:rsidP="00652B6A">
      <w:pPr>
        <w:spacing w:line="264" w:lineRule="auto"/>
        <w:rPr>
          <w:iCs/>
        </w:rPr>
      </w:pPr>
    </w:p>
    <w:p w:rsidR="00652B6A" w:rsidRDefault="00652B6A" w:rsidP="00652B6A">
      <w:r>
        <w:t>Den foreslåede fremrykning vil medføre en stigning i beskæftigelsesfradraget på 2,8 pct.-point og en forhøjelse af det maksimale fradrag med 9.100 kr. i 2014,</w:t>
      </w:r>
      <w:r w:rsidRPr="00DC744F">
        <w:rPr>
          <w:i/>
        </w:rPr>
        <w:t xml:space="preserve"> </w:t>
      </w:r>
      <w:r w:rsidRPr="00C07D03">
        <w:rPr>
          <w:i/>
        </w:rPr>
        <w:t xml:space="preserve">jf. </w:t>
      </w:r>
      <w:r>
        <w:rPr>
          <w:i/>
        </w:rPr>
        <w:t>tabel 3.2.1</w:t>
      </w:r>
      <w:r w:rsidRPr="00C07D03">
        <w:rPr>
          <w:i/>
        </w:rPr>
        <w:t>.</w:t>
      </w:r>
    </w:p>
    <w:p w:rsidR="00652B6A" w:rsidRDefault="00652B6A" w:rsidP="00652B6A"/>
    <w:p w:rsidR="00652B6A" w:rsidRDefault="00652B6A" w:rsidP="00652B6A">
      <w:pPr>
        <w:rPr>
          <w:iCs/>
        </w:rPr>
      </w:pPr>
      <w:r>
        <w:rPr>
          <w:iCs/>
        </w:rPr>
        <w:t xml:space="preserve">Disse forhøjelser vil </w:t>
      </w:r>
      <w:r w:rsidRPr="000E49FC">
        <w:rPr>
          <w:iCs/>
        </w:rPr>
        <w:t xml:space="preserve">medføre en </w:t>
      </w:r>
      <w:r>
        <w:rPr>
          <w:iCs/>
        </w:rPr>
        <w:t xml:space="preserve">ekstra </w:t>
      </w:r>
      <w:r w:rsidRPr="000E49FC">
        <w:rPr>
          <w:iCs/>
        </w:rPr>
        <w:t xml:space="preserve">skattelettelse </w:t>
      </w:r>
      <w:r>
        <w:rPr>
          <w:iCs/>
        </w:rPr>
        <w:t>til</w:t>
      </w:r>
      <w:r w:rsidRPr="000E49FC">
        <w:rPr>
          <w:iCs/>
        </w:rPr>
        <w:t xml:space="preserve"> </w:t>
      </w:r>
      <w:r>
        <w:rPr>
          <w:iCs/>
        </w:rPr>
        <w:t>enlige forsørgere i beskæftigelse i 2014 i forhold til de skattelettelser, der bliver udmøntet med 2012-skattereformen</w:t>
      </w:r>
      <w:r w:rsidRPr="000E49FC">
        <w:rPr>
          <w:iCs/>
        </w:rPr>
        <w:t>.</w:t>
      </w:r>
    </w:p>
    <w:p w:rsidR="00652B6A" w:rsidRDefault="00652B6A" w:rsidP="00652B6A">
      <w:pPr>
        <w:rPr>
          <w:iCs/>
        </w:rPr>
      </w:pPr>
    </w:p>
    <w:p w:rsidR="00652B6A" w:rsidRPr="000E49FC" w:rsidRDefault="00652B6A" w:rsidP="00652B6A">
      <w:pPr>
        <w:rPr>
          <w:iCs/>
        </w:rPr>
      </w:pPr>
      <w:r w:rsidRPr="000E49FC">
        <w:rPr>
          <w:iCs/>
        </w:rPr>
        <w:t xml:space="preserve">Forslaget vil have størst relativ betydning for erhvervsaktive </w:t>
      </w:r>
      <w:r>
        <w:rPr>
          <w:iCs/>
        </w:rPr>
        <w:t xml:space="preserve">enlige forsørgere </w:t>
      </w:r>
      <w:r w:rsidRPr="000E49FC">
        <w:rPr>
          <w:iCs/>
        </w:rPr>
        <w:t>med indkomst op til ca. 3</w:t>
      </w:r>
      <w:r>
        <w:rPr>
          <w:iCs/>
        </w:rPr>
        <w:t>28</w:t>
      </w:r>
      <w:r w:rsidRPr="000E49FC">
        <w:rPr>
          <w:iCs/>
        </w:rPr>
        <w:t>.000 kr.</w:t>
      </w:r>
      <w:r>
        <w:rPr>
          <w:iCs/>
        </w:rPr>
        <w:t xml:space="preserve"> (2014-niveau)</w:t>
      </w:r>
      <w:r w:rsidRPr="000E49FC">
        <w:rPr>
          <w:iCs/>
        </w:rPr>
        <w:t xml:space="preserve"> For en person med en lønindkomst på 250.000 kr. medfører forslaget isoleret set en </w:t>
      </w:r>
      <w:r>
        <w:rPr>
          <w:iCs/>
        </w:rPr>
        <w:t xml:space="preserve">ekstra </w:t>
      </w:r>
      <w:r w:rsidRPr="000E49FC">
        <w:rPr>
          <w:iCs/>
        </w:rPr>
        <w:t xml:space="preserve">skattelettelse </w:t>
      </w:r>
      <w:r>
        <w:rPr>
          <w:iCs/>
        </w:rPr>
        <w:t xml:space="preserve">i 2014 </w:t>
      </w:r>
      <w:r w:rsidRPr="000E49FC">
        <w:rPr>
          <w:iCs/>
        </w:rPr>
        <w:t xml:space="preserve">på </w:t>
      </w:r>
      <w:r>
        <w:rPr>
          <w:iCs/>
        </w:rPr>
        <w:t>ca. 2.140</w:t>
      </w:r>
      <w:r w:rsidRPr="000E49FC">
        <w:rPr>
          <w:iCs/>
        </w:rPr>
        <w:t xml:space="preserve"> kr. Er lønindkomsten på </w:t>
      </w:r>
      <w:r>
        <w:rPr>
          <w:iCs/>
        </w:rPr>
        <w:t xml:space="preserve">ca. </w:t>
      </w:r>
      <w:r w:rsidRPr="000E49FC">
        <w:rPr>
          <w:iCs/>
        </w:rPr>
        <w:t>3</w:t>
      </w:r>
      <w:r>
        <w:rPr>
          <w:iCs/>
        </w:rPr>
        <w:t>28</w:t>
      </w:r>
      <w:r w:rsidRPr="000E49FC">
        <w:rPr>
          <w:iCs/>
        </w:rPr>
        <w:t xml:space="preserve">.000 kr. eller derover, udgør </w:t>
      </w:r>
      <w:r>
        <w:rPr>
          <w:iCs/>
        </w:rPr>
        <w:t xml:space="preserve">den ekstra </w:t>
      </w:r>
      <w:r w:rsidRPr="000E49FC">
        <w:rPr>
          <w:iCs/>
        </w:rPr>
        <w:t xml:space="preserve">skattelettelse </w:t>
      </w:r>
      <w:r>
        <w:rPr>
          <w:iCs/>
        </w:rPr>
        <w:t>ca. 2.785</w:t>
      </w:r>
      <w:r w:rsidRPr="000E49FC">
        <w:rPr>
          <w:iCs/>
        </w:rPr>
        <w:t xml:space="preserve"> kr. i 201</w:t>
      </w:r>
      <w:r>
        <w:rPr>
          <w:iCs/>
        </w:rPr>
        <w:t>4. Fra 2015 indfases det ekstra beskæftigelsesfradrag som planlagt i 2012-skattereformen.</w:t>
      </w:r>
    </w:p>
    <w:p w:rsidR="00652B6A" w:rsidRPr="000E49FC" w:rsidRDefault="00652B6A" w:rsidP="00652B6A">
      <w:pPr>
        <w:rPr>
          <w:iCs/>
        </w:rPr>
      </w:pPr>
    </w:p>
    <w:p w:rsidR="00652B6A" w:rsidRPr="000E49FC" w:rsidRDefault="00652B6A" w:rsidP="00652B6A">
      <w:pPr>
        <w:rPr>
          <w:iCs/>
        </w:rPr>
      </w:pPr>
      <w:r w:rsidRPr="000E49FC">
        <w:rPr>
          <w:iCs/>
        </w:rPr>
        <w:t>Forslaget bevirker, at marginalskatten på arbejdsindkomst op til ca. 3</w:t>
      </w:r>
      <w:r>
        <w:rPr>
          <w:iCs/>
        </w:rPr>
        <w:t>28</w:t>
      </w:r>
      <w:r w:rsidRPr="000E49FC">
        <w:rPr>
          <w:iCs/>
        </w:rPr>
        <w:t>.000</w:t>
      </w:r>
      <w:r>
        <w:rPr>
          <w:iCs/>
        </w:rPr>
        <w:t xml:space="preserve"> kr. for enlige forsørgere reduceres med ca. 0,9 pct.-</w:t>
      </w:r>
      <w:r w:rsidRPr="000E49FC">
        <w:rPr>
          <w:iCs/>
        </w:rPr>
        <w:t>point i 201</w:t>
      </w:r>
      <w:r>
        <w:rPr>
          <w:iCs/>
        </w:rPr>
        <w:t>4</w:t>
      </w:r>
      <w:r w:rsidRPr="000E49FC">
        <w:rPr>
          <w:iCs/>
        </w:rPr>
        <w:t>.</w:t>
      </w:r>
    </w:p>
    <w:p w:rsidR="00E200FC" w:rsidRDefault="00E200FC" w:rsidP="00B2109F">
      <w:pPr>
        <w:rPr>
          <w:iCs/>
        </w:rPr>
      </w:pPr>
    </w:p>
    <w:p w:rsidR="00376FD2" w:rsidRPr="00BC172D" w:rsidRDefault="00376FD2" w:rsidP="00376FD2">
      <w:pPr>
        <w:rPr>
          <w:i/>
          <w:iCs/>
        </w:rPr>
      </w:pPr>
      <w:r w:rsidRPr="00BC172D">
        <w:rPr>
          <w:i/>
          <w:iCs/>
        </w:rPr>
        <w:t>3.</w:t>
      </w:r>
      <w:r w:rsidR="00B07925">
        <w:rPr>
          <w:i/>
          <w:iCs/>
        </w:rPr>
        <w:t>3</w:t>
      </w:r>
      <w:r w:rsidRPr="00BC172D">
        <w:rPr>
          <w:i/>
          <w:iCs/>
        </w:rPr>
        <w:t xml:space="preserve">. </w:t>
      </w:r>
      <w:r w:rsidR="008F54EC">
        <w:rPr>
          <w:i/>
          <w:iCs/>
        </w:rPr>
        <w:t>Afskaffelse af den vægtbaserede emballageafgift</w:t>
      </w:r>
    </w:p>
    <w:p w:rsidR="00376FD2" w:rsidRPr="007C22AA" w:rsidRDefault="00376FD2" w:rsidP="00376FD2">
      <w:pPr>
        <w:rPr>
          <w:iCs/>
        </w:rPr>
      </w:pPr>
    </w:p>
    <w:p w:rsidR="00376FD2" w:rsidRPr="00BC172D" w:rsidRDefault="00376FD2" w:rsidP="00376FD2">
      <w:pPr>
        <w:rPr>
          <w:i/>
          <w:iCs/>
        </w:rPr>
      </w:pPr>
      <w:r w:rsidRPr="00BC172D">
        <w:rPr>
          <w:i/>
          <w:iCs/>
        </w:rPr>
        <w:t>3.</w:t>
      </w:r>
      <w:r w:rsidR="00B07925">
        <w:rPr>
          <w:i/>
          <w:iCs/>
        </w:rPr>
        <w:t>3</w:t>
      </w:r>
      <w:r w:rsidRPr="00BC172D">
        <w:rPr>
          <w:i/>
          <w:iCs/>
        </w:rPr>
        <w:t>.1. Gældende ret</w:t>
      </w:r>
    </w:p>
    <w:p w:rsidR="009400D6" w:rsidRPr="000853E2" w:rsidRDefault="009400D6" w:rsidP="009400D6">
      <w:pPr>
        <w:rPr>
          <w:iCs/>
        </w:rPr>
      </w:pPr>
      <w:r w:rsidRPr="000853E2">
        <w:rPr>
          <w:iCs/>
        </w:rPr>
        <w:t>Emballageafgiften består af en vægtbaseret afgift, der er fastsat på bag</w:t>
      </w:r>
      <w:r w:rsidR="004D15B2">
        <w:rPr>
          <w:iCs/>
        </w:rPr>
        <w:t>g</w:t>
      </w:r>
      <w:r w:rsidRPr="000853E2">
        <w:rPr>
          <w:iCs/>
        </w:rPr>
        <w:t>rund af et miljøindeks for forskellige emballagetyper, en volumenbaseret afgift på emballager til en lang række drikkevarer samt en afgift på bæreposer, engangsservice og pvc-folier.</w:t>
      </w:r>
    </w:p>
    <w:p w:rsidR="009400D6" w:rsidRPr="000853E2" w:rsidRDefault="009400D6" w:rsidP="009400D6">
      <w:pPr>
        <w:rPr>
          <w:iCs/>
        </w:rPr>
      </w:pPr>
    </w:p>
    <w:p w:rsidR="009400D6" w:rsidRPr="000853E2" w:rsidRDefault="009400D6" w:rsidP="009400D6">
      <w:pPr>
        <w:rPr>
          <w:iCs/>
        </w:rPr>
      </w:pPr>
      <w:r w:rsidRPr="000853E2">
        <w:rPr>
          <w:iCs/>
        </w:rPr>
        <w:t xml:space="preserve">Afgiften af emballager </w:t>
      </w:r>
      <w:r w:rsidR="002A4817">
        <w:rPr>
          <w:iCs/>
        </w:rPr>
        <w:t xml:space="preserve"> på varer omfattet af den vægtbaserede emballageafgift</w:t>
      </w:r>
      <w:r w:rsidRPr="000853E2">
        <w:rPr>
          <w:iCs/>
        </w:rPr>
        <w:t xml:space="preserve"> beregnes efter emballagens samlede vægt på grundlag af 12 materialeafhængige afgiftssatser</w:t>
      </w:r>
      <w:r>
        <w:rPr>
          <w:iCs/>
        </w:rPr>
        <w:t xml:space="preserve"> og 14 forskellige varegrupper.</w:t>
      </w:r>
    </w:p>
    <w:p w:rsidR="009400D6" w:rsidRPr="000853E2" w:rsidRDefault="009400D6" w:rsidP="009400D6">
      <w:pPr>
        <w:rPr>
          <w:iCs/>
        </w:rPr>
      </w:pPr>
    </w:p>
    <w:p w:rsidR="009400D6" w:rsidRPr="000853E2" w:rsidRDefault="009400D6" w:rsidP="009400D6">
      <w:pPr>
        <w:rPr>
          <w:iCs/>
        </w:rPr>
      </w:pPr>
      <w:r w:rsidRPr="000853E2">
        <w:rPr>
          <w:iCs/>
        </w:rPr>
        <w:t xml:space="preserve">Med delaftale om </w:t>
      </w:r>
      <w:r w:rsidRPr="00674C8A">
        <w:rPr>
          <w:i/>
          <w:iCs/>
        </w:rPr>
        <w:t>Vækstplan DK</w:t>
      </w:r>
      <w:r w:rsidRPr="000853E2">
        <w:rPr>
          <w:iCs/>
        </w:rPr>
        <w:t xml:space="preserve"> (lov </w:t>
      </w:r>
      <w:r>
        <w:rPr>
          <w:iCs/>
        </w:rPr>
        <w:t>nr. 789</w:t>
      </w:r>
      <w:r w:rsidRPr="000853E2">
        <w:rPr>
          <w:iCs/>
        </w:rPr>
        <w:t xml:space="preserve"> af </w:t>
      </w:r>
      <w:r>
        <w:rPr>
          <w:iCs/>
        </w:rPr>
        <w:t>28. juni 2013</w:t>
      </w:r>
      <w:r w:rsidRPr="000853E2">
        <w:rPr>
          <w:iCs/>
        </w:rPr>
        <w:t>) blev det besluttet at ophæve den vægtbaserede emballageafgift med virkning fra 1. januar 2015. Den øvrige del af det afgiftspligtige vareområde i emballageafgiftsloven bibeholdes uændret.</w:t>
      </w:r>
    </w:p>
    <w:p w:rsidR="009400D6" w:rsidRPr="000853E2" w:rsidRDefault="009400D6" w:rsidP="009400D6">
      <w:pPr>
        <w:rPr>
          <w:iCs/>
        </w:rPr>
      </w:pPr>
    </w:p>
    <w:p w:rsidR="009400D6" w:rsidRPr="000853E2" w:rsidRDefault="009400D6" w:rsidP="009400D6">
      <w:pPr>
        <w:rPr>
          <w:iCs/>
        </w:rPr>
      </w:pPr>
      <w:r w:rsidRPr="000853E2">
        <w:rPr>
          <w:iCs/>
        </w:rPr>
        <w:t xml:space="preserve">Det betyder bl.a., at virksomheder fra 2015 ikke skal kende emballagens vægt og sammensætning. Virksomheder, der </w:t>
      </w:r>
      <w:r w:rsidR="00F52A1B">
        <w:rPr>
          <w:iCs/>
        </w:rPr>
        <w:t>påfylder</w:t>
      </w:r>
      <w:r w:rsidR="00F52A1B" w:rsidRPr="000853E2">
        <w:rPr>
          <w:iCs/>
        </w:rPr>
        <w:t xml:space="preserve"> </w:t>
      </w:r>
      <w:r w:rsidRPr="000853E2">
        <w:rPr>
          <w:iCs/>
        </w:rPr>
        <w:t xml:space="preserve">emballager </w:t>
      </w:r>
      <w:r w:rsidR="00F52A1B">
        <w:rPr>
          <w:iCs/>
        </w:rPr>
        <w:t>med</w:t>
      </w:r>
      <w:r w:rsidR="00F52A1B" w:rsidRPr="000853E2">
        <w:rPr>
          <w:iCs/>
        </w:rPr>
        <w:t xml:space="preserve"> </w:t>
      </w:r>
      <w:r w:rsidRPr="000853E2">
        <w:rPr>
          <w:iCs/>
        </w:rPr>
        <w:t>de omfattede varegrupper, f.eks. forskellige mejeriprodukter, sennep, sæbe m</w:t>
      </w:r>
      <w:r w:rsidR="004D15B2">
        <w:rPr>
          <w:iCs/>
        </w:rPr>
        <w:t>.</w:t>
      </w:r>
      <w:r w:rsidRPr="000853E2">
        <w:rPr>
          <w:iCs/>
        </w:rPr>
        <w:t>v., skal ikke betale emballageafgift af de varer, som de sælger (udleverer) til detailhandlen m</w:t>
      </w:r>
      <w:r w:rsidR="004D15B2">
        <w:rPr>
          <w:iCs/>
        </w:rPr>
        <w:t>.</w:t>
      </w:r>
      <w:r w:rsidRPr="000853E2">
        <w:rPr>
          <w:iCs/>
        </w:rPr>
        <w:t xml:space="preserve">v. </w:t>
      </w:r>
    </w:p>
    <w:p w:rsidR="009400D6" w:rsidRPr="007C22AA" w:rsidRDefault="009400D6" w:rsidP="00376FD2">
      <w:pPr>
        <w:rPr>
          <w:iCs/>
        </w:rPr>
      </w:pPr>
    </w:p>
    <w:p w:rsidR="00376FD2" w:rsidRPr="00BC172D" w:rsidRDefault="00376FD2" w:rsidP="00376FD2">
      <w:pPr>
        <w:rPr>
          <w:i/>
          <w:iCs/>
        </w:rPr>
      </w:pPr>
      <w:r w:rsidRPr="00BC172D">
        <w:rPr>
          <w:i/>
          <w:iCs/>
        </w:rPr>
        <w:t>3.</w:t>
      </w:r>
      <w:r w:rsidR="00B07925">
        <w:rPr>
          <w:i/>
          <w:iCs/>
        </w:rPr>
        <w:t>3</w:t>
      </w:r>
      <w:r>
        <w:rPr>
          <w:i/>
          <w:iCs/>
        </w:rPr>
        <w:t>.2</w:t>
      </w:r>
      <w:r w:rsidRPr="00BC172D">
        <w:rPr>
          <w:i/>
          <w:iCs/>
        </w:rPr>
        <w:t xml:space="preserve">. </w:t>
      </w:r>
      <w:r>
        <w:rPr>
          <w:i/>
          <w:iCs/>
        </w:rPr>
        <w:t>Lovforslaget</w:t>
      </w:r>
    </w:p>
    <w:p w:rsidR="009400D6" w:rsidRPr="000853E2" w:rsidRDefault="009400D6" w:rsidP="009400D6">
      <w:pPr>
        <w:rPr>
          <w:i/>
          <w:iCs/>
        </w:rPr>
      </w:pPr>
      <w:r w:rsidRPr="000853E2">
        <w:rPr>
          <w:iCs/>
        </w:rPr>
        <w:t>Det foreslås, at afskaffelse af den vægtbaserede emballageafgift fremrykkes, således at den vægtbaserede emballageafgift ophæves pr. 1. januar 2014.</w:t>
      </w:r>
    </w:p>
    <w:p w:rsidR="009400D6" w:rsidRPr="007C22AA" w:rsidRDefault="009400D6" w:rsidP="00376FD2">
      <w:pPr>
        <w:rPr>
          <w:iCs/>
        </w:rPr>
      </w:pPr>
    </w:p>
    <w:p w:rsidR="00376FD2" w:rsidRDefault="00376FD2" w:rsidP="00376FD2">
      <w:pPr>
        <w:rPr>
          <w:i/>
          <w:iCs/>
        </w:rPr>
      </w:pPr>
      <w:r w:rsidRPr="00BC172D">
        <w:rPr>
          <w:i/>
          <w:iCs/>
        </w:rPr>
        <w:t>3.</w:t>
      </w:r>
      <w:r w:rsidR="00B07925">
        <w:rPr>
          <w:i/>
          <w:iCs/>
        </w:rPr>
        <w:t>4</w:t>
      </w:r>
      <w:r w:rsidRPr="00BC172D">
        <w:rPr>
          <w:i/>
          <w:iCs/>
        </w:rPr>
        <w:t xml:space="preserve">. </w:t>
      </w:r>
      <w:r w:rsidR="008F54EC">
        <w:rPr>
          <w:i/>
          <w:iCs/>
        </w:rPr>
        <w:t xml:space="preserve">Forhøjelse af grænsen for skattekreditter </w:t>
      </w:r>
      <w:r w:rsidR="00486EC8">
        <w:rPr>
          <w:i/>
          <w:iCs/>
        </w:rPr>
        <w:t>vedrørende</w:t>
      </w:r>
      <w:r w:rsidR="008F54EC">
        <w:rPr>
          <w:i/>
          <w:iCs/>
        </w:rPr>
        <w:t xml:space="preserve"> forsknings- og udviklingsaktiviteter</w:t>
      </w:r>
    </w:p>
    <w:p w:rsidR="008F54EC" w:rsidRPr="007C22AA" w:rsidRDefault="008F54EC" w:rsidP="00376FD2">
      <w:pPr>
        <w:rPr>
          <w:iCs/>
        </w:rPr>
      </w:pPr>
    </w:p>
    <w:p w:rsidR="008F54EC" w:rsidRDefault="008F54EC" w:rsidP="00376FD2">
      <w:pPr>
        <w:rPr>
          <w:i/>
          <w:iCs/>
        </w:rPr>
      </w:pPr>
      <w:r>
        <w:rPr>
          <w:i/>
          <w:iCs/>
        </w:rPr>
        <w:t>3.</w:t>
      </w:r>
      <w:r w:rsidR="00B07925">
        <w:rPr>
          <w:i/>
          <w:iCs/>
        </w:rPr>
        <w:t>4</w:t>
      </w:r>
      <w:r>
        <w:rPr>
          <w:i/>
          <w:iCs/>
        </w:rPr>
        <w:t xml:space="preserve">.1. </w:t>
      </w:r>
      <w:r w:rsidR="00844CA9">
        <w:rPr>
          <w:i/>
          <w:iCs/>
        </w:rPr>
        <w:t>Gældende ret</w:t>
      </w:r>
    </w:p>
    <w:p w:rsidR="00CA5C89" w:rsidRDefault="00480776" w:rsidP="00CA5C89">
      <w:pPr>
        <w:pStyle w:val="tekst"/>
        <w:spacing w:before="0" w:beforeAutospacing="0" w:after="0" w:afterAutospacing="0"/>
      </w:pPr>
      <w:r w:rsidRPr="00CA5C89">
        <w:rPr>
          <w:iCs/>
        </w:rPr>
        <w:t xml:space="preserve">Selskaber og selvstændigt erhvervsdrivende, der anvender </w:t>
      </w:r>
      <w:r w:rsidR="00CA5C89" w:rsidRPr="00CA5C89">
        <w:t>virksomhedsordningen, har mulighed for at få udbetalt negativ skat, såkaldte skattekreditter, af den del af deres underskud, der stammer fra forsknings- og udviklingsaktiviteter.</w:t>
      </w:r>
    </w:p>
    <w:p w:rsidR="00CA5C89" w:rsidRPr="00CA5C89" w:rsidRDefault="00CA5C89" w:rsidP="00CA5C89">
      <w:pPr>
        <w:pStyle w:val="tekst"/>
        <w:spacing w:before="0" w:beforeAutospacing="0" w:after="0" w:afterAutospacing="0"/>
      </w:pPr>
    </w:p>
    <w:p w:rsidR="00CA5C89" w:rsidRDefault="00CA5C89" w:rsidP="00CA5C89">
      <w:pPr>
        <w:pStyle w:val="tekst"/>
        <w:spacing w:before="0" w:beforeAutospacing="0" w:after="0" w:afterAutospacing="0"/>
      </w:pPr>
      <w:r w:rsidRPr="00CA5C89">
        <w:t>En eventuel resterende del af årets underskud kan fremføres til modregning i eventuelle fremtidige overskud.</w:t>
      </w:r>
    </w:p>
    <w:p w:rsidR="00CA5C89" w:rsidRPr="00CA5C89" w:rsidRDefault="00CA5C89" w:rsidP="00CA5C89">
      <w:pPr>
        <w:pStyle w:val="tekst"/>
        <w:spacing w:before="0" w:beforeAutospacing="0" w:after="0" w:afterAutospacing="0"/>
      </w:pPr>
    </w:p>
    <w:p w:rsidR="00CA5C89" w:rsidRDefault="00CA5C89" w:rsidP="00CA5C89">
      <w:pPr>
        <w:pStyle w:val="tekst"/>
        <w:spacing w:before="0" w:beforeAutospacing="0" w:after="0" w:afterAutospacing="0"/>
      </w:pPr>
      <w:r w:rsidRPr="00CA5C89">
        <w:t>En virksomhed kan højst få udbetalt 1,25 mio. kr. årligt svarende til 25 pct. af</w:t>
      </w:r>
      <w:r w:rsidR="00AC09CD">
        <w:t xml:space="preserve"> underskudsgivende</w:t>
      </w:r>
      <w:r w:rsidRPr="00CA5C89">
        <w:t xml:space="preserve"> forsknings- og udviklingsudgifter på 5 mio. kr.</w:t>
      </w:r>
    </w:p>
    <w:p w:rsidR="00CA5C89" w:rsidRPr="00CA5C89" w:rsidRDefault="00CA5C89" w:rsidP="00CA5C89">
      <w:pPr>
        <w:pStyle w:val="tekst"/>
        <w:spacing w:before="0" w:beforeAutospacing="0" w:after="0" w:afterAutospacing="0"/>
      </w:pPr>
    </w:p>
    <w:p w:rsidR="00CA5C89" w:rsidRDefault="00CA5C89" w:rsidP="00CA5C89">
      <w:pPr>
        <w:pStyle w:val="tekst"/>
        <w:spacing w:before="0" w:beforeAutospacing="0" w:after="0" w:afterAutospacing="0"/>
      </w:pPr>
      <w:r w:rsidRPr="00CA5C89">
        <w:t>Dette loft over de årlige udbetalinger gælder samlet set for sambeskattede selskaber og konstruktioner af selskaber og personligt drevne virksomheder i virksomhedsordningen, der kontrolleres af samme person.</w:t>
      </w:r>
    </w:p>
    <w:p w:rsidR="00CA5C89" w:rsidRPr="00CA5C89" w:rsidRDefault="00CA5C89" w:rsidP="00CA5C89">
      <w:pPr>
        <w:pStyle w:val="tekst"/>
        <w:spacing w:before="0" w:beforeAutospacing="0" w:after="0" w:afterAutospacing="0"/>
      </w:pPr>
    </w:p>
    <w:p w:rsidR="00CA5C89" w:rsidRDefault="00CA5C89" w:rsidP="00CA5C89">
      <w:pPr>
        <w:pStyle w:val="tekst"/>
        <w:spacing w:before="0" w:beforeAutospacing="0" w:after="0" w:afterAutospacing="0"/>
      </w:pPr>
      <w:r w:rsidRPr="00CA5C89">
        <w:t>Det er en forudsætning for at få udbetalt skattekreditter, at der er tale om udgifter, der straksafskrives efter ligningslovens § 8 B, stk. 1, eller afskrivningslovens § 6, stk. 1, nr. 3.</w:t>
      </w:r>
    </w:p>
    <w:p w:rsidR="00CA5C89" w:rsidRPr="00CA5C89" w:rsidRDefault="00CA5C89" w:rsidP="00CA5C89">
      <w:pPr>
        <w:pStyle w:val="tekst"/>
        <w:spacing w:before="0" w:beforeAutospacing="0" w:after="0" w:afterAutospacing="0"/>
      </w:pPr>
    </w:p>
    <w:p w:rsidR="00CA5C89" w:rsidRDefault="00CA5C89" w:rsidP="00CA5C89">
      <w:pPr>
        <w:pStyle w:val="tekst"/>
        <w:spacing w:before="0" w:beforeAutospacing="0" w:after="0" w:afterAutospacing="0"/>
      </w:pPr>
      <w:r w:rsidRPr="00CA5C89">
        <w:t>Forsknings- og udviklingsaktiviteter afgrænses således på samme måde, som forsøgs- og forskningsaktiviteter afgrænses i forbindelse med straksafskrivninger efter de to nævnte bestemmelser.</w:t>
      </w:r>
    </w:p>
    <w:p w:rsidR="00CA5C89" w:rsidRPr="00CA5C89" w:rsidRDefault="00CA5C89" w:rsidP="00CA5C89">
      <w:pPr>
        <w:pStyle w:val="tekst"/>
        <w:spacing w:before="0" w:beforeAutospacing="0" w:after="0" w:afterAutospacing="0"/>
      </w:pPr>
    </w:p>
    <w:p w:rsidR="008B7EA3" w:rsidRDefault="008B7EA3" w:rsidP="00CA5C89">
      <w:pPr>
        <w:pStyle w:val="tekst"/>
        <w:spacing w:before="0" w:beforeAutospacing="0" w:after="0" w:afterAutospacing="0"/>
      </w:pPr>
      <w:r>
        <w:t>Med virkning fra indkomståret 2015 er l</w:t>
      </w:r>
      <w:r w:rsidR="00CA5C89">
        <w:t>oftet over den årlige udbetaling af skattekredit til den enkelte virksomhed forhøje</w:t>
      </w:r>
      <w:r>
        <w:t>t</w:t>
      </w:r>
      <w:r w:rsidR="00CA5C89">
        <w:t xml:space="preserve"> fra 25 pct. af underskud på 5 mio. kr. til skatteværdien af underskud på 25 mio. kr., som stammer fra forsknings- og udviklingsaktiviteter</w:t>
      </w:r>
      <w:r>
        <w:t>, jf. lov nr. 791 af 28. juni 2013 om ændring af ligningsloven og kildeskatteloven</w:t>
      </w:r>
      <w:r w:rsidR="003B28FF">
        <w:t xml:space="preserve"> (Genindførelse og udvidelse af</w:t>
      </w:r>
      <w:r w:rsidR="002B3B41">
        <w:t xml:space="preserve"> bolig</w:t>
      </w:r>
      <w:r w:rsidR="0084316E">
        <w:t>-</w:t>
      </w:r>
      <w:r w:rsidR="002B3B41">
        <w:t>jobordningen</w:t>
      </w:r>
      <w:r w:rsidR="003B28FF">
        <w:t xml:space="preserve"> og udvidelse af ordningen om skattekreditter for forsknings- og udviklingsaktiviteter)</w:t>
      </w:r>
      <w:r w:rsidR="00CA5C89">
        <w:t>.</w:t>
      </w:r>
    </w:p>
    <w:p w:rsidR="008B7EA3" w:rsidRDefault="008B7EA3" w:rsidP="00CA5C89">
      <w:pPr>
        <w:pStyle w:val="tekst"/>
        <w:spacing w:before="0" w:beforeAutospacing="0" w:after="0" w:afterAutospacing="0"/>
      </w:pPr>
    </w:p>
    <w:p w:rsidR="00CA5C89" w:rsidRDefault="003B28FF" w:rsidP="00CA5C89">
      <w:pPr>
        <w:pStyle w:val="tekst"/>
        <w:spacing w:before="0" w:beforeAutospacing="0" w:after="0" w:afterAutospacing="0"/>
      </w:pPr>
      <w:r>
        <w:t>E</w:t>
      </w:r>
      <w:r w:rsidR="008B7EA3">
        <w:t>fter disse regler</w:t>
      </w:r>
      <w:r w:rsidR="00CA5C89">
        <w:t xml:space="preserve"> anvendes</w:t>
      </w:r>
      <w:r w:rsidR="00DD5423">
        <w:t xml:space="preserve"> fra indkomståret 2015</w:t>
      </w:r>
      <w:r w:rsidR="00ED4737">
        <w:t xml:space="preserve"> selskabsskattesatsen</w:t>
      </w:r>
      <w:r w:rsidR="008B7EA3">
        <w:t xml:space="preserve"> </w:t>
      </w:r>
      <w:r w:rsidR="00ED4737">
        <w:t>ved beregningen af skatteværdien af underskudsgivende forsknings- og udviklingsudgifter</w:t>
      </w:r>
      <w:r w:rsidR="00CA5C89">
        <w:t>.</w:t>
      </w:r>
      <w:r w:rsidR="008B7EA3">
        <w:t xml:space="preserve"> Det vil sige, at </w:t>
      </w:r>
      <w:r w:rsidR="00786195">
        <w:t>skatteværdisatsen for indkomståret 2014 fortsat vil være 25 pct., selv om selskabsskattesatsen</w:t>
      </w:r>
      <w:r w:rsidR="00AF173C">
        <w:t xml:space="preserve"> for</w:t>
      </w:r>
      <w:r w:rsidR="00786195">
        <w:t xml:space="preserve"> dette år vil være</w:t>
      </w:r>
      <w:r w:rsidR="00AF173C">
        <w:t xml:space="preserve"> 24,5 pct., jf. </w:t>
      </w:r>
      <w:r w:rsidR="00AF173C" w:rsidRPr="00F315EE">
        <w:t xml:space="preserve">lov nr. </w:t>
      </w:r>
      <w:r w:rsidR="00AF173C">
        <w:t>792 af 28. juni 2013 om ændring af selskabsskatteloven, lov om afgift af lønsum m.v., kulbrinteskatteloven og forskellige andre love (Aftaler om Vækstplan DK m.v. – nedsættelse af skattesatsen for selskaber, forhøjelse af lønsumsafgiften for finansielle virksomheder og fastholdelse af selskabsskattesatsen for kulbrinteindkomst m.v.).</w:t>
      </w:r>
      <w:r w:rsidR="00786195">
        <w:t xml:space="preserve">  </w:t>
      </w:r>
    </w:p>
    <w:p w:rsidR="008B7EA3" w:rsidRDefault="008B7EA3" w:rsidP="00CA5C89">
      <w:pPr>
        <w:pStyle w:val="tekst"/>
        <w:spacing w:before="0" w:beforeAutospacing="0" w:after="0" w:afterAutospacing="0"/>
      </w:pPr>
    </w:p>
    <w:p w:rsidR="00AF173C" w:rsidRDefault="00AF173C" w:rsidP="00CA5C89">
      <w:pPr>
        <w:pStyle w:val="tekst"/>
        <w:spacing w:before="0" w:beforeAutospacing="0" w:after="0" w:afterAutospacing="0"/>
      </w:pPr>
      <w:r>
        <w:t>Ved den nævnte lov blev</w:t>
      </w:r>
      <w:r w:rsidR="00CA5C89">
        <w:t xml:space="preserve"> loftet for den årlige udbetaling hæve</w:t>
      </w:r>
      <w:r>
        <w:t>t</w:t>
      </w:r>
      <w:r w:rsidR="00CA5C89">
        <w:t xml:space="preserve"> fra 1,25 mio. kr. til 5,50 mio. kr.</w:t>
      </w:r>
      <w:r w:rsidR="00ED4737">
        <w:t xml:space="preserve"> i 2016</w:t>
      </w:r>
      <w:r w:rsidR="00CA5C89">
        <w:t xml:space="preserve">, </w:t>
      </w:r>
      <w:r w:rsidR="00ED4737">
        <w:t>hvor</w:t>
      </w:r>
      <w:r w:rsidR="00CA5C89">
        <w:t xml:space="preserve"> nedsættelsen af selskabsskattesatsen til 22 pct. er fuldt indfaset</w:t>
      </w:r>
      <w:r>
        <w:t>.</w:t>
      </w:r>
    </w:p>
    <w:p w:rsidR="00AF173C" w:rsidRDefault="00AF173C" w:rsidP="00CA5C89">
      <w:pPr>
        <w:pStyle w:val="tekst"/>
        <w:spacing w:before="0" w:beforeAutospacing="0" w:after="0" w:afterAutospacing="0"/>
      </w:pPr>
    </w:p>
    <w:p w:rsidR="00FE397C" w:rsidRDefault="00FE397C" w:rsidP="00FE397C">
      <w:pPr>
        <w:rPr>
          <w:i/>
          <w:iCs/>
        </w:rPr>
      </w:pPr>
      <w:r>
        <w:rPr>
          <w:i/>
          <w:iCs/>
        </w:rPr>
        <w:t>3.4.2. Lovforslaget</w:t>
      </w:r>
    </w:p>
    <w:p w:rsidR="00CA5C89" w:rsidRDefault="00CA5C89" w:rsidP="00CA5C89">
      <w:pPr>
        <w:pStyle w:val="tekst"/>
        <w:spacing w:before="0" w:beforeAutospacing="0" w:after="0" w:afterAutospacing="0"/>
      </w:pPr>
      <w:r>
        <w:t xml:space="preserve">Formålet </w:t>
      </w:r>
      <w:r w:rsidR="00FE397C">
        <w:t>med forhøjelsen af grænsen for skattekreditter for forsknings- og udviklingsaktiviteter</w:t>
      </w:r>
      <w:r w:rsidR="00AF173C">
        <w:t xml:space="preserve"> </w:t>
      </w:r>
      <w:r>
        <w:t>er at styrke især små og mellemstore virksomheders likviditet i perioder, hvor forsknings- og udviklingsaktiviteter ikke resulterer i indtægter.</w:t>
      </w:r>
    </w:p>
    <w:p w:rsidR="00AF173C" w:rsidRDefault="00AF173C" w:rsidP="00CA5C89">
      <w:pPr>
        <w:pStyle w:val="tekst"/>
        <w:spacing w:before="0" w:beforeAutospacing="0" w:after="0" w:afterAutospacing="0"/>
      </w:pPr>
    </w:p>
    <w:p w:rsidR="00AF173C" w:rsidRDefault="00AF173C" w:rsidP="00CA5C89">
      <w:pPr>
        <w:pStyle w:val="tekst"/>
        <w:spacing w:before="0" w:beforeAutospacing="0" w:after="0" w:afterAutospacing="0"/>
      </w:pPr>
      <w:r>
        <w:t>For</w:t>
      </w:r>
      <w:r w:rsidR="00FE397C">
        <w:t xml:space="preserve"> yderligere</w:t>
      </w:r>
      <w:r>
        <w:t xml:space="preserve"> at fremme </w:t>
      </w:r>
      <w:r w:rsidR="00517119">
        <w:t>dette</w:t>
      </w:r>
      <w:r>
        <w:t xml:space="preserve"> formål foreslås, at</w:t>
      </w:r>
      <w:r w:rsidR="00ED4737">
        <w:t xml:space="preserve"> virkningstidspunktet for</w:t>
      </w:r>
      <w:r>
        <w:t xml:space="preserve"> reglerne ovenfor </w:t>
      </w:r>
      <w:r w:rsidR="00ED4737">
        <w:t>fremrykkes, så lempelserne får virkning</w:t>
      </w:r>
      <w:r>
        <w:t xml:space="preserve"> fra indkomståret 2014</w:t>
      </w:r>
      <w:r w:rsidR="00ED4737">
        <w:t xml:space="preserve"> i stedet for først fra indkomståret 2015</w:t>
      </w:r>
      <w:r w:rsidR="00517119">
        <w:t>.</w:t>
      </w:r>
      <w:r w:rsidR="00A7075C">
        <w:t xml:space="preserve"> Det vil sige, at der fra indkomståret 2014 er mulighed for at få udbetalt skatteværdien af underskud op til 25 mio. kr. fra forsknings- og udviklings</w:t>
      </w:r>
      <w:r w:rsidR="007819A5">
        <w:t>aktiviteter</w:t>
      </w:r>
      <w:r w:rsidR="00A7075C">
        <w:t xml:space="preserve">. </w:t>
      </w:r>
      <w:r w:rsidR="00ED4737">
        <w:t xml:space="preserve"> </w:t>
      </w:r>
      <w:r>
        <w:t xml:space="preserve">  </w:t>
      </w:r>
    </w:p>
    <w:p w:rsidR="003764A2" w:rsidRDefault="003764A2" w:rsidP="003764A2">
      <w:pPr>
        <w:rPr>
          <w:iCs/>
        </w:rPr>
      </w:pPr>
    </w:p>
    <w:p w:rsidR="003764A2" w:rsidRDefault="003764A2" w:rsidP="003764A2">
      <w:pPr>
        <w:rPr>
          <w:iCs/>
        </w:rPr>
      </w:pPr>
      <w:r>
        <w:rPr>
          <w:iCs/>
        </w:rPr>
        <w:t xml:space="preserve">Skatteværdisatsen ved beregningen af skattekreditten vil som efter de hidtidige regler først følge selskabsskattesatsen fra indkomståret 2015. Det vil sige, at skatteværdisatsen for indkomståret 2014 fortsat vil være 25 pct., </w:t>
      </w:r>
      <w:r w:rsidRPr="006F2E57">
        <w:rPr>
          <w:i/>
          <w:iCs/>
        </w:rPr>
        <w:t>jf. tabel 3.4.1.</w:t>
      </w:r>
    </w:p>
    <w:p w:rsidR="003764A2" w:rsidRPr="006F2E57" w:rsidRDefault="003764A2" w:rsidP="003764A2">
      <w:pPr>
        <w:rPr>
          <w:rFonts w:ascii="Times New Roman" w:hAnsi="Times New Roman" w:cs="Times New Roman"/>
          <w:b/>
          <w:iCs/>
        </w:rPr>
      </w:pPr>
    </w:p>
    <w:tbl>
      <w:tblPr>
        <w:tblStyle w:val="Tabel-Gitter8"/>
        <w:tblW w:w="0" w:type="auto"/>
        <w:tblInd w:w="108" w:type="dxa"/>
        <w:tblLayout w:type="fixed"/>
        <w:tblLook w:val="04A0" w:firstRow="1" w:lastRow="0" w:firstColumn="1" w:lastColumn="0" w:noHBand="0" w:noVBand="1"/>
      </w:tblPr>
      <w:tblGrid>
        <w:gridCol w:w="1985"/>
        <w:gridCol w:w="2693"/>
        <w:gridCol w:w="567"/>
        <w:gridCol w:w="2552"/>
      </w:tblGrid>
      <w:tr w:rsidR="003764A2" w:rsidTr="003764A2">
        <w:trPr>
          <w:cnfStyle w:val="100000000000" w:firstRow="1" w:lastRow="0" w:firstColumn="0" w:lastColumn="0" w:oddVBand="0" w:evenVBand="0" w:oddHBand="0" w:evenHBand="0" w:firstRowFirstColumn="0" w:firstRowLastColumn="0" w:lastRowFirstColumn="0" w:lastRowLastColumn="0"/>
        </w:trPr>
        <w:tc>
          <w:tcPr>
            <w:tcW w:w="7797" w:type="dxa"/>
            <w:gridSpan w:val="4"/>
            <w:tcBorders>
              <w:top w:val="single" w:sz="4" w:space="0" w:color="auto"/>
              <w:left w:val="nil"/>
              <w:bottom w:val="single" w:sz="4" w:space="0" w:color="auto"/>
              <w:right w:val="nil"/>
            </w:tcBorders>
            <w:shd w:val="clear" w:color="auto" w:fill="FFFFFF"/>
          </w:tcPr>
          <w:p w:rsidR="003764A2" w:rsidRPr="003764A2" w:rsidRDefault="003764A2" w:rsidP="003764A2">
            <w:pPr>
              <w:jc w:val="left"/>
              <w:rPr>
                <w:rFonts w:ascii="Times New Roman" w:hAnsi="Times New Roman" w:cs="Times New Roman"/>
                <w:b w:val="0"/>
                <w:iCs/>
                <w:color w:val="auto"/>
                <w:sz w:val="24"/>
                <w:szCs w:val="24"/>
              </w:rPr>
            </w:pPr>
            <w:r w:rsidRPr="003764A2">
              <w:rPr>
                <w:rFonts w:ascii="Times New Roman" w:hAnsi="Times New Roman" w:cs="Times New Roman"/>
                <w:iCs/>
                <w:color w:val="auto"/>
                <w:szCs w:val="24"/>
              </w:rPr>
              <w:t>Tabel 3.4.1. Skatteværdisatser for skattekreditter og selskabsskattesatser</w:t>
            </w:r>
          </w:p>
        </w:tc>
      </w:tr>
      <w:tr w:rsidR="003764A2" w:rsidTr="003764A2">
        <w:tc>
          <w:tcPr>
            <w:tcW w:w="1985" w:type="dxa"/>
            <w:tcBorders>
              <w:top w:val="single" w:sz="4" w:space="0" w:color="auto"/>
              <w:left w:val="nil"/>
              <w:bottom w:val="single" w:sz="4" w:space="0" w:color="auto"/>
              <w:right w:val="single" w:sz="4" w:space="0" w:color="auto"/>
            </w:tcBorders>
            <w:shd w:val="clear" w:color="auto" w:fill="FFFFFF"/>
          </w:tcPr>
          <w:p w:rsidR="003764A2" w:rsidRPr="006F2E57" w:rsidRDefault="003764A2" w:rsidP="00C35C39">
            <w:pPr>
              <w:rPr>
                <w:iCs/>
                <w:sz w:val="18"/>
                <w:szCs w:val="18"/>
              </w:rPr>
            </w:pPr>
            <w:r>
              <w:rPr>
                <w:iCs/>
                <w:sz w:val="18"/>
                <w:szCs w:val="18"/>
              </w:rPr>
              <w:t>Indkomstår (pct.)</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3764A2" w:rsidRPr="006F2E57" w:rsidRDefault="003764A2" w:rsidP="00C35C39">
            <w:pPr>
              <w:jc w:val="center"/>
              <w:rPr>
                <w:iCs/>
                <w:sz w:val="18"/>
                <w:szCs w:val="18"/>
              </w:rPr>
            </w:pPr>
            <w:r w:rsidRPr="006F2E57">
              <w:rPr>
                <w:iCs/>
                <w:sz w:val="18"/>
                <w:szCs w:val="18"/>
              </w:rPr>
              <w:t>Skatteværdisats</w:t>
            </w:r>
          </w:p>
        </w:tc>
        <w:tc>
          <w:tcPr>
            <w:tcW w:w="3119" w:type="dxa"/>
            <w:gridSpan w:val="2"/>
            <w:tcBorders>
              <w:top w:val="single" w:sz="4" w:space="0" w:color="auto"/>
              <w:left w:val="single" w:sz="4" w:space="0" w:color="auto"/>
              <w:bottom w:val="single" w:sz="4" w:space="0" w:color="auto"/>
              <w:right w:val="nil"/>
            </w:tcBorders>
            <w:shd w:val="clear" w:color="auto" w:fill="FFFFFF"/>
          </w:tcPr>
          <w:p w:rsidR="003764A2" w:rsidRPr="006F2E57" w:rsidRDefault="003764A2" w:rsidP="00C35C39">
            <w:pPr>
              <w:jc w:val="center"/>
              <w:rPr>
                <w:iCs/>
                <w:sz w:val="18"/>
                <w:szCs w:val="18"/>
              </w:rPr>
            </w:pPr>
            <w:r w:rsidRPr="006F2E57">
              <w:rPr>
                <w:iCs/>
                <w:sz w:val="18"/>
                <w:szCs w:val="18"/>
              </w:rPr>
              <w:t>Selskabsskattesats</w:t>
            </w:r>
          </w:p>
        </w:tc>
      </w:tr>
      <w:tr w:rsidR="003764A2" w:rsidTr="003764A2">
        <w:tc>
          <w:tcPr>
            <w:tcW w:w="1985" w:type="dxa"/>
            <w:tcBorders>
              <w:top w:val="nil"/>
              <w:left w:val="nil"/>
              <w:bottom w:val="nil"/>
              <w:right w:val="single" w:sz="4" w:space="0" w:color="auto"/>
            </w:tcBorders>
          </w:tcPr>
          <w:p w:rsidR="003764A2" w:rsidRPr="006F2E57" w:rsidRDefault="003764A2" w:rsidP="003764A2">
            <w:pPr>
              <w:jc w:val="center"/>
              <w:rPr>
                <w:iCs/>
                <w:sz w:val="18"/>
                <w:szCs w:val="18"/>
              </w:rPr>
            </w:pPr>
            <w:r w:rsidRPr="006F2E57">
              <w:rPr>
                <w:iCs/>
                <w:sz w:val="18"/>
                <w:szCs w:val="18"/>
              </w:rPr>
              <w:t>2013</w:t>
            </w:r>
          </w:p>
        </w:tc>
        <w:tc>
          <w:tcPr>
            <w:tcW w:w="3260" w:type="dxa"/>
            <w:gridSpan w:val="2"/>
            <w:tcBorders>
              <w:top w:val="nil"/>
              <w:left w:val="single" w:sz="4" w:space="0" w:color="auto"/>
              <w:bottom w:val="nil"/>
              <w:right w:val="nil"/>
            </w:tcBorders>
          </w:tcPr>
          <w:p w:rsidR="003764A2" w:rsidRPr="006F2E57" w:rsidRDefault="003764A2" w:rsidP="00C35C39">
            <w:pPr>
              <w:jc w:val="center"/>
              <w:rPr>
                <w:iCs/>
                <w:sz w:val="18"/>
                <w:szCs w:val="18"/>
              </w:rPr>
            </w:pPr>
            <w:r w:rsidRPr="006F2E57">
              <w:rPr>
                <w:iCs/>
                <w:sz w:val="18"/>
                <w:szCs w:val="18"/>
              </w:rPr>
              <w:t>25,0</w:t>
            </w:r>
          </w:p>
        </w:tc>
        <w:tc>
          <w:tcPr>
            <w:tcW w:w="2552" w:type="dxa"/>
            <w:tcBorders>
              <w:top w:val="nil"/>
              <w:left w:val="nil"/>
              <w:bottom w:val="nil"/>
              <w:right w:val="nil"/>
            </w:tcBorders>
          </w:tcPr>
          <w:p w:rsidR="003764A2" w:rsidRPr="006F2E57" w:rsidRDefault="003764A2" w:rsidP="00C35C39">
            <w:pPr>
              <w:jc w:val="center"/>
              <w:rPr>
                <w:iCs/>
                <w:sz w:val="18"/>
                <w:szCs w:val="18"/>
              </w:rPr>
            </w:pPr>
            <w:r w:rsidRPr="006F2E57">
              <w:rPr>
                <w:iCs/>
                <w:sz w:val="18"/>
                <w:szCs w:val="18"/>
              </w:rPr>
              <w:t>25,0</w:t>
            </w:r>
          </w:p>
        </w:tc>
      </w:tr>
      <w:tr w:rsidR="003764A2" w:rsidTr="003764A2">
        <w:tc>
          <w:tcPr>
            <w:tcW w:w="1985" w:type="dxa"/>
            <w:tcBorders>
              <w:top w:val="nil"/>
              <w:left w:val="nil"/>
              <w:bottom w:val="nil"/>
              <w:right w:val="single" w:sz="4" w:space="0" w:color="auto"/>
            </w:tcBorders>
          </w:tcPr>
          <w:p w:rsidR="003764A2" w:rsidRPr="006F2E57" w:rsidRDefault="003764A2" w:rsidP="003764A2">
            <w:pPr>
              <w:jc w:val="center"/>
              <w:rPr>
                <w:iCs/>
                <w:sz w:val="18"/>
                <w:szCs w:val="18"/>
              </w:rPr>
            </w:pPr>
            <w:r w:rsidRPr="006F2E57">
              <w:rPr>
                <w:iCs/>
                <w:sz w:val="18"/>
                <w:szCs w:val="18"/>
              </w:rPr>
              <w:t>2014</w:t>
            </w:r>
          </w:p>
        </w:tc>
        <w:tc>
          <w:tcPr>
            <w:tcW w:w="3260" w:type="dxa"/>
            <w:gridSpan w:val="2"/>
            <w:tcBorders>
              <w:top w:val="nil"/>
              <w:left w:val="single" w:sz="4" w:space="0" w:color="auto"/>
              <w:bottom w:val="nil"/>
              <w:right w:val="nil"/>
            </w:tcBorders>
          </w:tcPr>
          <w:p w:rsidR="003764A2" w:rsidRPr="006F2E57" w:rsidRDefault="003764A2" w:rsidP="00C35C39">
            <w:pPr>
              <w:jc w:val="center"/>
              <w:rPr>
                <w:iCs/>
                <w:sz w:val="18"/>
                <w:szCs w:val="18"/>
              </w:rPr>
            </w:pPr>
            <w:r w:rsidRPr="006F2E57">
              <w:rPr>
                <w:iCs/>
                <w:sz w:val="18"/>
                <w:szCs w:val="18"/>
              </w:rPr>
              <w:t>25,0</w:t>
            </w:r>
          </w:p>
        </w:tc>
        <w:tc>
          <w:tcPr>
            <w:tcW w:w="2552" w:type="dxa"/>
            <w:tcBorders>
              <w:top w:val="nil"/>
              <w:left w:val="nil"/>
              <w:bottom w:val="nil"/>
              <w:right w:val="nil"/>
            </w:tcBorders>
          </w:tcPr>
          <w:p w:rsidR="003764A2" w:rsidRPr="006F2E57" w:rsidRDefault="003764A2" w:rsidP="00C35C39">
            <w:pPr>
              <w:jc w:val="center"/>
              <w:rPr>
                <w:iCs/>
                <w:sz w:val="18"/>
                <w:szCs w:val="18"/>
              </w:rPr>
            </w:pPr>
            <w:r w:rsidRPr="006F2E57">
              <w:rPr>
                <w:iCs/>
                <w:sz w:val="18"/>
                <w:szCs w:val="18"/>
              </w:rPr>
              <w:t>24,5</w:t>
            </w:r>
          </w:p>
        </w:tc>
      </w:tr>
      <w:tr w:rsidR="003764A2" w:rsidTr="003764A2">
        <w:tc>
          <w:tcPr>
            <w:tcW w:w="1985" w:type="dxa"/>
            <w:tcBorders>
              <w:top w:val="nil"/>
              <w:left w:val="nil"/>
              <w:bottom w:val="nil"/>
              <w:right w:val="single" w:sz="4" w:space="0" w:color="auto"/>
            </w:tcBorders>
          </w:tcPr>
          <w:p w:rsidR="003764A2" w:rsidRPr="006F2E57" w:rsidRDefault="003764A2" w:rsidP="003764A2">
            <w:pPr>
              <w:jc w:val="center"/>
              <w:rPr>
                <w:iCs/>
                <w:sz w:val="18"/>
                <w:szCs w:val="18"/>
              </w:rPr>
            </w:pPr>
            <w:r w:rsidRPr="006F2E57">
              <w:rPr>
                <w:iCs/>
                <w:sz w:val="18"/>
                <w:szCs w:val="18"/>
              </w:rPr>
              <w:t>2015</w:t>
            </w:r>
          </w:p>
        </w:tc>
        <w:tc>
          <w:tcPr>
            <w:tcW w:w="3260" w:type="dxa"/>
            <w:gridSpan w:val="2"/>
            <w:tcBorders>
              <w:top w:val="nil"/>
              <w:left w:val="single" w:sz="4" w:space="0" w:color="auto"/>
              <w:bottom w:val="nil"/>
              <w:right w:val="nil"/>
            </w:tcBorders>
          </w:tcPr>
          <w:p w:rsidR="003764A2" w:rsidRPr="006F2E57" w:rsidRDefault="003764A2" w:rsidP="00C35C39">
            <w:pPr>
              <w:jc w:val="center"/>
              <w:rPr>
                <w:iCs/>
                <w:sz w:val="18"/>
                <w:szCs w:val="18"/>
              </w:rPr>
            </w:pPr>
            <w:r w:rsidRPr="006F2E57">
              <w:rPr>
                <w:iCs/>
                <w:sz w:val="18"/>
                <w:szCs w:val="18"/>
              </w:rPr>
              <w:t>23,5</w:t>
            </w:r>
          </w:p>
        </w:tc>
        <w:tc>
          <w:tcPr>
            <w:tcW w:w="2552" w:type="dxa"/>
            <w:tcBorders>
              <w:top w:val="nil"/>
              <w:left w:val="nil"/>
              <w:bottom w:val="nil"/>
              <w:right w:val="nil"/>
            </w:tcBorders>
          </w:tcPr>
          <w:p w:rsidR="003764A2" w:rsidRPr="006F2E57" w:rsidRDefault="003764A2" w:rsidP="00C35C39">
            <w:pPr>
              <w:jc w:val="center"/>
              <w:rPr>
                <w:iCs/>
                <w:sz w:val="18"/>
                <w:szCs w:val="18"/>
              </w:rPr>
            </w:pPr>
            <w:r w:rsidRPr="006F2E57">
              <w:rPr>
                <w:iCs/>
                <w:sz w:val="18"/>
                <w:szCs w:val="18"/>
              </w:rPr>
              <w:t>23,5</w:t>
            </w:r>
          </w:p>
        </w:tc>
      </w:tr>
      <w:tr w:rsidR="003764A2" w:rsidTr="003764A2">
        <w:tc>
          <w:tcPr>
            <w:tcW w:w="1985" w:type="dxa"/>
            <w:tcBorders>
              <w:top w:val="nil"/>
              <w:left w:val="nil"/>
              <w:bottom w:val="single" w:sz="4" w:space="0" w:color="auto"/>
              <w:right w:val="single" w:sz="4" w:space="0" w:color="auto"/>
            </w:tcBorders>
          </w:tcPr>
          <w:p w:rsidR="003764A2" w:rsidRPr="006F2E57" w:rsidRDefault="003764A2" w:rsidP="003764A2">
            <w:pPr>
              <w:jc w:val="center"/>
              <w:rPr>
                <w:iCs/>
                <w:sz w:val="18"/>
                <w:szCs w:val="18"/>
              </w:rPr>
            </w:pPr>
            <w:r w:rsidRPr="006F2E57">
              <w:rPr>
                <w:iCs/>
                <w:sz w:val="18"/>
                <w:szCs w:val="18"/>
              </w:rPr>
              <w:t>2016</w:t>
            </w:r>
          </w:p>
        </w:tc>
        <w:tc>
          <w:tcPr>
            <w:tcW w:w="3260" w:type="dxa"/>
            <w:gridSpan w:val="2"/>
            <w:tcBorders>
              <w:top w:val="nil"/>
              <w:left w:val="single" w:sz="4" w:space="0" w:color="auto"/>
              <w:bottom w:val="single" w:sz="4" w:space="0" w:color="auto"/>
              <w:right w:val="nil"/>
            </w:tcBorders>
          </w:tcPr>
          <w:p w:rsidR="003764A2" w:rsidRPr="006F2E57" w:rsidRDefault="003764A2" w:rsidP="00C35C39">
            <w:pPr>
              <w:jc w:val="center"/>
              <w:rPr>
                <w:iCs/>
                <w:sz w:val="18"/>
                <w:szCs w:val="18"/>
              </w:rPr>
            </w:pPr>
            <w:r w:rsidRPr="006F2E57">
              <w:rPr>
                <w:iCs/>
                <w:sz w:val="18"/>
                <w:szCs w:val="18"/>
              </w:rPr>
              <w:t>22,0</w:t>
            </w:r>
          </w:p>
        </w:tc>
        <w:tc>
          <w:tcPr>
            <w:tcW w:w="2552" w:type="dxa"/>
            <w:tcBorders>
              <w:top w:val="nil"/>
              <w:left w:val="nil"/>
              <w:bottom w:val="single" w:sz="4" w:space="0" w:color="auto"/>
              <w:right w:val="nil"/>
            </w:tcBorders>
          </w:tcPr>
          <w:p w:rsidR="003764A2" w:rsidRPr="006F2E57" w:rsidRDefault="003764A2" w:rsidP="00C35C39">
            <w:pPr>
              <w:jc w:val="center"/>
              <w:rPr>
                <w:iCs/>
                <w:sz w:val="18"/>
                <w:szCs w:val="18"/>
              </w:rPr>
            </w:pPr>
            <w:r w:rsidRPr="006F2E57">
              <w:rPr>
                <w:iCs/>
                <w:sz w:val="18"/>
                <w:szCs w:val="18"/>
              </w:rPr>
              <w:t>22,0</w:t>
            </w:r>
          </w:p>
        </w:tc>
      </w:tr>
    </w:tbl>
    <w:p w:rsidR="003764A2" w:rsidRDefault="003764A2" w:rsidP="003764A2">
      <w:pPr>
        <w:rPr>
          <w:iCs/>
        </w:rPr>
      </w:pPr>
    </w:p>
    <w:p w:rsidR="003D2EB3" w:rsidRPr="00CA5C89" w:rsidRDefault="003D2EB3" w:rsidP="00CA5C89">
      <w:pPr>
        <w:rPr>
          <w:iCs/>
        </w:rPr>
      </w:pPr>
    </w:p>
    <w:p w:rsidR="00247067" w:rsidRPr="00BC172D" w:rsidRDefault="00247067" w:rsidP="00247067">
      <w:pPr>
        <w:rPr>
          <w:i/>
          <w:iCs/>
        </w:rPr>
      </w:pPr>
      <w:r w:rsidRPr="00BC172D">
        <w:rPr>
          <w:i/>
          <w:iCs/>
        </w:rPr>
        <w:t>3.</w:t>
      </w:r>
      <w:r>
        <w:rPr>
          <w:i/>
          <w:iCs/>
        </w:rPr>
        <w:t>5</w:t>
      </w:r>
      <w:r w:rsidRPr="00BC172D">
        <w:rPr>
          <w:i/>
          <w:iCs/>
        </w:rPr>
        <w:t xml:space="preserve">. </w:t>
      </w:r>
      <w:r w:rsidR="00C066FF">
        <w:rPr>
          <w:i/>
          <w:iCs/>
        </w:rPr>
        <w:t>L</w:t>
      </w:r>
      <w:r>
        <w:rPr>
          <w:i/>
          <w:iCs/>
        </w:rPr>
        <w:t>empelse af momskredittid for små virksomheder</w:t>
      </w:r>
    </w:p>
    <w:p w:rsidR="00247067" w:rsidRPr="00BC172D" w:rsidRDefault="00247067" w:rsidP="00247067">
      <w:pPr>
        <w:rPr>
          <w:i/>
          <w:iCs/>
        </w:rPr>
      </w:pPr>
    </w:p>
    <w:p w:rsidR="00247067" w:rsidRPr="00BC172D" w:rsidRDefault="00247067" w:rsidP="00247067">
      <w:pPr>
        <w:rPr>
          <w:i/>
          <w:iCs/>
        </w:rPr>
      </w:pPr>
      <w:r w:rsidRPr="00BC172D">
        <w:rPr>
          <w:i/>
          <w:iCs/>
        </w:rPr>
        <w:t>3.</w:t>
      </w:r>
      <w:r>
        <w:rPr>
          <w:i/>
          <w:iCs/>
        </w:rPr>
        <w:t>5</w:t>
      </w:r>
      <w:r w:rsidRPr="00BC172D">
        <w:rPr>
          <w:i/>
          <w:iCs/>
        </w:rPr>
        <w:t>.1. Gældende ret</w:t>
      </w:r>
    </w:p>
    <w:p w:rsidR="00247067" w:rsidRDefault="00247067" w:rsidP="00517119">
      <w:pPr>
        <w:rPr>
          <w:iCs/>
        </w:rPr>
      </w:pPr>
      <w:r>
        <w:rPr>
          <w:iCs/>
        </w:rPr>
        <w:t>Med vedtagelsen af Vækstplan DK blev grænsen for, hvornår virksomheder kan foretage halvårlig afregning af moms, forhøjet fra 1 mio. kr. i samlet årlig momspligtig leverance til 5 mio. kr.  Hermed blev afgiftsperioden for virksomheder, der har en årlig momspligtig leverance på mellem 1 mio. kr. og 5 mio. kr.</w:t>
      </w:r>
      <w:r w:rsidR="0048242E">
        <w:rPr>
          <w:iCs/>
        </w:rPr>
        <w:t>,</w:t>
      </w:r>
      <w:r>
        <w:rPr>
          <w:iCs/>
        </w:rPr>
        <w:t xml:space="preserve"> forlænget fra kvartalet til halvåret. Samtidig blev de årlige administrative byrder for disse virksomheder lettet, idet antallet af momsafregninger blev halveret. Ændringen får virkning for afgiftsperioder, der begynder den 1. januar 2015. </w:t>
      </w:r>
    </w:p>
    <w:p w:rsidR="00247067" w:rsidRPr="00B776F9" w:rsidRDefault="00247067" w:rsidP="00517119">
      <w:pPr>
        <w:rPr>
          <w:iCs/>
        </w:rPr>
      </w:pPr>
    </w:p>
    <w:p w:rsidR="00247067" w:rsidRPr="00BC172D" w:rsidRDefault="00247067" w:rsidP="00247067">
      <w:pPr>
        <w:rPr>
          <w:i/>
          <w:iCs/>
        </w:rPr>
      </w:pPr>
      <w:r w:rsidRPr="00BC172D">
        <w:rPr>
          <w:i/>
          <w:iCs/>
        </w:rPr>
        <w:t>3.</w:t>
      </w:r>
      <w:r>
        <w:rPr>
          <w:i/>
          <w:iCs/>
        </w:rPr>
        <w:t>5.2</w:t>
      </w:r>
      <w:r w:rsidRPr="00BC172D">
        <w:rPr>
          <w:i/>
          <w:iCs/>
        </w:rPr>
        <w:t xml:space="preserve">. </w:t>
      </w:r>
      <w:r>
        <w:rPr>
          <w:i/>
          <w:iCs/>
        </w:rPr>
        <w:t>Lovforslaget</w:t>
      </w:r>
    </w:p>
    <w:p w:rsidR="00247067" w:rsidRDefault="00247067" w:rsidP="00517119">
      <w:pPr>
        <w:rPr>
          <w:iCs/>
        </w:rPr>
      </w:pPr>
      <w:r>
        <w:rPr>
          <w:iCs/>
        </w:rPr>
        <w:t xml:space="preserve">Det foreslås at fremrykke ikrafttrædelsen af forhøjelsen af grænsen for halvårlig afregning af moms. Med forslaget bliver lempelsen af momskreditten ved overgang fra kvartalsvis til halvårlig afregning fremrykket med 1 år fra den 1. januar 2015 til den 1. januar 2014. Efter forslaget skal omlægningen til halvårlig afregning allerede ske for afgiftsperioder, der begynder den 1. januar 2014. </w:t>
      </w:r>
    </w:p>
    <w:p w:rsidR="00247067" w:rsidRDefault="00247067" w:rsidP="00517119">
      <w:pPr>
        <w:rPr>
          <w:iCs/>
        </w:rPr>
      </w:pPr>
    </w:p>
    <w:p w:rsidR="00247067" w:rsidRDefault="00247067" w:rsidP="00517119">
      <w:pPr>
        <w:rPr>
          <w:iCs/>
        </w:rPr>
      </w:pPr>
      <w:r>
        <w:rPr>
          <w:iCs/>
        </w:rPr>
        <w:t xml:space="preserve">SKAT vil i perioden fra lovforslagets ikrafttrædelse til medio februar 2014 udsende breve med afgørelse om omregistrering til de omfattede virksomheder. Omregistreringen får virkning for perioder, der begynder den 1. januar 2014. Virksomheder, der ikke ønsker omregistrering til halvårlig afregning af moms, kan blive på kvartalsafregning, hvis virksomheden senest den 1. marts anmoder SKAT herom. Virksomheder, der har overskydende moms, kan eksempelvis ønske at blive på kvartalsafregning af hensyn til at få momsen tilbagebetalt tidligere. </w:t>
      </w:r>
    </w:p>
    <w:p w:rsidR="00CD1A05" w:rsidRPr="00BC315D" w:rsidRDefault="00CD1A05" w:rsidP="00517119">
      <w:pPr>
        <w:rPr>
          <w:iCs/>
        </w:rPr>
      </w:pPr>
    </w:p>
    <w:p w:rsidR="00FB1AF5" w:rsidRPr="000853E2" w:rsidRDefault="00FB1AF5" w:rsidP="00FB1AF5">
      <w:pPr>
        <w:rPr>
          <w:i/>
          <w:iCs/>
        </w:rPr>
      </w:pPr>
      <w:r w:rsidRPr="000853E2">
        <w:rPr>
          <w:i/>
          <w:iCs/>
        </w:rPr>
        <w:t>3.</w:t>
      </w:r>
      <w:r>
        <w:rPr>
          <w:i/>
          <w:iCs/>
        </w:rPr>
        <w:t>6</w:t>
      </w:r>
      <w:r w:rsidRPr="000853E2">
        <w:rPr>
          <w:i/>
          <w:iCs/>
        </w:rPr>
        <w:t>. Lempelse af virksomhedernes afgift på brændsler</w:t>
      </w:r>
    </w:p>
    <w:p w:rsidR="00247067" w:rsidRDefault="00247067" w:rsidP="00FB1AF5">
      <w:pPr>
        <w:rPr>
          <w:i/>
          <w:iCs/>
        </w:rPr>
      </w:pPr>
    </w:p>
    <w:p w:rsidR="00FB1AF5" w:rsidRPr="000853E2" w:rsidRDefault="00FB1AF5" w:rsidP="00FB1AF5">
      <w:pPr>
        <w:rPr>
          <w:i/>
          <w:iCs/>
        </w:rPr>
      </w:pPr>
      <w:r w:rsidRPr="000853E2">
        <w:rPr>
          <w:i/>
          <w:iCs/>
        </w:rPr>
        <w:t>3.</w:t>
      </w:r>
      <w:r>
        <w:rPr>
          <w:i/>
          <w:iCs/>
        </w:rPr>
        <w:t>6</w:t>
      </w:r>
      <w:r w:rsidRPr="000853E2">
        <w:rPr>
          <w:i/>
          <w:iCs/>
        </w:rPr>
        <w:t>.1. Gældende ret</w:t>
      </w:r>
    </w:p>
    <w:p w:rsidR="00FB1AF5" w:rsidRPr="000853E2" w:rsidRDefault="00FB1AF5" w:rsidP="00FB1AF5">
      <w:pPr>
        <w:rPr>
          <w:iCs/>
        </w:rPr>
      </w:pPr>
      <w:r w:rsidRPr="000853E2">
        <w:rPr>
          <w:iCs/>
        </w:rPr>
        <w:t>Momsregistrerede virksomheder har som udgangspunkt mulighed for at få godtgørelse af energiafgifter på brændsler i samme omfang, som virksomheden har fradragsret for indgående moms af energiprodukter og varme. Energiafgifterne på brændsler omfatter lov om afgift af naturgas og bygas (herefter gasafgiftsloven), lov om afgift af stenkul, brunkul og koks m.v. (herefter kulafgiftsloven) og lov om energiafgift af mineralolieprodukter m.v. (herefter mineralolieafgiftsloven).</w:t>
      </w:r>
    </w:p>
    <w:p w:rsidR="00FB1AF5" w:rsidRPr="000853E2" w:rsidRDefault="00FB1AF5" w:rsidP="00FB1AF5">
      <w:pPr>
        <w:rPr>
          <w:iCs/>
        </w:rPr>
      </w:pPr>
    </w:p>
    <w:p w:rsidR="00FB1AF5" w:rsidRPr="000853E2" w:rsidRDefault="00FB1AF5" w:rsidP="00FB1AF5">
      <w:pPr>
        <w:rPr>
          <w:iCs/>
        </w:rPr>
      </w:pPr>
      <w:r w:rsidRPr="000853E2">
        <w:rPr>
          <w:iCs/>
        </w:rPr>
        <w:t xml:space="preserve">Der gives som hovedregel ikke godtgørelse for brændsler til komfortkøling og rumvarme m.v. </w:t>
      </w:r>
    </w:p>
    <w:p w:rsidR="00FB1AF5" w:rsidRPr="000853E2" w:rsidRDefault="00FB1AF5" w:rsidP="00FB1AF5">
      <w:pPr>
        <w:rPr>
          <w:i/>
          <w:iCs/>
        </w:rPr>
      </w:pPr>
    </w:p>
    <w:p w:rsidR="00FB1AF5" w:rsidRPr="000853E2" w:rsidRDefault="00FB1AF5" w:rsidP="00FB1AF5">
      <w:pPr>
        <w:rPr>
          <w:iCs/>
        </w:rPr>
      </w:pPr>
      <w:r w:rsidRPr="000853E2">
        <w:rPr>
          <w:iCs/>
        </w:rPr>
        <w:t xml:space="preserve">Med </w:t>
      </w:r>
      <w:r w:rsidRPr="00674C8A">
        <w:rPr>
          <w:i/>
          <w:iCs/>
        </w:rPr>
        <w:t>Aftale om en Vækstplan DK</w:t>
      </w:r>
      <w:r w:rsidRPr="000853E2">
        <w:rPr>
          <w:iCs/>
        </w:rPr>
        <w:t xml:space="preserve"> (lov nr. 903</w:t>
      </w:r>
      <w:r>
        <w:rPr>
          <w:iCs/>
        </w:rPr>
        <w:t xml:space="preserve"> af 4. juli 2013</w:t>
      </w:r>
      <w:r w:rsidRPr="000853E2">
        <w:rPr>
          <w:iCs/>
        </w:rPr>
        <w:t xml:space="preserve">) blev det besluttet at nedsætte godtgørelse af energiafgifterne for brændsler anvendt til procesformål til 4,5 kr. pr. GJ fra 2015, svarende til den højeste af EU’s minimumsafgifter for brændsler. </w:t>
      </w:r>
    </w:p>
    <w:p w:rsidR="00FB1AF5" w:rsidRPr="000853E2" w:rsidRDefault="00FB1AF5" w:rsidP="00FB1AF5">
      <w:pPr>
        <w:rPr>
          <w:iCs/>
        </w:rPr>
      </w:pPr>
    </w:p>
    <w:p w:rsidR="00FB1AF5" w:rsidRPr="000853E2" w:rsidRDefault="00FB1AF5" w:rsidP="00FB1AF5">
      <w:pPr>
        <w:rPr>
          <w:iCs/>
        </w:rPr>
      </w:pPr>
      <w:r w:rsidRPr="000853E2">
        <w:rPr>
          <w:iCs/>
        </w:rPr>
        <w:t>I 2014 vil godtgørelsen af energiafgifterne for brændsler anvendt til proces-formål blive opgjort som den aktuelle afgiftssats for det pågældende brændsel (gas, kul eller mineralolie) nedsat med 9 pct.</w:t>
      </w:r>
    </w:p>
    <w:p w:rsidR="00FB1AF5" w:rsidRPr="000853E2" w:rsidRDefault="00FB1AF5" w:rsidP="00FB1AF5">
      <w:pPr>
        <w:rPr>
          <w:i/>
          <w:iCs/>
        </w:rPr>
      </w:pPr>
    </w:p>
    <w:p w:rsidR="00FB1AF5" w:rsidRPr="000853E2" w:rsidRDefault="00FB1AF5" w:rsidP="00FB1AF5">
      <w:pPr>
        <w:rPr>
          <w:i/>
          <w:iCs/>
        </w:rPr>
      </w:pPr>
      <w:r w:rsidRPr="000853E2">
        <w:rPr>
          <w:i/>
          <w:iCs/>
        </w:rPr>
        <w:t>3.</w:t>
      </w:r>
      <w:r>
        <w:rPr>
          <w:i/>
          <w:iCs/>
        </w:rPr>
        <w:t>6</w:t>
      </w:r>
      <w:r w:rsidRPr="000853E2">
        <w:rPr>
          <w:i/>
          <w:iCs/>
        </w:rPr>
        <w:t>.2. Lovforslaget</w:t>
      </w:r>
    </w:p>
    <w:p w:rsidR="00FB1AF5" w:rsidRDefault="00FB1AF5" w:rsidP="00FB1AF5">
      <w:pPr>
        <w:rPr>
          <w:iCs/>
        </w:rPr>
      </w:pPr>
      <w:r w:rsidRPr="000853E2">
        <w:rPr>
          <w:iCs/>
        </w:rPr>
        <w:t>Det foreslås, at nedsættelse af godtgørelse af energiafgifterne for brændsler anvendt til procesformål til 4,5 kr. pr. GJ fremrykkes fra 1. januar 2015 til 1. januar 2014.</w:t>
      </w:r>
      <w:r w:rsidR="0048242E">
        <w:rPr>
          <w:iCs/>
        </w:rPr>
        <w:t xml:space="preserve"> Dette vil mindske virksomhedernes produktionsrelaterede omkostninger.</w:t>
      </w:r>
    </w:p>
    <w:p w:rsidR="00FB1AF5" w:rsidRDefault="00FB1AF5" w:rsidP="00FB1AF5">
      <w:pPr>
        <w:rPr>
          <w:iCs/>
        </w:rPr>
      </w:pPr>
    </w:p>
    <w:p w:rsidR="001F1626" w:rsidRDefault="001F1626" w:rsidP="00376FD2">
      <w:pPr>
        <w:rPr>
          <w:i/>
          <w:iCs/>
        </w:rPr>
      </w:pPr>
      <w:r>
        <w:rPr>
          <w:i/>
          <w:iCs/>
        </w:rPr>
        <w:t>3.</w:t>
      </w:r>
      <w:r w:rsidR="00B07925">
        <w:rPr>
          <w:i/>
          <w:iCs/>
        </w:rPr>
        <w:t>7</w:t>
      </w:r>
      <w:r>
        <w:rPr>
          <w:i/>
          <w:iCs/>
        </w:rPr>
        <w:t>. Fradrag for selvstændiges syge- og arbejdsskadeforsikring</w:t>
      </w:r>
    </w:p>
    <w:p w:rsidR="001F1626" w:rsidRPr="00693689" w:rsidRDefault="001F1626" w:rsidP="00376FD2">
      <w:pPr>
        <w:rPr>
          <w:iCs/>
        </w:rPr>
      </w:pPr>
    </w:p>
    <w:p w:rsidR="001F1626" w:rsidRDefault="001F1626" w:rsidP="00376FD2">
      <w:pPr>
        <w:rPr>
          <w:i/>
          <w:iCs/>
        </w:rPr>
      </w:pPr>
      <w:r>
        <w:rPr>
          <w:i/>
          <w:iCs/>
        </w:rPr>
        <w:t>3.</w:t>
      </w:r>
      <w:r w:rsidR="00B07925">
        <w:rPr>
          <w:i/>
          <w:iCs/>
        </w:rPr>
        <w:t>7</w:t>
      </w:r>
      <w:r>
        <w:rPr>
          <w:i/>
          <w:iCs/>
        </w:rPr>
        <w:t xml:space="preserve">.1. </w:t>
      </w:r>
      <w:r w:rsidR="00844CA9">
        <w:rPr>
          <w:i/>
          <w:iCs/>
        </w:rPr>
        <w:t>Gældende ret</w:t>
      </w:r>
    </w:p>
    <w:p w:rsidR="003B36D7" w:rsidRDefault="003B36D7" w:rsidP="003B36D7">
      <w:pPr>
        <w:pStyle w:val="normalind"/>
        <w:spacing w:before="0" w:beforeAutospacing="0" w:after="0" w:afterAutospacing="0"/>
      </w:pPr>
      <w:r>
        <w:t>Selvstændigt erhvervsdrivende kan ved opgørelsen af den skattepligtige indkomst fradrage udgifter til forsikringer, som dækker driftstab eller i øvrigt er tegnet for at erhverve, sikre eller vedligeholde indkomsten fra virksomhedens drift. Der er således tale om driftsomkostninger (statsskattelovens § 6, stk. 1, litra a).</w:t>
      </w:r>
    </w:p>
    <w:p w:rsidR="00AD7FAF" w:rsidRDefault="00AD7FAF" w:rsidP="003B36D7">
      <w:pPr>
        <w:pStyle w:val="normalind"/>
        <w:spacing w:before="0" w:beforeAutospacing="0" w:after="0" w:afterAutospacing="0"/>
      </w:pPr>
    </w:p>
    <w:p w:rsidR="003B36D7" w:rsidRDefault="003B36D7" w:rsidP="003B36D7">
      <w:pPr>
        <w:pStyle w:val="normalind"/>
        <w:spacing w:before="0" w:beforeAutospacing="0" w:after="0" w:afterAutospacing="0"/>
      </w:pPr>
      <w:r>
        <w:t xml:space="preserve">Der er </w:t>
      </w:r>
      <w:r w:rsidR="00517119">
        <w:t>f.eks.</w:t>
      </w:r>
      <w:r>
        <w:t xml:space="preserve"> tale om fradragsberettigede driftsomkostninger, når den erhvervsdrivende afholder udgifter til præmier, der forsikrer den erhvervsdrivende imod dennes forpligtelser efter sygedagpengeordningen i forhold til ansatte.</w:t>
      </w:r>
    </w:p>
    <w:p w:rsidR="00FB1AF5" w:rsidRDefault="00FB1AF5" w:rsidP="003B36D7">
      <w:pPr>
        <w:pStyle w:val="normalind"/>
        <w:spacing w:before="0" w:beforeAutospacing="0" w:after="0" w:afterAutospacing="0"/>
      </w:pPr>
    </w:p>
    <w:p w:rsidR="003B36D7" w:rsidRDefault="003B36D7" w:rsidP="003B36D7">
      <w:pPr>
        <w:pStyle w:val="normalind"/>
        <w:spacing w:before="0" w:beforeAutospacing="0" w:after="0" w:afterAutospacing="0"/>
      </w:pPr>
      <w:r>
        <w:t>Generelt er der tale om fradragsberettigede driftsomkostninger, når den erhvervsdrivende afholder udgifter, der kompenserer den erhvervsdrivende for den løn, som denne skal udbetale til sine ansatte, når de f.eks. er syge eller er kommet til skade på arbejdet.</w:t>
      </w:r>
    </w:p>
    <w:p w:rsidR="00AD7FAF" w:rsidRDefault="00AD7FAF" w:rsidP="003B36D7">
      <w:pPr>
        <w:pStyle w:val="normalind"/>
        <w:spacing w:before="0" w:beforeAutospacing="0" w:after="0" w:afterAutospacing="0"/>
      </w:pPr>
    </w:p>
    <w:p w:rsidR="00AD7FAF" w:rsidRDefault="00B82915" w:rsidP="003B36D7">
      <w:pPr>
        <w:pStyle w:val="normalind"/>
        <w:spacing w:before="0" w:beforeAutospacing="0" w:after="0" w:afterAutospacing="0"/>
      </w:pPr>
      <w:r>
        <w:t>U</w:t>
      </w:r>
      <w:r w:rsidR="00AD7FAF">
        <w:t>dgifter til præmiebetalinger til erhvervsdrivendes</w:t>
      </w:r>
      <w:r w:rsidR="00517119">
        <w:t xml:space="preserve"> egne</w:t>
      </w:r>
      <w:r w:rsidR="00AD7FAF">
        <w:t xml:space="preserve"> frivillige sygedagpengesikring</w:t>
      </w:r>
      <w:r>
        <w:t xml:space="preserve"> anses</w:t>
      </w:r>
      <w:r w:rsidR="00AD7FAF">
        <w:t xml:space="preserve"> ikke for driftsomkostninger for den erhvervsdrivende. Disse præmiebetalinger kan således ikke fradrages.</w:t>
      </w:r>
    </w:p>
    <w:p w:rsidR="00AD7FAF" w:rsidRDefault="00AD7FAF" w:rsidP="003B36D7">
      <w:pPr>
        <w:pStyle w:val="normalind"/>
        <w:spacing w:before="0" w:beforeAutospacing="0" w:after="0" w:afterAutospacing="0"/>
      </w:pPr>
    </w:p>
    <w:p w:rsidR="004D6C29" w:rsidRDefault="004D6C29" w:rsidP="003B36D7">
      <w:pPr>
        <w:pStyle w:val="normalind"/>
        <w:spacing w:before="0" w:beforeAutospacing="0" w:after="0" w:afterAutospacing="0"/>
      </w:pPr>
      <w:r>
        <w:t xml:space="preserve">Udgifter til præmiebetalinger til selvstændigt erhvervsdrivendes arbejdsskadeforsikringer anses </w:t>
      </w:r>
      <w:r w:rsidR="00517119">
        <w:t>heller ikke for driftsomkostninger</w:t>
      </w:r>
      <w:r>
        <w:t xml:space="preserve">.  </w:t>
      </w:r>
    </w:p>
    <w:p w:rsidR="00693689" w:rsidRPr="00693689" w:rsidRDefault="00693689" w:rsidP="003B36D7">
      <w:pPr>
        <w:rPr>
          <w:iCs/>
        </w:rPr>
      </w:pPr>
    </w:p>
    <w:p w:rsidR="001F1626" w:rsidRDefault="00F47258" w:rsidP="00376FD2">
      <w:pPr>
        <w:rPr>
          <w:iCs/>
        </w:rPr>
      </w:pPr>
      <w:r>
        <w:rPr>
          <w:iCs/>
        </w:rPr>
        <w:t>Med virkning fra indkomståret 2015 er der indført fradragsret for selvstændigt erhvervsdrivendes udgifter til præmiebetalinger til frivilligt tegnede syge- og arbejdsskadeforsikringer vedrørende egen person. Det er en forudsætning, at der er tale om forsikringer, som er omfattet af sygedagpengeloven eller arbejdsskadesikringsloven.</w:t>
      </w:r>
    </w:p>
    <w:p w:rsidR="00F47258" w:rsidRDefault="00F47258" w:rsidP="00A37F1E">
      <w:pPr>
        <w:rPr>
          <w:iCs/>
        </w:rPr>
      </w:pPr>
    </w:p>
    <w:p w:rsidR="00DE22D7" w:rsidRDefault="00DE22D7" w:rsidP="00A37F1E">
      <w:pPr>
        <w:pStyle w:val="normalind"/>
        <w:spacing w:before="0" w:beforeAutospacing="0" w:after="0" w:afterAutospacing="0"/>
      </w:pPr>
      <w:r>
        <w:t xml:space="preserve">Under samme forudsætning </w:t>
      </w:r>
      <w:r w:rsidR="00A37F1E">
        <w:t>er</w:t>
      </w:r>
      <w:r>
        <w:t xml:space="preserve"> der</w:t>
      </w:r>
      <w:r w:rsidR="00A37F1E">
        <w:t xml:space="preserve"> med virkning fra indkomståret 2015 indført</w:t>
      </w:r>
      <w:r>
        <w:t xml:space="preserve"> fradragsret for udgifter til præmiebetalinger til syge- og arbejdsskadeforsikringer vedrørende en medarbejdende ægtefælle. Det er en betingelse, at der er tale om en medarbejdende ægtefælle i skattelovgivningens forstand.</w:t>
      </w:r>
    </w:p>
    <w:p w:rsidR="00A37F1E" w:rsidRDefault="00A37F1E" w:rsidP="00A37F1E">
      <w:pPr>
        <w:pStyle w:val="normalind"/>
        <w:spacing w:before="0" w:beforeAutospacing="0" w:after="0" w:afterAutospacing="0"/>
      </w:pPr>
    </w:p>
    <w:p w:rsidR="00DE22D7" w:rsidRDefault="00A37F1E" w:rsidP="00A37F1E">
      <w:pPr>
        <w:pStyle w:val="normalind"/>
        <w:spacing w:before="0" w:beforeAutospacing="0" w:after="0" w:afterAutospacing="0"/>
      </w:pPr>
      <w:r>
        <w:t>Fra indkomståret 2015 er der</w:t>
      </w:r>
      <w:r w:rsidR="00DE22D7">
        <w:t xml:space="preserve"> fradragsret for præmiebetalinger vedrørende en medarbejdende ægtefælle, uanset om præmiebetalingen foretages af den selvstændigt erhvervsdrivende eller af den medarbejdende ægtefælle. Udgifterne kan efter ægtefællernes eget valg fradrages ved opgørelsen af den skattepligtige indkomst hos enten den selvstændigt erhvervsdrivende eller hos dennes medarbejdende ægtefælle.</w:t>
      </w:r>
    </w:p>
    <w:p w:rsidR="00A37F1E" w:rsidRDefault="00A37F1E" w:rsidP="00A37F1E">
      <w:pPr>
        <w:pStyle w:val="normalind"/>
        <w:spacing w:before="0" w:beforeAutospacing="0" w:after="0" w:afterAutospacing="0"/>
      </w:pPr>
    </w:p>
    <w:p w:rsidR="00DE22D7" w:rsidRDefault="00DE22D7" w:rsidP="00A37F1E">
      <w:pPr>
        <w:pStyle w:val="normalind"/>
        <w:spacing w:before="0" w:beforeAutospacing="0" w:after="0" w:afterAutospacing="0"/>
      </w:pPr>
      <w:r>
        <w:t xml:space="preserve">Fradraget </w:t>
      </w:r>
      <w:r w:rsidR="00A37F1E">
        <w:t>gives som</w:t>
      </w:r>
      <w:r>
        <w:t xml:space="preserve"> et ligningsmæssigt fradrag </w:t>
      </w:r>
      <w:r w:rsidR="0006355E">
        <w:t>ligesom fradraget i dag</w:t>
      </w:r>
      <w:r>
        <w:t xml:space="preserve"> for selvstændigt erhvervsdrivendes indbetalinger til personligt medlemskab af en A-kasse.</w:t>
      </w:r>
    </w:p>
    <w:p w:rsidR="00A37F1E" w:rsidRDefault="00A37F1E" w:rsidP="00A37F1E">
      <w:pPr>
        <w:pStyle w:val="normalind"/>
        <w:spacing w:before="0" w:beforeAutospacing="0" w:after="0" w:afterAutospacing="0"/>
      </w:pPr>
    </w:p>
    <w:p w:rsidR="00FE397C" w:rsidRDefault="00FE397C" w:rsidP="00FE397C">
      <w:pPr>
        <w:rPr>
          <w:i/>
          <w:iCs/>
        </w:rPr>
      </w:pPr>
      <w:r>
        <w:rPr>
          <w:i/>
          <w:iCs/>
        </w:rPr>
        <w:t>3.7.2. Lovforslaget</w:t>
      </w:r>
    </w:p>
    <w:p w:rsidR="00885FA8" w:rsidRDefault="006346D5" w:rsidP="006346D5">
      <w:pPr>
        <w:pStyle w:val="tekst"/>
        <w:spacing w:before="0" w:beforeAutospacing="0" w:after="0" w:afterAutospacing="0"/>
      </w:pPr>
      <w:r>
        <w:t xml:space="preserve">Det foreslås, at virkningstidspunktet for reglerne </w:t>
      </w:r>
      <w:r w:rsidR="0046657E">
        <w:t>om fradrag for syge- og arbejdsskadeforsikringer</w:t>
      </w:r>
      <w:r>
        <w:t xml:space="preserve"> fremrykkes, så lempelserne får virkning fra indkomståret 2014 i stedet for først fra indkomståret 2015.</w:t>
      </w:r>
    </w:p>
    <w:p w:rsidR="00376FD2" w:rsidRPr="00994723" w:rsidRDefault="00376FD2" w:rsidP="00376FD2">
      <w:pPr>
        <w:rPr>
          <w:iCs/>
        </w:rPr>
      </w:pPr>
    </w:p>
    <w:p w:rsidR="00376FD2" w:rsidRPr="00BC172D" w:rsidRDefault="00376FD2" w:rsidP="00376FD2">
      <w:pPr>
        <w:rPr>
          <w:i/>
          <w:iCs/>
        </w:rPr>
      </w:pPr>
      <w:r w:rsidRPr="00BC172D">
        <w:rPr>
          <w:i/>
          <w:iCs/>
        </w:rPr>
        <w:t xml:space="preserve">4. Økonomiske konsekvenser for det offentlige </w:t>
      </w:r>
    </w:p>
    <w:p w:rsidR="00340BDD" w:rsidRDefault="00340BDD" w:rsidP="00340BDD"/>
    <w:p w:rsidR="00340BDD" w:rsidRPr="00767573" w:rsidRDefault="00340BDD" w:rsidP="00340BDD">
      <w:pPr>
        <w:rPr>
          <w:rFonts w:cs="Times New Roman"/>
          <w:i/>
          <w:szCs w:val="24"/>
        </w:rPr>
      </w:pPr>
      <w:r w:rsidRPr="00767573">
        <w:rPr>
          <w:rFonts w:cs="Times New Roman"/>
          <w:i/>
          <w:szCs w:val="24"/>
        </w:rPr>
        <w:t>4.1. De samlede økonomiske konsekvenser af skatte- og afgiftselementer i Aftaler om finansloven for 2014.</w:t>
      </w:r>
    </w:p>
    <w:p w:rsidR="00340BDD" w:rsidRPr="00767573" w:rsidRDefault="00340BDD" w:rsidP="00340BDD">
      <w:pPr>
        <w:rPr>
          <w:rFonts w:cs="Times New Roman"/>
          <w:szCs w:val="24"/>
        </w:rPr>
      </w:pPr>
      <w:r w:rsidRPr="00767573">
        <w:rPr>
          <w:rFonts w:cs="Times New Roman"/>
          <w:szCs w:val="24"/>
        </w:rPr>
        <w:t xml:space="preserve">Med </w:t>
      </w:r>
      <w:r w:rsidRPr="00767573">
        <w:rPr>
          <w:rFonts w:cs="Times New Roman"/>
          <w:i/>
          <w:szCs w:val="24"/>
        </w:rPr>
        <w:t>Aftaler om finansloven for 2014</w:t>
      </w:r>
      <w:r w:rsidRPr="00767573">
        <w:rPr>
          <w:rFonts w:cs="Times New Roman"/>
          <w:szCs w:val="24"/>
        </w:rPr>
        <w:t xml:space="preserve"> fremrykkes samlet set skatte- og afgiftslettelser for ca. 3.350 mio. kr. (2014-niveau) i perioden 2014 til 2017 opgjort som umiddelbar provenuvirkning. Efter tilbageløb og adfærd svarer det til knap 2.100 mio. kr. (2014-niveau).</w:t>
      </w:r>
    </w:p>
    <w:p w:rsidR="00340BDD" w:rsidRPr="00767573" w:rsidRDefault="00340BDD" w:rsidP="00340BDD">
      <w:pPr>
        <w:rPr>
          <w:rFonts w:cs="Times New Roman"/>
          <w:szCs w:val="24"/>
        </w:rPr>
      </w:pPr>
    </w:p>
    <w:p w:rsidR="00340BDD" w:rsidRPr="00767573" w:rsidRDefault="00340BDD" w:rsidP="00340BDD">
      <w:pPr>
        <w:rPr>
          <w:rFonts w:cs="Times New Roman"/>
          <w:szCs w:val="24"/>
        </w:rPr>
      </w:pPr>
      <w:r w:rsidRPr="00767573">
        <w:rPr>
          <w:rFonts w:cs="Times New Roman"/>
          <w:szCs w:val="24"/>
        </w:rPr>
        <w:t>Fremrykning af forhøjelsen af det normale beskæftigelsesfradrag og forhøjelsen af det ekstra beskæftigelse</w:t>
      </w:r>
      <w:r>
        <w:rPr>
          <w:rFonts w:cs="Times New Roman"/>
          <w:szCs w:val="24"/>
        </w:rPr>
        <w:t>sfradrag</w:t>
      </w:r>
      <w:r w:rsidRPr="00767573">
        <w:rPr>
          <w:rFonts w:cs="Times New Roman"/>
          <w:szCs w:val="24"/>
        </w:rPr>
        <w:t xml:space="preserve"> for enlige forsørgere i </w:t>
      </w:r>
      <w:r w:rsidRPr="00767573">
        <w:rPr>
          <w:rFonts w:cs="Times New Roman"/>
          <w:i/>
          <w:szCs w:val="24"/>
        </w:rPr>
        <w:t>Aftale om en skattereform 2012</w:t>
      </w:r>
      <w:r w:rsidRPr="00767573">
        <w:rPr>
          <w:rFonts w:cs="Times New Roman"/>
          <w:szCs w:val="24"/>
        </w:rPr>
        <w:t xml:space="preserve"> medfører et umiddelbart mindreprovenu i perioden 2014 til 2017 på ca. 2.300 mio. kr. (2014-niveau), svarende til 1.375 mio. kr. (2014-niveau) efter tilbageløb og adfærd.</w:t>
      </w:r>
    </w:p>
    <w:p w:rsidR="00340BDD" w:rsidRPr="00767573" w:rsidRDefault="00340BDD" w:rsidP="00340BDD">
      <w:pPr>
        <w:rPr>
          <w:rFonts w:cs="Times New Roman"/>
          <w:szCs w:val="24"/>
        </w:rPr>
      </w:pPr>
      <w:r w:rsidRPr="00767573">
        <w:rPr>
          <w:rFonts w:cs="Times New Roman"/>
          <w:szCs w:val="24"/>
        </w:rPr>
        <w:t xml:space="preserve"> </w:t>
      </w:r>
    </w:p>
    <w:p w:rsidR="00340BDD" w:rsidRPr="00767573" w:rsidRDefault="00340BDD" w:rsidP="00340BDD">
      <w:pPr>
        <w:rPr>
          <w:rFonts w:cs="Times New Roman"/>
          <w:szCs w:val="24"/>
        </w:rPr>
      </w:pPr>
      <w:r w:rsidRPr="00767573">
        <w:rPr>
          <w:rFonts w:cs="Times New Roman"/>
          <w:szCs w:val="24"/>
        </w:rPr>
        <w:t xml:space="preserve">Fremrykningen af de erhvervsrettede skattelettelser i </w:t>
      </w:r>
      <w:r w:rsidRPr="00767573">
        <w:rPr>
          <w:rFonts w:cs="Times New Roman"/>
          <w:i/>
          <w:szCs w:val="24"/>
        </w:rPr>
        <w:t xml:space="preserve">Aftaler om en Vækstplan DK </w:t>
      </w:r>
      <w:r w:rsidRPr="00767573">
        <w:rPr>
          <w:rFonts w:cs="Times New Roman"/>
          <w:szCs w:val="24"/>
        </w:rPr>
        <w:t>medfører samlet set et umiddelbart mindreprovenu på 1.050 mio. kr. (2014-niveau) i perioden 2014 til 2017, svarende til 685 mio. kr. (2014-niveau) efter tilbageløb og adfærd.</w:t>
      </w:r>
    </w:p>
    <w:p w:rsidR="00340BDD" w:rsidRPr="00767573" w:rsidRDefault="00340BDD" w:rsidP="00340BDD">
      <w:pPr>
        <w:rPr>
          <w:rFonts w:cs="Times New Roman"/>
          <w:szCs w:val="24"/>
        </w:rPr>
      </w:pPr>
      <w:r w:rsidRPr="00767573">
        <w:rPr>
          <w:rFonts w:cs="Times New Roman"/>
          <w:szCs w:val="24"/>
        </w:rPr>
        <w:t xml:space="preserve"> </w:t>
      </w:r>
    </w:p>
    <w:p w:rsidR="00340BDD" w:rsidRPr="00767573" w:rsidRDefault="00340BDD" w:rsidP="00340BDD">
      <w:pPr>
        <w:rPr>
          <w:rFonts w:cs="Times New Roman"/>
          <w:szCs w:val="24"/>
        </w:rPr>
      </w:pPr>
      <w:r w:rsidRPr="00767573">
        <w:rPr>
          <w:rFonts w:cs="Times New Roman"/>
          <w:szCs w:val="24"/>
        </w:rPr>
        <w:t xml:space="preserve">Dermed målrettes ca. 2/3 af de prioriterede skatte- og afgiftslettelser i </w:t>
      </w:r>
      <w:r w:rsidRPr="00767573">
        <w:rPr>
          <w:rFonts w:cs="Times New Roman"/>
          <w:i/>
          <w:szCs w:val="24"/>
        </w:rPr>
        <w:t xml:space="preserve">Aftaler om finansloven for 2014 </w:t>
      </w:r>
      <w:r w:rsidRPr="00767573">
        <w:rPr>
          <w:rFonts w:cs="Times New Roman"/>
          <w:szCs w:val="24"/>
        </w:rPr>
        <w:t>personskattenedsættelser til personer i beskæftigelse med de laveste lønindkomster og ca. 1/3 målrettes virksomhederne.</w:t>
      </w:r>
    </w:p>
    <w:p w:rsidR="00340BDD" w:rsidRPr="00767573" w:rsidRDefault="00340BDD" w:rsidP="00340BDD">
      <w:pPr>
        <w:rPr>
          <w:rFonts w:cs="Times New Roman"/>
          <w:szCs w:val="24"/>
        </w:rPr>
      </w:pPr>
      <w:r w:rsidRPr="00767573">
        <w:rPr>
          <w:rFonts w:cs="Times New Roman"/>
          <w:szCs w:val="24"/>
        </w:rPr>
        <w:t xml:space="preserve"> </w:t>
      </w:r>
    </w:p>
    <w:p w:rsidR="00340BDD" w:rsidRPr="00767573" w:rsidRDefault="00340BDD" w:rsidP="00340BDD">
      <w:pPr>
        <w:rPr>
          <w:rFonts w:cs="Times New Roman"/>
          <w:szCs w:val="24"/>
        </w:rPr>
      </w:pPr>
      <w:r w:rsidRPr="00767573">
        <w:rPr>
          <w:rFonts w:cs="Times New Roman"/>
          <w:szCs w:val="24"/>
        </w:rPr>
        <w:t>De</w:t>
      </w:r>
      <w:r w:rsidR="00DD775A">
        <w:rPr>
          <w:rFonts w:cs="Times New Roman"/>
          <w:szCs w:val="24"/>
        </w:rPr>
        <w:t>t</w:t>
      </w:r>
      <w:r w:rsidRPr="00767573">
        <w:rPr>
          <w:rFonts w:cs="Times New Roman"/>
          <w:szCs w:val="24"/>
        </w:rPr>
        <w:t xml:space="preserve"> samlede mindreprovenu i finansåret 2014 er på 1.130 mio. kr. Hertil kommer et mindreprovenu i finansåret 2014 på 6.670 mio. kr. som følge af længere momskredittider for små virksomheder. Heraf vedrører 6.500 mio. kr. forskydning af momsindtægter fra 2014 til 2015, jf. afsnit 4.5.</w:t>
      </w:r>
    </w:p>
    <w:p w:rsidR="00340BDD" w:rsidRPr="00340BDD" w:rsidRDefault="00340BDD" w:rsidP="00340BDD">
      <w:pPr>
        <w:rPr>
          <w:rFonts w:cs="Times New Roman"/>
          <w:szCs w:val="24"/>
        </w:rPr>
      </w:pPr>
    </w:p>
    <w:tbl>
      <w:tblPr>
        <w:tblW w:w="5000" w:type="pct"/>
        <w:tblBorders>
          <w:top w:val="single" w:sz="4" w:space="0" w:color="auto"/>
          <w:bottom w:val="single" w:sz="4" w:space="0" w:color="auto"/>
        </w:tblBorders>
        <w:tblCellMar>
          <w:left w:w="0" w:type="dxa"/>
          <w:right w:w="85" w:type="dxa"/>
        </w:tblCellMar>
        <w:tblLook w:val="04A0" w:firstRow="1" w:lastRow="0" w:firstColumn="1" w:lastColumn="0" w:noHBand="0" w:noVBand="1"/>
      </w:tblPr>
      <w:tblGrid>
        <w:gridCol w:w="9154"/>
      </w:tblGrid>
      <w:tr w:rsidR="00340BDD" w:rsidRPr="001325BD" w:rsidTr="00C35C39">
        <w:trPr>
          <w:trHeight w:val="283"/>
        </w:trPr>
        <w:tc>
          <w:tcPr>
            <w:tcW w:w="9154" w:type="dxa"/>
            <w:tcBorders>
              <w:top w:val="single" w:sz="4" w:space="0" w:color="auto"/>
              <w:bottom w:val="single" w:sz="4" w:space="0" w:color="auto"/>
            </w:tcBorders>
            <w:shd w:val="clear" w:color="auto" w:fill="auto"/>
            <w:vAlign w:val="bottom"/>
          </w:tcPr>
          <w:p w:rsidR="00340BDD" w:rsidRPr="001325BD" w:rsidRDefault="00340BDD" w:rsidP="00C35C39">
            <w:pPr>
              <w:rPr>
                <w:rFonts w:ascii="Times New Roman" w:hAnsi="Times New Roman" w:cs="Times New Roman"/>
                <w:color w:val="000000"/>
                <w:sz w:val="18"/>
                <w:szCs w:val="18"/>
              </w:rPr>
            </w:pPr>
            <w:r w:rsidRPr="001325BD">
              <w:rPr>
                <w:rFonts w:ascii="Times New Roman" w:eastAsia="Times New Roman" w:hAnsi="Times New Roman" w:cs="Times New Roman"/>
                <w:b/>
                <w:color w:val="000000"/>
                <w:szCs w:val="24"/>
              </w:rPr>
              <w:t>Tabel 4.1.1.</w:t>
            </w:r>
            <w:r>
              <w:rPr>
                <w:rFonts w:ascii="Times New Roman" w:eastAsia="Times New Roman" w:hAnsi="Times New Roman" w:cs="Times New Roman"/>
                <w:b/>
                <w:color w:val="000000"/>
                <w:szCs w:val="24"/>
              </w:rPr>
              <w:t xml:space="preserve"> </w:t>
            </w:r>
            <w:r w:rsidRPr="001325BD">
              <w:rPr>
                <w:rFonts w:ascii="Times New Roman" w:hAnsi="Times New Roman" w:cs="Times New Roman"/>
                <w:b/>
                <w:color w:val="000000"/>
                <w:szCs w:val="24"/>
              </w:rPr>
              <w:t xml:space="preserve">Provenuvirkning af skatte- og afgiftselementer i </w:t>
            </w:r>
            <w:r w:rsidRPr="001325BD">
              <w:rPr>
                <w:rFonts w:ascii="Times New Roman" w:hAnsi="Times New Roman" w:cs="Times New Roman"/>
                <w:b/>
                <w:i/>
                <w:color w:val="000000"/>
                <w:szCs w:val="24"/>
              </w:rPr>
              <w:t>Aftale om finansloven for 2014</w:t>
            </w:r>
          </w:p>
        </w:tc>
      </w:tr>
    </w:tbl>
    <w:p w:rsidR="00340BDD" w:rsidRDefault="00340BDD" w:rsidP="00340BDD"/>
    <w:tbl>
      <w:tblPr>
        <w:tblW w:w="5000" w:type="pct"/>
        <w:tblBorders>
          <w:top w:val="single" w:sz="4" w:space="0" w:color="auto"/>
          <w:bottom w:val="single" w:sz="4" w:space="0" w:color="auto"/>
        </w:tblBorders>
        <w:tblCellMar>
          <w:left w:w="0" w:type="dxa"/>
          <w:right w:w="85" w:type="dxa"/>
        </w:tblCellMar>
        <w:tblLook w:val="04A0" w:firstRow="1" w:lastRow="0" w:firstColumn="1" w:lastColumn="0" w:noHBand="0" w:noVBand="1"/>
      </w:tblPr>
      <w:tblGrid>
        <w:gridCol w:w="3828"/>
        <w:gridCol w:w="708"/>
        <w:gridCol w:w="706"/>
        <w:gridCol w:w="774"/>
        <w:gridCol w:w="775"/>
        <w:gridCol w:w="774"/>
        <w:gridCol w:w="743"/>
        <w:gridCol w:w="846"/>
      </w:tblGrid>
      <w:tr w:rsidR="00340BDD" w:rsidRPr="0034543E" w:rsidTr="00C35C39">
        <w:trPr>
          <w:trHeight w:val="510"/>
        </w:trPr>
        <w:tc>
          <w:tcPr>
            <w:tcW w:w="3828" w:type="dxa"/>
            <w:tcBorders>
              <w:top w:val="single" w:sz="4" w:space="0" w:color="auto"/>
              <w:bottom w:val="single" w:sz="4" w:space="0" w:color="auto"/>
              <w:right w:val="single" w:sz="4" w:space="0" w:color="auto"/>
            </w:tcBorders>
            <w:shd w:val="clear" w:color="auto" w:fill="auto"/>
            <w:vAlign w:val="bottom"/>
            <w:hideMark/>
          </w:tcPr>
          <w:p w:rsidR="00340BDD" w:rsidRPr="00001728" w:rsidRDefault="00340BDD" w:rsidP="00C35C39">
            <w:pPr>
              <w:rPr>
                <w:rFonts w:eastAsia="Times New Roman" w:cs="Garamond"/>
                <w:color w:val="000000"/>
                <w:sz w:val="18"/>
                <w:szCs w:val="18"/>
              </w:rPr>
            </w:pPr>
            <w:r w:rsidRPr="00DE2C0E">
              <w:rPr>
                <w:color w:val="000000"/>
                <w:sz w:val="18"/>
                <w:szCs w:val="18"/>
              </w:rPr>
              <w:t>Mio. kr. (2014-niveau)</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BDD" w:rsidRPr="00001728" w:rsidRDefault="00340BDD" w:rsidP="00C35C39">
            <w:pPr>
              <w:jc w:val="center"/>
              <w:rPr>
                <w:rFonts w:eastAsia="Times New Roman" w:cs="Garamond"/>
                <w:color w:val="000000"/>
                <w:sz w:val="18"/>
                <w:szCs w:val="18"/>
              </w:rPr>
            </w:pPr>
            <w:r w:rsidRPr="00001728">
              <w:rPr>
                <w:rFonts w:eastAsia="Times New Roman" w:cs="Garamond"/>
                <w:color w:val="000000"/>
                <w:sz w:val="18"/>
                <w:szCs w:val="18"/>
              </w:rPr>
              <w:t>Varig virkning</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BDD" w:rsidRPr="00001728" w:rsidRDefault="00340BDD" w:rsidP="00C35C39">
            <w:pPr>
              <w:jc w:val="center"/>
              <w:rPr>
                <w:rFonts w:eastAsia="Times New Roman" w:cs="Garamond"/>
                <w:color w:val="000000"/>
                <w:sz w:val="18"/>
                <w:szCs w:val="18"/>
              </w:rPr>
            </w:pPr>
            <w:r w:rsidRPr="00001728">
              <w:rPr>
                <w:rFonts w:eastAsia="Times New Roman" w:cs="Garamond"/>
                <w:color w:val="000000"/>
                <w:sz w:val="18"/>
                <w:szCs w:val="18"/>
              </w:rPr>
              <w:t>2014</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BDD" w:rsidRPr="00001728" w:rsidRDefault="00340BDD" w:rsidP="00C35C39">
            <w:pPr>
              <w:jc w:val="center"/>
              <w:rPr>
                <w:rFonts w:eastAsia="Times New Roman" w:cs="Garamond"/>
                <w:color w:val="000000"/>
                <w:sz w:val="18"/>
                <w:szCs w:val="18"/>
              </w:rPr>
            </w:pPr>
            <w:r w:rsidRPr="00001728">
              <w:rPr>
                <w:rFonts w:eastAsia="Times New Roman" w:cs="Garamond"/>
                <w:color w:val="000000"/>
                <w:sz w:val="18"/>
                <w:szCs w:val="18"/>
              </w:rPr>
              <w:t>2015</w:t>
            </w:r>
          </w:p>
        </w:tc>
        <w:tc>
          <w:tcPr>
            <w:tcW w:w="7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BDD" w:rsidRPr="00001728" w:rsidRDefault="00340BDD" w:rsidP="00C35C39">
            <w:pPr>
              <w:jc w:val="center"/>
              <w:rPr>
                <w:rFonts w:eastAsia="Times New Roman" w:cs="Garamond"/>
                <w:color w:val="000000"/>
                <w:sz w:val="18"/>
                <w:szCs w:val="18"/>
              </w:rPr>
            </w:pPr>
            <w:r w:rsidRPr="00001728">
              <w:rPr>
                <w:rFonts w:eastAsia="Times New Roman" w:cs="Garamond"/>
                <w:color w:val="000000"/>
                <w:sz w:val="18"/>
                <w:szCs w:val="18"/>
              </w:rPr>
              <w:t>2016</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0BDD" w:rsidRPr="00001728" w:rsidRDefault="00340BDD" w:rsidP="00C35C39">
            <w:pPr>
              <w:jc w:val="center"/>
              <w:rPr>
                <w:rFonts w:eastAsia="Times New Roman" w:cs="Garamond"/>
                <w:color w:val="000000"/>
                <w:sz w:val="18"/>
                <w:szCs w:val="18"/>
              </w:rPr>
            </w:pPr>
            <w:r w:rsidRPr="00001728">
              <w:rPr>
                <w:rFonts w:eastAsia="Times New Roman" w:cs="Garamond"/>
                <w:color w:val="000000"/>
                <w:sz w:val="18"/>
                <w:szCs w:val="18"/>
              </w:rPr>
              <w:t>2017</w:t>
            </w:r>
          </w:p>
        </w:tc>
        <w:tc>
          <w:tcPr>
            <w:tcW w:w="743" w:type="dxa"/>
            <w:tcBorders>
              <w:top w:val="single" w:sz="4" w:space="0" w:color="auto"/>
              <w:left w:val="single" w:sz="4" w:space="0" w:color="auto"/>
              <w:bottom w:val="single" w:sz="4" w:space="0" w:color="auto"/>
              <w:right w:val="single" w:sz="4" w:space="0" w:color="auto"/>
            </w:tcBorders>
            <w:vAlign w:val="bottom"/>
          </w:tcPr>
          <w:p w:rsidR="00340BDD" w:rsidRDefault="00340BDD" w:rsidP="00C35C39">
            <w:pPr>
              <w:jc w:val="center"/>
              <w:rPr>
                <w:rFonts w:cs="Garamond"/>
                <w:color w:val="000000"/>
                <w:sz w:val="18"/>
                <w:szCs w:val="18"/>
              </w:rPr>
            </w:pPr>
            <w:r>
              <w:rPr>
                <w:rFonts w:cs="Garamond"/>
                <w:color w:val="000000"/>
                <w:sz w:val="18"/>
                <w:szCs w:val="18"/>
              </w:rPr>
              <w:t>2014</w:t>
            </w:r>
          </w:p>
          <w:p w:rsidR="00340BDD" w:rsidRPr="00001728" w:rsidRDefault="00340BDD" w:rsidP="00C35C39">
            <w:pPr>
              <w:jc w:val="center"/>
              <w:rPr>
                <w:rFonts w:cs="Garamond"/>
                <w:color w:val="000000"/>
                <w:sz w:val="18"/>
                <w:szCs w:val="18"/>
              </w:rPr>
            </w:pPr>
            <w:r>
              <w:rPr>
                <w:rFonts w:cs="Garamond"/>
                <w:color w:val="000000"/>
                <w:sz w:val="18"/>
                <w:szCs w:val="18"/>
              </w:rPr>
              <w:t>-2017</w:t>
            </w:r>
          </w:p>
        </w:tc>
        <w:tc>
          <w:tcPr>
            <w:tcW w:w="846" w:type="dxa"/>
            <w:tcBorders>
              <w:top w:val="single" w:sz="4" w:space="0" w:color="auto"/>
              <w:left w:val="single" w:sz="4" w:space="0" w:color="auto"/>
              <w:bottom w:val="single" w:sz="4" w:space="0" w:color="auto"/>
            </w:tcBorders>
            <w:shd w:val="clear" w:color="auto" w:fill="auto"/>
            <w:vAlign w:val="bottom"/>
            <w:hideMark/>
          </w:tcPr>
          <w:p w:rsidR="00340BDD" w:rsidRPr="00001728" w:rsidRDefault="00340BDD" w:rsidP="00C35C39">
            <w:pPr>
              <w:jc w:val="center"/>
              <w:rPr>
                <w:rFonts w:eastAsia="Times New Roman" w:cs="Garamond"/>
                <w:color w:val="000000"/>
                <w:sz w:val="18"/>
                <w:szCs w:val="18"/>
              </w:rPr>
            </w:pPr>
            <w:r w:rsidRPr="00001728">
              <w:rPr>
                <w:rFonts w:cs="Garamond"/>
                <w:color w:val="000000"/>
                <w:sz w:val="18"/>
                <w:szCs w:val="18"/>
              </w:rPr>
              <w:t>Finansår 2014</w:t>
            </w:r>
          </w:p>
        </w:tc>
      </w:tr>
      <w:tr w:rsidR="00340BDD" w:rsidRPr="0034543E" w:rsidTr="00C35C39">
        <w:trPr>
          <w:trHeight w:val="283"/>
        </w:trPr>
        <w:tc>
          <w:tcPr>
            <w:tcW w:w="3828" w:type="dxa"/>
            <w:tcBorders>
              <w:top w:val="single" w:sz="4" w:space="0" w:color="auto"/>
              <w:bottom w:val="nil"/>
              <w:right w:val="single" w:sz="4" w:space="0" w:color="auto"/>
            </w:tcBorders>
            <w:shd w:val="clear" w:color="auto" w:fill="auto"/>
            <w:vAlign w:val="center"/>
            <w:hideMark/>
          </w:tcPr>
          <w:p w:rsidR="00340BDD" w:rsidRPr="00001728" w:rsidRDefault="00340BDD" w:rsidP="00C35C39">
            <w:pPr>
              <w:rPr>
                <w:rFonts w:eastAsia="Times New Roman" w:cs="Garamond"/>
                <w:b/>
                <w:color w:val="000000"/>
                <w:sz w:val="18"/>
                <w:szCs w:val="18"/>
              </w:rPr>
            </w:pPr>
            <w:r w:rsidRPr="00001728">
              <w:rPr>
                <w:rFonts w:eastAsia="Times New Roman" w:cs="Garamond"/>
                <w:b/>
                <w:color w:val="000000"/>
                <w:sz w:val="18"/>
                <w:szCs w:val="18"/>
              </w:rPr>
              <w:t>Umiddelbar provenuvirkning inkl. virkning på andre konti i alt</w:t>
            </w:r>
          </w:p>
        </w:tc>
        <w:tc>
          <w:tcPr>
            <w:tcW w:w="708" w:type="dxa"/>
            <w:tcBorders>
              <w:top w:val="single" w:sz="4" w:space="0" w:color="auto"/>
              <w:left w:val="single" w:sz="4" w:space="0" w:color="auto"/>
              <w:bottom w:val="nil"/>
              <w:right w:val="single" w:sz="4" w:space="0" w:color="auto"/>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-60</w:t>
            </w:r>
          </w:p>
        </w:tc>
        <w:tc>
          <w:tcPr>
            <w:tcW w:w="706" w:type="dxa"/>
            <w:tcBorders>
              <w:top w:val="single" w:sz="4" w:space="0" w:color="auto"/>
              <w:left w:val="single" w:sz="4" w:space="0" w:color="auto"/>
              <w:bottom w:val="nil"/>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-2.175</w:t>
            </w:r>
          </w:p>
        </w:tc>
        <w:tc>
          <w:tcPr>
            <w:tcW w:w="774" w:type="dxa"/>
            <w:tcBorders>
              <w:top w:val="single" w:sz="4" w:space="0" w:color="auto"/>
              <w:bottom w:val="nil"/>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-515</w:t>
            </w:r>
          </w:p>
        </w:tc>
        <w:tc>
          <w:tcPr>
            <w:tcW w:w="775" w:type="dxa"/>
            <w:tcBorders>
              <w:top w:val="single" w:sz="4" w:space="0" w:color="auto"/>
              <w:bottom w:val="nil"/>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-345</w:t>
            </w:r>
          </w:p>
        </w:tc>
        <w:tc>
          <w:tcPr>
            <w:tcW w:w="774" w:type="dxa"/>
            <w:tcBorders>
              <w:top w:val="single" w:sz="4" w:space="0" w:color="auto"/>
              <w:bottom w:val="nil"/>
              <w:right w:val="single" w:sz="4" w:space="0" w:color="auto"/>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-320</w:t>
            </w:r>
          </w:p>
        </w:tc>
        <w:tc>
          <w:tcPr>
            <w:tcW w:w="743" w:type="dxa"/>
            <w:tcBorders>
              <w:top w:val="single" w:sz="4" w:space="0" w:color="auto"/>
              <w:bottom w:val="nil"/>
              <w:right w:val="single" w:sz="4" w:space="0" w:color="auto"/>
            </w:tcBorders>
          </w:tcPr>
          <w:p w:rsidR="00340BDD" w:rsidRPr="00001728" w:rsidRDefault="00340BDD" w:rsidP="00C35C39">
            <w:pPr>
              <w:jc w:val="right"/>
              <w:rPr>
                <w:rFonts w:eastAsia="Times New Roman" w:cs="Garamond"/>
                <w:b/>
                <w:color w:val="000000"/>
                <w:sz w:val="18"/>
                <w:szCs w:val="18"/>
              </w:rPr>
            </w:pPr>
            <w:r>
              <w:rPr>
                <w:rFonts w:eastAsia="Times New Roman" w:cs="Garamond"/>
                <w:b/>
                <w:color w:val="000000"/>
                <w:sz w:val="18"/>
                <w:szCs w:val="18"/>
              </w:rPr>
              <w:t>-3.355</w:t>
            </w:r>
          </w:p>
        </w:tc>
        <w:tc>
          <w:tcPr>
            <w:tcW w:w="846" w:type="dxa"/>
            <w:tcBorders>
              <w:top w:val="single" w:sz="4" w:space="0" w:color="auto"/>
              <w:left w:val="single" w:sz="4" w:space="0" w:color="auto"/>
              <w:bottom w:val="nil"/>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-1.130</w:t>
            </w:r>
            <w:r w:rsidRPr="00001728">
              <w:rPr>
                <w:rFonts w:eastAsia="Times New Roman" w:cs="Garamond"/>
                <w:b/>
                <w:color w:val="000000"/>
                <w:sz w:val="18"/>
                <w:szCs w:val="18"/>
                <w:vertAlign w:val="superscript"/>
              </w:rPr>
              <w:t>1)</w:t>
            </w:r>
          </w:p>
        </w:tc>
      </w:tr>
      <w:tr w:rsidR="00340BDD" w:rsidRPr="0034543E" w:rsidTr="00C35C39">
        <w:trPr>
          <w:trHeight w:val="283"/>
        </w:trPr>
        <w:tc>
          <w:tcPr>
            <w:tcW w:w="3828" w:type="dxa"/>
            <w:tcBorders>
              <w:top w:val="nil"/>
              <w:right w:val="single" w:sz="4" w:space="0" w:color="auto"/>
            </w:tcBorders>
            <w:shd w:val="clear" w:color="auto" w:fill="auto"/>
            <w:vAlign w:val="center"/>
          </w:tcPr>
          <w:p w:rsidR="00340BDD" w:rsidRPr="00001728" w:rsidRDefault="00340BDD" w:rsidP="00C35C39">
            <w:pPr>
              <w:rPr>
                <w:rFonts w:eastAsia="Times New Roman" w:cs="Garamond"/>
                <w:b/>
                <w:color w:val="000000"/>
                <w:sz w:val="18"/>
                <w:szCs w:val="18"/>
              </w:rPr>
            </w:pPr>
          </w:p>
        </w:tc>
        <w:tc>
          <w:tcPr>
            <w:tcW w:w="708" w:type="dxa"/>
            <w:tcBorders>
              <w:top w:val="nil"/>
              <w:left w:val="single" w:sz="4" w:space="0" w:color="auto"/>
              <w:right w:val="single" w:sz="4" w:space="0" w:color="auto"/>
            </w:tcBorders>
            <w:shd w:val="clear" w:color="auto" w:fill="auto"/>
          </w:tcPr>
          <w:p w:rsidR="00340BDD" w:rsidRPr="00001728" w:rsidRDefault="00340BDD" w:rsidP="00C35C39">
            <w:pPr>
              <w:jc w:val="right"/>
              <w:rPr>
                <w:rFonts w:eastAsia="Times New Roman" w:cs="Garamond"/>
                <w:b/>
                <w:color w:val="000000"/>
                <w:sz w:val="18"/>
                <w:szCs w:val="18"/>
              </w:rPr>
            </w:pPr>
          </w:p>
        </w:tc>
        <w:tc>
          <w:tcPr>
            <w:tcW w:w="706" w:type="dxa"/>
            <w:tcBorders>
              <w:top w:val="nil"/>
              <w:left w:val="single" w:sz="4" w:space="0" w:color="auto"/>
            </w:tcBorders>
            <w:shd w:val="clear" w:color="auto" w:fill="auto"/>
          </w:tcPr>
          <w:p w:rsidR="00340BDD" w:rsidRPr="00001728" w:rsidRDefault="00340BDD" w:rsidP="00C35C39">
            <w:pPr>
              <w:jc w:val="right"/>
              <w:rPr>
                <w:rFonts w:eastAsia="Times New Roman" w:cs="Garamond"/>
                <w:b/>
                <w:color w:val="000000"/>
                <w:sz w:val="18"/>
                <w:szCs w:val="18"/>
              </w:rPr>
            </w:pPr>
          </w:p>
        </w:tc>
        <w:tc>
          <w:tcPr>
            <w:tcW w:w="774" w:type="dxa"/>
            <w:tcBorders>
              <w:top w:val="nil"/>
            </w:tcBorders>
            <w:shd w:val="clear" w:color="auto" w:fill="auto"/>
          </w:tcPr>
          <w:p w:rsidR="00340BDD" w:rsidRPr="00001728" w:rsidRDefault="00340BDD" w:rsidP="00C35C39">
            <w:pPr>
              <w:jc w:val="right"/>
              <w:rPr>
                <w:rFonts w:eastAsia="Times New Roman" w:cs="Garamond"/>
                <w:b/>
                <w:color w:val="000000"/>
                <w:sz w:val="18"/>
                <w:szCs w:val="18"/>
              </w:rPr>
            </w:pPr>
          </w:p>
        </w:tc>
        <w:tc>
          <w:tcPr>
            <w:tcW w:w="775" w:type="dxa"/>
            <w:tcBorders>
              <w:top w:val="nil"/>
            </w:tcBorders>
            <w:shd w:val="clear" w:color="auto" w:fill="auto"/>
          </w:tcPr>
          <w:p w:rsidR="00340BDD" w:rsidRPr="00001728" w:rsidRDefault="00340BDD" w:rsidP="00C35C39">
            <w:pPr>
              <w:jc w:val="right"/>
              <w:rPr>
                <w:rFonts w:eastAsia="Times New Roman" w:cs="Garamond"/>
                <w:b/>
                <w:color w:val="000000"/>
                <w:sz w:val="18"/>
                <w:szCs w:val="18"/>
              </w:rPr>
            </w:pPr>
          </w:p>
        </w:tc>
        <w:tc>
          <w:tcPr>
            <w:tcW w:w="774" w:type="dxa"/>
            <w:tcBorders>
              <w:top w:val="nil"/>
              <w:right w:val="single" w:sz="4" w:space="0" w:color="auto"/>
            </w:tcBorders>
            <w:shd w:val="clear" w:color="auto" w:fill="auto"/>
          </w:tcPr>
          <w:p w:rsidR="00340BDD" w:rsidRPr="00001728" w:rsidRDefault="00340BDD" w:rsidP="00C35C39">
            <w:pPr>
              <w:jc w:val="right"/>
              <w:rPr>
                <w:rFonts w:eastAsia="Times New Roman" w:cs="Garamond"/>
                <w:b/>
                <w:color w:val="000000"/>
                <w:sz w:val="18"/>
                <w:szCs w:val="18"/>
              </w:rPr>
            </w:pPr>
          </w:p>
        </w:tc>
        <w:tc>
          <w:tcPr>
            <w:tcW w:w="743" w:type="dxa"/>
            <w:tcBorders>
              <w:top w:val="nil"/>
              <w:right w:val="single" w:sz="4" w:space="0" w:color="auto"/>
            </w:tcBorders>
          </w:tcPr>
          <w:p w:rsidR="00340BDD" w:rsidRPr="00001728" w:rsidRDefault="00340BDD" w:rsidP="00C35C39">
            <w:pPr>
              <w:jc w:val="right"/>
              <w:rPr>
                <w:rFonts w:eastAsia="Times New Roman" w:cs="Garamond"/>
                <w:b/>
                <w:color w:val="000000"/>
                <w:sz w:val="18"/>
                <w:szCs w:val="18"/>
              </w:rPr>
            </w:pPr>
          </w:p>
        </w:tc>
        <w:tc>
          <w:tcPr>
            <w:tcW w:w="846" w:type="dxa"/>
            <w:tcBorders>
              <w:top w:val="nil"/>
              <w:left w:val="single" w:sz="4" w:space="0" w:color="auto"/>
            </w:tcBorders>
            <w:shd w:val="clear" w:color="auto" w:fill="auto"/>
          </w:tcPr>
          <w:p w:rsidR="00340BDD" w:rsidRPr="00001728" w:rsidRDefault="00340BDD" w:rsidP="00C35C39">
            <w:pPr>
              <w:jc w:val="right"/>
              <w:rPr>
                <w:rFonts w:eastAsia="Times New Roman" w:cs="Garamond"/>
                <w:b/>
                <w:color w:val="000000"/>
                <w:sz w:val="18"/>
                <w:szCs w:val="18"/>
              </w:rPr>
            </w:pPr>
          </w:p>
        </w:tc>
      </w:tr>
      <w:tr w:rsidR="00340BDD" w:rsidRPr="0034543E" w:rsidTr="00C35C39">
        <w:trPr>
          <w:trHeight w:val="510"/>
        </w:trPr>
        <w:tc>
          <w:tcPr>
            <w:tcW w:w="3828" w:type="dxa"/>
            <w:tcBorders>
              <w:right w:val="single" w:sz="4" w:space="0" w:color="auto"/>
            </w:tcBorders>
            <w:shd w:val="clear" w:color="auto" w:fill="auto"/>
            <w:vAlign w:val="center"/>
            <w:hideMark/>
          </w:tcPr>
          <w:p w:rsidR="00340BDD" w:rsidRPr="00001728" w:rsidRDefault="00340BDD" w:rsidP="00C35C39">
            <w:pPr>
              <w:rPr>
                <w:rFonts w:eastAsia="Times New Roman" w:cs="Garamond"/>
                <w:iCs/>
                <w:color w:val="000000"/>
                <w:sz w:val="18"/>
                <w:szCs w:val="18"/>
                <w:u w:val="single"/>
              </w:rPr>
            </w:pPr>
            <w:r w:rsidRPr="00001728">
              <w:rPr>
                <w:rFonts w:eastAsia="Times New Roman" w:cs="Garamond"/>
                <w:iCs/>
                <w:color w:val="000000"/>
                <w:sz w:val="18"/>
                <w:szCs w:val="18"/>
                <w:u w:val="single"/>
              </w:rPr>
              <w:t>Fremrykning af personskattenedsættelser i Aftale om en skattereform 2012:</w:t>
            </w:r>
          </w:p>
        </w:tc>
        <w:tc>
          <w:tcPr>
            <w:tcW w:w="708" w:type="dxa"/>
            <w:tcBorders>
              <w:left w:val="single" w:sz="4" w:space="0" w:color="auto"/>
              <w:right w:val="single" w:sz="4" w:space="0" w:color="auto"/>
            </w:tcBorders>
            <w:shd w:val="clear" w:color="auto" w:fill="auto"/>
            <w:hideMark/>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-40</w:t>
            </w:r>
          </w:p>
        </w:tc>
        <w:tc>
          <w:tcPr>
            <w:tcW w:w="706" w:type="dxa"/>
            <w:tcBorders>
              <w:left w:val="single" w:sz="4" w:space="0" w:color="auto"/>
            </w:tcBorders>
            <w:shd w:val="clear" w:color="auto" w:fill="auto"/>
            <w:hideMark/>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-1.035</w:t>
            </w:r>
          </w:p>
        </w:tc>
        <w:tc>
          <w:tcPr>
            <w:tcW w:w="774" w:type="dxa"/>
            <w:shd w:val="clear" w:color="auto" w:fill="auto"/>
            <w:hideMark/>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-550</w:t>
            </w:r>
          </w:p>
        </w:tc>
        <w:tc>
          <w:tcPr>
            <w:tcW w:w="775" w:type="dxa"/>
            <w:shd w:val="clear" w:color="auto" w:fill="auto"/>
            <w:hideMark/>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-375</w:t>
            </w:r>
          </w:p>
        </w:tc>
        <w:tc>
          <w:tcPr>
            <w:tcW w:w="774" w:type="dxa"/>
            <w:tcBorders>
              <w:right w:val="single" w:sz="4" w:space="0" w:color="auto"/>
            </w:tcBorders>
            <w:shd w:val="clear" w:color="auto" w:fill="auto"/>
            <w:hideMark/>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-345</w:t>
            </w:r>
          </w:p>
        </w:tc>
        <w:tc>
          <w:tcPr>
            <w:tcW w:w="743" w:type="dxa"/>
            <w:tcBorders>
              <w:right w:val="single" w:sz="4" w:space="0" w:color="auto"/>
            </w:tcBorders>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-2.305</w:t>
            </w:r>
          </w:p>
        </w:tc>
        <w:tc>
          <w:tcPr>
            <w:tcW w:w="846" w:type="dxa"/>
            <w:tcBorders>
              <w:left w:val="single" w:sz="4" w:space="0" w:color="auto"/>
            </w:tcBorders>
            <w:shd w:val="clear" w:color="auto" w:fill="auto"/>
            <w:hideMark/>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-610</w:t>
            </w:r>
          </w:p>
        </w:tc>
      </w:tr>
      <w:tr w:rsidR="00340BDD" w:rsidRPr="0034543E" w:rsidTr="00C35C39">
        <w:trPr>
          <w:trHeight w:val="283"/>
        </w:trPr>
        <w:tc>
          <w:tcPr>
            <w:tcW w:w="3828" w:type="dxa"/>
            <w:tcBorders>
              <w:right w:val="single" w:sz="4" w:space="0" w:color="auto"/>
            </w:tcBorders>
            <w:shd w:val="clear" w:color="auto" w:fill="auto"/>
            <w:vAlign w:val="center"/>
            <w:hideMark/>
          </w:tcPr>
          <w:p w:rsidR="00340BDD" w:rsidRPr="00001728" w:rsidRDefault="00340BDD" w:rsidP="00C35C39">
            <w:pPr>
              <w:rPr>
                <w:rFonts w:eastAsia="Times New Roman" w:cs="Garamond"/>
                <w:i/>
                <w:color w:val="000000"/>
                <w:sz w:val="18"/>
                <w:szCs w:val="18"/>
              </w:rPr>
            </w:pPr>
            <w:r w:rsidRPr="00001728">
              <w:rPr>
                <w:rFonts w:eastAsia="Times New Roman" w:cs="Garamond"/>
                <w:i/>
                <w:color w:val="000000"/>
                <w:sz w:val="18"/>
                <w:szCs w:val="18"/>
              </w:rPr>
              <w:t xml:space="preserve"> - heraf almindeligt beskæftigelsesfradrag</w:t>
            </w:r>
          </w:p>
        </w:tc>
        <w:tc>
          <w:tcPr>
            <w:tcW w:w="708" w:type="dxa"/>
            <w:tcBorders>
              <w:left w:val="single" w:sz="4" w:space="0" w:color="auto"/>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-35</w:t>
            </w:r>
          </w:p>
        </w:tc>
        <w:tc>
          <w:tcPr>
            <w:tcW w:w="706" w:type="dxa"/>
            <w:tcBorders>
              <w:lef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-820</w:t>
            </w:r>
          </w:p>
        </w:tc>
        <w:tc>
          <w:tcPr>
            <w:tcW w:w="774" w:type="dxa"/>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-550</w:t>
            </w:r>
          </w:p>
        </w:tc>
        <w:tc>
          <w:tcPr>
            <w:tcW w:w="775" w:type="dxa"/>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-375</w:t>
            </w:r>
          </w:p>
        </w:tc>
        <w:tc>
          <w:tcPr>
            <w:tcW w:w="774" w:type="dxa"/>
            <w:tcBorders>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-345</w:t>
            </w:r>
          </w:p>
        </w:tc>
        <w:tc>
          <w:tcPr>
            <w:tcW w:w="743" w:type="dxa"/>
            <w:tcBorders>
              <w:right w:val="single" w:sz="4" w:space="0" w:color="auto"/>
            </w:tcBorders>
          </w:tcPr>
          <w:p w:rsidR="00340BDD" w:rsidRPr="00001728" w:rsidRDefault="00340BDD" w:rsidP="00C35C39">
            <w:pPr>
              <w:jc w:val="right"/>
              <w:rPr>
                <w:rFonts w:eastAsia="Times New Roman" w:cs="Garamond"/>
                <w:i/>
                <w:color w:val="000000"/>
                <w:sz w:val="18"/>
                <w:szCs w:val="18"/>
              </w:rPr>
            </w:pPr>
            <w:r>
              <w:rPr>
                <w:rFonts w:eastAsia="Times New Roman" w:cs="Garamond"/>
                <w:i/>
                <w:color w:val="000000"/>
                <w:sz w:val="18"/>
                <w:szCs w:val="18"/>
              </w:rPr>
              <w:t>-2.090</w:t>
            </w:r>
          </w:p>
        </w:tc>
        <w:tc>
          <w:tcPr>
            <w:tcW w:w="846" w:type="dxa"/>
            <w:tcBorders>
              <w:lef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-480</w:t>
            </w:r>
          </w:p>
        </w:tc>
      </w:tr>
      <w:tr w:rsidR="00340BDD" w:rsidRPr="0034543E" w:rsidTr="00C35C39">
        <w:trPr>
          <w:trHeight w:val="283"/>
        </w:trPr>
        <w:tc>
          <w:tcPr>
            <w:tcW w:w="3828" w:type="dxa"/>
            <w:tcBorders>
              <w:right w:val="single" w:sz="4" w:space="0" w:color="auto"/>
            </w:tcBorders>
            <w:shd w:val="clear" w:color="auto" w:fill="auto"/>
            <w:vAlign w:val="center"/>
            <w:hideMark/>
          </w:tcPr>
          <w:p w:rsidR="00340BDD" w:rsidRPr="00001728" w:rsidRDefault="00340BDD" w:rsidP="00C35C39">
            <w:pPr>
              <w:rPr>
                <w:rFonts w:eastAsia="Times New Roman" w:cs="Garamond"/>
                <w:i/>
                <w:color w:val="000000"/>
                <w:sz w:val="18"/>
                <w:szCs w:val="18"/>
              </w:rPr>
            </w:pPr>
            <w:r w:rsidRPr="00001728">
              <w:rPr>
                <w:rFonts w:eastAsia="Times New Roman" w:cs="Garamond"/>
                <w:i/>
                <w:color w:val="000000"/>
                <w:sz w:val="18"/>
                <w:szCs w:val="18"/>
              </w:rPr>
              <w:t xml:space="preserve"> - heraf ekstra beskæftigelsesfradrag til enlige forsørgere</w:t>
            </w:r>
          </w:p>
        </w:tc>
        <w:tc>
          <w:tcPr>
            <w:tcW w:w="708" w:type="dxa"/>
            <w:tcBorders>
              <w:left w:val="single" w:sz="4" w:space="0" w:color="auto"/>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-5</w:t>
            </w:r>
          </w:p>
        </w:tc>
        <w:tc>
          <w:tcPr>
            <w:tcW w:w="706" w:type="dxa"/>
            <w:tcBorders>
              <w:lef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-215</w:t>
            </w:r>
          </w:p>
        </w:tc>
        <w:tc>
          <w:tcPr>
            <w:tcW w:w="774" w:type="dxa"/>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75" w:type="dxa"/>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74" w:type="dxa"/>
            <w:tcBorders>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43" w:type="dxa"/>
            <w:tcBorders>
              <w:right w:val="single" w:sz="4" w:space="0" w:color="auto"/>
            </w:tcBorders>
          </w:tcPr>
          <w:p w:rsidR="00340BDD" w:rsidRPr="00001728" w:rsidRDefault="00340BDD" w:rsidP="00C35C39">
            <w:pPr>
              <w:jc w:val="right"/>
              <w:rPr>
                <w:rFonts w:eastAsia="Times New Roman" w:cs="Garamond"/>
                <w:i/>
                <w:color w:val="000000"/>
                <w:sz w:val="18"/>
                <w:szCs w:val="18"/>
              </w:rPr>
            </w:pPr>
            <w:r>
              <w:rPr>
                <w:rFonts w:eastAsia="Times New Roman" w:cs="Garamond"/>
                <w:i/>
                <w:color w:val="000000"/>
                <w:sz w:val="18"/>
                <w:szCs w:val="18"/>
              </w:rPr>
              <w:t>-215</w:t>
            </w:r>
          </w:p>
        </w:tc>
        <w:tc>
          <w:tcPr>
            <w:tcW w:w="846" w:type="dxa"/>
            <w:tcBorders>
              <w:lef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-130</w:t>
            </w:r>
          </w:p>
        </w:tc>
      </w:tr>
      <w:tr w:rsidR="00340BDD" w:rsidRPr="0034543E" w:rsidTr="00C35C39">
        <w:trPr>
          <w:trHeight w:val="283"/>
        </w:trPr>
        <w:tc>
          <w:tcPr>
            <w:tcW w:w="3828" w:type="dxa"/>
            <w:tcBorders>
              <w:right w:val="single" w:sz="4" w:space="0" w:color="auto"/>
            </w:tcBorders>
            <w:shd w:val="clear" w:color="auto" w:fill="auto"/>
            <w:vAlign w:val="center"/>
            <w:hideMark/>
          </w:tcPr>
          <w:p w:rsidR="00340BDD" w:rsidRPr="00001728" w:rsidRDefault="00340BDD" w:rsidP="00C35C39">
            <w:pPr>
              <w:rPr>
                <w:rFonts w:eastAsia="Times New Roman" w:cs="Garamond"/>
                <w:color w:val="000000"/>
                <w:sz w:val="18"/>
                <w:szCs w:val="18"/>
              </w:rPr>
            </w:pPr>
          </w:p>
        </w:tc>
        <w:tc>
          <w:tcPr>
            <w:tcW w:w="708" w:type="dxa"/>
            <w:tcBorders>
              <w:left w:val="single" w:sz="4" w:space="0" w:color="auto"/>
              <w:right w:val="single" w:sz="4" w:space="0" w:color="auto"/>
            </w:tcBorders>
            <w:shd w:val="clear" w:color="auto" w:fill="auto"/>
            <w:hideMark/>
          </w:tcPr>
          <w:p w:rsidR="00340BDD" w:rsidRPr="00001728" w:rsidRDefault="00340BDD" w:rsidP="00C35C39">
            <w:pPr>
              <w:jc w:val="right"/>
              <w:rPr>
                <w:rFonts w:eastAsia="Times New Roman" w:cs="Garamond"/>
                <w:color w:val="000000"/>
                <w:sz w:val="18"/>
                <w:szCs w:val="18"/>
              </w:rPr>
            </w:pPr>
          </w:p>
        </w:tc>
        <w:tc>
          <w:tcPr>
            <w:tcW w:w="706" w:type="dxa"/>
            <w:tcBorders>
              <w:left w:val="single" w:sz="4" w:space="0" w:color="auto"/>
            </w:tcBorders>
            <w:shd w:val="clear" w:color="auto" w:fill="auto"/>
            <w:hideMark/>
          </w:tcPr>
          <w:p w:rsidR="00340BDD" w:rsidRPr="00001728" w:rsidRDefault="00340BDD" w:rsidP="00C35C39">
            <w:pPr>
              <w:jc w:val="right"/>
              <w:rPr>
                <w:rFonts w:eastAsia="Times New Roman" w:cs="Garamond"/>
                <w:color w:val="000000"/>
                <w:sz w:val="18"/>
                <w:szCs w:val="18"/>
              </w:rPr>
            </w:pPr>
          </w:p>
        </w:tc>
        <w:tc>
          <w:tcPr>
            <w:tcW w:w="774" w:type="dxa"/>
            <w:shd w:val="clear" w:color="auto" w:fill="auto"/>
            <w:hideMark/>
          </w:tcPr>
          <w:p w:rsidR="00340BDD" w:rsidRPr="00001728" w:rsidRDefault="00340BDD" w:rsidP="00C35C39">
            <w:pPr>
              <w:jc w:val="right"/>
              <w:rPr>
                <w:rFonts w:eastAsia="Times New Roman" w:cs="Garamond"/>
                <w:color w:val="000000"/>
                <w:sz w:val="18"/>
                <w:szCs w:val="18"/>
              </w:rPr>
            </w:pPr>
          </w:p>
        </w:tc>
        <w:tc>
          <w:tcPr>
            <w:tcW w:w="775" w:type="dxa"/>
            <w:shd w:val="clear" w:color="auto" w:fill="auto"/>
            <w:hideMark/>
          </w:tcPr>
          <w:p w:rsidR="00340BDD" w:rsidRPr="00001728" w:rsidRDefault="00340BDD" w:rsidP="00C35C39">
            <w:pPr>
              <w:jc w:val="right"/>
              <w:rPr>
                <w:rFonts w:eastAsia="Times New Roman" w:cs="Garamond"/>
                <w:color w:val="000000"/>
                <w:sz w:val="18"/>
                <w:szCs w:val="18"/>
              </w:rPr>
            </w:pPr>
          </w:p>
        </w:tc>
        <w:tc>
          <w:tcPr>
            <w:tcW w:w="774" w:type="dxa"/>
            <w:tcBorders>
              <w:right w:val="single" w:sz="4" w:space="0" w:color="auto"/>
            </w:tcBorders>
            <w:shd w:val="clear" w:color="auto" w:fill="auto"/>
            <w:hideMark/>
          </w:tcPr>
          <w:p w:rsidR="00340BDD" w:rsidRPr="00001728" w:rsidRDefault="00340BDD" w:rsidP="00C35C39">
            <w:pPr>
              <w:jc w:val="right"/>
              <w:rPr>
                <w:rFonts w:eastAsia="Times New Roman" w:cs="Garamond"/>
                <w:color w:val="000000"/>
                <w:sz w:val="18"/>
                <w:szCs w:val="18"/>
              </w:rPr>
            </w:pPr>
          </w:p>
        </w:tc>
        <w:tc>
          <w:tcPr>
            <w:tcW w:w="743" w:type="dxa"/>
            <w:tcBorders>
              <w:right w:val="single" w:sz="4" w:space="0" w:color="auto"/>
            </w:tcBorders>
          </w:tcPr>
          <w:p w:rsidR="00340BDD" w:rsidRPr="00001728" w:rsidRDefault="00340BDD" w:rsidP="00C35C39">
            <w:pPr>
              <w:jc w:val="right"/>
              <w:rPr>
                <w:rFonts w:eastAsia="Times New Roman" w:cs="Garamond"/>
                <w:color w:val="000000"/>
                <w:sz w:val="18"/>
                <w:szCs w:val="18"/>
              </w:rPr>
            </w:pPr>
          </w:p>
        </w:tc>
        <w:tc>
          <w:tcPr>
            <w:tcW w:w="846" w:type="dxa"/>
            <w:tcBorders>
              <w:left w:val="single" w:sz="4" w:space="0" w:color="auto"/>
            </w:tcBorders>
            <w:shd w:val="clear" w:color="auto" w:fill="auto"/>
            <w:hideMark/>
          </w:tcPr>
          <w:p w:rsidR="00340BDD" w:rsidRPr="00001728" w:rsidRDefault="00340BDD" w:rsidP="00C35C39">
            <w:pPr>
              <w:jc w:val="right"/>
              <w:rPr>
                <w:rFonts w:eastAsia="Times New Roman" w:cs="Garamond"/>
                <w:color w:val="000000"/>
                <w:sz w:val="18"/>
                <w:szCs w:val="18"/>
              </w:rPr>
            </w:pPr>
          </w:p>
        </w:tc>
      </w:tr>
      <w:tr w:rsidR="00340BDD" w:rsidRPr="0034543E" w:rsidTr="00C35C39">
        <w:trPr>
          <w:trHeight w:val="283"/>
        </w:trPr>
        <w:tc>
          <w:tcPr>
            <w:tcW w:w="3828" w:type="dxa"/>
            <w:tcBorders>
              <w:right w:val="single" w:sz="4" w:space="0" w:color="auto"/>
            </w:tcBorders>
            <w:shd w:val="clear" w:color="auto" w:fill="auto"/>
            <w:vAlign w:val="center"/>
            <w:hideMark/>
          </w:tcPr>
          <w:p w:rsidR="00340BDD" w:rsidRPr="00001728" w:rsidRDefault="00340BDD" w:rsidP="00C35C39">
            <w:pPr>
              <w:rPr>
                <w:rFonts w:eastAsia="Times New Roman" w:cs="Garamond"/>
                <w:iCs/>
                <w:color w:val="000000"/>
                <w:sz w:val="18"/>
                <w:szCs w:val="18"/>
                <w:u w:val="single"/>
              </w:rPr>
            </w:pPr>
            <w:r w:rsidRPr="00001728">
              <w:rPr>
                <w:rFonts w:eastAsia="Times New Roman" w:cs="Garamond"/>
                <w:iCs/>
                <w:color w:val="000000"/>
                <w:sz w:val="18"/>
                <w:szCs w:val="18"/>
                <w:u w:val="single"/>
              </w:rPr>
              <w:t>Fremrykning af skattelettelser i Aftaler om Vækstplan DK:</w:t>
            </w:r>
          </w:p>
        </w:tc>
        <w:tc>
          <w:tcPr>
            <w:tcW w:w="708" w:type="dxa"/>
            <w:tcBorders>
              <w:left w:val="single" w:sz="4" w:space="0" w:color="auto"/>
              <w:right w:val="single" w:sz="4" w:space="0" w:color="auto"/>
            </w:tcBorders>
            <w:shd w:val="clear" w:color="auto" w:fill="auto"/>
            <w:hideMark/>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-20</w:t>
            </w:r>
          </w:p>
        </w:tc>
        <w:tc>
          <w:tcPr>
            <w:tcW w:w="706" w:type="dxa"/>
            <w:tcBorders>
              <w:left w:val="single" w:sz="4" w:space="0" w:color="auto"/>
            </w:tcBorders>
            <w:shd w:val="clear" w:color="auto" w:fill="auto"/>
            <w:hideMark/>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-1.140</w:t>
            </w:r>
          </w:p>
        </w:tc>
        <w:tc>
          <w:tcPr>
            <w:tcW w:w="774" w:type="dxa"/>
            <w:shd w:val="clear" w:color="auto" w:fill="auto"/>
            <w:hideMark/>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35</w:t>
            </w:r>
          </w:p>
        </w:tc>
        <w:tc>
          <w:tcPr>
            <w:tcW w:w="775" w:type="dxa"/>
            <w:shd w:val="clear" w:color="auto" w:fill="auto"/>
            <w:hideMark/>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30</w:t>
            </w:r>
          </w:p>
        </w:tc>
        <w:tc>
          <w:tcPr>
            <w:tcW w:w="774" w:type="dxa"/>
            <w:tcBorders>
              <w:right w:val="single" w:sz="4" w:space="0" w:color="auto"/>
            </w:tcBorders>
            <w:shd w:val="clear" w:color="auto" w:fill="auto"/>
            <w:hideMark/>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25</w:t>
            </w:r>
          </w:p>
        </w:tc>
        <w:tc>
          <w:tcPr>
            <w:tcW w:w="743" w:type="dxa"/>
            <w:tcBorders>
              <w:right w:val="single" w:sz="4" w:space="0" w:color="auto"/>
            </w:tcBorders>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-1.050</w:t>
            </w:r>
          </w:p>
        </w:tc>
        <w:tc>
          <w:tcPr>
            <w:tcW w:w="846" w:type="dxa"/>
            <w:tcBorders>
              <w:left w:val="single" w:sz="4" w:space="0" w:color="auto"/>
            </w:tcBorders>
            <w:shd w:val="clear" w:color="auto" w:fill="auto"/>
            <w:hideMark/>
          </w:tcPr>
          <w:p w:rsidR="00340BDD" w:rsidRPr="006F2E57" w:rsidRDefault="00340BDD" w:rsidP="00C35C39">
            <w:pPr>
              <w:jc w:val="right"/>
              <w:rPr>
                <w:rFonts w:eastAsia="Times New Roman" w:cs="Garamond"/>
                <w:b/>
                <w:color w:val="000000"/>
                <w:sz w:val="18"/>
                <w:szCs w:val="18"/>
              </w:rPr>
            </w:pPr>
            <w:r w:rsidRPr="006F2E57">
              <w:rPr>
                <w:rFonts w:eastAsia="Times New Roman" w:cs="Garamond"/>
                <w:b/>
                <w:color w:val="000000"/>
                <w:sz w:val="18"/>
                <w:szCs w:val="18"/>
              </w:rPr>
              <w:t>-520</w:t>
            </w:r>
          </w:p>
        </w:tc>
      </w:tr>
      <w:tr w:rsidR="00340BDD" w:rsidRPr="0034543E" w:rsidTr="00C35C39">
        <w:trPr>
          <w:trHeight w:val="283"/>
        </w:trPr>
        <w:tc>
          <w:tcPr>
            <w:tcW w:w="3828" w:type="dxa"/>
            <w:tcBorders>
              <w:right w:val="single" w:sz="4" w:space="0" w:color="auto"/>
            </w:tcBorders>
            <w:shd w:val="clear" w:color="auto" w:fill="auto"/>
            <w:vAlign w:val="center"/>
            <w:hideMark/>
          </w:tcPr>
          <w:p w:rsidR="00340BDD" w:rsidRPr="00001728" w:rsidRDefault="00340BDD" w:rsidP="00C35C39">
            <w:pPr>
              <w:rPr>
                <w:rFonts w:eastAsia="Times New Roman" w:cs="Garamond"/>
                <w:i/>
                <w:color w:val="000000"/>
                <w:sz w:val="18"/>
                <w:szCs w:val="18"/>
              </w:rPr>
            </w:pPr>
            <w:r w:rsidRPr="00001728">
              <w:rPr>
                <w:rFonts w:eastAsia="Times New Roman" w:cs="Garamond"/>
                <w:i/>
                <w:color w:val="000000"/>
                <w:sz w:val="18"/>
                <w:szCs w:val="18"/>
              </w:rPr>
              <w:t>- heraf afskaffelse af vægtbaseret emballageafgift</w:t>
            </w:r>
          </w:p>
        </w:tc>
        <w:tc>
          <w:tcPr>
            <w:tcW w:w="708" w:type="dxa"/>
            <w:tcBorders>
              <w:left w:val="single" w:sz="4" w:space="0" w:color="auto"/>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-10</w:t>
            </w:r>
          </w:p>
        </w:tc>
        <w:tc>
          <w:tcPr>
            <w:tcW w:w="706" w:type="dxa"/>
            <w:tcBorders>
              <w:lef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-460</w:t>
            </w:r>
          </w:p>
        </w:tc>
        <w:tc>
          <w:tcPr>
            <w:tcW w:w="774" w:type="dxa"/>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75" w:type="dxa"/>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74" w:type="dxa"/>
            <w:tcBorders>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43" w:type="dxa"/>
            <w:tcBorders>
              <w:right w:val="single" w:sz="4" w:space="0" w:color="auto"/>
            </w:tcBorders>
          </w:tcPr>
          <w:p w:rsidR="00340BDD" w:rsidRPr="00001728" w:rsidRDefault="00340BDD" w:rsidP="00C35C39">
            <w:pPr>
              <w:jc w:val="right"/>
              <w:rPr>
                <w:rFonts w:eastAsia="Times New Roman" w:cs="Garamond"/>
                <w:i/>
                <w:color w:val="000000"/>
                <w:sz w:val="18"/>
                <w:szCs w:val="18"/>
              </w:rPr>
            </w:pPr>
            <w:r>
              <w:rPr>
                <w:rFonts w:eastAsia="Times New Roman" w:cs="Garamond"/>
                <w:i/>
                <w:color w:val="000000"/>
                <w:sz w:val="18"/>
                <w:szCs w:val="18"/>
              </w:rPr>
              <w:t>-460</w:t>
            </w:r>
          </w:p>
        </w:tc>
        <w:tc>
          <w:tcPr>
            <w:tcW w:w="846" w:type="dxa"/>
            <w:tcBorders>
              <w:lef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-340</w:t>
            </w:r>
          </w:p>
        </w:tc>
      </w:tr>
      <w:tr w:rsidR="00340BDD" w:rsidRPr="0034543E" w:rsidTr="00C35C39">
        <w:trPr>
          <w:trHeight w:val="510"/>
        </w:trPr>
        <w:tc>
          <w:tcPr>
            <w:tcW w:w="3828" w:type="dxa"/>
            <w:tcBorders>
              <w:right w:val="single" w:sz="4" w:space="0" w:color="auto"/>
            </w:tcBorders>
            <w:shd w:val="clear" w:color="auto" w:fill="auto"/>
            <w:vAlign w:val="center"/>
            <w:hideMark/>
          </w:tcPr>
          <w:p w:rsidR="00340BDD" w:rsidRPr="00001728" w:rsidRDefault="00340BDD" w:rsidP="00C35C39">
            <w:pPr>
              <w:rPr>
                <w:rFonts w:eastAsia="Times New Roman" w:cs="Garamond"/>
                <w:i/>
                <w:color w:val="000000"/>
                <w:sz w:val="18"/>
                <w:szCs w:val="18"/>
              </w:rPr>
            </w:pPr>
            <w:r w:rsidRPr="00001728">
              <w:rPr>
                <w:rFonts w:eastAsia="Times New Roman" w:cs="Garamond"/>
                <w:i/>
                <w:color w:val="000000"/>
                <w:sz w:val="18"/>
                <w:szCs w:val="18"/>
              </w:rPr>
              <w:t>- heraf forhøjelse af grænsen for skattekreditter vedr. forsknings- og udviklingsaktiviteter</w:t>
            </w:r>
          </w:p>
        </w:tc>
        <w:tc>
          <w:tcPr>
            <w:tcW w:w="708" w:type="dxa"/>
            <w:tcBorders>
              <w:left w:val="single" w:sz="4" w:space="0" w:color="auto"/>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06" w:type="dxa"/>
            <w:tcBorders>
              <w:lef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-320</w:t>
            </w:r>
          </w:p>
        </w:tc>
        <w:tc>
          <w:tcPr>
            <w:tcW w:w="774" w:type="dxa"/>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30</w:t>
            </w:r>
          </w:p>
        </w:tc>
        <w:tc>
          <w:tcPr>
            <w:tcW w:w="775" w:type="dxa"/>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30</w:t>
            </w:r>
          </w:p>
        </w:tc>
        <w:tc>
          <w:tcPr>
            <w:tcW w:w="774" w:type="dxa"/>
            <w:tcBorders>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20</w:t>
            </w:r>
          </w:p>
        </w:tc>
        <w:tc>
          <w:tcPr>
            <w:tcW w:w="743" w:type="dxa"/>
            <w:tcBorders>
              <w:right w:val="single" w:sz="4" w:space="0" w:color="auto"/>
            </w:tcBorders>
          </w:tcPr>
          <w:p w:rsidR="00340BDD" w:rsidRPr="006F2E57" w:rsidRDefault="00340BDD" w:rsidP="00C35C39">
            <w:pPr>
              <w:jc w:val="right"/>
              <w:rPr>
                <w:rFonts w:eastAsia="Times New Roman" w:cs="Garamond"/>
                <w:i/>
                <w:color w:val="000000"/>
                <w:sz w:val="18"/>
                <w:szCs w:val="18"/>
              </w:rPr>
            </w:pPr>
            <w:r w:rsidRPr="006F2E57">
              <w:rPr>
                <w:rFonts w:eastAsia="Times New Roman" w:cs="Garamond"/>
                <w:i/>
                <w:color w:val="000000"/>
                <w:sz w:val="18"/>
                <w:szCs w:val="18"/>
              </w:rPr>
              <w:t>-240</w:t>
            </w:r>
          </w:p>
        </w:tc>
        <w:tc>
          <w:tcPr>
            <w:tcW w:w="846" w:type="dxa"/>
            <w:tcBorders>
              <w:lef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vertAlign w:val="superscript"/>
              </w:rPr>
            </w:pPr>
            <w:r w:rsidRPr="00001728">
              <w:rPr>
                <w:rFonts w:eastAsia="Times New Roman" w:cs="Garamond"/>
                <w:i/>
                <w:color w:val="000000"/>
                <w:sz w:val="18"/>
                <w:szCs w:val="18"/>
                <w:vertAlign w:val="superscript"/>
              </w:rPr>
              <w:t>2)</w:t>
            </w:r>
          </w:p>
        </w:tc>
      </w:tr>
      <w:tr w:rsidR="00340BDD" w:rsidRPr="0034543E" w:rsidTr="00C35C39">
        <w:trPr>
          <w:trHeight w:val="510"/>
        </w:trPr>
        <w:tc>
          <w:tcPr>
            <w:tcW w:w="3828" w:type="dxa"/>
            <w:tcBorders>
              <w:right w:val="single" w:sz="4" w:space="0" w:color="auto"/>
            </w:tcBorders>
            <w:shd w:val="clear" w:color="auto" w:fill="auto"/>
            <w:vAlign w:val="center"/>
            <w:hideMark/>
          </w:tcPr>
          <w:p w:rsidR="00340BDD" w:rsidRPr="00001728" w:rsidRDefault="00340BDD" w:rsidP="00C35C39">
            <w:pPr>
              <w:rPr>
                <w:rFonts w:eastAsia="Times New Roman" w:cs="Garamond"/>
                <w:i/>
                <w:color w:val="000000"/>
                <w:sz w:val="18"/>
                <w:szCs w:val="18"/>
              </w:rPr>
            </w:pPr>
            <w:r w:rsidRPr="00001728">
              <w:rPr>
                <w:rFonts w:eastAsia="Times New Roman" w:cs="Garamond"/>
                <w:i/>
                <w:color w:val="000000"/>
                <w:sz w:val="18"/>
                <w:szCs w:val="18"/>
              </w:rPr>
              <w:t xml:space="preserve"> -heraf længere momskredittider for små virksomheder med en årlig omsætning mellem 1 og 5 mio. kr.</w:t>
            </w:r>
          </w:p>
        </w:tc>
        <w:tc>
          <w:tcPr>
            <w:tcW w:w="708" w:type="dxa"/>
            <w:tcBorders>
              <w:left w:val="single" w:sz="4" w:space="0" w:color="auto"/>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-5</w:t>
            </w:r>
          </w:p>
        </w:tc>
        <w:tc>
          <w:tcPr>
            <w:tcW w:w="706" w:type="dxa"/>
            <w:tcBorders>
              <w:lef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-170</w:t>
            </w:r>
          </w:p>
        </w:tc>
        <w:tc>
          <w:tcPr>
            <w:tcW w:w="774" w:type="dxa"/>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75" w:type="dxa"/>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74" w:type="dxa"/>
            <w:tcBorders>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43" w:type="dxa"/>
            <w:tcBorders>
              <w:right w:val="single" w:sz="4" w:space="0" w:color="auto"/>
            </w:tcBorders>
          </w:tcPr>
          <w:p w:rsidR="00340BDD" w:rsidRPr="006F2E57" w:rsidRDefault="00340BDD" w:rsidP="00C35C39">
            <w:pPr>
              <w:jc w:val="right"/>
              <w:rPr>
                <w:rFonts w:eastAsia="Times New Roman" w:cs="Garamond"/>
                <w:i/>
                <w:color w:val="000000"/>
                <w:sz w:val="18"/>
                <w:szCs w:val="18"/>
              </w:rPr>
            </w:pPr>
            <w:r w:rsidRPr="006F2E57">
              <w:rPr>
                <w:rFonts w:eastAsia="Times New Roman" w:cs="Garamond"/>
                <w:i/>
                <w:color w:val="000000"/>
                <w:sz w:val="18"/>
                <w:szCs w:val="18"/>
              </w:rPr>
              <w:t>-170</w:t>
            </w:r>
          </w:p>
        </w:tc>
        <w:tc>
          <w:tcPr>
            <w:tcW w:w="846" w:type="dxa"/>
            <w:tcBorders>
              <w:lef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vertAlign w:val="superscript"/>
              </w:rPr>
            </w:pPr>
            <w:r w:rsidRPr="00001728">
              <w:rPr>
                <w:rFonts w:eastAsia="Times New Roman" w:cs="Garamond"/>
                <w:i/>
                <w:color w:val="000000"/>
                <w:sz w:val="18"/>
                <w:szCs w:val="18"/>
                <w:vertAlign w:val="superscript"/>
              </w:rPr>
              <w:t xml:space="preserve"> 3) </w:t>
            </w:r>
          </w:p>
        </w:tc>
      </w:tr>
      <w:tr w:rsidR="00340BDD" w:rsidRPr="0034543E" w:rsidTr="00C35C39">
        <w:trPr>
          <w:trHeight w:val="510"/>
        </w:trPr>
        <w:tc>
          <w:tcPr>
            <w:tcW w:w="3828" w:type="dxa"/>
            <w:tcBorders>
              <w:bottom w:val="nil"/>
              <w:right w:val="single" w:sz="4" w:space="0" w:color="auto"/>
            </w:tcBorders>
            <w:shd w:val="clear" w:color="auto" w:fill="auto"/>
            <w:vAlign w:val="center"/>
            <w:hideMark/>
          </w:tcPr>
          <w:p w:rsidR="00340BDD" w:rsidRPr="00001728" w:rsidRDefault="00340BDD" w:rsidP="00C35C39">
            <w:pPr>
              <w:rPr>
                <w:rFonts w:eastAsia="Times New Roman" w:cs="Garamond"/>
                <w:i/>
                <w:color w:val="000000"/>
                <w:sz w:val="18"/>
                <w:szCs w:val="18"/>
              </w:rPr>
            </w:pPr>
            <w:r w:rsidRPr="00001728">
              <w:rPr>
                <w:rFonts w:eastAsia="Times New Roman" w:cs="Garamond"/>
                <w:i/>
                <w:color w:val="000000"/>
                <w:sz w:val="18"/>
                <w:szCs w:val="18"/>
              </w:rPr>
              <w:t>- heraf nedsættelse af EU’s minimumsafgift på, 4,5 kr./GJ for alle brændsler til proces</w:t>
            </w:r>
          </w:p>
        </w:tc>
        <w:tc>
          <w:tcPr>
            <w:tcW w:w="708" w:type="dxa"/>
            <w:tcBorders>
              <w:left w:val="single" w:sz="4" w:space="0" w:color="auto"/>
              <w:bottom w:val="nil"/>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-5</w:t>
            </w:r>
          </w:p>
        </w:tc>
        <w:tc>
          <w:tcPr>
            <w:tcW w:w="706" w:type="dxa"/>
            <w:tcBorders>
              <w:left w:val="single" w:sz="4" w:space="0" w:color="auto"/>
              <w:bottom w:val="nil"/>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-115</w:t>
            </w:r>
          </w:p>
        </w:tc>
        <w:tc>
          <w:tcPr>
            <w:tcW w:w="774" w:type="dxa"/>
            <w:tcBorders>
              <w:bottom w:val="nil"/>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5</w:t>
            </w:r>
          </w:p>
        </w:tc>
        <w:tc>
          <w:tcPr>
            <w:tcW w:w="775" w:type="dxa"/>
            <w:tcBorders>
              <w:bottom w:val="nil"/>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74" w:type="dxa"/>
            <w:tcBorders>
              <w:bottom w:val="nil"/>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5</w:t>
            </w:r>
          </w:p>
        </w:tc>
        <w:tc>
          <w:tcPr>
            <w:tcW w:w="743" w:type="dxa"/>
            <w:tcBorders>
              <w:bottom w:val="nil"/>
              <w:right w:val="single" w:sz="4" w:space="0" w:color="auto"/>
            </w:tcBorders>
          </w:tcPr>
          <w:p w:rsidR="00340BDD" w:rsidRPr="002E4864" w:rsidRDefault="00340BDD" w:rsidP="00C35C39">
            <w:pPr>
              <w:jc w:val="right"/>
              <w:rPr>
                <w:rFonts w:eastAsia="Times New Roman" w:cs="Garamond"/>
                <w:i/>
                <w:color w:val="000000"/>
                <w:sz w:val="18"/>
                <w:szCs w:val="18"/>
              </w:rPr>
            </w:pPr>
            <w:r w:rsidRPr="002E4864">
              <w:rPr>
                <w:rFonts w:eastAsia="Times New Roman" w:cs="Garamond"/>
                <w:i/>
                <w:color w:val="000000"/>
                <w:sz w:val="18"/>
                <w:szCs w:val="18"/>
              </w:rPr>
              <w:t>-105</w:t>
            </w:r>
          </w:p>
        </w:tc>
        <w:tc>
          <w:tcPr>
            <w:tcW w:w="846" w:type="dxa"/>
            <w:tcBorders>
              <w:left w:val="single" w:sz="4" w:space="0" w:color="auto"/>
              <w:bottom w:val="nil"/>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-105</w:t>
            </w:r>
          </w:p>
        </w:tc>
      </w:tr>
      <w:tr w:rsidR="00340BDD" w:rsidRPr="0034543E" w:rsidTr="00C35C39">
        <w:trPr>
          <w:trHeight w:val="510"/>
        </w:trPr>
        <w:tc>
          <w:tcPr>
            <w:tcW w:w="3828" w:type="dxa"/>
            <w:tcBorders>
              <w:top w:val="nil"/>
              <w:bottom w:val="single" w:sz="4" w:space="0" w:color="auto"/>
              <w:right w:val="single" w:sz="4" w:space="0" w:color="auto"/>
            </w:tcBorders>
            <w:shd w:val="clear" w:color="auto" w:fill="auto"/>
            <w:vAlign w:val="center"/>
            <w:hideMark/>
          </w:tcPr>
          <w:p w:rsidR="00340BDD" w:rsidRPr="00001728" w:rsidRDefault="00340BDD" w:rsidP="00C35C39">
            <w:pPr>
              <w:rPr>
                <w:rFonts w:eastAsia="Times New Roman" w:cs="Garamond"/>
                <w:i/>
                <w:color w:val="000000"/>
                <w:sz w:val="18"/>
                <w:szCs w:val="18"/>
              </w:rPr>
            </w:pPr>
            <w:r w:rsidRPr="00001728">
              <w:rPr>
                <w:rFonts w:eastAsia="Times New Roman" w:cs="Garamond"/>
                <w:i/>
                <w:color w:val="000000"/>
                <w:sz w:val="18"/>
                <w:szCs w:val="18"/>
              </w:rPr>
              <w:t>- heraf fradrag for selvstændiges syge- og arbejdsskadeforsikring.</w:t>
            </w:r>
          </w:p>
        </w:tc>
        <w:tc>
          <w:tcPr>
            <w:tcW w:w="708" w:type="dxa"/>
            <w:tcBorders>
              <w:top w:val="nil"/>
              <w:left w:val="single" w:sz="4" w:space="0" w:color="auto"/>
              <w:bottom w:val="single" w:sz="4" w:space="0" w:color="auto"/>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06" w:type="dxa"/>
            <w:tcBorders>
              <w:top w:val="nil"/>
              <w:left w:val="single" w:sz="4" w:space="0" w:color="auto"/>
              <w:bottom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-75</w:t>
            </w:r>
          </w:p>
        </w:tc>
        <w:tc>
          <w:tcPr>
            <w:tcW w:w="774" w:type="dxa"/>
            <w:tcBorders>
              <w:top w:val="nil"/>
              <w:bottom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75" w:type="dxa"/>
            <w:tcBorders>
              <w:top w:val="nil"/>
              <w:bottom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74" w:type="dxa"/>
            <w:tcBorders>
              <w:top w:val="nil"/>
              <w:bottom w:val="single" w:sz="4" w:space="0" w:color="auto"/>
              <w:right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0</w:t>
            </w:r>
          </w:p>
        </w:tc>
        <w:tc>
          <w:tcPr>
            <w:tcW w:w="743" w:type="dxa"/>
            <w:tcBorders>
              <w:top w:val="nil"/>
              <w:bottom w:val="single" w:sz="4" w:space="0" w:color="auto"/>
              <w:right w:val="single" w:sz="4" w:space="0" w:color="auto"/>
            </w:tcBorders>
          </w:tcPr>
          <w:p w:rsidR="00340BDD" w:rsidRPr="00001728" w:rsidRDefault="00340BDD" w:rsidP="00C35C39">
            <w:pPr>
              <w:jc w:val="right"/>
              <w:rPr>
                <w:rFonts w:eastAsia="Times New Roman" w:cs="Garamond"/>
                <w:i/>
                <w:color w:val="000000"/>
                <w:sz w:val="18"/>
                <w:szCs w:val="18"/>
              </w:rPr>
            </w:pPr>
            <w:r>
              <w:rPr>
                <w:rFonts w:eastAsia="Times New Roman" w:cs="Garamond"/>
                <w:i/>
                <w:color w:val="000000"/>
                <w:sz w:val="18"/>
                <w:szCs w:val="18"/>
              </w:rPr>
              <w:t>-75</w:t>
            </w:r>
          </w:p>
        </w:tc>
        <w:tc>
          <w:tcPr>
            <w:tcW w:w="846" w:type="dxa"/>
            <w:tcBorders>
              <w:top w:val="nil"/>
              <w:left w:val="single" w:sz="4" w:space="0" w:color="auto"/>
              <w:bottom w:val="single" w:sz="4" w:space="0" w:color="auto"/>
            </w:tcBorders>
            <w:shd w:val="clear" w:color="auto" w:fill="auto"/>
            <w:hideMark/>
          </w:tcPr>
          <w:p w:rsidR="00340BDD" w:rsidRPr="00001728" w:rsidRDefault="00340BDD" w:rsidP="00C35C39">
            <w:pPr>
              <w:jc w:val="right"/>
              <w:rPr>
                <w:rFonts w:eastAsia="Times New Roman" w:cs="Garamond"/>
                <w:i/>
                <w:color w:val="000000"/>
                <w:sz w:val="18"/>
                <w:szCs w:val="18"/>
              </w:rPr>
            </w:pPr>
            <w:r w:rsidRPr="00001728">
              <w:rPr>
                <w:rFonts w:eastAsia="Times New Roman" w:cs="Garamond"/>
                <w:i/>
                <w:color w:val="000000"/>
                <w:sz w:val="18"/>
                <w:szCs w:val="18"/>
              </w:rPr>
              <w:t>-75</w:t>
            </w:r>
          </w:p>
        </w:tc>
      </w:tr>
      <w:tr w:rsidR="00340BDD" w:rsidRPr="0034543E" w:rsidTr="00C35C39">
        <w:trPr>
          <w:trHeight w:val="283"/>
        </w:trPr>
        <w:tc>
          <w:tcPr>
            <w:tcW w:w="3828" w:type="dxa"/>
            <w:tcBorders>
              <w:top w:val="single" w:sz="4" w:space="0" w:color="auto"/>
              <w:bottom w:val="nil"/>
              <w:right w:val="single" w:sz="4" w:space="0" w:color="auto"/>
            </w:tcBorders>
            <w:shd w:val="clear" w:color="auto" w:fill="auto"/>
            <w:vAlign w:val="center"/>
            <w:hideMark/>
          </w:tcPr>
          <w:p w:rsidR="00340BDD" w:rsidRPr="00001728" w:rsidRDefault="00340BDD" w:rsidP="00C35C39">
            <w:pPr>
              <w:rPr>
                <w:rFonts w:eastAsia="Times New Roman" w:cs="Garamond"/>
                <w:b/>
                <w:color w:val="000000"/>
                <w:sz w:val="18"/>
                <w:szCs w:val="18"/>
              </w:rPr>
            </w:pPr>
            <w:r w:rsidRPr="00001728">
              <w:rPr>
                <w:rFonts w:eastAsia="Times New Roman" w:cs="Garamond"/>
                <w:b/>
                <w:color w:val="000000"/>
                <w:sz w:val="18"/>
                <w:szCs w:val="18"/>
              </w:rPr>
              <w:t>Provenuvirkning efter tilbageløb i alt</w:t>
            </w:r>
          </w:p>
        </w:tc>
        <w:tc>
          <w:tcPr>
            <w:tcW w:w="708" w:type="dxa"/>
            <w:tcBorders>
              <w:top w:val="single" w:sz="4" w:space="0" w:color="auto"/>
              <w:left w:val="single" w:sz="4" w:space="0" w:color="auto"/>
              <w:bottom w:val="nil"/>
              <w:right w:val="single" w:sz="4" w:space="0" w:color="auto"/>
            </w:tcBorders>
            <w:shd w:val="clear" w:color="auto" w:fill="auto"/>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-34</w:t>
            </w:r>
          </w:p>
        </w:tc>
        <w:tc>
          <w:tcPr>
            <w:tcW w:w="706" w:type="dxa"/>
            <w:tcBorders>
              <w:top w:val="single" w:sz="4" w:space="0" w:color="auto"/>
              <w:left w:val="single" w:sz="4" w:space="0" w:color="auto"/>
              <w:bottom w:val="nil"/>
            </w:tcBorders>
            <w:shd w:val="clear" w:color="auto" w:fill="auto"/>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-1.375</w:t>
            </w:r>
          </w:p>
        </w:tc>
        <w:tc>
          <w:tcPr>
            <w:tcW w:w="774" w:type="dxa"/>
            <w:tcBorders>
              <w:top w:val="single" w:sz="4" w:space="0" w:color="auto"/>
              <w:bottom w:val="nil"/>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-415</w:t>
            </w:r>
          </w:p>
        </w:tc>
        <w:tc>
          <w:tcPr>
            <w:tcW w:w="775" w:type="dxa"/>
            <w:tcBorders>
              <w:top w:val="single" w:sz="4" w:space="0" w:color="auto"/>
              <w:bottom w:val="nil"/>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-280</w:t>
            </w:r>
          </w:p>
        </w:tc>
        <w:tc>
          <w:tcPr>
            <w:tcW w:w="774" w:type="dxa"/>
            <w:tcBorders>
              <w:top w:val="single" w:sz="4" w:space="0" w:color="auto"/>
              <w:bottom w:val="nil"/>
              <w:right w:val="single" w:sz="4" w:space="0" w:color="auto"/>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-260</w:t>
            </w:r>
          </w:p>
        </w:tc>
        <w:tc>
          <w:tcPr>
            <w:tcW w:w="743" w:type="dxa"/>
            <w:tcBorders>
              <w:top w:val="single" w:sz="4" w:space="0" w:color="auto"/>
              <w:bottom w:val="nil"/>
              <w:right w:val="single" w:sz="4" w:space="0" w:color="auto"/>
            </w:tcBorders>
          </w:tcPr>
          <w:p w:rsidR="00340BDD" w:rsidRPr="00001728" w:rsidRDefault="00340BDD" w:rsidP="00C35C39">
            <w:pPr>
              <w:jc w:val="right"/>
              <w:rPr>
                <w:rFonts w:eastAsia="Times New Roman" w:cs="Garamond"/>
                <w:b/>
                <w:color w:val="000000"/>
                <w:sz w:val="18"/>
                <w:szCs w:val="18"/>
              </w:rPr>
            </w:pPr>
            <w:r>
              <w:rPr>
                <w:rFonts w:eastAsia="Times New Roman" w:cs="Garamond"/>
                <w:b/>
                <w:color w:val="000000"/>
                <w:sz w:val="18"/>
                <w:szCs w:val="18"/>
              </w:rPr>
              <w:t>-2.450</w:t>
            </w:r>
          </w:p>
        </w:tc>
        <w:tc>
          <w:tcPr>
            <w:tcW w:w="846" w:type="dxa"/>
            <w:tcBorders>
              <w:top w:val="single" w:sz="4" w:space="0" w:color="auto"/>
              <w:left w:val="single" w:sz="4" w:space="0" w:color="auto"/>
              <w:bottom w:val="nil"/>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w:t>
            </w:r>
          </w:p>
        </w:tc>
      </w:tr>
      <w:tr w:rsidR="00340BDD" w:rsidRPr="0034543E" w:rsidTr="00C35C39">
        <w:trPr>
          <w:trHeight w:val="510"/>
        </w:trPr>
        <w:tc>
          <w:tcPr>
            <w:tcW w:w="3828" w:type="dxa"/>
            <w:tcBorders>
              <w:top w:val="nil"/>
              <w:bottom w:val="nil"/>
              <w:right w:val="single" w:sz="4" w:space="0" w:color="auto"/>
            </w:tcBorders>
            <w:shd w:val="clear" w:color="auto" w:fill="auto"/>
            <w:vAlign w:val="center"/>
          </w:tcPr>
          <w:p w:rsidR="00340BDD" w:rsidRPr="00001728" w:rsidRDefault="00340BDD" w:rsidP="00C35C39">
            <w:pPr>
              <w:rPr>
                <w:rFonts w:eastAsia="Times New Roman" w:cs="Garamond"/>
                <w:b/>
                <w:color w:val="000000"/>
                <w:sz w:val="18"/>
                <w:szCs w:val="18"/>
              </w:rPr>
            </w:pPr>
            <w:r w:rsidRPr="00001728">
              <w:rPr>
                <w:rFonts w:eastAsia="Times New Roman" w:cs="Garamond"/>
                <w:iCs/>
                <w:color w:val="000000"/>
                <w:sz w:val="18"/>
                <w:szCs w:val="18"/>
              </w:rPr>
              <w:t>Fremrykning af personskattenedsættelser i Aftale om en skattereform 2012</w:t>
            </w:r>
          </w:p>
        </w:tc>
        <w:tc>
          <w:tcPr>
            <w:tcW w:w="708" w:type="dxa"/>
            <w:tcBorders>
              <w:top w:val="nil"/>
              <w:left w:val="single" w:sz="4" w:space="0" w:color="auto"/>
              <w:bottom w:val="nil"/>
              <w:right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-29</w:t>
            </w:r>
          </w:p>
        </w:tc>
        <w:tc>
          <w:tcPr>
            <w:tcW w:w="706" w:type="dxa"/>
            <w:tcBorders>
              <w:top w:val="nil"/>
              <w:left w:val="single" w:sz="4" w:space="0" w:color="auto"/>
              <w:bottom w:val="nil"/>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-780</w:t>
            </w:r>
          </w:p>
        </w:tc>
        <w:tc>
          <w:tcPr>
            <w:tcW w:w="774" w:type="dxa"/>
            <w:tcBorders>
              <w:top w:val="nil"/>
              <w:bottom w:val="nil"/>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-415</w:t>
            </w:r>
          </w:p>
        </w:tc>
        <w:tc>
          <w:tcPr>
            <w:tcW w:w="775" w:type="dxa"/>
            <w:tcBorders>
              <w:top w:val="nil"/>
              <w:bottom w:val="nil"/>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-285</w:t>
            </w:r>
          </w:p>
        </w:tc>
        <w:tc>
          <w:tcPr>
            <w:tcW w:w="774" w:type="dxa"/>
            <w:tcBorders>
              <w:top w:val="nil"/>
              <w:bottom w:val="nil"/>
              <w:right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-260</w:t>
            </w:r>
          </w:p>
        </w:tc>
        <w:tc>
          <w:tcPr>
            <w:tcW w:w="743" w:type="dxa"/>
            <w:tcBorders>
              <w:top w:val="nil"/>
              <w:bottom w:val="nil"/>
              <w:right w:val="single" w:sz="4" w:space="0" w:color="auto"/>
            </w:tcBorders>
          </w:tcPr>
          <w:p w:rsidR="00340BDD" w:rsidRPr="00001728" w:rsidRDefault="00340BDD" w:rsidP="00C35C39">
            <w:pPr>
              <w:jc w:val="right"/>
              <w:rPr>
                <w:rFonts w:eastAsia="Times New Roman" w:cs="Garamond"/>
                <w:color w:val="000000"/>
                <w:sz w:val="18"/>
                <w:szCs w:val="18"/>
              </w:rPr>
            </w:pPr>
            <w:r>
              <w:rPr>
                <w:rFonts w:eastAsia="Times New Roman" w:cs="Garamond"/>
                <w:color w:val="000000"/>
                <w:sz w:val="18"/>
                <w:szCs w:val="18"/>
              </w:rPr>
              <w:t>-1.740</w:t>
            </w:r>
          </w:p>
        </w:tc>
        <w:tc>
          <w:tcPr>
            <w:tcW w:w="846" w:type="dxa"/>
            <w:tcBorders>
              <w:top w:val="nil"/>
              <w:left w:val="single" w:sz="4" w:space="0" w:color="auto"/>
              <w:bottom w:val="nil"/>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w:t>
            </w:r>
          </w:p>
        </w:tc>
      </w:tr>
      <w:tr w:rsidR="00340BDD" w:rsidRPr="0034543E" w:rsidTr="00C35C39">
        <w:trPr>
          <w:trHeight w:val="283"/>
        </w:trPr>
        <w:tc>
          <w:tcPr>
            <w:tcW w:w="3828" w:type="dxa"/>
            <w:tcBorders>
              <w:top w:val="nil"/>
              <w:bottom w:val="single" w:sz="4" w:space="0" w:color="auto"/>
              <w:right w:val="single" w:sz="4" w:space="0" w:color="auto"/>
            </w:tcBorders>
            <w:shd w:val="clear" w:color="auto" w:fill="auto"/>
            <w:vAlign w:val="center"/>
          </w:tcPr>
          <w:p w:rsidR="00340BDD" w:rsidRPr="00001728" w:rsidRDefault="00340BDD" w:rsidP="00C35C39">
            <w:pPr>
              <w:rPr>
                <w:rFonts w:eastAsia="Times New Roman" w:cs="Garamond"/>
                <w:b/>
                <w:color w:val="000000"/>
                <w:sz w:val="18"/>
                <w:szCs w:val="18"/>
              </w:rPr>
            </w:pPr>
            <w:r w:rsidRPr="00001728">
              <w:rPr>
                <w:rFonts w:eastAsia="Times New Roman" w:cs="Garamond"/>
                <w:iCs/>
                <w:color w:val="000000"/>
                <w:sz w:val="18"/>
                <w:szCs w:val="18"/>
              </w:rPr>
              <w:t>Fremrykning af skattelettelser i Aftaler om Vækstplan DK</w:t>
            </w:r>
          </w:p>
        </w:tc>
        <w:tc>
          <w:tcPr>
            <w:tcW w:w="708" w:type="dxa"/>
            <w:tcBorders>
              <w:top w:val="nil"/>
              <w:left w:val="single" w:sz="4" w:space="0" w:color="auto"/>
              <w:bottom w:val="single" w:sz="4" w:space="0" w:color="auto"/>
              <w:right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-5</w:t>
            </w:r>
          </w:p>
        </w:tc>
        <w:tc>
          <w:tcPr>
            <w:tcW w:w="706" w:type="dxa"/>
            <w:tcBorders>
              <w:top w:val="nil"/>
              <w:left w:val="single" w:sz="4" w:space="0" w:color="auto"/>
              <w:bottom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-755</w:t>
            </w:r>
          </w:p>
        </w:tc>
        <w:tc>
          <w:tcPr>
            <w:tcW w:w="774" w:type="dxa"/>
            <w:tcBorders>
              <w:top w:val="nil"/>
              <w:bottom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15</w:t>
            </w:r>
          </w:p>
        </w:tc>
        <w:tc>
          <w:tcPr>
            <w:tcW w:w="775" w:type="dxa"/>
            <w:tcBorders>
              <w:top w:val="nil"/>
              <w:bottom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20</w:t>
            </w:r>
          </w:p>
        </w:tc>
        <w:tc>
          <w:tcPr>
            <w:tcW w:w="774" w:type="dxa"/>
            <w:tcBorders>
              <w:top w:val="nil"/>
              <w:bottom w:val="single" w:sz="4" w:space="0" w:color="auto"/>
              <w:right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10</w:t>
            </w:r>
          </w:p>
        </w:tc>
        <w:tc>
          <w:tcPr>
            <w:tcW w:w="743" w:type="dxa"/>
            <w:tcBorders>
              <w:top w:val="nil"/>
              <w:bottom w:val="single" w:sz="4" w:space="0" w:color="auto"/>
              <w:right w:val="single" w:sz="4" w:space="0" w:color="auto"/>
            </w:tcBorders>
          </w:tcPr>
          <w:p w:rsidR="00340BDD" w:rsidRPr="00001728" w:rsidRDefault="00340BDD" w:rsidP="00C35C39">
            <w:pPr>
              <w:jc w:val="right"/>
              <w:rPr>
                <w:rFonts w:eastAsia="Times New Roman" w:cs="Garamond"/>
                <w:color w:val="000000"/>
                <w:sz w:val="18"/>
                <w:szCs w:val="18"/>
              </w:rPr>
            </w:pPr>
            <w:r>
              <w:rPr>
                <w:rFonts w:eastAsia="Times New Roman" w:cs="Garamond"/>
                <w:color w:val="000000"/>
                <w:sz w:val="18"/>
                <w:szCs w:val="18"/>
              </w:rPr>
              <w:t>-710</w:t>
            </w:r>
          </w:p>
        </w:tc>
        <w:tc>
          <w:tcPr>
            <w:tcW w:w="846" w:type="dxa"/>
            <w:tcBorders>
              <w:top w:val="nil"/>
              <w:left w:val="single" w:sz="4" w:space="0" w:color="auto"/>
              <w:bottom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w:t>
            </w:r>
          </w:p>
        </w:tc>
      </w:tr>
      <w:tr w:rsidR="00340BDD" w:rsidRPr="0034543E" w:rsidTr="00C35C39">
        <w:trPr>
          <w:trHeight w:val="283"/>
        </w:trPr>
        <w:tc>
          <w:tcPr>
            <w:tcW w:w="3828" w:type="dxa"/>
            <w:tcBorders>
              <w:top w:val="single" w:sz="4" w:space="0" w:color="auto"/>
              <w:bottom w:val="nil"/>
              <w:right w:val="single" w:sz="4" w:space="0" w:color="auto"/>
            </w:tcBorders>
            <w:shd w:val="clear" w:color="auto" w:fill="auto"/>
            <w:vAlign w:val="center"/>
            <w:hideMark/>
          </w:tcPr>
          <w:p w:rsidR="00340BDD" w:rsidRPr="00001728" w:rsidRDefault="00340BDD" w:rsidP="00C35C39">
            <w:pPr>
              <w:rPr>
                <w:rFonts w:eastAsia="Times New Roman" w:cs="Garamond"/>
                <w:b/>
                <w:color w:val="000000"/>
                <w:sz w:val="18"/>
                <w:szCs w:val="18"/>
              </w:rPr>
            </w:pPr>
            <w:r w:rsidRPr="00001728">
              <w:rPr>
                <w:rFonts w:eastAsia="Times New Roman" w:cs="Garamond"/>
                <w:b/>
                <w:color w:val="000000"/>
                <w:sz w:val="18"/>
                <w:szCs w:val="18"/>
              </w:rPr>
              <w:t>Provenuvirkning efter tilbageløb og adfærd i alt</w:t>
            </w:r>
          </w:p>
        </w:tc>
        <w:tc>
          <w:tcPr>
            <w:tcW w:w="708" w:type="dxa"/>
            <w:tcBorders>
              <w:top w:val="single" w:sz="4" w:space="0" w:color="auto"/>
              <w:left w:val="single" w:sz="4" w:space="0" w:color="auto"/>
              <w:bottom w:val="nil"/>
              <w:right w:val="single" w:sz="4" w:space="0" w:color="auto"/>
            </w:tcBorders>
            <w:shd w:val="clear" w:color="auto" w:fill="auto"/>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-28</w:t>
            </w:r>
          </w:p>
        </w:tc>
        <w:tc>
          <w:tcPr>
            <w:tcW w:w="706" w:type="dxa"/>
            <w:tcBorders>
              <w:top w:val="single" w:sz="4" w:space="0" w:color="auto"/>
              <w:left w:val="single" w:sz="4" w:space="0" w:color="auto"/>
              <w:bottom w:val="nil"/>
            </w:tcBorders>
            <w:shd w:val="clear" w:color="auto" w:fill="auto"/>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-1.350</w:t>
            </w:r>
          </w:p>
        </w:tc>
        <w:tc>
          <w:tcPr>
            <w:tcW w:w="774" w:type="dxa"/>
            <w:tcBorders>
              <w:top w:val="single" w:sz="4" w:space="0" w:color="auto"/>
              <w:bottom w:val="nil"/>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-310</w:t>
            </w:r>
          </w:p>
        </w:tc>
        <w:tc>
          <w:tcPr>
            <w:tcW w:w="775" w:type="dxa"/>
            <w:tcBorders>
              <w:top w:val="single" w:sz="4" w:space="0" w:color="auto"/>
              <w:bottom w:val="nil"/>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-205</w:t>
            </w:r>
          </w:p>
        </w:tc>
        <w:tc>
          <w:tcPr>
            <w:tcW w:w="774" w:type="dxa"/>
            <w:tcBorders>
              <w:top w:val="single" w:sz="4" w:space="0" w:color="auto"/>
              <w:bottom w:val="nil"/>
              <w:right w:val="single" w:sz="4" w:space="0" w:color="auto"/>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-195</w:t>
            </w:r>
          </w:p>
        </w:tc>
        <w:tc>
          <w:tcPr>
            <w:tcW w:w="743" w:type="dxa"/>
            <w:tcBorders>
              <w:top w:val="single" w:sz="4" w:space="0" w:color="auto"/>
              <w:bottom w:val="nil"/>
              <w:right w:val="single" w:sz="4" w:space="0" w:color="auto"/>
            </w:tcBorders>
          </w:tcPr>
          <w:p w:rsidR="00340BDD" w:rsidRPr="00001728" w:rsidRDefault="00340BDD" w:rsidP="00C35C39">
            <w:pPr>
              <w:jc w:val="right"/>
              <w:rPr>
                <w:rFonts w:eastAsia="Times New Roman" w:cs="Garamond"/>
                <w:b/>
                <w:color w:val="000000"/>
                <w:sz w:val="18"/>
                <w:szCs w:val="18"/>
              </w:rPr>
            </w:pPr>
            <w:r>
              <w:rPr>
                <w:rFonts w:eastAsia="Times New Roman" w:cs="Garamond"/>
                <w:b/>
                <w:color w:val="000000"/>
                <w:sz w:val="18"/>
                <w:szCs w:val="18"/>
              </w:rPr>
              <w:t>-2.060</w:t>
            </w:r>
          </w:p>
        </w:tc>
        <w:tc>
          <w:tcPr>
            <w:tcW w:w="846" w:type="dxa"/>
            <w:tcBorders>
              <w:top w:val="single" w:sz="4" w:space="0" w:color="auto"/>
              <w:left w:val="single" w:sz="4" w:space="0" w:color="auto"/>
              <w:bottom w:val="nil"/>
            </w:tcBorders>
            <w:shd w:val="clear" w:color="auto" w:fill="auto"/>
            <w:hideMark/>
          </w:tcPr>
          <w:p w:rsidR="00340BDD" w:rsidRPr="00001728" w:rsidRDefault="00340BDD" w:rsidP="00C35C39">
            <w:pPr>
              <w:jc w:val="right"/>
              <w:rPr>
                <w:rFonts w:eastAsia="Times New Roman" w:cs="Garamond"/>
                <w:b/>
                <w:color w:val="000000"/>
                <w:sz w:val="18"/>
                <w:szCs w:val="18"/>
              </w:rPr>
            </w:pPr>
            <w:r w:rsidRPr="00001728">
              <w:rPr>
                <w:rFonts w:eastAsia="Times New Roman" w:cs="Garamond"/>
                <w:b/>
                <w:color w:val="000000"/>
                <w:sz w:val="18"/>
                <w:szCs w:val="18"/>
              </w:rPr>
              <w:t>-</w:t>
            </w:r>
          </w:p>
        </w:tc>
      </w:tr>
      <w:tr w:rsidR="00340BDD" w:rsidRPr="0034543E" w:rsidTr="00C35C39">
        <w:trPr>
          <w:trHeight w:val="510"/>
        </w:trPr>
        <w:tc>
          <w:tcPr>
            <w:tcW w:w="3828" w:type="dxa"/>
            <w:tcBorders>
              <w:top w:val="nil"/>
              <w:bottom w:val="nil"/>
              <w:right w:val="single" w:sz="4" w:space="0" w:color="auto"/>
            </w:tcBorders>
            <w:shd w:val="clear" w:color="auto" w:fill="auto"/>
            <w:vAlign w:val="center"/>
          </w:tcPr>
          <w:p w:rsidR="00340BDD" w:rsidRPr="00001728" w:rsidRDefault="00340BDD" w:rsidP="00C35C39">
            <w:pPr>
              <w:rPr>
                <w:rFonts w:eastAsia="Times New Roman" w:cs="Garamond"/>
                <w:b/>
                <w:color w:val="000000"/>
                <w:sz w:val="18"/>
                <w:szCs w:val="18"/>
              </w:rPr>
            </w:pPr>
            <w:r w:rsidRPr="00001728">
              <w:rPr>
                <w:rFonts w:eastAsia="Times New Roman" w:cs="Garamond"/>
                <w:iCs/>
                <w:color w:val="000000"/>
                <w:sz w:val="18"/>
                <w:szCs w:val="18"/>
              </w:rPr>
              <w:t>Fremrykning af personskattenedsættelser i Aftale om en skattereform 2012</w:t>
            </w:r>
          </w:p>
        </w:tc>
        <w:tc>
          <w:tcPr>
            <w:tcW w:w="708" w:type="dxa"/>
            <w:tcBorders>
              <w:top w:val="nil"/>
              <w:left w:val="single" w:sz="4" w:space="0" w:color="auto"/>
              <w:bottom w:val="nil"/>
              <w:right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-23</w:t>
            </w:r>
          </w:p>
        </w:tc>
        <w:tc>
          <w:tcPr>
            <w:tcW w:w="706" w:type="dxa"/>
            <w:tcBorders>
              <w:top w:val="nil"/>
              <w:left w:val="single" w:sz="4" w:space="0" w:color="auto"/>
              <w:bottom w:val="nil"/>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-605</w:t>
            </w:r>
          </w:p>
        </w:tc>
        <w:tc>
          <w:tcPr>
            <w:tcW w:w="774" w:type="dxa"/>
            <w:tcBorders>
              <w:top w:val="nil"/>
              <w:bottom w:val="nil"/>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-330</w:t>
            </w:r>
          </w:p>
        </w:tc>
        <w:tc>
          <w:tcPr>
            <w:tcW w:w="775" w:type="dxa"/>
            <w:tcBorders>
              <w:top w:val="nil"/>
              <w:bottom w:val="nil"/>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-230</w:t>
            </w:r>
          </w:p>
        </w:tc>
        <w:tc>
          <w:tcPr>
            <w:tcW w:w="774" w:type="dxa"/>
            <w:tcBorders>
              <w:top w:val="nil"/>
              <w:bottom w:val="nil"/>
              <w:right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-210</w:t>
            </w:r>
          </w:p>
        </w:tc>
        <w:tc>
          <w:tcPr>
            <w:tcW w:w="743" w:type="dxa"/>
            <w:tcBorders>
              <w:top w:val="nil"/>
              <w:bottom w:val="nil"/>
              <w:right w:val="single" w:sz="4" w:space="0" w:color="auto"/>
            </w:tcBorders>
          </w:tcPr>
          <w:p w:rsidR="00340BDD" w:rsidRPr="00001728" w:rsidRDefault="00340BDD" w:rsidP="00C35C39">
            <w:pPr>
              <w:jc w:val="right"/>
              <w:rPr>
                <w:rFonts w:eastAsia="Times New Roman" w:cs="Garamond"/>
                <w:color w:val="000000"/>
                <w:sz w:val="18"/>
                <w:szCs w:val="18"/>
              </w:rPr>
            </w:pPr>
            <w:r>
              <w:rPr>
                <w:rFonts w:eastAsia="Times New Roman" w:cs="Garamond"/>
                <w:color w:val="000000"/>
                <w:sz w:val="18"/>
                <w:szCs w:val="18"/>
              </w:rPr>
              <w:t>-1.375</w:t>
            </w:r>
          </w:p>
        </w:tc>
        <w:tc>
          <w:tcPr>
            <w:tcW w:w="846" w:type="dxa"/>
            <w:tcBorders>
              <w:top w:val="nil"/>
              <w:left w:val="single" w:sz="4" w:space="0" w:color="auto"/>
              <w:bottom w:val="nil"/>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w:t>
            </w:r>
          </w:p>
        </w:tc>
      </w:tr>
      <w:tr w:rsidR="00340BDD" w:rsidRPr="0034543E" w:rsidTr="00C35C39">
        <w:trPr>
          <w:trHeight w:val="283"/>
        </w:trPr>
        <w:tc>
          <w:tcPr>
            <w:tcW w:w="3828" w:type="dxa"/>
            <w:tcBorders>
              <w:top w:val="nil"/>
              <w:bottom w:val="single" w:sz="4" w:space="0" w:color="auto"/>
              <w:right w:val="single" w:sz="4" w:space="0" w:color="auto"/>
            </w:tcBorders>
            <w:shd w:val="clear" w:color="auto" w:fill="auto"/>
            <w:vAlign w:val="center"/>
          </w:tcPr>
          <w:p w:rsidR="00340BDD" w:rsidRPr="00001728" w:rsidRDefault="00340BDD" w:rsidP="00C35C39">
            <w:pPr>
              <w:rPr>
                <w:rFonts w:eastAsia="Times New Roman" w:cs="Garamond"/>
                <w:b/>
                <w:color w:val="000000"/>
                <w:sz w:val="18"/>
                <w:szCs w:val="18"/>
              </w:rPr>
            </w:pPr>
            <w:r w:rsidRPr="00001728">
              <w:rPr>
                <w:rFonts w:eastAsia="Times New Roman" w:cs="Garamond"/>
                <w:iCs/>
                <w:color w:val="000000"/>
                <w:sz w:val="18"/>
                <w:szCs w:val="18"/>
              </w:rPr>
              <w:t>Fremrykning af skattelettelser i Aftaler om Vækstplan DK</w:t>
            </w:r>
          </w:p>
        </w:tc>
        <w:tc>
          <w:tcPr>
            <w:tcW w:w="708" w:type="dxa"/>
            <w:tcBorders>
              <w:top w:val="nil"/>
              <w:left w:val="single" w:sz="4" w:space="0" w:color="auto"/>
              <w:bottom w:val="single" w:sz="4" w:space="0" w:color="auto"/>
              <w:right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 xml:space="preserve"> -5 </w:t>
            </w:r>
          </w:p>
        </w:tc>
        <w:tc>
          <w:tcPr>
            <w:tcW w:w="706" w:type="dxa"/>
            <w:tcBorders>
              <w:top w:val="nil"/>
              <w:left w:val="single" w:sz="4" w:space="0" w:color="auto"/>
              <w:bottom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 xml:space="preserve"> -745 </w:t>
            </w:r>
          </w:p>
        </w:tc>
        <w:tc>
          <w:tcPr>
            <w:tcW w:w="774" w:type="dxa"/>
            <w:tcBorders>
              <w:top w:val="nil"/>
              <w:bottom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 xml:space="preserve"> 20 </w:t>
            </w:r>
          </w:p>
        </w:tc>
        <w:tc>
          <w:tcPr>
            <w:tcW w:w="775" w:type="dxa"/>
            <w:tcBorders>
              <w:top w:val="nil"/>
              <w:bottom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 xml:space="preserve"> 25 </w:t>
            </w:r>
          </w:p>
        </w:tc>
        <w:tc>
          <w:tcPr>
            <w:tcW w:w="774" w:type="dxa"/>
            <w:tcBorders>
              <w:top w:val="nil"/>
              <w:bottom w:val="single" w:sz="4" w:space="0" w:color="auto"/>
              <w:right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 xml:space="preserve"> 15 </w:t>
            </w:r>
          </w:p>
        </w:tc>
        <w:tc>
          <w:tcPr>
            <w:tcW w:w="743" w:type="dxa"/>
            <w:tcBorders>
              <w:top w:val="nil"/>
              <w:bottom w:val="single" w:sz="4" w:space="0" w:color="auto"/>
              <w:right w:val="single" w:sz="4" w:space="0" w:color="auto"/>
            </w:tcBorders>
          </w:tcPr>
          <w:p w:rsidR="00340BDD" w:rsidRPr="00001728" w:rsidRDefault="00340BDD" w:rsidP="00C35C39">
            <w:pPr>
              <w:jc w:val="right"/>
              <w:rPr>
                <w:rFonts w:eastAsia="Times New Roman" w:cs="Garamond"/>
                <w:color w:val="000000"/>
                <w:sz w:val="18"/>
                <w:szCs w:val="18"/>
              </w:rPr>
            </w:pPr>
            <w:r>
              <w:rPr>
                <w:rFonts w:eastAsia="Times New Roman" w:cs="Garamond"/>
                <w:color w:val="000000"/>
                <w:sz w:val="18"/>
                <w:szCs w:val="18"/>
              </w:rPr>
              <w:t>-685</w:t>
            </w:r>
          </w:p>
        </w:tc>
        <w:tc>
          <w:tcPr>
            <w:tcW w:w="846" w:type="dxa"/>
            <w:tcBorders>
              <w:top w:val="nil"/>
              <w:left w:val="single" w:sz="4" w:space="0" w:color="auto"/>
              <w:bottom w:val="single" w:sz="4" w:space="0" w:color="auto"/>
            </w:tcBorders>
            <w:shd w:val="clear" w:color="auto" w:fill="auto"/>
          </w:tcPr>
          <w:p w:rsidR="00340BDD" w:rsidRPr="00001728" w:rsidRDefault="00340BDD" w:rsidP="00C35C39">
            <w:pPr>
              <w:jc w:val="right"/>
              <w:rPr>
                <w:rFonts w:eastAsia="Times New Roman" w:cs="Garamond"/>
                <w:color w:val="000000"/>
                <w:sz w:val="18"/>
                <w:szCs w:val="18"/>
              </w:rPr>
            </w:pPr>
            <w:r w:rsidRPr="00001728">
              <w:rPr>
                <w:rFonts w:eastAsia="Times New Roman" w:cs="Garamond"/>
                <w:color w:val="000000"/>
                <w:sz w:val="18"/>
                <w:szCs w:val="18"/>
              </w:rPr>
              <w:t>-</w:t>
            </w:r>
          </w:p>
        </w:tc>
      </w:tr>
    </w:tbl>
    <w:p w:rsidR="00340BDD" w:rsidRDefault="00340BDD" w:rsidP="00340BDD"/>
    <w:tbl>
      <w:tblPr>
        <w:tblW w:w="5000" w:type="pct"/>
        <w:tblBorders>
          <w:top w:val="single" w:sz="4" w:space="0" w:color="auto"/>
          <w:bottom w:val="single" w:sz="4" w:space="0" w:color="auto"/>
        </w:tblBorders>
        <w:tblCellMar>
          <w:left w:w="0" w:type="dxa"/>
          <w:right w:w="85" w:type="dxa"/>
        </w:tblCellMar>
        <w:tblLook w:val="04A0" w:firstRow="1" w:lastRow="0" w:firstColumn="1" w:lastColumn="0" w:noHBand="0" w:noVBand="1"/>
      </w:tblPr>
      <w:tblGrid>
        <w:gridCol w:w="9154"/>
      </w:tblGrid>
      <w:tr w:rsidR="00340BDD" w:rsidRPr="00900801" w:rsidTr="00C35C39">
        <w:trPr>
          <w:trHeight w:val="397"/>
        </w:trPr>
        <w:tc>
          <w:tcPr>
            <w:tcW w:w="9154" w:type="dxa"/>
            <w:tcBorders>
              <w:top w:val="single" w:sz="4" w:space="0" w:color="auto"/>
              <w:bottom w:val="nil"/>
            </w:tcBorders>
            <w:shd w:val="clear" w:color="auto" w:fill="auto"/>
            <w:vAlign w:val="center"/>
          </w:tcPr>
          <w:p w:rsidR="00340BDD" w:rsidRPr="00001728" w:rsidRDefault="00340BDD" w:rsidP="00C35C39">
            <w:pPr>
              <w:rPr>
                <w:rFonts w:eastAsia="Times New Roman" w:cs="Garamond"/>
                <w:color w:val="000000"/>
                <w:sz w:val="14"/>
                <w:szCs w:val="14"/>
              </w:rPr>
            </w:pPr>
            <w:r w:rsidRPr="00001728">
              <w:rPr>
                <w:rFonts w:eastAsia="Times New Roman" w:cs="Garamond"/>
                <w:color w:val="000000"/>
                <w:sz w:val="14"/>
                <w:szCs w:val="14"/>
              </w:rPr>
              <w:t xml:space="preserve">1) Ekskl. længere momskredittider for små virksomheder. </w:t>
            </w:r>
            <w:r>
              <w:rPr>
                <w:rFonts w:eastAsia="Times New Roman" w:cs="Garamond"/>
                <w:color w:val="000000"/>
                <w:sz w:val="14"/>
                <w:szCs w:val="14"/>
              </w:rPr>
              <w:t>2</w:t>
            </w:r>
            <w:r w:rsidRPr="00001728">
              <w:rPr>
                <w:rFonts w:eastAsia="Times New Roman" w:cs="Garamond"/>
                <w:color w:val="000000"/>
                <w:sz w:val="14"/>
                <w:szCs w:val="14"/>
              </w:rPr>
              <w:t>) Forslaget har først virkning fra finansåret 2015.</w:t>
            </w:r>
            <w:r>
              <w:rPr>
                <w:rFonts w:eastAsia="Times New Roman" w:cs="Garamond"/>
                <w:color w:val="000000"/>
                <w:sz w:val="14"/>
                <w:szCs w:val="14"/>
              </w:rPr>
              <w:t xml:space="preserve"> 3</w:t>
            </w:r>
            <w:r w:rsidRPr="00001728">
              <w:rPr>
                <w:rFonts w:eastAsia="Times New Roman" w:cs="Garamond"/>
                <w:color w:val="000000"/>
                <w:sz w:val="14"/>
                <w:szCs w:val="14"/>
              </w:rPr>
              <w:t xml:space="preserve">) Jf. afsnit 4.5. vedr. forklaring af finansårsvirkning ved længere kredittider for små virksomheder. </w:t>
            </w:r>
          </w:p>
        </w:tc>
      </w:tr>
    </w:tbl>
    <w:p w:rsidR="00340BDD" w:rsidRPr="00001728" w:rsidRDefault="00340BDD" w:rsidP="00340BDD">
      <w:pPr>
        <w:rPr>
          <w:rFonts w:ascii="Times New Roman" w:hAnsi="Times New Roman" w:cs="Times New Roman"/>
          <w:szCs w:val="24"/>
        </w:rPr>
      </w:pPr>
    </w:p>
    <w:p w:rsidR="00340BDD" w:rsidRPr="000E49FC" w:rsidRDefault="00340BDD" w:rsidP="00340BDD">
      <w:pPr>
        <w:spacing w:line="264" w:lineRule="auto"/>
        <w:rPr>
          <w:i/>
          <w:iCs/>
        </w:rPr>
      </w:pPr>
      <w:r>
        <w:rPr>
          <w:i/>
          <w:iCs/>
        </w:rPr>
        <w:t>4.2. Forhøjelse af beskæftigelsesfradragene</w:t>
      </w:r>
    </w:p>
    <w:p w:rsidR="00340BDD" w:rsidRDefault="00340BDD" w:rsidP="00340BDD">
      <w:r>
        <w:t xml:space="preserve">Den foreslåede fremrykning af forhøjelsen af det almindelige beskæftigelsesfradrag i årene 2014-2017 og forhøjelsen af det ekstra beskæftigelsesfradrag </w:t>
      </w:r>
      <w:r w:rsidR="0022054D">
        <w:t>for</w:t>
      </w:r>
      <w:r>
        <w:t xml:space="preserve"> enlige forsørgere i 2014 skønnes at medføre et umiddelbart mindreprovenu på ca. 1.035 mio. kr. i 2014, ca. 550 mio. kr. i 2015, ca. 375 mio. kr. i 2016 og ca. 345 mio. kr. i 2017. Efter tilbageløb og adfærd skønnes mindreprovenuerne at udgøre ca. 605 mio. kr. i 2014, ca. 330 mio. kr. i 2015, ca. 230 mio. kr. i 2016 og ca. 210 mio. kr. i 2017, jf. </w:t>
      </w:r>
      <w:r w:rsidRPr="004458C0">
        <w:rPr>
          <w:i/>
        </w:rPr>
        <w:t>tabel 4.</w:t>
      </w:r>
      <w:r>
        <w:rPr>
          <w:i/>
        </w:rPr>
        <w:t>2.</w:t>
      </w:r>
      <w:r w:rsidRPr="004458C0">
        <w:rPr>
          <w:i/>
        </w:rPr>
        <w:t>1</w:t>
      </w:r>
      <w:r>
        <w:t xml:space="preserve">. </w:t>
      </w:r>
    </w:p>
    <w:p w:rsidR="00340BDD" w:rsidRDefault="00340BDD" w:rsidP="00340BDD"/>
    <w:p w:rsidR="00340BDD" w:rsidRPr="004458C0" w:rsidRDefault="00340BDD" w:rsidP="00340BDD">
      <w:r>
        <w:t>Samlet over de fire år udgør mindreprovenuet efter tilbageløb og adfærd ca. 1.375 mio. kr. opgjort i 2014-niveau</w:t>
      </w:r>
      <w:r w:rsidRPr="004458C0">
        <w:rPr>
          <w:i/>
        </w:rPr>
        <w:t>.</w:t>
      </w:r>
      <w:r>
        <w:t xml:space="preserve"> Provenuskønnene er forbundet med en vis usikkerhed.</w:t>
      </w:r>
    </w:p>
    <w:p w:rsidR="00340BDD" w:rsidRDefault="00340BDD" w:rsidP="00340BDD"/>
    <w:p w:rsidR="00340BDD" w:rsidRDefault="00340BDD" w:rsidP="00340BDD">
      <w:r>
        <w:t>Opgjort i varig virkning medfører forhøjelserne af fradragene et årligt mindreprovenu efter tilbageløb og adfærd på ca. 23 mio. kr.</w:t>
      </w:r>
    </w:p>
    <w:p w:rsidR="00340BDD" w:rsidRDefault="00340BDD" w:rsidP="00340BDD">
      <w:pPr>
        <w:spacing w:line="264" w:lineRule="auto"/>
      </w:pP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3997"/>
        <w:gridCol w:w="854"/>
        <w:gridCol w:w="855"/>
        <w:gridCol w:w="152"/>
        <w:gridCol w:w="703"/>
        <w:gridCol w:w="386"/>
        <w:gridCol w:w="468"/>
        <w:gridCol w:w="621"/>
        <w:gridCol w:w="234"/>
        <w:gridCol w:w="855"/>
      </w:tblGrid>
      <w:tr w:rsidR="00340BDD" w:rsidRPr="004D0008" w:rsidTr="00C35C39">
        <w:trPr>
          <w:trHeight w:val="210"/>
        </w:trPr>
        <w:tc>
          <w:tcPr>
            <w:tcW w:w="9125" w:type="dxa"/>
            <w:gridSpan w:val="10"/>
            <w:tcBorders>
              <w:top w:val="single" w:sz="4" w:space="0" w:color="auto"/>
              <w:left w:val="nil"/>
              <w:bottom w:val="single" w:sz="4" w:space="0" w:color="auto"/>
              <w:right w:val="nil"/>
            </w:tcBorders>
            <w:shd w:val="clear" w:color="auto" w:fill="auto"/>
            <w:noWrap/>
            <w:vAlign w:val="center"/>
            <w:hideMark/>
          </w:tcPr>
          <w:p w:rsidR="00340BDD" w:rsidRPr="00605715" w:rsidRDefault="00340BDD" w:rsidP="00C35C39">
            <w:pPr>
              <w:rPr>
                <w:b/>
                <w:bCs/>
              </w:rPr>
            </w:pPr>
            <w:r w:rsidRPr="00605715">
              <w:rPr>
                <w:b/>
                <w:bCs/>
              </w:rPr>
              <w:t>Tabel 4.</w:t>
            </w:r>
            <w:r>
              <w:rPr>
                <w:b/>
                <w:bCs/>
              </w:rPr>
              <w:t>2.</w:t>
            </w:r>
            <w:r w:rsidRPr="00605715">
              <w:rPr>
                <w:b/>
                <w:bCs/>
              </w:rPr>
              <w:t xml:space="preserve">1. </w:t>
            </w:r>
            <w:r w:rsidRPr="00605715">
              <w:rPr>
                <w:b/>
                <w:color w:val="000000"/>
              </w:rPr>
              <w:t>Provenuvirkning af ændringer af beskæftigelsesfradragene</w:t>
            </w:r>
          </w:p>
        </w:tc>
      </w:tr>
      <w:tr w:rsidR="00340BDD" w:rsidRPr="00156E01" w:rsidTr="003753F3">
        <w:trPr>
          <w:trHeight w:val="210"/>
        </w:trPr>
        <w:tc>
          <w:tcPr>
            <w:tcW w:w="3997" w:type="dxa"/>
            <w:tcBorders>
              <w:top w:val="single" w:sz="4" w:space="0" w:color="auto"/>
              <w:left w:val="nil"/>
              <w:bottom w:val="single" w:sz="4" w:space="0" w:color="auto"/>
              <w:right w:val="single" w:sz="4" w:space="0" w:color="auto"/>
            </w:tcBorders>
            <w:shd w:val="clear" w:color="auto" w:fill="auto"/>
            <w:noWrap/>
            <w:vAlign w:val="bottom"/>
            <w:hideMark/>
          </w:tcPr>
          <w:p w:rsidR="00340BDD" w:rsidRPr="00DE2C0E" w:rsidRDefault="00340BDD" w:rsidP="00C35C39">
            <w:pPr>
              <w:rPr>
                <w:color w:val="000000"/>
                <w:sz w:val="18"/>
                <w:szCs w:val="18"/>
              </w:rPr>
            </w:pPr>
            <w:r w:rsidRPr="00DE2C0E">
              <w:rPr>
                <w:color w:val="000000"/>
                <w:sz w:val="18"/>
                <w:szCs w:val="18"/>
              </w:rPr>
              <w:t>Mio. kr. (2014-niveau)</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BDD" w:rsidRPr="00DE2C0E" w:rsidRDefault="00340BDD" w:rsidP="00C35C39">
            <w:pPr>
              <w:jc w:val="center"/>
              <w:rPr>
                <w:color w:val="000000"/>
                <w:sz w:val="18"/>
                <w:szCs w:val="18"/>
              </w:rPr>
            </w:pPr>
            <w:r w:rsidRPr="00DE2C0E">
              <w:rPr>
                <w:color w:val="000000"/>
                <w:sz w:val="18"/>
                <w:szCs w:val="18"/>
              </w:rPr>
              <w:t>Varig virkning</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tcPr>
          <w:p w:rsidR="00340BDD" w:rsidRPr="00DE2C0E" w:rsidRDefault="00340BDD" w:rsidP="00C35C39">
            <w:pPr>
              <w:jc w:val="center"/>
              <w:rPr>
                <w:color w:val="000000"/>
                <w:sz w:val="18"/>
                <w:szCs w:val="18"/>
              </w:rPr>
            </w:pPr>
            <w:r w:rsidRPr="00DE2C0E">
              <w:rPr>
                <w:color w:val="000000"/>
                <w:sz w:val="18"/>
                <w:szCs w:val="18"/>
              </w:rPr>
              <w:t>2014</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BDD" w:rsidRPr="00DE2C0E" w:rsidRDefault="00340BDD" w:rsidP="00C35C39">
            <w:pPr>
              <w:jc w:val="center"/>
              <w:rPr>
                <w:color w:val="000000"/>
                <w:sz w:val="18"/>
                <w:szCs w:val="18"/>
              </w:rPr>
            </w:pPr>
            <w:r w:rsidRPr="00DE2C0E">
              <w:rPr>
                <w:color w:val="000000"/>
                <w:sz w:val="18"/>
                <w:szCs w:val="18"/>
              </w:rPr>
              <w:t>2015</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BDD" w:rsidRPr="00DE2C0E" w:rsidRDefault="00340BDD" w:rsidP="00C35C39">
            <w:pPr>
              <w:jc w:val="center"/>
              <w:rPr>
                <w:color w:val="000000"/>
                <w:sz w:val="18"/>
                <w:szCs w:val="18"/>
              </w:rPr>
            </w:pPr>
            <w:r w:rsidRPr="00DE2C0E">
              <w:rPr>
                <w:color w:val="000000"/>
                <w:sz w:val="18"/>
                <w:szCs w:val="18"/>
              </w:rPr>
              <w:t>2016</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BDD" w:rsidRPr="00DE2C0E" w:rsidRDefault="00340BDD" w:rsidP="00C35C39">
            <w:pPr>
              <w:jc w:val="center"/>
              <w:rPr>
                <w:color w:val="000000"/>
                <w:sz w:val="18"/>
                <w:szCs w:val="18"/>
              </w:rPr>
            </w:pPr>
            <w:r w:rsidRPr="00DE2C0E">
              <w:rPr>
                <w:color w:val="000000"/>
                <w:sz w:val="18"/>
                <w:szCs w:val="18"/>
              </w:rPr>
              <w:t>2017</w:t>
            </w:r>
          </w:p>
        </w:tc>
        <w:tc>
          <w:tcPr>
            <w:tcW w:w="855" w:type="dxa"/>
            <w:tcBorders>
              <w:top w:val="single" w:sz="4" w:space="0" w:color="auto"/>
              <w:left w:val="single" w:sz="4" w:space="0" w:color="auto"/>
              <w:bottom w:val="single" w:sz="4" w:space="0" w:color="auto"/>
              <w:right w:val="nil"/>
            </w:tcBorders>
            <w:shd w:val="clear" w:color="auto" w:fill="auto"/>
            <w:vAlign w:val="bottom"/>
          </w:tcPr>
          <w:p w:rsidR="00340BDD" w:rsidRPr="00DE2C0E" w:rsidRDefault="00340BDD" w:rsidP="00C35C39">
            <w:pPr>
              <w:jc w:val="center"/>
              <w:rPr>
                <w:color w:val="000000"/>
                <w:sz w:val="18"/>
                <w:szCs w:val="18"/>
              </w:rPr>
            </w:pPr>
            <w:r w:rsidRPr="00DE2C0E">
              <w:rPr>
                <w:color w:val="000000"/>
                <w:sz w:val="18"/>
                <w:szCs w:val="18"/>
              </w:rPr>
              <w:t>Finansår 2014</w:t>
            </w:r>
          </w:p>
        </w:tc>
      </w:tr>
      <w:tr w:rsidR="00340BDD" w:rsidRPr="00156E01" w:rsidTr="003753F3">
        <w:trPr>
          <w:trHeight w:val="210"/>
        </w:trPr>
        <w:tc>
          <w:tcPr>
            <w:tcW w:w="3997" w:type="dxa"/>
            <w:tcBorders>
              <w:top w:val="single" w:sz="4" w:space="0" w:color="auto"/>
              <w:left w:val="nil"/>
              <w:bottom w:val="nil"/>
              <w:right w:val="single" w:sz="4" w:space="0" w:color="auto"/>
            </w:tcBorders>
            <w:shd w:val="clear" w:color="auto" w:fill="auto"/>
            <w:noWrap/>
            <w:vAlign w:val="center"/>
            <w:hideMark/>
          </w:tcPr>
          <w:p w:rsidR="00340BDD" w:rsidRPr="00DE2C0E" w:rsidRDefault="00340BDD" w:rsidP="00C35C39">
            <w:pPr>
              <w:rPr>
                <w:color w:val="000000"/>
                <w:sz w:val="18"/>
                <w:szCs w:val="18"/>
              </w:rPr>
            </w:pPr>
            <w:r w:rsidRPr="00DE2C0E">
              <w:rPr>
                <w:color w:val="000000"/>
                <w:sz w:val="18"/>
                <w:szCs w:val="18"/>
              </w:rPr>
              <w:t>Almindeligt beskæftigelsesfradrag</w:t>
            </w:r>
          </w:p>
        </w:tc>
        <w:tc>
          <w:tcPr>
            <w:tcW w:w="854" w:type="dxa"/>
            <w:tcBorders>
              <w:top w:val="single" w:sz="4" w:space="0" w:color="auto"/>
              <w:left w:val="single" w:sz="4" w:space="0" w:color="auto"/>
              <w:bottom w:val="nil"/>
              <w:right w:val="single" w:sz="4" w:space="0" w:color="auto"/>
            </w:tcBorders>
            <w:shd w:val="clear" w:color="auto" w:fill="auto"/>
            <w:noWrap/>
            <w:vAlign w:val="center"/>
          </w:tcPr>
          <w:p w:rsidR="00340BDD" w:rsidRPr="00DE2C0E" w:rsidRDefault="00340BDD" w:rsidP="00C35C39">
            <w:pPr>
              <w:ind w:right="113"/>
              <w:jc w:val="right"/>
              <w:rPr>
                <w:color w:val="000000"/>
                <w:sz w:val="18"/>
                <w:szCs w:val="18"/>
              </w:rPr>
            </w:pPr>
            <w:r>
              <w:rPr>
                <w:color w:val="000000"/>
                <w:sz w:val="18"/>
                <w:szCs w:val="18"/>
              </w:rPr>
              <w:t>-35</w:t>
            </w:r>
          </w:p>
        </w:tc>
        <w:tc>
          <w:tcPr>
            <w:tcW w:w="855" w:type="dxa"/>
            <w:tcBorders>
              <w:top w:val="single" w:sz="4" w:space="0" w:color="auto"/>
              <w:left w:val="single" w:sz="4" w:space="0" w:color="auto"/>
              <w:bottom w:val="nil"/>
              <w:right w:val="nil"/>
            </w:tcBorders>
            <w:shd w:val="clear" w:color="auto" w:fill="auto"/>
            <w:vAlign w:val="center"/>
          </w:tcPr>
          <w:p w:rsidR="00340BDD" w:rsidRPr="00DE2C0E" w:rsidRDefault="00340BDD" w:rsidP="00C35C39">
            <w:pPr>
              <w:ind w:right="227"/>
              <w:jc w:val="right"/>
              <w:rPr>
                <w:color w:val="000000"/>
                <w:sz w:val="18"/>
                <w:szCs w:val="18"/>
              </w:rPr>
            </w:pPr>
            <w:r w:rsidRPr="00DE2C0E">
              <w:rPr>
                <w:color w:val="000000"/>
                <w:sz w:val="18"/>
                <w:szCs w:val="18"/>
              </w:rPr>
              <w:t>-820</w:t>
            </w:r>
          </w:p>
        </w:tc>
        <w:tc>
          <w:tcPr>
            <w:tcW w:w="855" w:type="dxa"/>
            <w:gridSpan w:val="2"/>
            <w:tcBorders>
              <w:top w:val="single" w:sz="4" w:space="0" w:color="auto"/>
              <w:left w:val="nil"/>
              <w:bottom w:val="nil"/>
              <w:right w:val="nil"/>
            </w:tcBorders>
            <w:shd w:val="clear" w:color="auto" w:fill="auto"/>
            <w:noWrap/>
            <w:vAlign w:val="center"/>
            <w:hideMark/>
          </w:tcPr>
          <w:p w:rsidR="00340BDD" w:rsidRPr="00DE2C0E" w:rsidRDefault="00340BDD" w:rsidP="00C35C39">
            <w:pPr>
              <w:ind w:right="227"/>
              <w:jc w:val="right"/>
              <w:rPr>
                <w:color w:val="000000"/>
                <w:sz w:val="18"/>
                <w:szCs w:val="18"/>
              </w:rPr>
            </w:pPr>
            <w:r w:rsidRPr="00DE2C0E">
              <w:rPr>
                <w:color w:val="000000"/>
                <w:sz w:val="18"/>
                <w:szCs w:val="18"/>
              </w:rPr>
              <w:t>-550</w:t>
            </w:r>
          </w:p>
        </w:tc>
        <w:tc>
          <w:tcPr>
            <w:tcW w:w="854" w:type="dxa"/>
            <w:gridSpan w:val="2"/>
            <w:tcBorders>
              <w:top w:val="single" w:sz="4" w:space="0" w:color="auto"/>
              <w:left w:val="nil"/>
              <w:bottom w:val="nil"/>
              <w:right w:val="nil"/>
            </w:tcBorders>
            <w:shd w:val="clear" w:color="auto" w:fill="auto"/>
            <w:noWrap/>
            <w:vAlign w:val="center"/>
            <w:hideMark/>
          </w:tcPr>
          <w:p w:rsidR="00340BDD" w:rsidRPr="00DE2C0E" w:rsidRDefault="00340BDD" w:rsidP="00C35C39">
            <w:pPr>
              <w:ind w:right="227"/>
              <w:jc w:val="right"/>
              <w:rPr>
                <w:color w:val="000000"/>
                <w:sz w:val="18"/>
                <w:szCs w:val="18"/>
              </w:rPr>
            </w:pPr>
            <w:r w:rsidRPr="00DE2C0E">
              <w:rPr>
                <w:color w:val="000000"/>
                <w:sz w:val="18"/>
                <w:szCs w:val="18"/>
              </w:rPr>
              <w:t>-375</w:t>
            </w:r>
          </w:p>
        </w:tc>
        <w:tc>
          <w:tcPr>
            <w:tcW w:w="855" w:type="dxa"/>
            <w:gridSpan w:val="2"/>
            <w:tcBorders>
              <w:top w:val="single" w:sz="4" w:space="0" w:color="auto"/>
              <w:left w:val="nil"/>
              <w:bottom w:val="nil"/>
              <w:right w:val="single" w:sz="4" w:space="0" w:color="auto"/>
            </w:tcBorders>
            <w:shd w:val="clear" w:color="auto" w:fill="auto"/>
            <w:noWrap/>
            <w:vAlign w:val="center"/>
            <w:hideMark/>
          </w:tcPr>
          <w:p w:rsidR="00340BDD" w:rsidRPr="00DE2C0E" w:rsidRDefault="00340BDD" w:rsidP="00C35C39">
            <w:pPr>
              <w:ind w:right="227"/>
              <w:jc w:val="right"/>
              <w:rPr>
                <w:color w:val="000000"/>
                <w:sz w:val="18"/>
                <w:szCs w:val="18"/>
              </w:rPr>
            </w:pPr>
            <w:r w:rsidRPr="00DE2C0E">
              <w:rPr>
                <w:color w:val="000000"/>
                <w:sz w:val="18"/>
                <w:szCs w:val="18"/>
              </w:rPr>
              <w:t>-345</w:t>
            </w:r>
          </w:p>
        </w:tc>
        <w:tc>
          <w:tcPr>
            <w:tcW w:w="855" w:type="dxa"/>
            <w:tcBorders>
              <w:top w:val="single" w:sz="4" w:space="0" w:color="auto"/>
              <w:left w:val="single" w:sz="4" w:space="0" w:color="auto"/>
              <w:bottom w:val="nil"/>
              <w:right w:val="nil"/>
            </w:tcBorders>
            <w:shd w:val="clear" w:color="auto" w:fill="auto"/>
            <w:vAlign w:val="center"/>
          </w:tcPr>
          <w:p w:rsidR="00340BDD" w:rsidRPr="00DE2C0E" w:rsidRDefault="00340BDD" w:rsidP="00C35C39">
            <w:pPr>
              <w:ind w:right="113"/>
              <w:jc w:val="right"/>
              <w:rPr>
                <w:color w:val="000000"/>
                <w:sz w:val="18"/>
                <w:szCs w:val="18"/>
              </w:rPr>
            </w:pPr>
            <w:r>
              <w:rPr>
                <w:color w:val="000000"/>
                <w:sz w:val="18"/>
                <w:szCs w:val="18"/>
              </w:rPr>
              <w:t>-480</w:t>
            </w:r>
          </w:p>
        </w:tc>
      </w:tr>
      <w:tr w:rsidR="00340BDD" w:rsidRPr="00156E01" w:rsidTr="003753F3">
        <w:trPr>
          <w:trHeight w:val="210"/>
        </w:trPr>
        <w:tc>
          <w:tcPr>
            <w:tcW w:w="3997" w:type="dxa"/>
            <w:tcBorders>
              <w:top w:val="nil"/>
              <w:left w:val="nil"/>
              <w:bottom w:val="single" w:sz="4" w:space="0" w:color="auto"/>
              <w:right w:val="single" w:sz="4" w:space="0" w:color="auto"/>
            </w:tcBorders>
            <w:shd w:val="clear" w:color="auto" w:fill="auto"/>
            <w:noWrap/>
            <w:vAlign w:val="center"/>
            <w:hideMark/>
          </w:tcPr>
          <w:p w:rsidR="00340BDD" w:rsidRPr="00DE2C0E" w:rsidRDefault="00340BDD" w:rsidP="00641ACA">
            <w:pPr>
              <w:rPr>
                <w:color w:val="000000"/>
                <w:sz w:val="18"/>
                <w:szCs w:val="18"/>
              </w:rPr>
            </w:pPr>
            <w:r w:rsidRPr="00DE2C0E">
              <w:rPr>
                <w:color w:val="000000"/>
                <w:sz w:val="18"/>
                <w:szCs w:val="18"/>
              </w:rPr>
              <w:t xml:space="preserve">Ekstra beskæftigelsesfradrag </w:t>
            </w:r>
            <w:r w:rsidR="00641ACA">
              <w:rPr>
                <w:color w:val="000000"/>
                <w:sz w:val="18"/>
                <w:szCs w:val="18"/>
              </w:rPr>
              <w:t>for</w:t>
            </w:r>
            <w:r w:rsidRPr="00DE2C0E">
              <w:rPr>
                <w:color w:val="000000"/>
                <w:sz w:val="18"/>
                <w:szCs w:val="18"/>
              </w:rPr>
              <w:t xml:space="preserve"> enlige forsørgere</w:t>
            </w:r>
          </w:p>
        </w:tc>
        <w:tc>
          <w:tcPr>
            <w:tcW w:w="854" w:type="dxa"/>
            <w:tcBorders>
              <w:top w:val="nil"/>
              <w:left w:val="single" w:sz="4" w:space="0" w:color="auto"/>
              <w:bottom w:val="single" w:sz="4" w:space="0" w:color="auto"/>
              <w:right w:val="single" w:sz="4" w:space="0" w:color="auto"/>
            </w:tcBorders>
            <w:shd w:val="clear" w:color="auto" w:fill="auto"/>
            <w:noWrap/>
            <w:vAlign w:val="center"/>
          </w:tcPr>
          <w:p w:rsidR="00340BDD" w:rsidRPr="00DE2C0E" w:rsidRDefault="00340BDD" w:rsidP="00C35C39">
            <w:pPr>
              <w:ind w:right="113"/>
              <w:jc w:val="right"/>
              <w:rPr>
                <w:color w:val="000000"/>
                <w:sz w:val="18"/>
                <w:szCs w:val="18"/>
              </w:rPr>
            </w:pPr>
            <w:r>
              <w:rPr>
                <w:color w:val="000000"/>
                <w:sz w:val="18"/>
                <w:szCs w:val="18"/>
              </w:rPr>
              <w:t>-5</w:t>
            </w:r>
          </w:p>
        </w:tc>
        <w:tc>
          <w:tcPr>
            <w:tcW w:w="855" w:type="dxa"/>
            <w:tcBorders>
              <w:top w:val="nil"/>
              <w:left w:val="single" w:sz="4" w:space="0" w:color="auto"/>
              <w:bottom w:val="single" w:sz="4" w:space="0" w:color="auto"/>
              <w:right w:val="nil"/>
            </w:tcBorders>
            <w:shd w:val="clear" w:color="auto" w:fill="auto"/>
            <w:vAlign w:val="center"/>
          </w:tcPr>
          <w:p w:rsidR="00340BDD" w:rsidRPr="00DE2C0E" w:rsidRDefault="00340BDD" w:rsidP="00C35C39">
            <w:pPr>
              <w:ind w:right="227"/>
              <w:jc w:val="right"/>
              <w:rPr>
                <w:color w:val="000000"/>
                <w:sz w:val="18"/>
                <w:szCs w:val="18"/>
              </w:rPr>
            </w:pPr>
            <w:r w:rsidRPr="00DE2C0E">
              <w:rPr>
                <w:color w:val="000000"/>
                <w:sz w:val="18"/>
                <w:szCs w:val="18"/>
              </w:rPr>
              <w:t>-215</w:t>
            </w:r>
          </w:p>
        </w:tc>
        <w:tc>
          <w:tcPr>
            <w:tcW w:w="855" w:type="dxa"/>
            <w:gridSpan w:val="2"/>
            <w:tcBorders>
              <w:top w:val="nil"/>
              <w:left w:val="nil"/>
              <w:bottom w:val="single" w:sz="4" w:space="0" w:color="auto"/>
              <w:right w:val="nil"/>
            </w:tcBorders>
            <w:shd w:val="clear" w:color="auto" w:fill="auto"/>
            <w:noWrap/>
            <w:vAlign w:val="bottom"/>
            <w:hideMark/>
          </w:tcPr>
          <w:p w:rsidR="00340BDD" w:rsidRPr="00DE2C0E" w:rsidRDefault="00340BDD" w:rsidP="00C35C39">
            <w:pPr>
              <w:ind w:right="227"/>
              <w:jc w:val="right"/>
              <w:rPr>
                <w:sz w:val="18"/>
                <w:szCs w:val="18"/>
              </w:rPr>
            </w:pPr>
            <w:r w:rsidRPr="00DE2C0E">
              <w:rPr>
                <w:sz w:val="18"/>
                <w:szCs w:val="18"/>
              </w:rPr>
              <w:t>0</w:t>
            </w:r>
          </w:p>
        </w:tc>
        <w:tc>
          <w:tcPr>
            <w:tcW w:w="854" w:type="dxa"/>
            <w:gridSpan w:val="2"/>
            <w:tcBorders>
              <w:top w:val="nil"/>
              <w:left w:val="nil"/>
              <w:bottom w:val="single" w:sz="4" w:space="0" w:color="auto"/>
              <w:right w:val="nil"/>
            </w:tcBorders>
            <w:shd w:val="clear" w:color="auto" w:fill="auto"/>
            <w:noWrap/>
            <w:vAlign w:val="bottom"/>
            <w:hideMark/>
          </w:tcPr>
          <w:p w:rsidR="00340BDD" w:rsidRPr="00DE2C0E" w:rsidRDefault="00340BDD" w:rsidP="00C35C39">
            <w:pPr>
              <w:ind w:right="227"/>
              <w:jc w:val="right"/>
              <w:rPr>
                <w:sz w:val="18"/>
                <w:szCs w:val="18"/>
              </w:rPr>
            </w:pPr>
            <w:r w:rsidRPr="00DE2C0E">
              <w:rPr>
                <w:sz w:val="18"/>
                <w:szCs w:val="18"/>
              </w:rPr>
              <w:t>0</w:t>
            </w:r>
          </w:p>
        </w:tc>
        <w:tc>
          <w:tcPr>
            <w:tcW w:w="855" w:type="dxa"/>
            <w:gridSpan w:val="2"/>
            <w:tcBorders>
              <w:top w:val="nil"/>
              <w:left w:val="nil"/>
              <w:bottom w:val="single" w:sz="4" w:space="0" w:color="auto"/>
              <w:right w:val="single" w:sz="4" w:space="0" w:color="auto"/>
            </w:tcBorders>
            <w:shd w:val="clear" w:color="auto" w:fill="auto"/>
            <w:noWrap/>
            <w:vAlign w:val="bottom"/>
            <w:hideMark/>
          </w:tcPr>
          <w:p w:rsidR="00340BDD" w:rsidRPr="00DE2C0E" w:rsidRDefault="00340BDD" w:rsidP="00C35C39">
            <w:pPr>
              <w:ind w:right="227"/>
              <w:jc w:val="right"/>
              <w:rPr>
                <w:sz w:val="18"/>
                <w:szCs w:val="18"/>
              </w:rPr>
            </w:pPr>
            <w:r w:rsidRPr="00DE2C0E">
              <w:rPr>
                <w:sz w:val="18"/>
                <w:szCs w:val="18"/>
              </w:rPr>
              <w:t>0</w:t>
            </w:r>
          </w:p>
        </w:tc>
        <w:tc>
          <w:tcPr>
            <w:tcW w:w="855" w:type="dxa"/>
            <w:tcBorders>
              <w:top w:val="nil"/>
              <w:left w:val="single" w:sz="4" w:space="0" w:color="auto"/>
              <w:bottom w:val="single" w:sz="4" w:space="0" w:color="auto"/>
              <w:right w:val="nil"/>
            </w:tcBorders>
            <w:shd w:val="clear" w:color="auto" w:fill="auto"/>
            <w:vAlign w:val="bottom"/>
          </w:tcPr>
          <w:p w:rsidR="00340BDD" w:rsidRPr="00DE2C0E" w:rsidRDefault="00340BDD" w:rsidP="00C35C39">
            <w:pPr>
              <w:ind w:right="113"/>
              <w:jc w:val="right"/>
              <w:rPr>
                <w:sz w:val="18"/>
                <w:szCs w:val="18"/>
              </w:rPr>
            </w:pPr>
            <w:r>
              <w:rPr>
                <w:sz w:val="18"/>
                <w:szCs w:val="18"/>
              </w:rPr>
              <w:t>-130</w:t>
            </w:r>
          </w:p>
        </w:tc>
      </w:tr>
      <w:tr w:rsidR="00340BDD" w:rsidRPr="00156E01" w:rsidTr="003753F3">
        <w:trPr>
          <w:trHeight w:val="210"/>
        </w:trPr>
        <w:tc>
          <w:tcPr>
            <w:tcW w:w="3997" w:type="dxa"/>
            <w:tcBorders>
              <w:top w:val="single" w:sz="4" w:space="0" w:color="auto"/>
              <w:left w:val="nil"/>
              <w:right w:val="single" w:sz="4" w:space="0" w:color="auto"/>
            </w:tcBorders>
            <w:shd w:val="clear" w:color="auto" w:fill="auto"/>
            <w:noWrap/>
            <w:vAlign w:val="center"/>
            <w:hideMark/>
          </w:tcPr>
          <w:p w:rsidR="00340BDD" w:rsidRPr="00DE2C0E" w:rsidRDefault="00340BDD" w:rsidP="00C35C39">
            <w:pPr>
              <w:rPr>
                <w:b/>
                <w:color w:val="000000"/>
                <w:sz w:val="18"/>
                <w:szCs w:val="18"/>
              </w:rPr>
            </w:pPr>
            <w:r w:rsidRPr="00DE2C0E">
              <w:rPr>
                <w:b/>
                <w:color w:val="000000"/>
                <w:sz w:val="18"/>
                <w:szCs w:val="18"/>
              </w:rPr>
              <w:t>I alt umiddelbar provenuvirkning</w:t>
            </w:r>
          </w:p>
        </w:tc>
        <w:tc>
          <w:tcPr>
            <w:tcW w:w="854" w:type="dxa"/>
            <w:tcBorders>
              <w:top w:val="single" w:sz="4" w:space="0" w:color="auto"/>
              <w:left w:val="single" w:sz="4" w:space="0" w:color="auto"/>
              <w:right w:val="single" w:sz="4" w:space="0" w:color="auto"/>
            </w:tcBorders>
            <w:shd w:val="clear" w:color="auto" w:fill="auto"/>
            <w:noWrap/>
            <w:vAlign w:val="center"/>
          </w:tcPr>
          <w:p w:rsidR="00340BDD" w:rsidRPr="00DE2C0E" w:rsidRDefault="00340BDD" w:rsidP="00C35C39">
            <w:pPr>
              <w:ind w:right="113"/>
              <w:jc w:val="right"/>
              <w:rPr>
                <w:b/>
                <w:color w:val="000000"/>
                <w:sz w:val="18"/>
                <w:szCs w:val="18"/>
              </w:rPr>
            </w:pPr>
            <w:r>
              <w:rPr>
                <w:b/>
                <w:color w:val="000000"/>
                <w:sz w:val="18"/>
                <w:szCs w:val="18"/>
              </w:rPr>
              <w:t>-40</w:t>
            </w:r>
          </w:p>
        </w:tc>
        <w:tc>
          <w:tcPr>
            <w:tcW w:w="855" w:type="dxa"/>
            <w:tcBorders>
              <w:top w:val="single" w:sz="4" w:space="0" w:color="auto"/>
              <w:left w:val="single" w:sz="4" w:space="0" w:color="auto"/>
              <w:right w:val="nil"/>
            </w:tcBorders>
            <w:shd w:val="clear" w:color="auto" w:fill="auto"/>
            <w:vAlign w:val="center"/>
          </w:tcPr>
          <w:p w:rsidR="00340BDD" w:rsidRPr="00DE2C0E" w:rsidRDefault="00340BDD" w:rsidP="00C35C39">
            <w:pPr>
              <w:ind w:right="227"/>
              <w:jc w:val="right"/>
              <w:rPr>
                <w:b/>
                <w:color w:val="000000"/>
                <w:sz w:val="18"/>
                <w:szCs w:val="18"/>
              </w:rPr>
            </w:pPr>
            <w:r w:rsidRPr="00DE2C0E">
              <w:rPr>
                <w:b/>
                <w:color w:val="000000"/>
                <w:sz w:val="18"/>
                <w:szCs w:val="18"/>
              </w:rPr>
              <w:t>-1.035</w:t>
            </w:r>
          </w:p>
        </w:tc>
        <w:tc>
          <w:tcPr>
            <w:tcW w:w="855" w:type="dxa"/>
            <w:gridSpan w:val="2"/>
            <w:tcBorders>
              <w:top w:val="single" w:sz="4" w:space="0" w:color="auto"/>
              <w:left w:val="nil"/>
              <w:right w:val="nil"/>
            </w:tcBorders>
            <w:shd w:val="clear" w:color="auto" w:fill="auto"/>
            <w:noWrap/>
            <w:vAlign w:val="center"/>
            <w:hideMark/>
          </w:tcPr>
          <w:p w:rsidR="00340BDD" w:rsidRPr="00DE2C0E" w:rsidRDefault="00340BDD" w:rsidP="00C35C39">
            <w:pPr>
              <w:ind w:right="227"/>
              <w:jc w:val="right"/>
              <w:rPr>
                <w:b/>
                <w:color w:val="000000"/>
                <w:sz w:val="18"/>
                <w:szCs w:val="18"/>
              </w:rPr>
            </w:pPr>
            <w:r w:rsidRPr="00DE2C0E">
              <w:rPr>
                <w:b/>
                <w:color w:val="000000"/>
                <w:sz w:val="18"/>
                <w:szCs w:val="18"/>
              </w:rPr>
              <w:t>-550</w:t>
            </w:r>
          </w:p>
        </w:tc>
        <w:tc>
          <w:tcPr>
            <w:tcW w:w="854" w:type="dxa"/>
            <w:gridSpan w:val="2"/>
            <w:tcBorders>
              <w:top w:val="single" w:sz="4" w:space="0" w:color="auto"/>
              <w:left w:val="nil"/>
              <w:right w:val="nil"/>
            </w:tcBorders>
            <w:shd w:val="clear" w:color="auto" w:fill="auto"/>
            <w:noWrap/>
            <w:vAlign w:val="center"/>
            <w:hideMark/>
          </w:tcPr>
          <w:p w:rsidR="00340BDD" w:rsidRPr="00DE2C0E" w:rsidRDefault="00340BDD" w:rsidP="00C35C39">
            <w:pPr>
              <w:ind w:right="227"/>
              <w:jc w:val="right"/>
              <w:rPr>
                <w:b/>
                <w:color w:val="000000"/>
                <w:sz w:val="18"/>
                <w:szCs w:val="18"/>
              </w:rPr>
            </w:pPr>
            <w:r w:rsidRPr="00DE2C0E">
              <w:rPr>
                <w:b/>
                <w:color w:val="000000"/>
                <w:sz w:val="18"/>
                <w:szCs w:val="18"/>
              </w:rPr>
              <w:t>-375</w:t>
            </w:r>
          </w:p>
        </w:tc>
        <w:tc>
          <w:tcPr>
            <w:tcW w:w="855" w:type="dxa"/>
            <w:gridSpan w:val="2"/>
            <w:tcBorders>
              <w:top w:val="single" w:sz="4" w:space="0" w:color="auto"/>
              <w:left w:val="nil"/>
              <w:right w:val="single" w:sz="4" w:space="0" w:color="auto"/>
            </w:tcBorders>
            <w:shd w:val="clear" w:color="auto" w:fill="auto"/>
            <w:noWrap/>
            <w:vAlign w:val="center"/>
            <w:hideMark/>
          </w:tcPr>
          <w:p w:rsidR="00340BDD" w:rsidRPr="00DE2C0E" w:rsidRDefault="00340BDD" w:rsidP="00C35C39">
            <w:pPr>
              <w:ind w:right="227"/>
              <w:jc w:val="right"/>
              <w:rPr>
                <w:b/>
                <w:color w:val="000000"/>
                <w:sz w:val="18"/>
                <w:szCs w:val="18"/>
              </w:rPr>
            </w:pPr>
            <w:r w:rsidRPr="00DE2C0E">
              <w:rPr>
                <w:b/>
                <w:color w:val="000000"/>
                <w:sz w:val="18"/>
                <w:szCs w:val="18"/>
              </w:rPr>
              <w:t>-345</w:t>
            </w:r>
          </w:p>
        </w:tc>
        <w:tc>
          <w:tcPr>
            <w:tcW w:w="855" w:type="dxa"/>
            <w:tcBorders>
              <w:top w:val="single" w:sz="4" w:space="0" w:color="auto"/>
              <w:left w:val="single" w:sz="4" w:space="0" w:color="auto"/>
              <w:right w:val="nil"/>
            </w:tcBorders>
            <w:shd w:val="clear" w:color="auto" w:fill="auto"/>
            <w:vAlign w:val="center"/>
          </w:tcPr>
          <w:p w:rsidR="00340BDD" w:rsidRPr="00DE2C0E" w:rsidRDefault="00340BDD" w:rsidP="00C35C39">
            <w:pPr>
              <w:ind w:right="113"/>
              <w:jc w:val="right"/>
              <w:rPr>
                <w:b/>
                <w:color w:val="000000"/>
                <w:sz w:val="18"/>
                <w:szCs w:val="18"/>
              </w:rPr>
            </w:pPr>
            <w:r>
              <w:rPr>
                <w:b/>
                <w:color w:val="000000"/>
                <w:sz w:val="18"/>
                <w:szCs w:val="18"/>
              </w:rPr>
              <w:t>-610</w:t>
            </w:r>
          </w:p>
        </w:tc>
      </w:tr>
      <w:tr w:rsidR="00340BDD" w:rsidRPr="00156E01" w:rsidTr="003753F3">
        <w:trPr>
          <w:trHeight w:val="210"/>
        </w:trPr>
        <w:tc>
          <w:tcPr>
            <w:tcW w:w="3997" w:type="dxa"/>
            <w:tcBorders>
              <w:left w:val="nil"/>
              <w:bottom w:val="single" w:sz="4" w:space="0" w:color="auto"/>
              <w:right w:val="single" w:sz="4" w:space="0" w:color="auto"/>
            </w:tcBorders>
            <w:shd w:val="clear" w:color="auto" w:fill="auto"/>
            <w:noWrap/>
            <w:vAlign w:val="center"/>
          </w:tcPr>
          <w:p w:rsidR="00340BDD" w:rsidRPr="004458C0" w:rsidRDefault="00340BDD" w:rsidP="00C35C39">
            <w:pPr>
              <w:rPr>
                <w:color w:val="000000"/>
                <w:sz w:val="18"/>
                <w:szCs w:val="18"/>
              </w:rPr>
            </w:pPr>
            <w:r w:rsidRPr="004458C0">
              <w:rPr>
                <w:color w:val="000000"/>
                <w:sz w:val="18"/>
                <w:szCs w:val="18"/>
              </w:rPr>
              <w:t xml:space="preserve">   heraf kommuneskat</w:t>
            </w:r>
          </w:p>
        </w:tc>
        <w:tc>
          <w:tcPr>
            <w:tcW w:w="854" w:type="dxa"/>
            <w:tcBorders>
              <w:left w:val="single" w:sz="4" w:space="0" w:color="auto"/>
              <w:bottom w:val="single" w:sz="4" w:space="0" w:color="auto"/>
              <w:right w:val="single" w:sz="4" w:space="0" w:color="auto"/>
            </w:tcBorders>
            <w:shd w:val="clear" w:color="auto" w:fill="auto"/>
            <w:noWrap/>
            <w:vAlign w:val="center"/>
          </w:tcPr>
          <w:p w:rsidR="00340BDD" w:rsidRPr="004458C0" w:rsidRDefault="00340BDD" w:rsidP="00C35C39">
            <w:pPr>
              <w:ind w:right="113"/>
              <w:jc w:val="right"/>
              <w:rPr>
                <w:color w:val="000000"/>
                <w:sz w:val="18"/>
                <w:szCs w:val="18"/>
              </w:rPr>
            </w:pPr>
            <w:r>
              <w:rPr>
                <w:color w:val="000000"/>
                <w:sz w:val="18"/>
                <w:szCs w:val="18"/>
              </w:rPr>
              <w:t>-</w:t>
            </w:r>
          </w:p>
        </w:tc>
        <w:tc>
          <w:tcPr>
            <w:tcW w:w="855" w:type="dxa"/>
            <w:tcBorders>
              <w:left w:val="single" w:sz="4" w:space="0" w:color="auto"/>
              <w:bottom w:val="single" w:sz="4" w:space="0" w:color="auto"/>
              <w:right w:val="nil"/>
            </w:tcBorders>
            <w:shd w:val="clear" w:color="auto" w:fill="auto"/>
            <w:vAlign w:val="center"/>
          </w:tcPr>
          <w:p w:rsidR="00340BDD" w:rsidRPr="004458C0" w:rsidRDefault="00340BDD" w:rsidP="00C35C39">
            <w:pPr>
              <w:ind w:right="227"/>
              <w:jc w:val="right"/>
              <w:rPr>
                <w:color w:val="000000"/>
                <w:sz w:val="18"/>
                <w:szCs w:val="18"/>
              </w:rPr>
            </w:pPr>
            <w:r w:rsidRPr="004458C0">
              <w:rPr>
                <w:color w:val="000000"/>
                <w:sz w:val="18"/>
                <w:szCs w:val="18"/>
              </w:rPr>
              <w:t>-865</w:t>
            </w:r>
          </w:p>
        </w:tc>
        <w:tc>
          <w:tcPr>
            <w:tcW w:w="855" w:type="dxa"/>
            <w:gridSpan w:val="2"/>
            <w:tcBorders>
              <w:left w:val="nil"/>
              <w:bottom w:val="single" w:sz="4" w:space="0" w:color="auto"/>
              <w:right w:val="nil"/>
            </w:tcBorders>
            <w:shd w:val="clear" w:color="auto" w:fill="auto"/>
            <w:noWrap/>
            <w:vAlign w:val="center"/>
          </w:tcPr>
          <w:p w:rsidR="00340BDD" w:rsidRPr="004458C0" w:rsidRDefault="00340BDD" w:rsidP="00C35C39">
            <w:pPr>
              <w:ind w:right="227"/>
              <w:jc w:val="right"/>
              <w:rPr>
                <w:color w:val="000000"/>
                <w:sz w:val="18"/>
                <w:szCs w:val="18"/>
              </w:rPr>
            </w:pPr>
            <w:r w:rsidRPr="004458C0">
              <w:rPr>
                <w:color w:val="000000"/>
                <w:sz w:val="18"/>
                <w:szCs w:val="18"/>
              </w:rPr>
              <w:t>-475</w:t>
            </w:r>
          </w:p>
        </w:tc>
        <w:tc>
          <w:tcPr>
            <w:tcW w:w="854" w:type="dxa"/>
            <w:gridSpan w:val="2"/>
            <w:tcBorders>
              <w:left w:val="nil"/>
              <w:bottom w:val="single" w:sz="4" w:space="0" w:color="auto"/>
              <w:right w:val="nil"/>
            </w:tcBorders>
            <w:shd w:val="clear" w:color="auto" w:fill="auto"/>
            <w:noWrap/>
            <w:vAlign w:val="center"/>
          </w:tcPr>
          <w:p w:rsidR="00340BDD" w:rsidRPr="004458C0" w:rsidRDefault="00340BDD" w:rsidP="00C35C39">
            <w:pPr>
              <w:ind w:right="227"/>
              <w:jc w:val="right"/>
              <w:rPr>
                <w:color w:val="000000"/>
                <w:sz w:val="18"/>
                <w:szCs w:val="18"/>
              </w:rPr>
            </w:pPr>
            <w:r w:rsidRPr="004458C0">
              <w:rPr>
                <w:color w:val="000000"/>
                <w:sz w:val="18"/>
                <w:szCs w:val="18"/>
              </w:rPr>
              <w:t>-350</w:t>
            </w:r>
          </w:p>
        </w:tc>
        <w:tc>
          <w:tcPr>
            <w:tcW w:w="855" w:type="dxa"/>
            <w:gridSpan w:val="2"/>
            <w:tcBorders>
              <w:left w:val="nil"/>
              <w:bottom w:val="single" w:sz="4" w:space="0" w:color="auto"/>
              <w:right w:val="single" w:sz="4" w:space="0" w:color="auto"/>
            </w:tcBorders>
            <w:shd w:val="clear" w:color="auto" w:fill="auto"/>
            <w:noWrap/>
            <w:vAlign w:val="center"/>
          </w:tcPr>
          <w:p w:rsidR="00340BDD" w:rsidRPr="004458C0" w:rsidRDefault="00340BDD" w:rsidP="00C35C39">
            <w:pPr>
              <w:ind w:right="227"/>
              <w:jc w:val="right"/>
              <w:rPr>
                <w:color w:val="000000"/>
                <w:sz w:val="18"/>
                <w:szCs w:val="18"/>
              </w:rPr>
            </w:pPr>
            <w:r w:rsidRPr="004458C0">
              <w:rPr>
                <w:color w:val="000000"/>
                <w:sz w:val="18"/>
                <w:szCs w:val="18"/>
              </w:rPr>
              <w:t>-300</w:t>
            </w:r>
          </w:p>
        </w:tc>
        <w:tc>
          <w:tcPr>
            <w:tcW w:w="855" w:type="dxa"/>
            <w:tcBorders>
              <w:left w:val="single" w:sz="4" w:space="0" w:color="auto"/>
              <w:bottom w:val="single" w:sz="4" w:space="0" w:color="auto"/>
              <w:right w:val="nil"/>
            </w:tcBorders>
            <w:shd w:val="clear" w:color="auto" w:fill="auto"/>
            <w:vAlign w:val="center"/>
          </w:tcPr>
          <w:p w:rsidR="00340BDD" w:rsidRPr="004458C0" w:rsidRDefault="00340BDD" w:rsidP="00C35C39">
            <w:pPr>
              <w:ind w:right="113"/>
              <w:jc w:val="right"/>
              <w:rPr>
                <w:color w:val="000000"/>
                <w:sz w:val="18"/>
                <w:szCs w:val="18"/>
              </w:rPr>
            </w:pPr>
            <w:r>
              <w:rPr>
                <w:color w:val="000000"/>
                <w:sz w:val="18"/>
                <w:szCs w:val="18"/>
              </w:rPr>
              <w:t>-</w:t>
            </w:r>
          </w:p>
        </w:tc>
      </w:tr>
      <w:tr w:rsidR="00340BDD" w:rsidRPr="00156E01" w:rsidTr="003753F3">
        <w:trPr>
          <w:trHeight w:val="210"/>
        </w:trPr>
        <w:tc>
          <w:tcPr>
            <w:tcW w:w="3997" w:type="dxa"/>
            <w:tcBorders>
              <w:top w:val="single" w:sz="4" w:space="0" w:color="auto"/>
              <w:left w:val="nil"/>
              <w:bottom w:val="nil"/>
              <w:right w:val="single" w:sz="4" w:space="0" w:color="auto"/>
            </w:tcBorders>
            <w:shd w:val="clear" w:color="auto" w:fill="auto"/>
            <w:noWrap/>
            <w:vAlign w:val="center"/>
            <w:hideMark/>
          </w:tcPr>
          <w:p w:rsidR="00340BDD" w:rsidRPr="00DE2C0E" w:rsidRDefault="00340BDD" w:rsidP="00C35C39">
            <w:pPr>
              <w:rPr>
                <w:color w:val="000000"/>
                <w:sz w:val="18"/>
                <w:szCs w:val="18"/>
              </w:rPr>
            </w:pPr>
            <w:r w:rsidRPr="00DE2C0E">
              <w:rPr>
                <w:color w:val="000000"/>
                <w:sz w:val="18"/>
                <w:szCs w:val="18"/>
              </w:rPr>
              <w:t>Almindeligt beskæftigelsesfradrag</w:t>
            </w:r>
          </w:p>
        </w:tc>
        <w:tc>
          <w:tcPr>
            <w:tcW w:w="854" w:type="dxa"/>
            <w:tcBorders>
              <w:top w:val="single" w:sz="4" w:space="0" w:color="auto"/>
              <w:left w:val="single" w:sz="4" w:space="0" w:color="auto"/>
              <w:bottom w:val="nil"/>
              <w:right w:val="single" w:sz="4" w:space="0" w:color="auto"/>
            </w:tcBorders>
            <w:shd w:val="clear" w:color="auto" w:fill="auto"/>
            <w:noWrap/>
            <w:vAlign w:val="center"/>
          </w:tcPr>
          <w:p w:rsidR="00340BDD" w:rsidRPr="00DE2C0E" w:rsidRDefault="00340BDD" w:rsidP="00C35C39">
            <w:pPr>
              <w:ind w:right="113"/>
              <w:jc w:val="right"/>
              <w:rPr>
                <w:color w:val="000000"/>
                <w:sz w:val="18"/>
                <w:szCs w:val="18"/>
              </w:rPr>
            </w:pPr>
            <w:r>
              <w:rPr>
                <w:color w:val="000000"/>
                <w:sz w:val="18"/>
                <w:szCs w:val="18"/>
              </w:rPr>
              <w:t>-25</w:t>
            </w:r>
          </w:p>
        </w:tc>
        <w:tc>
          <w:tcPr>
            <w:tcW w:w="855" w:type="dxa"/>
            <w:tcBorders>
              <w:top w:val="single" w:sz="4" w:space="0" w:color="auto"/>
              <w:left w:val="single" w:sz="4" w:space="0" w:color="auto"/>
              <w:bottom w:val="nil"/>
              <w:right w:val="nil"/>
            </w:tcBorders>
            <w:shd w:val="clear" w:color="auto" w:fill="auto"/>
            <w:vAlign w:val="center"/>
          </w:tcPr>
          <w:p w:rsidR="00340BDD" w:rsidRPr="00DE2C0E" w:rsidRDefault="00340BDD" w:rsidP="00C35C39">
            <w:pPr>
              <w:ind w:right="227"/>
              <w:jc w:val="right"/>
              <w:rPr>
                <w:color w:val="000000"/>
                <w:sz w:val="18"/>
                <w:szCs w:val="18"/>
              </w:rPr>
            </w:pPr>
            <w:r w:rsidRPr="00DE2C0E">
              <w:rPr>
                <w:color w:val="000000"/>
                <w:sz w:val="18"/>
                <w:szCs w:val="18"/>
              </w:rPr>
              <w:t>-620</w:t>
            </w:r>
          </w:p>
        </w:tc>
        <w:tc>
          <w:tcPr>
            <w:tcW w:w="855" w:type="dxa"/>
            <w:gridSpan w:val="2"/>
            <w:tcBorders>
              <w:top w:val="single" w:sz="4" w:space="0" w:color="auto"/>
              <w:left w:val="nil"/>
              <w:bottom w:val="nil"/>
              <w:right w:val="nil"/>
            </w:tcBorders>
            <w:shd w:val="clear" w:color="auto" w:fill="auto"/>
            <w:noWrap/>
            <w:vAlign w:val="center"/>
            <w:hideMark/>
          </w:tcPr>
          <w:p w:rsidR="00340BDD" w:rsidRPr="00DE2C0E" w:rsidRDefault="00340BDD" w:rsidP="00C35C39">
            <w:pPr>
              <w:ind w:right="227"/>
              <w:jc w:val="right"/>
              <w:rPr>
                <w:color w:val="000000"/>
                <w:sz w:val="18"/>
                <w:szCs w:val="18"/>
              </w:rPr>
            </w:pPr>
            <w:r w:rsidRPr="00DE2C0E">
              <w:rPr>
                <w:color w:val="000000"/>
                <w:sz w:val="18"/>
                <w:szCs w:val="18"/>
              </w:rPr>
              <w:t>-415</w:t>
            </w:r>
          </w:p>
        </w:tc>
        <w:tc>
          <w:tcPr>
            <w:tcW w:w="854" w:type="dxa"/>
            <w:gridSpan w:val="2"/>
            <w:tcBorders>
              <w:top w:val="single" w:sz="4" w:space="0" w:color="auto"/>
              <w:left w:val="nil"/>
              <w:bottom w:val="nil"/>
              <w:right w:val="nil"/>
            </w:tcBorders>
            <w:shd w:val="clear" w:color="auto" w:fill="auto"/>
            <w:noWrap/>
            <w:vAlign w:val="center"/>
            <w:hideMark/>
          </w:tcPr>
          <w:p w:rsidR="00340BDD" w:rsidRPr="00DE2C0E" w:rsidRDefault="00340BDD" w:rsidP="00C35C39">
            <w:pPr>
              <w:ind w:right="227"/>
              <w:jc w:val="right"/>
              <w:rPr>
                <w:color w:val="000000"/>
                <w:sz w:val="18"/>
                <w:szCs w:val="18"/>
              </w:rPr>
            </w:pPr>
            <w:r w:rsidRPr="00DE2C0E">
              <w:rPr>
                <w:color w:val="000000"/>
                <w:sz w:val="18"/>
                <w:szCs w:val="18"/>
              </w:rPr>
              <w:t>-285</w:t>
            </w:r>
          </w:p>
        </w:tc>
        <w:tc>
          <w:tcPr>
            <w:tcW w:w="855" w:type="dxa"/>
            <w:gridSpan w:val="2"/>
            <w:tcBorders>
              <w:top w:val="single" w:sz="4" w:space="0" w:color="auto"/>
              <w:left w:val="nil"/>
              <w:bottom w:val="nil"/>
              <w:right w:val="single" w:sz="4" w:space="0" w:color="auto"/>
            </w:tcBorders>
            <w:shd w:val="clear" w:color="auto" w:fill="auto"/>
            <w:noWrap/>
            <w:vAlign w:val="center"/>
            <w:hideMark/>
          </w:tcPr>
          <w:p w:rsidR="00340BDD" w:rsidRPr="00DE2C0E" w:rsidRDefault="00340BDD" w:rsidP="00C35C39">
            <w:pPr>
              <w:ind w:right="227"/>
              <w:jc w:val="right"/>
              <w:rPr>
                <w:color w:val="000000"/>
                <w:sz w:val="18"/>
                <w:szCs w:val="18"/>
              </w:rPr>
            </w:pPr>
            <w:r w:rsidRPr="00DE2C0E">
              <w:rPr>
                <w:color w:val="000000"/>
                <w:sz w:val="18"/>
                <w:szCs w:val="18"/>
              </w:rPr>
              <w:t>-260</w:t>
            </w:r>
          </w:p>
        </w:tc>
        <w:tc>
          <w:tcPr>
            <w:tcW w:w="855" w:type="dxa"/>
            <w:tcBorders>
              <w:top w:val="single" w:sz="4" w:space="0" w:color="auto"/>
              <w:left w:val="single" w:sz="4" w:space="0" w:color="auto"/>
              <w:bottom w:val="nil"/>
              <w:right w:val="nil"/>
            </w:tcBorders>
            <w:shd w:val="clear" w:color="auto" w:fill="auto"/>
            <w:vAlign w:val="center"/>
          </w:tcPr>
          <w:p w:rsidR="00340BDD" w:rsidRPr="00DE2C0E" w:rsidRDefault="00340BDD" w:rsidP="00C35C39">
            <w:pPr>
              <w:ind w:right="113"/>
              <w:jc w:val="right"/>
              <w:rPr>
                <w:color w:val="000000"/>
                <w:sz w:val="18"/>
                <w:szCs w:val="18"/>
              </w:rPr>
            </w:pPr>
            <w:r>
              <w:rPr>
                <w:color w:val="000000"/>
                <w:sz w:val="18"/>
                <w:szCs w:val="18"/>
              </w:rPr>
              <w:t>-</w:t>
            </w:r>
          </w:p>
        </w:tc>
      </w:tr>
      <w:tr w:rsidR="00340BDD" w:rsidRPr="00156E01" w:rsidTr="003753F3">
        <w:trPr>
          <w:trHeight w:val="210"/>
        </w:trPr>
        <w:tc>
          <w:tcPr>
            <w:tcW w:w="3997" w:type="dxa"/>
            <w:tcBorders>
              <w:top w:val="nil"/>
              <w:left w:val="nil"/>
              <w:bottom w:val="single" w:sz="4" w:space="0" w:color="auto"/>
              <w:right w:val="single" w:sz="4" w:space="0" w:color="auto"/>
            </w:tcBorders>
            <w:shd w:val="clear" w:color="auto" w:fill="auto"/>
            <w:noWrap/>
            <w:vAlign w:val="center"/>
            <w:hideMark/>
          </w:tcPr>
          <w:p w:rsidR="00340BDD" w:rsidRPr="00DE2C0E" w:rsidRDefault="00340BDD" w:rsidP="00641ACA">
            <w:pPr>
              <w:rPr>
                <w:color w:val="000000"/>
                <w:sz w:val="18"/>
                <w:szCs w:val="18"/>
              </w:rPr>
            </w:pPr>
            <w:r w:rsidRPr="00DE2C0E">
              <w:rPr>
                <w:color w:val="000000"/>
                <w:sz w:val="18"/>
                <w:szCs w:val="18"/>
              </w:rPr>
              <w:t xml:space="preserve">Ekstra beskæftigelsesfradrag </w:t>
            </w:r>
            <w:r w:rsidR="00641ACA">
              <w:rPr>
                <w:color w:val="000000"/>
                <w:sz w:val="18"/>
                <w:szCs w:val="18"/>
              </w:rPr>
              <w:t>for</w:t>
            </w:r>
            <w:r w:rsidRPr="00DE2C0E">
              <w:rPr>
                <w:color w:val="000000"/>
                <w:sz w:val="18"/>
                <w:szCs w:val="18"/>
              </w:rPr>
              <w:t xml:space="preserve"> enlige forsørgere</w:t>
            </w:r>
          </w:p>
        </w:tc>
        <w:tc>
          <w:tcPr>
            <w:tcW w:w="854" w:type="dxa"/>
            <w:tcBorders>
              <w:top w:val="nil"/>
              <w:left w:val="single" w:sz="4" w:space="0" w:color="auto"/>
              <w:bottom w:val="single" w:sz="4" w:space="0" w:color="auto"/>
              <w:right w:val="single" w:sz="4" w:space="0" w:color="auto"/>
            </w:tcBorders>
            <w:shd w:val="clear" w:color="auto" w:fill="auto"/>
            <w:noWrap/>
            <w:vAlign w:val="center"/>
          </w:tcPr>
          <w:p w:rsidR="00340BDD" w:rsidRPr="00DE2C0E" w:rsidRDefault="00340BDD" w:rsidP="00C35C39">
            <w:pPr>
              <w:ind w:right="113"/>
              <w:jc w:val="right"/>
              <w:rPr>
                <w:color w:val="000000"/>
                <w:sz w:val="18"/>
                <w:szCs w:val="18"/>
              </w:rPr>
            </w:pPr>
            <w:r>
              <w:rPr>
                <w:color w:val="000000"/>
                <w:sz w:val="18"/>
                <w:szCs w:val="18"/>
              </w:rPr>
              <w:t>-4</w:t>
            </w:r>
          </w:p>
        </w:tc>
        <w:tc>
          <w:tcPr>
            <w:tcW w:w="855" w:type="dxa"/>
            <w:tcBorders>
              <w:top w:val="nil"/>
              <w:left w:val="single" w:sz="4" w:space="0" w:color="auto"/>
              <w:bottom w:val="single" w:sz="4" w:space="0" w:color="auto"/>
              <w:right w:val="nil"/>
            </w:tcBorders>
            <w:shd w:val="clear" w:color="auto" w:fill="auto"/>
            <w:vAlign w:val="center"/>
          </w:tcPr>
          <w:p w:rsidR="00340BDD" w:rsidRPr="00DE2C0E" w:rsidRDefault="00340BDD" w:rsidP="00C35C39">
            <w:pPr>
              <w:ind w:right="227"/>
              <w:jc w:val="right"/>
              <w:rPr>
                <w:color w:val="000000"/>
                <w:sz w:val="18"/>
                <w:szCs w:val="18"/>
              </w:rPr>
            </w:pPr>
            <w:r w:rsidRPr="00DE2C0E">
              <w:rPr>
                <w:color w:val="000000"/>
                <w:sz w:val="18"/>
                <w:szCs w:val="18"/>
              </w:rPr>
              <w:t>-160</w:t>
            </w:r>
          </w:p>
        </w:tc>
        <w:tc>
          <w:tcPr>
            <w:tcW w:w="855" w:type="dxa"/>
            <w:gridSpan w:val="2"/>
            <w:tcBorders>
              <w:top w:val="nil"/>
              <w:left w:val="nil"/>
              <w:bottom w:val="single" w:sz="4" w:space="0" w:color="auto"/>
              <w:right w:val="nil"/>
            </w:tcBorders>
            <w:shd w:val="clear" w:color="auto" w:fill="auto"/>
            <w:noWrap/>
            <w:vAlign w:val="bottom"/>
            <w:hideMark/>
          </w:tcPr>
          <w:p w:rsidR="00340BDD" w:rsidRPr="00DE2C0E" w:rsidRDefault="00340BDD" w:rsidP="00C35C39">
            <w:pPr>
              <w:ind w:right="227"/>
              <w:jc w:val="right"/>
              <w:rPr>
                <w:sz w:val="18"/>
                <w:szCs w:val="18"/>
              </w:rPr>
            </w:pPr>
            <w:r w:rsidRPr="00DE2C0E">
              <w:rPr>
                <w:sz w:val="18"/>
                <w:szCs w:val="18"/>
              </w:rPr>
              <w:t>0</w:t>
            </w:r>
          </w:p>
        </w:tc>
        <w:tc>
          <w:tcPr>
            <w:tcW w:w="854" w:type="dxa"/>
            <w:gridSpan w:val="2"/>
            <w:tcBorders>
              <w:top w:val="nil"/>
              <w:left w:val="nil"/>
              <w:bottom w:val="single" w:sz="4" w:space="0" w:color="auto"/>
              <w:right w:val="nil"/>
            </w:tcBorders>
            <w:shd w:val="clear" w:color="auto" w:fill="auto"/>
            <w:noWrap/>
            <w:vAlign w:val="bottom"/>
            <w:hideMark/>
          </w:tcPr>
          <w:p w:rsidR="00340BDD" w:rsidRPr="00DE2C0E" w:rsidRDefault="00340BDD" w:rsidP="00C35C39">
            <w:pPr>
              <w:ind w:right="227"/>
              <w:jc w:val="right"/>
              <w:rPr>
                <w:sz w:val="18"/>
                <w:szCs w:val="18"/>
              </w:rPr>
            </w:pPr>
            <w:r w:rsidRPr="00DE2C0E">
              <w:rPr>
                <w:sz w:val="18"/>
                <w:szCs w:val="18"/>
              </w:rPr>
              <w:t>0</w:t>
            </w:r>
          </w:p>
        </w:tc>
        <w:tc>
          <w:tcPr>
            <w:tcW w:w="855" w:type="dxa"/>
            <w:gridSpan w:val="2"/>
            <w:tcBorders>
              <w:top w:val="nil"/>
              <w:left w:val="nil"/>
              <w:bottom w:val="single" w:sz="4" w:space="0" w:color="auto"/>
              <w:right w:val="single" w:sz="4" w:space="0" w:color="auto"/>
            </w:tcBorders>
            <w:shd w:val="clear" w:color="auto" w:fill="auto"/>
            <w:noWrap/>
            <w:vAlign w:val="bottom"/>
            <w:hideMark/>
          </w:tcPr>
          <w:p w:rsidR="00340BDD" w:rsidRPr="00DE2C0E" w:rsidRDefault="00340BDD" w:rsidP="00C35C39">
            <w:pPr>
              <w:ind w:right="227"/>
              <w:jc w:val="right"/>
              <w:rPr>
                <w:sz w:val="18"/>
                <w:szCs w:val="18"/>
              </w:rPr>
            </w:pPr>
            <w:r w:rsidRPr="00DE2C0E">
              <w:rPr>
                <w:sz w:val="18"/>
                <w:szCs w:val="18"/>
              </w:rPr>
              <w:t>0</w:t>
            </w:r>
          </w:p>
        </w:tc>
        <w:tc>
          <w:tcPr>
            <w:tcW w:w="855" w:type="dxa"/>
            <w:tcBorders>
              <w:top w:val="nil"/>
              <w:left w:val="single" w:sz="4" w:space="0" w:color="auto"/>
              <w:bottom w:val="single" w:sz="4" w:space="0" w:color="auto"/>
              <w:right w:val="nil"/>
            </w:tcBorders>
            <w:shd w:val="clear" w:color="auto" w:fill="auto"/>
            <w:vAlign w:val="bottom"/>
          </w:tcPr>
          <w:p w:rsidR="00340BDD" w:rsidRPr="00DE2C0E" w:rsidRDefault="00340BDD" w:rsidP="00C35C39">
            <w:pPr>
              <w:ind w:right="113"/>
              <w:jc w:val="right"/>
              <w:rPr>
                <w:sz w:val="18"/>
                <w:szCs w:val="18"/>
              </w:rPr>
            </w:pPr>
            <w:r>
              <w:rPr>
                <w:sz w:val="18"/>
                <w:szCs w:val="18"/>
              </w:rPr>
              <w:t>-</w:t>
            </w:r>
          </w:p>
        </w:tc>
      </w:tr>
      <w:tr w:rsidR="00340BDD" w:rsidRPr="00156E01" w:rsidTr="003753F3">
        <w:trPr>
          <w:trHeight w:val="210"/>
        </w:trPr>
        <w:tc>
          <w:tcPr>
            <w:tcW w:w="3997" w:type="dxa"/>
            <w:tcBorders>
              <w:top w:val="single" w:sz="4" w:space="0" w:color="auto"/>
              <w:left w:val="nil"/>
              <w:bottom w:val="single" w:sz="4" w:space="0" w:color="auto"/>
              <w:right w:val="single" w:sz="4" w:space="0" w:color="auto"/>
            </w:tcBorders>
            <w:shd w:val="clear" w:color="auto" w:fill="auto"/>
            <w:noWrap/>
            <w:vAlign w:val="center"/>
            <w:hideMark/>
          </w:tcPr>
          <w:p w:rsidR="00340BDD" w:rsidRPr="00DE2C0E" w:rsidRDefault="00340BDD" w:rsidP="00C35C39">
            <w:pPr>
              <w:rPr>
                <w:b/>
                <w:color w:val="000000"/>
                <w:sz w:val="18"/>
                <w:szCs w:val="18"/>
              </w:rPr>
            </w:pPr>
            <w:r w:rsidRPr="00DE2C0E">
              <w:rPr>
                <w:b/>
                <w:color w:val="000000"/>
                <w:sz w:val="18"/>
                <w:szCs w:val="18"/>
              </w:rPr>
              <w:t>I alt provenuvirkning efter tilbageløb</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BDD" w:rsidRPr="00DE2C0E" w:rsidRDefault="00340BDD" w:rsidP="00C35C39">
            <w:pPr>
              <w:ind w:right="113"/>
              <w:jc w:val="right"/>
              <w:rPr>
                <w:b/>
                <w:color w:val="000000"/>
                <w:sz w:val="18"/>
                <w:szCs w:val="18"/>
              </w:rPr>
            </w:pPr>
            <w:r>
              <w:rPr>
                <w:b/>
                <w:color w:val="000000"/>
                <w:sz w:val="18"/>
                <w:szCs w:val="18"/>
              </w:rPr>
              <w:t>-29</w:t>
            </w:r>
          </w:p>
        </w:tc>
        <w:tc>
          <w:tcPr>
            <w:tcW w:w="855" w:type="dxa"/>
            <w:tcBorders>
              <w:top w:val="single" w:sz="4" w:space="0" w:color="auto"/>
              <w:left w:val="single" w:sz="4" w:space="0" w:color="auto"/>
              <w:bottom w:val="single" w:sz="4" w:space="0" w:color="auto"/>
              <w:right w:val="nil"/>
            </w:tcBorders>
            <w:shd w:val="clear" w:color="auto" w:fill="auto"/>
            <w:vAlign w:val="center"/>
          </w:tcPr>
          <w:p w:rsidR="00340BDD" w:rsidRPr="00DE2C0E" w:rsidRDefault="00340BDD" w:rsidP="00C35C39">
            <w:pPr>
              <w:ind w:right="227"/>
              <w:jc w:val="right"/>
              <w:rPr>
                <w:b/>
                <w:color w:val="000000"/>
                <w:sz w:val="18"/>
                <w:szCs w:val="18"/>
              </w:rPr>
            </w:pPr>
            <w:r w:rsidRPr="00DE2C0E">
              <w:rPr>
                <w:b/>
                <w:color w:val="000000"/>
                <w:sz w:val="18"/>
                <w:szCs w:val="18"/>
              </w:rPr>
              <w:t>-780</w:t>
            </w:r>
          </w:p>
        </w:tc>
        <w:tc>
          <w:tcPr>
            <w:tcW w:w="855" w:type="dxa"/>
            <w:gridSpan w:val="2"/>
            <w:tcBorders>
              <w:top w:val="single" w:sz="4" w:space="0" w:color="auto"/>
              <w:left w:val="nil"/>
              <w:bottom w:val="single" w:sz="4" w:space="0" w:color="auto"/>
              <w:right w:val="nil"/>
            </w:tcBorders>
            <w:shd w:val="clear" w:color="auto" w:fill="auto"/>
            <w:noWrap/>
            <w:vAlign w:val="center"/>
            <w:hideMark/>
          </w:tcPr>
          <w:p w:rsidR="00340BDD" w:rsidRPr="00DE2C0E" w:rsidRDefault="00340BDD" w:rsidP="00C35C39">
            <w:pPr>
              <w:ind w:right="227"/>
              <w:jc w:val="right"/>
              <w:rPr>
                <w:b/>
                <w:color w:val="000000"/>
                <w:sz w:val="18"/>
                <w:szCs w:val="18"/>
              </w:rPr>
            </w:pPr>
            <w:r w:rsidRPr="00DE2C0E">
              <w:rPr>
                <w:b/>
                <w:color w:val="000000"/>
                <w:sz w:val="18"/>
                <w:szCs w:val="18"/>
              </w:rPr>
              <w:t>-415</w:t>
            </w:r>
          </w:p>
        </w:tc>
        <w:tc>
          <w:tcPr>
            <w:tcW w:w="854" w:type="dxa"/>
            <w:gridSpan w:val="2"/>
            <w:tcBorders>
              <w:top w:val="single" w:sz="4" w:space="0" w:color="auto"/>
              <w:left w:val="nil"/>
              <w:bottom w:val="single" w:sz="4" w:space="0" w:color="auto"/>
              <w:right w:val="nil"/>
            </w:tcBorders>
            <w:shd w:val="clear" w:color="auto" w:fill="auto"/>
            <w:noWrap/>
            <w:vAlign w:val="center"/>
            <w:hideMark/>
          </w:tcPr>
          <w:p w:rsidR="00340BDD" w:rsidRPr="00DE2C0E" w:rsidRDefault="00340BDD" w:rsidP="00C35C39">
            <w:pPr>
              <w:ind w:right="227"/>
              <w:jc w:val="right"/>
              <w:rPr>
                <w:b/>
                <w:color w:val="000000"/>
                <w:sz w:val="18"/>
                <w:szCs w:val="18"/>
              </w:rPr>
            </w:pPr>
            <w:r w:rsidRPr="00DE2C0E">
              <w:rPr>
                <w:b/>
                <w:color w:val="000000"/>
                <w:sz w:val="18"/>
                <w:szCs w:val="18"/>
              </w:rPr>
              <w:t>-285</w:t>
            </w:r>
          </w:p>
        </w:tc>
        <w:tc>
          <w:tcPr>
            <w:tcW w:w="855" w:type="dxa"/>
            <w:gridSpan w:val="2"/>
            <w:tcBorders>
              <w:top w:val="single" w:sz="4" w:space="0" w:color="auto"/>
              <w:left w:val="nil"/>
              <w:bottom w:val="single" w:sz="4" w:space="0" w:color="auto"/>
              <w:right w:val="single" w:sz="4" w:space="0" w:color="auto"/>
            </w:tcBorders>
            <w:shd w:val="clear" w:color="auto" w:fill="auto"/>
            <w:noWrap/>
            <w:vAlign w:val="center"/>
            <w:hideMark/>
          </w:tcPr>
          <w:p w:rsidR="00340BDD" w:rsidRPr="00DE2C0E" w:rsidRDefault="00340BDD" w:rsidP="00C35C39">
            <w:pPr>
              <w:ind w:right="227"/>
              <w:jc w:val="right"/>
              <w:rPr>
                <w:b/>
                <w:color w:val="000000"/>
                <w:sz w:val="18"/>
                <w:szCs w:val="18"/>
              </w:rPr>
            </w:pPr>
            <w:r w:rsidRPr="00DE2C0E">
              <w:rPr>
                <w:b/>
                <w:color w:val="000000"/>
                <w:sz w:val="18"/>
                <w:szCs w:val="18"/>
              </w:rPr>
              <w:t>-260</w:t>
            </w:r>
          </w:p>
        </w:tc>
        <w:tc>
          <w:tcPr>
            <w:tcW w:w="855" w:type="dxa"/>
            <w:tcBorders>
              <w:top w:val="single" w:sz="4" w:space="0" w:color="auto"/>
              <w:left w:val="single" w:sz="4" w:space="0" w:color="auto"/>
              <w:bottom w:val="single" w:sz="4" w:space="0" w:color="auto"/>
              <w:right w:val="nil"/>
            </w:tcBorders>
            <w:shd w:val="clear" w:color="auto" w:fill="auto"/>
            <w:vAlign w:val="center"/>
          </w:tcPr>
          <w:p w:rsidR="00340BDD" w:rsidRPr="00DE2C0E" w:rsidRDefault="00340BDD" w:rsidP="00C35C39">
            <w:pPr>
              <w:ind w:right="113"/>
              <w:jc w:val="right"/>
              <w:rPr>
                <w:color w:val="000000"/>
                <w:sz w:val="18"/>
                <w:szCs w:val="18"/>
              </w:rPr>
            </w:pPr>
            <w:r>
              <w:rPr>
                <w:color w:val="000000"/>
                <w:sz w:val="18"/>
                <w:szCs w:val="18"/>
              </w:rPr>
              <w:t>-</w:t>
            </w:r>
          </w:p>
        </w:tc>
      </w:tr>
      <w:tr w:rsidR="00340BDD" w:rsidRPr="00156E01" w:rsidTr="003753F3">
        <w:trPr>
          <w:trHeight w:val="210"/>
        </w:trPr>
        <w:tc>
          <w:tcPr>
            <w:tcW w:w="3997" w:type="dxa"/>
            <w:tcBorders>
              <w:top w:val="single" w:sz="4" w:space="0" w:color="auto"/>
              <w:left w:val="nil"/>
              <w:bottom w:val="nil"/>
              <w:right w:val="single" w:sz="4" w:space="0" w:color="auto"/>
            </w:tcBorders>
            <w:shd w:val="clear" w:color="auto" w:fill="auto"/>
            <w:noWrap/>
            <w:vAlign w:val="center"/>
            <w:hideMark/>
          </w:tcPr>
          <w:p w:rsidR="00340BDD" w:rsidRPr="00DE2C0E" w:rsidRDefault="00340BDD" w:rsidP="00C35C39">
            <w:pPr>
              <w:rPr>
                <w:color w:val="000000"/>
                <w:sz w:val="18"/>
                <w:szCs w:val="18"/>
              </w:rPr>
            </w:pPr>
            <w:r w:rsidRPr="00DE2C0E">
              <w:rPr>
                <w:color w:val="000000"/>
                <w:sz w:val="18"/>
                <w:szCs w:val="18"/>
              </w:rPr>
              <w:t>Almindeligt beskæftigelsesfradrag</w:t>
            </w:r>
          </w:p>
        </w:tc>
        <w:tc>
          <w:tcPr>
            <w:tcW w:w="854" w:type="dxa"/>
            <w:tcBorders>
              <w:top w:val="single" w:sz="4" w:space="0" w:color="auto"/>
              <w:left w:val="single" w:sz="4" w:space="0" w:color="auto"/>
              <w:bottom w:val="nil"/>
              <w:right w:val="single" w:sz="4" w:space="0" w:color="auto"/>
            </w:tcBorders>
            <w:shd w:val="clear" w:color="auto" w:fill="auto"/>
            <w:noWrap/>
            <w:vAlign w:val="center"/>
          </w:tcPr>
          <w:p w:rsidR="00340BDD" w:rsidRPr="00DE2C0E" w:rsidRDefault="00340BDD" w:rsidP="00C35C39">
            <w:pPr>
              <w:ind w:right="113"/>
              <w:jc w:val="right"/>
              <w:rPr>
                <w:color w:val="000000"/>
                <w:sz w:val="18"/>
                <w:szCs w:val="18"/>
              </w:rPr>
            </w:pPr>
            <w:r>
              <w:rPr>
                <w:color w:val="000000"/>
                <w:sz w:val="18"/>
                <w:szCs w:val="18"/>
              </w:rPr>
              <w:t>-20</w:t>
            </w:r>
          </w:p>
        </w:tc>
        <w:tc>
          <w:tcPr>
            <w:tcW w:w="855" w:type="dxa"/>
            <w:tcBorders>
              <w:top w:val="single" w:sz="4" w:space="0" w:color="auto"/>
              <w:left w:val="single" w:sz="4" w:space="0" w:color="auto"/>
              <w:bottom w:val="nil"/>
              <w:right w:val="nil"/>
            </w:tcBorders>
            <w:shd w:val="clear" w:color="auto" w:fill="auto"/>
            <w:vAlign w:val="center"/>
          </w:tcPr>
          <w:p w:rsidR="00340BDD" w:rsidRPr="00DE2C0E" w:rsidRDefault="00340BDD" w:rsidP="00C35C39">
            <w:pPr>
              <w:ind w:right="227"/>
              <w:jc w:val="right"/>
              <w:rPr>
                <w:color w:val="000000"/>
                <w:sz w:val="18"/>
                <w:szCs w:val="18"/>
              </w:rPr>
            </w:pPr>
            <w:r w:rsidRPr="00DE2C0E">
              <w:rPr>
                <w:color w:val="000000"/>
                <w:sz w:val="18"/>
                <w:szCs w:val="18"/>
              </w:rPr>
              <w:t>-495</w:t>
            </w:r>
          </w:p>
        </w:tc>
        <w:tc>
          <w:tcPr>
            <w:tcW w:w="855" w:type="dxa"/>
            <w:gridSpan w:val="2"/>
            <w:tcBorders>
              <w:top w:val="single" w:sz="4" w:space="0" w:color="auto"/>
              <w:left w:val="nil"/>
              <w:bottom w:val="nil"/>
              <w:right w:val="nil"/>
            </w:tcBorders>
            <w:shd w:val="clear" w:color="auto" w:fill="auto"/>
            <w:noWrap/>
            <w:vAlign w:val="center"/>
            <w:hideMark/>
          </w:tcPr>
          <w:p w:rsidR="00340BDD" w:rsidRPr="00DE2C0E" w:rsidRDefault="00340BDD" w:rsidP="00C35C39">
            <w:pPr>
              <w:ind w:right="227"/>
              <w:jc w:val="right"/>
              <w:rPr>
                <w:color w:val="000000"/>
                <w:sz w:val="18"/>
                <w:szCs w:val="18"/>
              </w:rPr>
            </w:pPr>
            <w:r w:rsidRPr="00DE2C0E">
              <w:rPr>
                <w:color w:val="000000"/>
                <w:sz w:val="18"/>
                <w:szCs w:val="18"/>
              </w:rPr>
              <w:t>-330</w:t>
            </w:r>
          </w:p>
        </w:tc>
        <w:tc>
          <w:tcPr>
            <w:tcW w:w="854" w:type="dxa"/>
            <w:gridSpan w:val="2"/>
            <w:tcBorders>
              <w:top w:val="single" w:sz="4" w:space="0" w:color="auto"/>
              <w:left w:val="nil"/>
              <w:bottom w:val="nil"/>
              <w:right w:val="nil"/>
            </w:tcBorders>
            <w:shd w:val="clear" w:color="auto" w:fill="auto"/>
            <w:noWrap/>
            <w:vAlign w:val="center"/>
            <w:hideMark/>
          </w:tcPr>
          <w:p w:rsidR="00340BDD" w:rsidRPr="00DE2C0E" w:rsidRDefault="00340BDD" w:rsidP="00C35C39">
            <w:pPr>
              <w:ind w:right="227"/>
              <w:jc w:val="right"/>
              <w:rPr>
                <w:color w:val="000000"/>
                <w:sz w:val="18"/>
                <w:szCs w:val="18"/>
              </w:rPr>
            </w:pPr>
            <w:r w:rsidRPr="00DE2C0E">
              <w:rPr>
                <w:color w:val="000000"/>
                <w:sz w:val="18"/>
                <w:szCs w:val="18"/>
              </w:rPr>
              <w:t>-230</w:t>
            </w:r>
          </w:p>
        </w:tc>
        <w:tc>
          <w:tcPr>
            <w:tcW w:w="855" w:type="dxa"/>
            <w:gridSpan w:val="2"/>
            <w:tcBorders>
              <w:top w:val="single" w:sz="4" w:space="0" w:color="auto"/>
              <w:left w:val="nil"/>
              <w:bottom w:val="nil"/>
              <w:right w:val="single" w:sz="4" w:space="0" w:color="auto"/>
            </w:tcBorders>
            <w:shd w:val="clear" w:color="auto" w:fill="auto"/>
            <w:noWrap/>
            <w:vAlign w:val="center"/>
            <w:hideMark/>
          </w:tcPr>
          <w:p w:rsidR="00340BDD" w:rsidRPr="00DE2C0E" w:rsidRDefault="00340BDD" w:rsidP="00C35C39">
            <w:pPr>
              <w:ind w:right="227"/>
              <w:jc w:val="right"/>
              <w:rPr>
                <w:color w:val="000000"/>
                <w:sz w:val="18"/>
                <w:szCs w:val="18"/>
              </w:rPr>
            </w:pPr>
            <w:r w:rsidRPr="00DE2C0E">
              <w:rPr>
                <w:color w:val="000000"/>
                <w:sz w:val="18"/>
                <w:szCs w:val="18"/>
              </w:rPr>
              <w:t>-210</w:t>
            </w:r>
          </w:p>
        </w:tc>
        <w:tc>
          <w:tcPr>
            <w:tcW w:w="855" w:type="dxa"/>
            <w:tcBorders>
              <w:top w:val="single" w:sz="4" w:space="0" w:color="auto"/>
              <w:left w:val="single" w:sz="4" w:space="0" w:color="auto"/>
              <w:bottom w:val="nil"/>
              <w:right w:val="nil"/>
            </w:tcBorders>
            <w:shd w:val="clear" w:color="auto" w:fill="auto"/>
            <w:vAlign w:val="center"/>
          </w:tcPr>
          <w:p w:rsidR="00340BDD" w:rsidRPr="00DE2C0E" w:rsidRDefault="00340BDD" w:rsidP="00C35C39">
            <w:pPr>
              <w:ind w:right="113"/>
              <w:jc w:val="right"/>
              <w:rPr>
                <w:color w:val="000000"/>
                <w:sz w:val="18"/>
                <w:szCs w:val="18"/>
              </w:rPr>
            </w:pPr>
            <w:r>
              <w:rPr>
                <w:color w:val="000000"/>
                <w:sz w:val="18"/>
                <w:szCs w:val="18"/>
              </w:rPr>
              <w:t>-</w:t>
            </w:r>
          </w:p>
        </w:tc>
      </w:tr>
      <w:tr w:rsidR="00340BDD" w:rsidRPr="00156E01" w:rsidTr="003753F3">
        <w:trPr>
          <w:trHeight w:val="210"/>
        </w:trPr>
        <w:tc>
          <w:tcPr>
            <w:tcW w:w="3997" w:type="dxa"/>
            <w:tcBorders>
              <w:top w:val="nil"/>
              <w:left w:val="nil"/>
              <w:bottom w:val="single" w:sz="4" w:space="0" w:color="auto"/>
              <w:right w:val="single" w:sz="4" w:space="0" w:color="auto"/>
            </w:tcBorders>
            <w:shd w:val="clear" w:color="auto" w:fill="auto"/>
            <w:noWrap/>
            <w:vAlign w:val="center"/>
            <w:hideMark/>
          </w:tcPr>
          <w:p w:rsidR="00340BDD" w:rsidRPr="00DE2C0E" w:rsidRDefault="00340BDD" w:rsidP="00641ACA">
            <w:pPr>
              <w:rPr>
                <w:color w:val="000000"/>
                <w:sz w:val="18"/>
                <w:szCs w:val="18"/>
              </w:rPr>
            </w:pPr>
            <w:r w:rsidRPr="00DE2C0E">
              <w:rPr>
                <w:color w:val="000000"/>
                <w:sz w:val="18"/>
                <w:szCs w:val="18"/>
              </w:rPr>
              <w:t xml:space="preserve">Ekstra beskæftigelsesfradrag </w:t>
            </w:r>
            <w:r w:rsidR="00641ACA">
              <w:rPr>
                <w:color w:val="000000"/>
                <w:sz w:val="18"/>
                <w:szCs w:val="18"/>
              </w:rPr>
              <w:t>for</w:t>
            </w:r>
            <w:r w:rsidRPr="00DE2C0E">
              <w:rPr>
                <w:color w:val="000000"/>
                <w:sz w:val="18"/>
                <w:szCs w:val="18"/>
              </w:rPr>
              <w:t xml:space="preserve"> enlige forsørgere</w:t>
            </w:r>
          </w:p>
        </w:tc>
        <w:tc>
          <w:tcPr>
            <w:tcW w:w="854" w:type="dxa"/>
            <w:tcBorders>
              <w:top w:val="nil"/>
              <w:left w:val="single" w:sz="4" w:space="0" w:color="auto"/>
              <w:bottom w:val="single" w:sz="4" w:space="0" w:color="auto"/>
              <w:right w:val="single" w:sz="4" w:space="0" w:color="auto"/>
            </w:tcBorders>
            <w:shd w:val="clear" w:color="auto" w:fill="auto"/>
            <w:noWrap/>
            <w:vAlign w:val="center"/>
          </w:tcPr>
          <w:p w:rsidR="00340BDD" w:rsidRPr="00DE2C0E" w:rsidRDefault="00340BDD" w:rsidP="00C35C39">
            <w:pPr>
              <w:ind w:right="113"/>
              <w:jc w:val="right"/>
              <w:rPr>
                <w:color w:val="000000"/>
                <w:sz w:val="18"/>
                <w:szCs w:val="18"/>
              </w:rPr>
            </w:pPr>
            <w:r>
              <w:rPr>
                <w:color w:val="000000"/>
                <w:sz w:val="18"/>
                <w:szCs w:val="18"/>
              </w:rPr>
              <w:t>-3</w:t>
            </w:r>
          </w:p>
        </w:tc>
        <w:tc>
          <w:tcPr>
            <w:tcW w:w="855" w:type="dxa"/>
            <w:tcBorders>
              <w:top w:val="nil"/>
              <w:left w:val="single" w:sz="4" w:space="0" w:color="auto"/>
              <w:bottom w:val="single" w:sz="4" w:space="0" w:color="auto"/>
              <w:right w:val="nil"/>
            </w:tcBorders>
            <w:shd w:val="clear" w:color="auto" w:fill="auto"/>
            <w:vAlign w:val="center"/>
          </w:tcPr>
          <w:p w:rsidR="00340BDD" w:rsidRPr="00DE2C0E" w:rsidRDefault="00340BDD" w:rsidP="00C35C39">
            <w:pPr>
              <w:ind w:right="227"/>
              <w:jc w:val="right"/>
              <w:rPr>
                <w:color w:val="000000"/>
                <w:sz w:val="18"/>
                <w:szCs w:val="18"/>
              </w:rPr>
            </w:pPr>
            <w:r w:rsidRPr="00DE2C0E">
              <w:rPr>
                <w:color w:val="000000"/>
                <w:sz w:val="18"/>
                <w:szCs w:val="18"/>
              </w:rPr>
              <w:t>-110</w:t>
            </w:r>
          </w:p>
        </w:tc>
        <w:tc>
          <w:tcPr>
            <w:tcW w:w="855" w:type="dxa"/>
            <w:gridSpan w:val="2"/>
            <w:tcBorders>
              <w:top w:val="nil"/>
              <w:left w:val="nil"/>
              <w:bottom w:val="single" w:sz="4" w:space="0" w:color="auto"/>
              <w:right w:val="nil"/>
            </w:tcBorders>
            <w:shd w:val="clear" w:color="auto" w:fill="auto"/>
            <w:noWrap/>
            <w:vAlign w:val="bottom"/>
            <w:hideMark/>
          </w:tcPr>
          <w:p w:rsidR="00340BDD" w:rsidRPr="00DE2C0E" w:rsidRDefault="00340BDD" w:rsidP="00C35C39">
            <w:pPr>
              <w:ind w:right="227"/>
              <w:jc w:val="right"/>
              <w:rPr>
                <w:sz w:val="18"/>
                <w:szCs w:val="18"/>
              </w:rPr>
            </w:pPr>
            <w:r w:rsidRPr="00DE2C0E">
              <w:rPr>
                <w:sz w:val="18"/>
                <w:szCs w:val="18"/>
              </w:rPr>
              <w:t>0</w:t>
            </w:r>
          </w:p>
        </w:tc>
        <w:tc>
          <w:tcPr>
            <w:tcW w:w="854" w:type="dxa"/>
            <w:gridSpan w:val="2"/>
            <w:tcBorders>
              <w:top w:val="nil"/>
              <w:left w:val="nil"/>
              <w:bottom w:val="single" w:sz="4" w:space="0" w:color="auto"/>
              <w:right w:val="nil"/>
            </w:tcBorders>
            <w:shd w:val="clear" w:color="auto" w:fill="auto"/>
            <w:noWrap/>
            <w:vAlign w:val="bottom"/>
            <w:hideMark/>
          </w:tcPr>
          <w:p w:rsidR="00340BDD" w:rsidRPr="00DE2C0E" w:rsidRDefault="00340BDD" w:rsidP="00C35C39">
            <w:pPr>
              <w:ind w:right="227"/>
              <w:jc w:val="right"/>
              <w:rPr>
                <w:sz w:val="18"/>
                <w:szCs w:val="18"/>
              </w:rPr>
            </w:pPr>
            <w:r w:rsidRPr="00DE2C0E">
              <w:rPr>
                <w:sz w:val="18"/>
                <w:szCs w:val="18"/>
              </w:rPr>
              <w:t>0</w:t>
            </w:r>
          </w:p>
        </w:tc>
        <w:tc>
          <w:tcPr>
            <w:tcW w:w="855" w:type="dxa"/>
            <w:gridSpan w:val="2"/>
            <w:tcBorders>
              <w:top w:val="nil"/>
              <w:left w:val="nil"/>
              <w:bottom w:val="single" w:sz="4" w:space="0" w:color="auto"/>
              <w:right w:val="single" w:sz="4" w:space="0" w:color="auto"/>
            </w:tcBorders>
            <w:shd w:val="clear" w:color="auto" w:fill="auto"/>
            <w:noWrap/>
            <w:vAlign w:val="bottom"/>
            <w:hideMark/>
          </w:tcPr>
          <w:p w:rsidR="00340BDD" w:rsidRPr="00DE2C0E" w:rsidRDefault="00340BDD" w:rsidP="00C35C39">
            <w:pPr>
              <w:ind w:right="227"/>
              <w:jc w:val="right"/>
              <w:rPr>
                <w:sz w:val="18"/>
                <w:szCs w:val="18"/>
              </w:rPr>
            </w:pPr>
            <w:r w:rsidRPr="00DE2C0E">
              <w:rPr>
                <w:sz w:val="18"/>
                <w:szCs w:val="18"/>
              </w:rPr>
              <w:t>0</w:t>
            </w:r>
          </w:p>
        </w:tc>
        <w:tc>
          <w:tcPr>
            <w:tcW w:w="855" w:type="dxa"/>
            <w:tcBorders>
              <w:top w:val="nil"/>
              <w:left w:val="single" w:sz="4" w:space="0" w:color="auto"/>
              <w:bottom w:val="single" w:sz="4" w:space="0" w:color="auto"/>
              <w:right w:val="nil"/>
            </w:tcBorders>
            <w:shd w:val="clear" w:color="auto" w:fill="auto"/>
            <w:vAlign w:val="bottom"/>
          </w:tcPr>
          <w:p w:rsidR="00340BDD" w:rsidRPr="00DE2C0E" w:rsidRDefault="00340BDD" w:rsidP="00C35C39">
            <w:pPr>
              <w:ind w:right="113"/>
              <w:jc w:val="right"/>
              <w:rPr>
                <w:sz w:val="18"/>
                <w:szCs w:val="18"/>
              </w:rPr>
            </w:pPr>
            <w:r>
              <w:rPr>
                <w:sz w:val="18"/>
                <w:szCs w:val="18"/>
              </w:rPr>
              <w:t>-</w:t>
            </w:r>
          </w:p>
        </w:tc>
      </w:tr>
      <w:tr w:rsidR="00340BDD" w:rsidRPr="00156E01" w:rsidTr="003753F3">
        <w:trPr>
          <w:trHeight w:val="210"/>
        </w:trPr>
        <w:tc>
          <w:tcPr>
            <w:tcW w:w="3997" w:type="dxa"/>
            <w:tcBorders>
              <w:top w:val="single" w:sz="4" w:space="0" w:color="auto"/>
              <w:left w:val="nil"/>
              <w:bottom w:val="single" w:sz="4" w:space="0" w:color="auto"/>
              <w:right w:val="single" w:sz="4" w:space="0" w:color="auto"/>
            </w:tcBorders>
            <w:shd w:val="clear" w:color="auto" w:fill="auto"/>
            <w:noWrap/>
            <w:vAlign w:val="center"/>
            <w:hideMark/>
          </w:tcPr>
          <w:p w:rsidR="00340BDD" w:rsidRPr="00DE2C0E" w:rsidRDefault="00340BDD" w:rsidP="00C35C39">
            <w:pPr>
              <w:rPr>
                <w:b/>
                <w:color w:val="000000"/>
                <w:sz w:val="18"/>
                <w:szCs w:val="18"/>
              </w:rPr>
            </w:pPr>
            <w:r w:rsidRPr="00DE2C0E">
              <w:rPr>
                <w:b/>
                <w:color w:val="000000"/>
                <w:sz w:val="18"/>
                <w:szCs w:val="18"/>
              </w:rPr>
              <w:t>I alt provenuvirkning efter tilbageløb og adfærd</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0BDD" w:rsidRPr="00DE2C0E" w:rsidRDefault="00340BDD" w:rsidP="00C35C39">
            <w:pPr>
              <w:ind w:right="113"/>
              <w:jc w:val="right"/>
              <w:rPr>
                <w:b/>
                <w:color w:val="000000"/>
                <w:sz w:val="18"/>
                <w:szCs w:val="18"/>
              </w:rPr>
            </w:pPr>
            <w:r>
              <w:rPr>
                <w:b/>
                <w:color w:val="000000"/>
                <w:sz w:val="18"/>
                <w:szCs w:val="18"/>
              </w:rPr>
              <w:t>-23</w:t>
            </w:r>
          </w:p>
        </w:tc>
        <w:tc>
          <w:tcPr>
            <w:tcW w:w="855" w:type="dxa"/>
            <w:tcBorders>
              <w:top w:val="single" w:sz="4" w:space="0" w:color="auto"/>
              <w:left w:val="single" w:sz="4" w:space="0" w:color="auto"/>
              <w:bottom w:val="single" w:sz="4" w:space="0" w:color="auto"/>
              <w:right w:val="nil"/>
            </w:tcBorders>
            <w:shd w:val="clear" w:color="auto" w:fill="auto"/>
            <w:vAlign w:val="center"/>
          </w:tcPr>
          <w:p w:rsidR="00340BDD" w:rsidRPr="00DE2C0E" w:rsidRDefault="00340BDD" w:rsidP="00C35C39">
            <w:pPr>
              <w:ind w:right="227"/>
              <w:jc w:val="right"/>
              <w:rPr>
                <w:b/>
                <w:color w:val="000000"/>
                <w:sz w:val="18"/>
                <w:szCs w:val="18"/>
              </w:rPr>
            </w:pPr>
            <w:r w:rsidRPr="00DE2C0E">
              <w:rPr>
                <w:b/>
                <w:color w:val="000000"/>
                <w:sz w:val="18"/>
                <w:szCs w:val="18"/>
              </w:rPr>
              <w:t>-605</w:t>
            </w:r>
          </w:p>
        </w:tc>
        <w:tc>
          <w:tcPr>
            <w:tcW w:w="855" w:type="dxa"/>
            <w:gridSpan w:val="2"/>
            <w:tcBorders>
              <w:top w:val="single" w:sz="4" w:space="0" w:color="auto"/>
              <w:left w:val="nil"/>
              <w:bottom w:val="single" w:sz="4" w:space="0" w:color="auto"/>
              <w:right w:val="nil"/>
            </w:tcBorders>
            <w:shd w:val="clear" w:color="auto" w:fill="auto"/>
            <w:noWrap/>
            <w:vAlign w:val="center"/>
            <w:hideMark/>
          </w:tcPr>
          <w:p w:rsidR="00340BDD" w:rsidRPr="00DE2C0E" w:rsidRDefault="00340BDD" w:rsidP="00C35C39">
            <w:pPr>
              <w:ind w:right="227"/>
              <w:jc w:val="right"/>
              <w:rPr>
                <w:b/>
                <w:color w:val="000000"/>
                <w:sz w:val="18"/>
                <w:szCs w:val="18"/>
              </w:rPr>
            </w:pPr>
            <w:r w:rsidRPr="00DE2C0E">
              <w:rPr>
                <w:b/>
                <w:color w:val="000000"/>
                <w:sz w:val="18"/>
                <w:szCs w:val="18"/>
              </w:rPr>
              <w:t>-330</w:t>
            </w:r>
          </w:p>
        </w:tc>
        <w:tc>
          <w:tcPr>
            <w:tcW w:w="854" w:type="dxa"/>
            <w:gridSpan w:val="2"/>
            <w:tcBorders>
              <w:top w:val="single" w:sz="4" w:space="0" w:color="auto"/>
              <w:left w:val="nil"/>
              <w:bottom w:val="single" w:sz="4" w:space="0" w:color="auto"/>
              <w:right w:val="nil"/>
            </w:tcBorders>
            <w:shd w:val="clear" w:color="auto" w:fill="auto"/>
            <w:noWrap/>
            <w:vAlign w:val="center"/>
            <w:hideMark/>
          </w:tcPr>
          <w:p w:rsidR="00340BDD" w:rsidRPr="00DE2C0E" w:rsidRDefault="00340BDD" w:rsidP="00C35C39">
            <w:pPr>
              <w:ind w:right="227"/>
              <w:jc w:val="right"/>
              <w:rPr>
                <w:b/>
                <w:color w:val="000000"/>
                <w:sz w:val="18"/>
                <w:szCs w:val="18"/>
              </w:rPr>
            </w:pPr>
            <w:r w:rsidRPr="00DE2C0E">
              <w:rPr>
                <w:b/>
                <w:color w:val="000000"/>
                <w:sz w:val="18"/>
                <w:szCs w:val="18"/>
              </w:rPr>
              <w:t>-230</w:t>
            </w:r>
          </w:p>
        </w:tc>
        <w:tc>
          <w:tcPr>
            <w:tcW w:w="855" w:type="dxa"/>
            <w:gridSpan w:val="2"/>
            <w:tcBorders>
              <w:top w:val="single" w:sz="4" w:space="0" w:color="auto"/>
              <w:left w:val="nil"/>
              <w:bottom w:val="single" w:sz="4" w:space="0" w:color="auto"/>
              <w:right w:val="single" w:sz="4" w:space="0" w:color="auto"/>
            </w:tcBorders>
            <w:shd w:val="clear" w:color="auto" w:fill="auto"/>
            <w:noWrap/>
            <w:vAlign w:val="center"/>
            <w:hideMark/>
          </w:tcPr>
          <w:p w:rsidR="00340BDD" w:rsidRPr="00DE2C0E" w:rsidRDefault="00340BDD" w:rsidP="00C35C39">
            <w:pPr>
              <w:ind w:right="227"/>
              <w:jc w:val="right"/>
              <w:rPr>
                <w:b/>
                <w:color w:val="000000"/>
                <w:sz w:val="18"/>
                <w:szCs w:val="18"/>
              </w:rPr>
            </w:pPr>
            <w:r w:rsidRPr="00DE2C0E">
              <w:rPr>
                <w:b/>
                <w:color w:val="000000"/>
                <w:sz w:val="18"/>
                <w:szCs w:val="18"/>
              </w:rPr>
              <w:t>-210</w:t>
            </w:r>
          </w:p>
        </w:tc>
        <w:tc>
          <w:tcPr>
            <w:tcW w:w="855" w:type="dxa"/>
            <w:tcBorders>
              <w:top w:val="single" w:sz="4" w:space="0" w:color="auto"/>
              <w:left w:val="single" w:sz="4" w:space="0" w:color="auto"/>
              <w:bottom w:val="single" w:sz="4" w:space="0" w:color="auto"/>
              <w:right w:val="nil"/>
            </w:tcBorders>
            <w:shd w:val="clear" w:color="auto" w:fill="auto"/>
            <w:vAlign w:val="center"/>
          </w:tcPr>
          <w:p w:rsidR="00340BDD" w:rsidRPr="00DE2C0E" w:rsidRDefault="00340BDD" w:rsidP="00C35C39">
            <w:pPr>
              <w:ind w:right="113"/>
              <w:jc w:val="right"/>
              <w:rPr>
                <w:color w:val="000000"/>
                <w:sz w:val="18"/>
                <w:szCs w:val="18"/>
              </w:rPr>
            </w:pPr>
            <w:r>
              <w:rPr>
                <w:color w:val="000000"/>
                <w:sz w:val="18"/>
                <w:szCs w:val="18"/>
              </w:rPr>
              <w:t>-</w:t>
            </w:r>
          </w:p>
        </w:tc>
      </w:tr>
      <w:tr w:rsidR="00340BDD" w:rsidRPr="00156E01" w:rsidTr="003753F3">
        <w:trPr>
          <w:trHeight w:val="210"/>
        </w:trPr>
        <w:tc>
          <w:tcPr>
            <w:tcW w:w="3997" w:type="dxa"/>
            <w:tcBorders>
              <w:top w:val="single" w:sz="4" w:space="0" w:color="auto"/>
              <w:left w:val="nil"/>
              <w:bottom w:val="nil"/>
              <w:right w:val="nil"/>
            </w:tcBorders>
            <w:shd w:val="clear" w:color="auto" w:fill="auto"/>
            <w:noWrap/>
            <w:vAlign w:val="bottom"/>
            <w:hideMark/>
          </w:tcPr>
          <w:p w:rsidR="00340BDD" w:rsidRPr="00156E01" w:rsidRDefault="00340BDD" w:rsidP="00C35C39">
            <w:pPr>
              <w:jc w:val="right"/>
              <w:rPr>
                <w:color w:val="000000"/>
                <w:sz w:val="16"/>
                <w:szCs w:val="16"/>
              </w:rPr>
            </w:pPr>
          </w:p>
        </w:tc>
        <w:tc>
          <w:tcPr>
            <w:tcW w:w="1861" w:type="dxa"/>
            <w:gridSpan w:val="3"/>
            <w:tcBorders>
              <w:top w:val="single" w:sz="4" w:space="0" w:color="auto"/>
              <w:left w:val="nil"/>
              <w:bottom w:val="nil"/>
              <w:right w:val="nil"/>
            </w:tcBorders>
            <w:shd w:val="clear" w:color="auto" w:fill="auto"/>
            <w:noWrap/>
            <w:vAlign w:val="bottom"/>
            <w:hideMark/>
          </w:tcPr>
          <w:p w:rsidR="00340BDD" w:rsidRPr="00156E01" w:rsidRDefault="00340BDD" w:rsidP="00C35C39">
            <w:pPr>
              <w:rPr>
                <w:sz w:val="20"/>
                <w:szCs w:val="20"/>
              </w:rPr>
            </w:pPr>
          </w:p>
        </w:tc>
        <w:tc>
          <w:tcPr>
            <w:tcW w:w="1089" w:type="dxa"/>
            <w:gridSpan w:val="2"/>
            <w:tcBorders>
              <w:top w:val="single" w:sz="4" w:space="0" w:color="auto"/>
              <w:left w:val="nil"/>
              <w:bottom w:val="nil"/>
              <w:right w:val="nil"/>
            </w:tcBorders>
            <w:shd w:val="clear" w:color="auto" w:fill="auto"/>
            <w:noWrap/>
            <w:vAlign w:val="bottom"/>
            <w:hideMark/>
          </w:tcPr>
          <w:p w:rsidR="00340BDD" w:rsidRPr="00156E01" w:rsidRDefault="00340BDD" w:rsidP="00C35C39">
            <w:pPr>
              <w:rPr>
                <w:sz w:val="20"/>
                <w:szCs w:val="20"/>
              </w:rPr>
            </w:pPr>
          </w:p>
        </w:tc>
        <w:tc>
          <w:tcPr>
            <w:tcW w:w="1089" w:type="dxa"/>
            <w:gridSpan w:val="2"/>
            <w:tcBorders>
              <w:top w:val="single" w:sz="4" w:space="0" w:color="auto"/>
              <w:left w:val="nil"/>
              <w:bottom w:val="nil"/>
              <w:right w:val="nil"/>
            </w:tcBorders>
            <w:shd w:val="clear" w:color="auto" w:fill="auto"/>
            <w:noWrap/>
            <w:vAlign w:val="bottom"/>
            <w:hideMark/>
          </w:tcPr>
          <w:p w:rsidR="00340BDD" w:rsidRPr="00156E01" w:rsidRDefault="00340BDD" w:rsidP="00C35C39">
            <w:pPr>
              <w:rPr>
                <w:sz w:val="20"/>
                <w:szCs w:val="20"/>
              </w:rPr>
            </w:pPr>
          </w:p>
        </w:tc>
        <w:tc>
          <w:tcPr>
            <w:tcW w:w="1089" w:type="dxa"/>
            <w:gridSpan w:val="2"/>
            <w:tcBorders>
              <w:top w:val="single" w:sz="4" w:space="0" w:color="auto"/>
              <w:left w:val="nil"/>
              <w:bottom w:val="nil"/>
              <w:right w:val="nil"/>
            </w:tcBorders>
            <w:shd w:val="clear" w:color="auto" w:fill="auto"/>
            <w:noWrap/>
            <w:vAlign w:val="bottom"/>
            <w:hideMark/>
          </w:tcPr>
          <w:p w:rsidR="00340BDD" w:rsidRPr="00156E01" w:rsidRDefault="00340BDD" w:rsidP="00C35C39">
            <w:pPr>
              <w:rPr>
                <w:sz w:val="20"/>
                <w:szCs w:val="20"/>
              </w:rPr>
            </w:pPr>
          </w:p>
        </w:tc>
      </w:tr>
    </w:tbl>
    <w:p w:rsidR="00340BDD" w:rsidRDefault="002C3098" w:rsidP="00340BDD">
      <w:r>
        <w:t>B</w:t>
      </w:r>
      <w:r w:rsidR="00340BDD">
        <w:t xml:space="preserve">eskæftigelsesfradragene er ligningsmæssige fradrag, der </w:t>
      </w:r>
      <w:r>
        <w:t>fragår</w:t>
      </w:r>
      <w:r w:rsidR="00340BDD">
        <w:t xml:space="preserve"> i grundlaget for kommune- og kirkeskatten samt det statslige sundhedsbidrag</w:t>
      </w:r>
      <w:r>
        <w:t>. Mindreprovenuet i den kommunale indkomstskat udgør</w:t>
      </w:r>
      <w:r w:rsidR="00340BDD">
        <w:t xml:space="preserve"> ca. 865 mio. kr. i 2014</w:t>
      </w:r>
      <w:r>
        <w:t xml:space="preserve"> og falder frem til 2017 til</w:t>
      </w:r>
      <w:r w:rsidR="00340BDD">
        <w:t xml:space="preserve"> ca. 300 mio. kr. </w:t>
      </w:r>
      <w:r>
        <w:t>Det resterende umiddelbare mindreprovenu</w:t>
      </w:r>
      <w:r w:rsidR="00340BDD">
        <w:t xml:space="preserve"> vedrører staten.</w:t>
      </w:r>
    </w:p>
    <w:p w:rsidR="00340BDD" w:rsidRPr="000E49FC" w:rsidRDefault="00340BDD" w:rsidP="00340BDD"/>
    <w:p w:rsidR="00340BDD" w:rsidRDefault="00340BDD" w:rsidP="00340BDD">
      <w:r w:rsidRPr="00BF79EB">
        <w:t xml:space="preserve">Lovforslaget får </w:t>
      </w:r>
      <w:r>
        <w:t xml:space="preserve">dog </w:t>
      </w:r>
      <w:r w:rsidRPr="00BF79EB">
        <w:t>ingen umiddelbare økonomiske konsekvenser</w:t>
      </w:r>
      <w:r>
        <w:t xml:space="preserve"> for </w:t>
      </w:r>
      <w:r w:rsidRPr="00BF79EB">
        <w:t>kommuner</w:t>
      </w:r>
      <w:r>
        <w:t>ne for indkomståret 2014. For de kommuner</w:t>
      </w:r>
      <w:r w:rsidRPr="00BF79EB">
        <w:t>, der har valgt at anvende det udmeldte statsgaranterede udskrivningsgrundlag ved budgetteringen af indkomstskatterne</w:t>
      </w:r>
      <w:r>
        <w:t xml:space="preserve"> for 2014, gælder, at ændringer af skattelovgivningen, der vedtages efter fastlæggelsen af det statsgaranterede grundlag, ikke får økonomiske konsekvenser for kommunerne</w:t>
      </w:r>
      <w:r w:rsidRPr="00BF79EB">
        <w:t xml:space="preserve">. </w:t>
      </w:r>
      <w:r>
        <w:t>For</w:t>
      </w:r>
      <w:r w:rsidRPr="000E49FC">
        <w:t xml:space="preserve"> de kommuner, der har valgt at selvbudgettere </w:t>
      </w:r>
      <w:r>
        <w:t xml:space="preserve">udskrivningsgrundlagene </w:t>
      </w:r>
      <w:r w:rsidRPr="000E49FC">
        <w:t>for 201</w:t>
      </w:r>
      <w:r>
        <w:t>4 (Århus og Vallensbæk)</w:t>
      </w:r>
      <w:r w:rsidRPr="000E49FC">
        <w:t xml:space="preserve">, vil </w:t>
      </w:r>
      <w:r>
        <w:t>v</w:t>
      </w:r>
      <w:r w:rsidRPr="000E49FC">
        <w:t xml:space="preserve">irkningerne på det kommunale skatteprovenu </w:t>
      </w:r>
      <w:r>
        <w:t>af lovforslaget</w:t>
      </w:r>
      <w:r w:rsidRPr="000E49FC">
        <w:t xml:space="preserve"> blive neutraliseret</w:t>
      </w:r>
      <w:r>
        <w:t>. Det sker i forbindelse med efterreguleringen af skatteprovenuet for 2014, der foretages i 2017, hvor udskrivningsgrundlaget korrigeres for effekterne af nærværende lovforslag</w:t>
      </w:r>
      <w:r w:rsidRPr="000E49FC">
        <w:t xml:space="preserve">, jf. også </w:t>
      </w:r>
      <w:r>
        <w:t>bemærkningerne til lovforslagets § 12.</w:t>
      </w:r>
    </w:p>
    <w:p w:rsidR="00340BDD" w:rsidRDefault="00340BDD" w:rsidP="00340BDD"/>
    <w:p w:rsidR="00340BDD" w:rsidRPr="00BF79EB" w:rsidRDefault="00340BDD" w:rsidP="00340BDD">
      <w:r w:rsidRPr="00BF79EB">
        <w:t>Fra 2015 vil virkningerne for kommunerne indgå i det beregnede udskrivningsgrundlag</w:t>
      </w:r>
      <w:r>
        <w:t xml:space="preserve"> </w:t>
      </w:r>
      <w:r w:rsidRPr="00BF79EB">
        <w:t xml:space="preserve">i forbindelse med </w:t>
      </w:r>
      <w:r>
        <w:t xml:space="preserve">de årlige </w:t>
      </w:r>
      <w:r w:rsidRPr="00BF79EB">
        <w:t>forhandlinger</w:t>
      </w:r>
      <w:r>
        <w:t xml:space="preserve"> om kommunernes økonomi.</w:t>
      </w:r>
    </w:p>
    <w:p w:rsidR="00340BDD" w:rsidRPr="000E49FC" w:rsidRDefault="00340BDD" w:rsidP="00340BDD"/>
    <w:p w:rsidR="00340BDD" w:rsidRPr="000E49FC" w:rsidRDefault="00340BDD" w:rsidP="00340BDD">
      <w:r w:rsidRPr="000E49FC">
        <w:t>Lovforslaget har ingen provenumæssige konsekvenser for regionerne.</w:t>
      </w:r>
    </w:p>
    <w:p w:rsidR="00340BDD" w:rsidRPr="000E49FC" w:rsidRDefault="00340BDD" w:rsidP="00340BDD"/>
    <w:p w:rsidR="00340BDD" w:rsidRDefault="00340BDD" w:rsidP="00340BDD">
      <w:r>
        <w:t xml:space="preserve">De foreslåede forhøjelser af beskæftigelsesfradragene for 2014 bliver snarest efter </w:t>
      </w:r>
      <w:r w:rsidR="00715E31">
        <w:t>ikrafttrædelsen</w:t>
      </w:r>
      <w:r>
        <w:t xml:space="preserve"> af loven indarbejdet i SKATs forskudsændringssystem. Herved vil de forhøjede beskæftigelsesfradrag blive indregnet på skattekortene for de personer, der får foretaget en ændring af deres forskudsansættelse i den resterende del af 2014. For den øvrige del af skatteyderne, vil forhøjelsen af beskæftigelsesfradraget i 2014 blive udmøntet i forbindelse med </w:t>
      </w:r>
      <w:r w:rsidR="00A13E6A">
        <w:t>års</w:t>
      </w:r>
      <w:r>
        <w:t>opgørelsen for 2014 i foråret 2015, enten som overskydende skat eller reduceret restskat.</w:t>
      </w:r>
    </w:p>
    <w:p w:rsidR="00340BDD" w:rsidRDefault="00340BDD" w:rsidP="00340BDD"/>
    <w:p w:rsidR="00340BDD" w:rsidRDefault="00340BDD" w:rsidP="00340BDD">
      <w:r>
        <w:t>På denne baggrund skønnes det med nogen usikkerhed, at finansårsvirkningen for 2014 vil andrage</w:t>
      </w:r>
      <w:r w:rsidRPr="000E49FC">
        <w:t xml:space="preserve"> et </w:t>
      </w:r>
      <w:r>
        <w:t xml:space="preserve">mindreprovenu på ca. 610 mio. kr., mens den resterende del af mindreprovenuet vedrørende indkomståret 2014 vil vedrøre finansåret 2015. </w:t>
      </w:r>
    </w:p>
    <w:p w:rsidR="00340BDD" w:rsidRDefault="00340BDD" w:rsidP="00340BDD"/>
    <w:p w:rsidR="00340BDD" w:rsidRPr="00704336" w:rsidRDefault="00340BDD" w:rsidP="00340BDD">
      <w:r>
        <w:t xml:space="preserve">Den foreslåede forhøjelse af det ekstra beskæftigelsesfradrag </w:t>
      </w:r>
      <w:r w:rsidR="00682164">
        <w:t>for</w:t>
      </w:r>
      <w:r>
        <w:t xml:space="preserve"> enlige forsørgere medfører en forøgelse af skatteudgiften, der er forbundet med fradraget, svarende til det </w:t>
      </w:r>
      <w:r w:rsidRPr="00704336">
        <w:t xml:space="preserve">umiddelbare </w:t>
      </w:r>
      <w:r>
        <w:t>mindre</w:t>
      </w:r>
      <w:r w:rsidRPr="00704336">
        <w:t xml:space="preserve">provenu før tilbageløb og adfærd </w:t>
      </w:r>
      <w:r>
        <w:t>på ca. 215 mio. kr. (2014-niveau)</w:t>
      </w:r>
      <w:r w:rsidRPr="00704336">
        <w:t>.</w:t>
      </w:r>
    </w:p>
    <w:p w:rsidR="00340BDD" w:rsidRDefault="00340BDD" w:rsidP="00340BDD"/>
    <w:p w:rsidR="00340BDD" w:rsidRPr="000853E2" w:rsidRDefault="00340BDD" w:rsidP="00340BDD">
      <w:pPr>
        <w:spacing w:line="276" w:lineRule="auto"/>
        <w:rPr>
          <w:rFonts w:eastAsia="Garamond"/>
          <w:i/>
        </w:rPr>
      </w:pPr>
      <w:r w:rsidRPr="000853E2">
        <w:rPr>
          <w:rFonts w:eastAsia="Garamond"/>
          <w:i/>
        </w:rPr>
        <w:t>4.</w:t>
      </w:r>
      <w:r>
        <w:rPr>
          <w:rFonts w:eastAsia="Garamond"/>
          <w:i/>
        </w:rPr>
        <w:t>3</w:t>
      </w:r>
      <w:r w:rsidRPr="000853E2">
        <w:rPr>
          <w:rFonts w:eastAsia="Garamond"/>
          <w:i/>
        </w:rPr>
        <w:t>. Afskaffelse af den vægtbaserede emballageafgift</w:t>
      </w:r>
    </w:p>
    <w:p w:rsidR="00340BDD" w:rsidRPr="000853E2" w:rsidRDefault="00340BDD" w:rsidP="00340BDD">
      <w:pPr>
        <w:rPr>
          <w:rFonts w:eastAsia="Garamond"/>
        </w:rPr>
      </w:pPr>
      <w:r w:rsidRPr="000853E2">
        <w:rPr>
          <w:rFonts w:eastAsia="Garamond"/>
        </w:rPr>
        <w:t>Forslaget indebærer, at afskaffelse af den vægtbaserede emballageafgift fremrykkes fra 1. januar 2015 til 1. januar 2014.</w:t>
      </w:r>
    </w:p>
    <w:p w:rsidR="00340BDD" w:rsidRPr="000853E2" w:rsidRDefault="00340BDD" w:rsidP="00340BDD">
      <w:pPr>
        <w:rPr>
          <w:rFonts w:eastAsia="Garamond"/>
        </w:rPr>
      </w:pPr>
    </w:p>
    <w:p w:rsidR="00340BDD" w:rsidRDefault="00340BDD" w:rsidP="00340BDD">
      <w:pPr>
        <w:rPr>
          <w:rFonts w:eastAsia="Garamond"/>
        </w:rPr>
      </w:pPr>
      <w:r w:rsidRPr="000853E2">
        <w:rPr>
          <w:rFonts w:eastAsia="Garamond"/>
        </w:rPr>
        <w:t xml:space="preserve">Forslaget skønnes at medføre et mindreprovenu for staten på ca. 350 mio. kr. i 2014 efter tilbageløb og ca. 310 mio. kr. i 2014 efter tilbageløb og adfærd. Den varige virkning efter tilbageløb og adfærd skønnes til ca. 5 mio. kr., </w:t>
      </w:r>
      <w:r w:rsidRPr="000853E2">
        <w:rPr>
          <w:rFonts w:eastAsia="Garamond"/>
          <w:i/>
        </w:rPr>
        <w:t>jf. tabel 4.</w:t>
      </w:r>
      <w:r>
        <w:rPr>
          <w:rFonts w:eastAsia="Garamond"/>
          <w:i/>
        </w:rPr>
        <w:t>3.</w:t>
      </w:r>
      <w:r w:rsidRPr="000853E2">
        <w:rPr>
          <w:rFonts w:eastAsia="Garamond"/>
          <w:i/>
        </w:rPr>
        <w:t>1</w:t>
      </w:r>
      <w:r w:rsidRPr="000853E2">
        <w:rPr>
          <w:rFonts w:eastAsia="Garamond"/>
        </w:rPr>
        <w:t xml:space="preserve">. Finansårsvirkningen i 2014 udgør ca. 340 mio. kr. </w:t>
      </w:r>
    </w:p>
    <w:p w:rsidR="00340BDD" w:rsidRDefault="00340BDD" w:rsidP="00340BDD">
      <w:pPr>
        <w:spacing w:line="276" w:lineRule="auto"/>
        <w:rPr>
          <w:rFonts w:eastAsia="Garamond"/>
        </w:rPr>
      </w:pPr>
    </w:p>
    <w:tbl>
      <w:tblPr>
        <w:tblW w:w="5000" w:type="pct"/>
        <w:tblCellMar>
          <w:left w:w="0" w:type="dxa"/>
          <w:right w:w="0" w:type="dxa"/>
        </w:tblCellMar>
        <w:tblLook w:val="04A0" w:firstRow="1" w:lastRow="0" w:firstColumn="1" w:lastColumn="0" w:noHBand="0" w:noVBand="1"/>
      </w:tblPr>
      <w:tblGrid>
        <w:gridCol w:w="4395"/>
        <w:gridCol w:w="779"/>
        <w:gridCol w:w="779"/>
        <w:gridCol w:w="779"/>
        <w:gridCol w:w="779"/>
        <w:gridCol w:w="779"/>
        <w:gridCol w:w="779"/>
      </w:tblGrid>
      <w:tr w:rsidR="00340BDD" w:rsidTr="00C35C39">
        <w:trPr>
          <w:trHeight w:val="283"/>
        </w:trPr>
        <w:tc>
          <w:tcPr>
            <w:tcW w:w="9069" w:type="dxa"/>
            <w:gridSpan w:val="7"/>
            <w:tcBorders>
              <w:top w:val="single" w:sz="4" w:space="0" w:color="auto"/>
              <w:left w:val="nil"/>
              <w:bottom w:val="single" w:sz="4" w:space="0" w:color="auto"/>
              <w:right w:val="nil"/>
            </w:tcBorders>
            <w:vAlign w:val="bottom"/>
            <w:hideMark/>
          </w:tcPr>
          <w:p w:rsidR="00340BDD" w:rsidRPr="00D856B7" w:rsidRDefault="00340BDD" w:rsidP="00C35C39">
            <w:pPr>
              <w:rPr>
                <w:rFonts w:eastAsia="Calibri"/>
                <w:color w:val="000000"/>
                <w:sz w:val="18"/>
                <w:szCs w:val="18"/>
                <w:lang w:eastAsia="en-US"/>
              </w:rPr>
            </w:pPr>
            <w:r>
              <w:rPr>
                <w:b/>
                <w:bCs/>
                <w:color w:val="000000"/>
              </w:rPr>
              <w:t xml:space="preserve">Tabel 4.3.1. Provenuvirkning af </w:t>
            </w:r>
            <w:r w:rsidRPr="00D856B7">
              <w:rPr>
                <w:b/>
                <w:bCs/>
                <w:color w:val="000000"/>
              </w:rPr>
              <w:t>afskaffelse af den vægtbaserede emballageafgift</w:t>
            </w:r>
          </w:p>
        </w:tc>
      </w:tr>
      <w:tr w:rsidR="00340BDD" w:rsidTr="00C35C39">
        <w:trPr>
          <w:trHeight w:val="340"/>
        </w:trPr>
        <w:tc>
          <w:tcPr>
            <w:tcW w:w="4395" w:type="dxa"/>
            <w:tcBorders>
              <w:top w:val="single" w:sz="4" w:space="0" w:color="auto"/>
              <w:left w:val="nil"/>
              <w:bottom w:val="single" w:sz="4" w:space="0" w:color="auto"/>
              <w:right w:val="single" w:sz="4" w:space="0" w:color="auto"/>
            </w:tcBorders>
            <w:vAlign w:val="bottom"/>
            <w:hideMark/>
          </w:tcPr>
          <w:p w:rsidR="00340BDD" w:rsidRPr="00340BDD" w:rsidRDefault="00340BDD" w:rsidP="00C35C39">
            <w:pPr>
              <w:rPr>
                <w:rFonts w:eastAsia="Calibri"/>
                <w:color w:val="000000"/>
                <w:sz w:val="18"/>
                <w:szCs w:val="18"/>
              </w:rPr>
            </w:pPr>
            <w:r w:rsidRPr="00340BDD">
              <w:rPr>
                <w:color w:val="000000"/>
                <w:sz w:val="18"/>
                <w:szCs w:val="18"/>
              </w:rPr>
              <w:t>Mio. kr. (2014-niveau)</w:t>
            </w:r>
          </w:p>
        </w:tc>
        <w:tc>
          <w:tcPr>
            <w:tcW w:w="779" w:type="dxa"/>
            <w:tcBorders>
              <w:top w:val="single" w:sz="4" w:space="0" w:color="auto"/>
              <w:left w:val="single" w:sz="4" w:space="0" w:color="auto"/>
              <w:bottom w:val="single" w:sz="4" w:space="0" w:color="auto"/>
              <w:right w:val="single" w:sz="4" w:space="0" w:color="auto"/>
            </w:tcBorders>
            <w:vAlign w:val="bottom"/>
            <w:hideMark/>
          </w:tcPr>
          <w:p w:rsidR="00340BDD" w:rsidRPr="00340BDD" w:rsidRDefault="00340BDD" w:rsidP="00C35C39">
            <w:pPr>
              <w:jc w:val="center"/>
              <w:rPr>
                <w:rFonts w:eastAsia="Calibri"/>
                <w:color w:val="000000"/>
                <w:sz w:val="18"/>
                <w:szCs w:val="18"/>
              </w:rPr>
            </w:pPr>
            <w:r w:rsidRPr="00340BDD">
              <w:rPr>
                <w:color w:val="000000"/>
                <w:sz w:val="18"/>
                <w:szCs w:val="18"/>
              </w:rPr>
              <w:t>Varig virkning</w:t>
            </w:r>
          </w:p>
        </w:tc>
        <w:tc>
          <w:tcPr>
            <w:tcW w:w="779" w:type="dxa"/>
            <w:tcBorders>
              <w:top w:val="single" w:sz="4" w:space="0" w:color="auto"/>
              <w:left w:val="single" w:sz="4" w:space="0" w:color="auto"/>
              <w:bottom w:val="single" w:sz="4" w:space="0" w:color="auto"/>
              <w:right w:val="single" w:sz="4" w:space="0" w:color="auto"/>
            </w:tcBorders>
            <w:vAlign w:val="bottom"/>
            <w:hideMark/>
          </w:tcPr>
          <w:p w:rsidR="00340BDD" w:rsidRPr="00340BDD" w:rsidRDefault="00340BDD" w:rsidP="00C35C39">
            <w:pPr>
              <w:jc w:val="center"/>
              <w:rPr>
                <w:rFonts w:eastAsia="Calibri"/>
                <w:color w:val="000000"/>
                <w:sz w:val="18"/>
                <w:szCs w:val="18"/>
              </w:rPr>
            </w:pPr>
            <w:r w:rsidRPr="00340BDD">
              <w:rPr>
                <w:color w:val="000000"/>
                <w:sz w:val="18"/>
                <w:szCs w:val="18"/>
              </w:rPr>
              <w:t>2014</w:t>
            </w:r>
          </w:p>
        </w:tc>
        <w:tc>
          <w:tcPr>
            <w:tcW w:w="779" w:type="dxa"/>
            <w:tcBorders>
              <w:top w:val="single" w:sz="4" w:space="0" w:color="auto"/>
              <w:left w:val="single" w:sz="4" w:space="0" w:color="auto"/>
              <w:bottom w:val="single" w:sz="4" w:space="0" w:color="auto"/>
              <w:right w:val="single" w:sz="4" w:space="0" w:color="auto"/>
            </w:tcBorders>
            <w:vAlign w:val="bottom"/>
            <w:hideMark/>
          </w:tcPr>
          <w:p w:rsidR="00340BDD" w:rsidRPr="00340BDD" w:rsidRDefault="00340BDD" w:rsidP="00C35C39">
            <w:pPr>
              <w:jc w:val="center"/>
              <w:rPr>
                <w:rFonts w:eastAsia="Calibri"/>
                <w:color w:val="000000"/>
                <w:sz w:val="18"/>
                <w:szCs w:val="18"/>
              </w:rPr>
            </w:pPr>
            <w:r w:rsidRPr="00340BDD">
              <w:rPr>
                <w:color w:val="000000"/>
                <w:sz w:val="18"/>
                <w:szCs w:val="18"/>
              </w:rPr>
              <w:t>2015</w:t>
            </w:r>
          </w:p>
        </w:tc>
        <w:tc>
          <w:tcPr>
            <w:tcW w:w="779" w:type="dxa"/>
            <w:tcBorders>
              <w:top w:val="single" w:sz="4" w:space="0" w:color="auto"/>
              <w:left w:val="single" w:sz="4" w:space="0" w:color="auto"/>
              <w:bottom w:val="single" w:sz="4" w:space="0" w:color="auto"/>
              <w:right w:val="single" w:sz="4" w:space="0" w:color="auto"/>
            </w:tcBorders>
            <w:vAlign w:val="bottom"/>
            <w:hideMark/>
          </w:tcPr>
          <w:p w:rsidR="00340BDD" w:rsidRPr="00340BDD" w:rsidRDefault="00340BDD" w:rsidP="00C35C39">
            <w:pPr>
              <w:jc w:val="center"/>
              <w:rPr>
                <w:rFonts w:eastAsia="Calibri"/>
                <w:color w:val="000000"/>
                <w:sz w:val="18"/>
                <w:szCs w:val="18"/>
              </w:rPr>
            </w:pPr>
            <w:r w:rsidRPr="00340BDD">
              <w:rPr>
                <w:color w:val="000000"/>
                <w:sz w:val="18"/>
                <w:szCs w:val="18"/>
              </w:rPr>
              <w:t>2016</w:t>
            </w:r>
          </w:p>
        </w:tc>
        <w:tc>
          <w:tcPr>
            <w:tcW w:w="779" w:type="dxa"/>
            <w:tcBorders>
              <w:top w:val="single" w:sz="4" w:space="0" w:color="auto"/>
              <w:left w:val="single" w:sz="4" w:space="0" w:color="auto"/>
              <w:bottom w:val="single" w:sz="4" w:space="0" w:color="auto"/>
              <w:right w:val="single" w:sz="4" w:space="0" w:color="auto"/>
            </w:tcBorders>
            <w:vAlign w:val="bottom"/>
            <w:hideMark/>
          </w:tcPr>
          <w:p w:rsidR="00340BDD" w:rsidRPr="00340BDD" w:rsidRDefault="00340BDD" w:rsidP="00C35C39">
            <w:pPr>
              <w:jc w:val="center"/>
              <w:rPr>
                <w:rFonts w:eastAsia="Calibri"/>
                <w:color w:val="000000"/>
                <w:sz w:val="18"/>
                <w:szCs w:val="18"/>
              </w:rPr>
            </w:pPr>
            <w:r w:rsidRPr="00340BDD">
              <w:rPr>
                <w:color w:val="000000"/>
                <w:sz w:val="18"/>
                <w:szCs w:val="18"/>
              </w:rPr>
              <w:t>2017</w:t>
            </w:r>
          </w:p>
        </w:tc>
        <w:tc>
          <w:tcPr>
            <w:tcW w:w="779" w:type="dxa"/>
            <w:tcBorders>
              <w:top w:val="single" w:sz="4" w:space="0" w:color="auto"/>
              <w:left w:val="single" w:sz="4" w:space="0" w:color="auto"/>
              <w:bottom w:val="single" w:sz="4" w:space="0" w:color="auto"/>
            </w:tcBorders>
            <w:vAlign w:val="bottom"/>
            <w:hideMark/>
          </w:tcPr>
          <w:p w:rsidR="00340BDD" w:rsidRPr="00340BDD" w:rsidRDefault="00340BDD" w:rsidP="00C35C39">
            <w:pPr>
              <w:jc w:val="center"/>
              <w:rPr>
                <w:rFonts w:eastAsia="Calibri"/>
                <w:color w:val="000000"/>
                <w:sz w:val="18"/>
                <w:szCs w:val="18"/>
              </w:rPr>
            </w:pPr>
            <w:r w:rsidRPr="00340BDD">
              <w:rPr>
                <w:color w:val="000000"/>
                <w:sz w:val="18"/>
                <w:szCs w:val="18"/>
              </w:rPr>
              <w:t>Finansår 2014</w:t>
            </w:r>
          </w:p>
        </w:tc>
      </w:tr>
      <w:tr w:rsidR="00340BDD" w:rsidTr="00C35C39">
        <w:trPr>
          <w:trHeight w:val="283"/>
        </w:trPr>
        <w:tc>
          <w:tcPr>
            <w:tcW w:w="4395" w:type="dxa"/>
            <w:tcBorders>
              <w:top w:val="single" w:sz="4" w:space="0" w:color="auto"/>
              <w:left w:val="nil"/>
              <w:bottom w:val="nil"/>
              <w:right w:val="single" w:sz="4" w:space="0" w:color="auto"/>
            </w:tcBorders>
            <w:vAlign w:val="center"/>
            <w:hideMark/>
          </w:tcPr>
          <w:p w:rsidR="00340BDD" w:rsidRPr="00340BDD" w:rsidRDefault="00340BDD" w:rsidP="00C35C39">
            <w:pPr>
              <w:rPr>
                <w:rFonts w:eastAsia="Calibri"/>
                <w:bCs/>
                <w:color w:val="000000"/>
                <w:sz w:val="18"/>
                <w:szCs w:val="18"/>
              </w:rPr>
            </w:pPr>
            <w:r w:rsidRPr="00340BDD">
              <w:rPr>
                <w:bCs/>
                <w:color w:val="000000"/>
                <w:sz w:val="18"/>
                <w:szCs w:val="18"/>
              </w:rPr>
              <w:t xml:space="preserve">Umiddelbar provenuvirkning </w:t>
            </w:r>
          </w:p>
        </w:tc>
        <w:tc>
          <w:tcPr>
            <w:tcW w:w="779" w:type="dxa"/>
            <w:tcBorders>
              <w:top w:val="single" w:sz="4" w:space="0" w:color="auto"/>
              <w:left w:val="single" w:sz="4" w:space="0" w:color="auto"/>
              <w:right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-5</w:t>
            </w:r>
          </w:p>
        </w:tc>
        <w:tc>
          <w:tcPr>
            <w:tcW w:w="779" w:type="dxa"/>
            <w:tcBorders>
              <w:top w:val="single" w:sz="4" w:space="0" w:color="auto"/>
              <w:left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-370</w:t>
            </w:r>
          </w:p>
        </w:tc>
        <w:tc>
          <w:tcPr>
            <w:tcW w:w="779" w:type="dxa"/>
            <w:tcBorders>
              <w:top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single" w:sz="4" w:space="0" w:color="auto"/>
              <w:left w:val="nil"/>
              <w:bottom w:val="nil"/>
              <w:right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single" w:sz="4" w:space="0" w:color="auto"/>
              <w:left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-340</w:t>
            </w:r>
          </w:p>
        </w:tc>
      </w:tr>
      <w:tr w:rsidR="00340BDD" w:rsidTr="00C35C39">
        <w:trPr>
          <w:trHeight w:val="283"/>
        </w:trPr>
        <w:tc>
          <w:tcPr>
            <w:tcW w:w="4395" w:type="dxa"/>
            <w:tcBorders>
              <w:top w:val="nil"/>
              <w:left w:val="nil"/>
              <w:bottom w:val="nil"/>
              <w:right w:val="single" w:sz="4" w:space="0" w:color="auto"/>
            </w:tcBorders>
            <w:vAlign w:val="center"/>
          </w:tcPr>
          <w:p w:rsidR="00340BDD" w:rsidRPr="00340BDD" w:rsidRDefault="00340BDD" w:rsidP="00C35C39">
            <w:pPr>
              <w:rPr>
                <w:bCs/>
                <w:color w:val="000000"/>
                <w:sz w:val="18"/>
                <w:szCs w:val="18"/>
              </w:rPr>
            </w:pPr>
            <w:r w:rsidRPr="00340BDD">
              <w:rPr>
                <w:bCs/>
                <w:color w:val="000000"/>
                <w:sz w:val="18"/>
                <w:szCs w:val="18"/>
              </w:rPr>
              <w:t>Umiddelbar provenuvirkning inkl. virkning på andre konti</w:t>
            </w:r>
          </w:p>
        </w:tc>
        <w:tc>
          <w:tcPr>
            <w:tcW w:w="779" w:type="dxa"/>
            <w:tcBorders>
              <w:left w:val="single" w:sz="4" w:space="0" w:color="auto"/>
              <w:right w:val="single" w:sz="4" w:space="0" w:color="auto"/>
            </w:tcBorders>
            <w:vAlign w:val="center"/>
          </w:tcPr>
          <w:p w:rsidR="00340BDD" w:rsidRPr="00C35C39" w:rsidRDefault="00340BDD" w:rsidP="00C35C39">
            <w:pPr>
              <w:ind w:right="113"/>
              <w:jc w:val="right"/>
              <w:rPr>
                <w:color w:val="000000"/>
                <w:sz w:val="18"/>
                <w:szCs w:val="18"/>
              </w:rPr>
            </w:pPr>
            <w:r w:rsidRPr="00C35C39">
              <w:rPr>
                <w:color w:val="000000"/>
                <w:sz w:val="18"/>
                <w:szCs w:val="18"/>
              </w:rPr>
              <w:t>-10</w:t>
            </w:r>
          </w:p>
        </w:tc>
        <w:tc>
          <w:tcPr>
            <w:tcW w:w="779" w:type="dxa"/>
            <w:tcBorders>
              <w:left w:val="single" w:sz="4" w:space="0" w:color="auto"/>
            </w:tcBorders>
            <w:vAlign w:val="center"/>
          </w:tcPr>
          <w:p w:rsidR="00340BDD" w:rsidRPr="00C35C39" w:rsidRDefault="00340BDD" w:rsidP="00C35C39">
            <w:pPr>
              <w:ind w:right="113"/>
              <w:jc w:val="right"/>
              <w:rPr>
                <w:color w:val="000000"/>
                <w:sz w:val="18"/>
                <w:szCs w:val="18"/>
              </w:rPr>
            </w:pPr>
            <w:r w:rsidRPr="00C35C39">
              <w:rPr>
                <w:color w:val="000000"/>
                <w:sz w:val="18"/>
                <w:szCs w:val="18"/>
              </w:rPr>
              <w:t>-460</w:t>
            </w:r>
          </w:p>
        </w:tc>
        <w:tc>
          <w:tcPr>
            <w:tcW w:w="779" w:type="dxa"/>
            <w:vAlign w:val="center"/>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vAlign w:val="center"/>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nil"/>
              <w:left w:val="nil"/>
              <w:bottom w:val="nil"/>
              <w:right w:val="single" w:sz="4" w:space="0" w:color="auto"/>
            </w:tcBorders>
            <w:vAlign w:val="center"/>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left w:val="single" w:sz="4" w:space="0" w:color="auto"/>
            </w:tcBorders>
            <w:vAlign w:val="center"/>
          </w:tcPr>
          <w:p w:rsidR="00340BDD" w:rsidRPr="00340BDD" w:rsidRDefault="00340BDD" w:rsidP="00C35C39">
            <w:pPr>
              <w:ind w:right="113"/>
              <w:jc w:val="right"/>
              <w:rPr>
                <w:color w:val="000000"/>
                <w:sz w:val="18"/>
                <w:szCs w:val="18"/>
              </w:rPr>
            </w:pPr>
            <w:r w:rsidRPr="00340BDD">
              <w:rPr>
                <w:color w:val="000000"/>
                <w:sz w:val="18"/>
                <w:szCs w:val="18"/>
              </w:rPr>
              <w:t>-420</w:t>
            </w:r>
          </w:p>
        </w:tc>
      </w:tr>
      <w:tr w:rsidR="00340BDD" w:rsidTr="00C35C39">
        <w:trPr>
          <w:trHeight w:val="300"/>
        </w:trPr>
        <w:tc>
          <w:tcPr>
            <w:tcW w:w="4395" w:type="dxa"/>
            <w:tcBorders>
              <w:top w:val="nil"/>
              <w:left w:val="nil"/>
              <w:bottom w:val="single" w:sz="4" w:space="0" w:color="auto"/>
              <w:right w:val="single" w:sz="4" w:space="0" w:color="auto"/>
            </w:tcBorders>
            <w:vAlign w:val="center"/>
            <w:hideMark/>
          </w:tcPr>
          <w:p w:rsidR="00340BDD" w:rsidRPr="00340BDD" w:rsidRDefault="00340BDD" w:rsidP="00C35C39">
            <w:pPr>
              <w:rPr>
                <w:rFonts w:eastAsia="Calibri"/>
                <w:bCs/>
                <w:color w:val="000000"/>
                <w:sz w:val="18"/>
                <w:szCs w:val="18"/>
              </w:rPr>
            </w:pPr>
            <w:r w:rsidRPr="00340BDD">
              <w:rPr>
                <w:bCs/>
                <w:color w:val="000000"/>
                <w:sz w:val="18"/>
                <w:szCs w:val="18"/>
              </w:rPr>
              <w:t>Provenuvirkning efter tilbageløb i alt</w:t>
            </w:r>
          </w:p>
        </w:tc>
        <w:tc>
          <w:tcPr>
            <w:tcW w:w="779" w:type="dxa"/>
            <w:tcBorders>
              <w:top w:val="nil"/>
              <w:left w:val="single" w:sz="4" w:space="0" w:color="auto"/>
              <w:bottom w:val="single" w:sz="4" w:space="0" w:color="auto"/>
              <w:right w:val="single" w:sz="4" w:space="0" w:color="auto"/>
            </w:tcBorders>
            <w:vAlign w:val="center"/>
          </w:tcPr>
          <w:p w:rsidR="00340BDD" w:rsidRPr="00C35C39" w:rsidRDefault="00340BDD" w:rsidP="00C35C39">
            <w:pPr>
              <w:ind w:right="113"/>
              <w:jc w:val="right"/>
              <w:rPr>
                <w:color w:val="000000"/>
                <w:sz w:val="18"/>
                <w:szCs w:val="18"/>
              </w:rPr>
            </w:pPr>
            <w:r w:rsidRPr="00C35C39">
              <w:rPr>
                <w:color w:val="000000"/>
                <w:sz w:val="18"/>
                <w:szCs w:val="18"/>
              </w:rPr>
              <w:t>-5</w:t>
            </w:r>
          </w:p>
        </w:tc>
        <w:tc>
          <w:tcPr>
            <w:tcW w:w="779" w:type="dxa"/>
            <w:tcBorders>
              <w:top w:val="nil"/>
              <w:left w:val="single" w:sz="4" w:space="0" w:color="auto"/>
              <w:bottom w:val="single" w:sz="4" w:space="0" w:color="auto"/>
              <w:right w:val="nil"/>
            </w:tcBorders>
            <w:vAlign w:val="center"/>
          </w:tcPr>
          <w:p w:rsidR="00340BDD" w:rsidRPr="00C35C39" w:rsidRDefault="00340BDD" w:rsidP="00C35C39">
            <w:pPr>
              <w:ind w:right="113"/>
              <w:jc w:val="right"/>
              <w:rPr>
                <w:color w:val="000000"/>
                <w:sz w:val="18"/>
                <w:szCs w:val="18"/>
              </w:rPr>
            </w:pPr>
            <w:r w:rsidRPr="00C35C39">
              <w:rPr>
                <w:color w:val="000000"/>
                <w:sz w:val="18"/>
                <w:szCs w:val="18"/>
              </w:rPr>
              <w:t>-350</w:t>
            </w:r>
          </w:p>
        </w:tc>
        <w:tc>
          <w:tcPr>
            <w:tcW w:w="779" w:type="dxa"/>
            <w:tcBorders>
              <w:top w:val="nil"/>
              <w:left w:val="nil"/>
              <w:bottom w:val="single" w:sz="4" w:space="0" w:color="auto"/>
              <w:right w:val="nil"/>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nil"/>
              <w:left w:val="nil"/>
              <w:bottom w:val="single" w:sz="4" w:space="0" w:color="auto"/>
              <w:right w:val="nil"/>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nil"/>
              <w:left w:val="nil"/>
              <w:bottom w:val="single" w:sz="4" w:space="0" w:color="auto"/>
              <w:right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nil"/>
              <w:left w:val="single" w:sz="4" w:space="0" w:color="auto"/>
              <w:bottom w:val="single" w:sz="4" w:space="0" w:color="auto"/>
              <w:right w:val="nil"/>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-320</w:t>
            </w:r>
          </w:p>
        </w:tc>
      </w:tr>
      <w:tr w:rsidR="00340BDD" w:rsidTr="00C35C39">
        <w:trPr>
          <w:trHeight w:val="300"/>
        </w:trPr>
        <w:tc>
          <w:tcPr>
            <w:tcW w:w="4395" w:type="dxa"/>
            <w:tcBorders>
              <w:top w:val="single" w:sz="4" w:space="0" w:color="auto"/>
              <w:left w:val="nil"/>
              <w:bottom w:val="single" w:sz="4" w:space="0" w:color="auto"/>
              <w:right w:val="single" w:sz="4" w:space="0" w:color="auto"/>
            </w:tcBorders>
            <w:vAlign w:val="center"/>
            <w:hideMark/>
          </w:tcPr>
          <w:p w:rsidR="00340BDD" w:rsidRPr="00340BDD" w:rsidRDefault="00340BDD" w:rsidP="00C35C39">
            <w:pPr>
              <w:rPr>
                <w:rFonts w:eastAsia="Calibri"/>
                <w:bCs/>
                <w:color w:val="000000"/>
                <w:sz w:val="18"/>
                <w:szCs w:val="18"/>
              </w:rPr>
            </w:pPr>
            <w:r w:rsidRPr="00340BDD">
              <w:rPr>
                <w:bCs/>
                <w:color w:val="000000"/>
                <w:sz w:val="18"/>
                <w:szCs w:val="18"/>
              </w:rPr>
              <w:t>Provenuvirkning efter tilbageløb og adfærd i alt</w:t>
            </w:r>
          </w:p>
        </w:tc>
        <w:tc>
          <w:tcPr>
            <w:tcW w:w="779" w:type="dxa"/>
            <w:tcBorders>
              <w:top w:val="single" w:sz="4" w:space="0" w:color="auto"/>
              <w:left w:val="single" w:sz="4" w:space="0" w:color="auto"/>
              <w:bottom w:val="single" w:sz="4" w:space="0" w:color="auto"/>
              <w:right w:val="single" w:sz="4" w:space="0" w:color="auto"/>
            </w:tcBorders>
            <w:vAlign w:val="center"/>
          </w:tcPr>
          <w:p w:rsidR="00340BDD" w:rsidRPr="00C35C39" w:rsidRDefault="00340BDD" w:rsidP="00C35C39">
            <w:pPr>
              <w:ind w:right="113"/>
              <w:jc w:val="right"/>
              <w:rPr>
                <w:color w:val="000000"/>
                <w:sz w:val="18"/>
                <w:szCs w:val="18"/>
              </w:rPr>
            </w:pPr>
            <w:r w:rsidRPr="00C35C39">
              <w:rPr>
                <w:color w:val="000000"/>
                <w:sz w:val="18"/>
                <w:szCs w:val="18"/>
              </w:rPr>
              <w:t>-5</w:t>
            </w:r>
          </w:p>
        </w:tc>
        <w:tc>
          <w:tcPr>
            <w:tcW w:w="779" w:type="dxa"/>
            <w:tcBorders>
              <w:top w:val="single" w:sz="4" w:space="0" w:color="auto"/>
              <w:left w:val="single" w:sz="4" w:space="0" w:color="auto"/>
              <w:bottom w:val="single" w:sz="4" w:space="0" w:color="auto"/>
              <w:right w:val="nil"/>
            </w:tcBorders>
            <w:vAlign w:val="center"/>
          </w:tcPr>
          <w:p w:rsidR="00340BDD" w:rsidRPr="00C35C39" w:rsidRDefault="00340BDD" w:rsidP="00C35C39">
            <w:pPr>
              <w:ind w:right="113"/>
              <w:jc w:val="right"/>
              <w:rPr>
                <w:color w:val="000000"/>
                <w:sz w:val="18"/>
                <w:szCs w:val="18"/>
              </w:rPr>
            </w:pPr>
            <w:r w:rsidRPr="00C35C39">
              <w:rPr>
                <w:color w:val="000000"/>
                <w:sz w:val="18"/>
                <w:szCs w:val="18"/>
              </w:rPr>
              <w:t>-310</w:t>
            </w:r>
          </w:p>
        </w:tc>
        <w:tc>
          <w:tcPr>
            <w:tcW w:w="779" w:type="dxa"/>
            <w:tcBorders>
              <w:top w:val="single" w:sz="4" w:space="0" w:color="auto"/>
              <w:left w:val="nil"/>
              <w:bottom w:val="single" w:sz="4" w:space="0" w:color="auto"/>
              <w:right w:val="nil"/>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single" w:sz="4" w:space="0" w:color="auto"/>
              <w:left w:val="nil"/>
              <w:bottom w:val="single" w:sz="4" w:space="0" w:color="auto"/>
              <w:right w:val="nil"/>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single" w:sz="4" w:space="0" w:color="auto"/>
              <w:left w:val="nil"/>
              <w:bottom w:val="single" w:sz="4" w:space="0" w:color="auto"/>
              <w:right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single" w:sz="4" w:space="0" w:color="auto"/>
              <w:left w:val="single" w:sz="4" w:space="0" w:color="auto"/>
              <w:bottom w:val="single" w:sz="4" w:space="0" w:color="auto"/>
              <w:right w:val="nil"/>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-285</w:t>
            </w:r>
          </w:p>
        </w:tc>
      </w:tr>
      <w:tr w:rsidR="00340BDD" w:rsidTr="00C35C39">
        <w:trPr>
          <w:trHeight w:val="69"/>
        </w:trPr>
        <w:tc>
          <w:tcPr>
            <w:tcW w:w="9069" w:type="dxa"/>
            <w:gridSpan w:val="7"/>
            <w:tcBorders>
              <w:top w:val="single" w:sz="4" w:space="0" w:color="auto"/>
            </w:tcBorders>
            <w:vAlign w:val="center"/>
            <w:hideMark/>
          </w:tcPr>
          <w:p w:rsidR="00340BDD" w:rsidRPr="00D856B7" w:rsidRDefault="00340BDD" w:rsidP="00C35C39">
            <w:pPr>
              <w:rPr>
                <w:rFonts w:eastAsia="Calibri"/>
                <w:color w:val="000000"/>
                <w:sz w:val="14"/>
                <w:szCs w:val="14"/>
              </w:rPr>
            </w:pPr>
          </w:p>
        </w:tc>
      </w:tr>
    </w:tbl>
    <w:p w:rsidR="00340BDD" w:rsidRDefault="00340BDD" w:rsidP="00340BDD"/>
    <w:p w:rsidR="00340BDD" w:rsidRPr="00971048" w:rsidRDefault="00340BDD" w:rsidP="00340BDD">
      <w:pPr>
        <w:rPr>
          <w:i/>
        </w:rPr>
      </w:pPr>
      <w:r w:rsidRPr="00971048">
        <w:rPr>
          <w:i/>
        </w:rPr>
        <w:t>4.</w:t>
      </w:r>
      <w:r>
        <w:rPr>
          <w:i/>
        </w:rPr>
        <w:t>4.</w:t>
      </w:r>
      <w:r w:rsidRPr="00971048">
        <w:rPr>
          <w:i/>
        </w:rPr>
        <w:t xml:space="preserve"> </w:t>
      </w:r>
      <w:r>
        <w:rPr>
          <w:i/>
        </w:rPr>
        <w:t>F</w:t>
      </w:r>
      <w:r w:rsidRPr="00971048">
        <w:rPr>
          <w:i/>
        </w:rPr>
        <w:t xml:space="preserve">orhøjelse af grænsen for skattekreditter </w:t>
      </w:r>
      <w:r w:rsidR="00486EC8">
        <w:rPr>
          <w:i/>
        </w:rPr>
        <w:t>vedrørende</w:t>
      </w:r>
      <w:r w:rsidRPr="00971048">
        <w:rPr>
          <w:i/>
        </w:rPr>
        <w:t xml:space="preserve"> forsknings- og udviklingsaktiviteter</w:t>
      </w:r>
    </w:p>
    <w:p w:rsidR="00340BDD" w:rsidRDefault="00340BDD" w:rsidP="00340BDD">
      <w:r>
        <w:t xml:space="preserve">Den foreslåede fremrykning af forhøjelsen af grænsen for udbetaling af skattekreditter </w:t>
      </w:r>
      <w:r w:rsidR="00486EC8">
        <w:t>vedrørende</w:t>
      </w:r>
      <w:r>
        <w:t xml:space="preserve"> forsknings- og udviklingsaktiviteter skønnes at medføre et umiddelbart mindreprovenu på 320 mio. kr. for indkomståret 2014. Efter tilbageløb og adfærdsændringer forventes mindreprovenuet at udgøre 215 mio. kr. for indkomståret 2014</w:t>
      </w:r>
      <w:r w:rsidR="00682164">
        <w:t>.</w:t>
      </w:r>
    </w:p>
    <w:p w:rsidR="00340BDD" w:rsidRDefault="00340BDD" w:rsidP="00340BDD"/>
    <w:p w:rsidR="00340BDD" w:rsidRDefault="00340BDD" w:rsidP="00340BDD">
      <w:r>
        <w:t xml:space="preserve">En del af dette mindreprovenu vil blive opvejet af et gradvist aftagende merprovenu i de næstkommende år, fordi de udbetalte skattekreditter i 2014 medfører en lavere modregning i de efterfølgende års overskud. Opgjort i varig virkning forventes den foreslåede fremrykning kun at medføre et beskedent mindreprovenu. </w:t>
      </w:r>
    </w:p>
    <w:p w:rsidR="00340BDD" w:rsidRDefault="00340BDD" w:rsidP="00340BDD">
      <w:r>
        <w:t xml:space="preserve"> </w:t>
      </w:r>
    </w:p>
    <w:tbl>
      <w:tblPr>
        <w:tblW w:w="5000" w:type="pct"/>
        <w:tblLayout w:type="fixed"/>
        <w:tblCellMar>
          <w:top w:w="28" w:type="dxa"/>
          <w:left w:w="28" w:type="dxa"/>
          <w:bottom w:w="28" w:type="dxa"/>
          <w:right w:w="28" w:type="dxa"/>
        </w:tblCellMar>
        <w:tblLook w:val="04A0" w:firstRow="1" w:lastRow="0" w:firstColumn="1" w:lastColumn="0" w:noHBand="0" w:noVBand="1"/>
      </w:tblPr>
      <w:tblGrid>
        <w:gridCol w:w="3997"/>
        <w:gridCol w:w="854"/>
        <w:gridCol w:w="855"/>
        <w:gridCol w:w="152"/>
        <w:gridCol w:w="703"/>
        <w:gridCol w:w="386"/>
        <w:gridCol w:w="468"/>
        <w:gridCol w:w="621"/>
        <w:gridCol w:w="234"/>
        <w:gridCol w:w="855"/>
      </w:tblGrid>
      <w:tr w:rsidR="00340BDD" w:rsidRPr="00911B6C" w:rsidTr="00C35C39">
        <w:trPr>
          <w:trHeight w:val="243"/>
        </w:trPr>
        <w:tc>
          <w:tcPr>
            <w:tcW w:w="9125" w:type="dxa"/>
            <w:gridSpan w:val="10"/>
            <w:tcBorders>
              <w:top w:val="single" w:sz="4" w:space="0" w:color="auto"/>
              <w:left w:val="nil"/>
              <w:bottom w:val="single" w:sz="4" w:space="0" w:color="auto"/>
              <w:right w:val="nil"/>
            </w:tcBorders>
            <w:shd w:val="clear" w:color="auto" w:fill="auto"/>
            <w:noWrap/>
            <w:vAlign w:val="center"/>
            <w:hideMark/>
          </w:tcPr>
          <w:p w:rsidR="00340BDD" w:rsidRPr="00605715" w:rsidRDefault="00340BDD" w:rsidP="00C35C39">
            <w:pPr>
              <w:rPr>
                <w:b/>
                <w:bCs/>
              </w:rPr>
            </w:pPr>
            <w:r w:rsidRPr="00605715">
              <w:rPr>
                <w:b/>
                <w:bCs/>
              </w:rPr>
              <w:t>Tabel 4.</w:t>
            </w:r>
            <w:r>
              <w:rPr>
                <w:b/>
                <w:bCs/>
              </w:rPr>
              <w:t>4.</w:t>
            </w:r>
            <w:r w:rsidRPr="00605715">
              <w:rPr>
                <w:b/>
                <w:bCs/>
              </w:rPr>
              <w:t xml:space="preserve">1. </w:t>
            </w:r>
            <w:r w:rsidRPr="00605715">
              <w:rPr>
                <w:b/>
                <w:color w:val="000000"/>
              </w:rPr>
              <w:t xml:space="preserve">Provenuvirkning af </w:t>
            </w:r>
            <w:r>
              <w:rPr>
                <w:b/>
                <w:color w:val="000000"/>
              </w:rPr>
              <w:t>forhøjet grænse for udbetaling af skattekreditter</w:t>
            </w:r>
          </w:p>
        </w:tc>
      </w:tr>
      <w:tr w:rsidR="00340BDD" w:rsidRPr="00156E01" w:rsidTr="00C35C39">
        <w:trPr>
          <w:trHeight w:val="210"/>
        </w:trPr>
        <w:tc>
          <w:tcPr>
            <w:tcW w:w="3997" w:type="dxa"/>
            <w:tcBorders>
              <w:top w:val="single" w:sz="4" w:space="0" w:color="auto"/>
              <w:left w:val="nil"/>
              <w:bottom w:val="single" w:sz="4" w:space="0" w:color="auto"/>
              <w:right w:val="single" w:sz="4" w:space="0" w:color="auto"/>
            </w:tcBorders>
            <w:shd w:val="clear" w:color="auto" w:fill="auto"/>
            <w:noWrap/>
            <w:vAlign w:val="bottom"/>
            <w:hideMark/>
          </w:tcPr>
          <w:p w:rsidR="00340BDD" w:rsidRPr="00DE2C0E" w:rsidRDefault="00340BDD" w:rsidP="00C35C39">
            <w:pPr>
              <w:rPr>
                <w:color w:val="000000"/>
                <w:sz w:val="18"/>
                <w:szCs w:val="18"/>
              </w:rPr>
            </w:pPr>
            <w:r w:rsidRPr="00DE2C0E">
              <w:rPr>
                <w:color w:val="000000"/>
                <w:sz w:val="18"/>
                <w:szCs w:val="18"/>
              </w:rPr>
              <w:t>Mio. kr. (2014-niveau)</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BDD" w:rsidRPr="00DE2C0E" w:rsidRDefault="00340BDD" w:rsidP="00C35C39">
            <w:pPr>
              <w:jc w:val="center"/>
              <w:rPr>
                <w:color w:val="000000"/>
                <w:sz w:val="18"/>
                <w:szCs w:val="18"/>
              </w:rPr>
            </w:pPr>
            <w:r w:rsidRPr="00DE2C0E">
              <w:rPr>
                <w:color w:val="000000"/>
                <w:sz w:val="18"/>
                <w:szCs w:val="18"/>
              </w:rPr>
              <w:t>Varig virkning</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tcPr>
          <w:p w:rsidR="00340BDD" w:rsidRPr="00DE2C0E" w:rsidRDefault="00340BDD" w:rsidP="00C35C39">
            <w:pPr>
              <w:jc w:val="center"/>
              <w:rPr>
                <w:color w:val="000000"/>
                <w:sz w:val="18"/>
                <w:szCs w:val="18"/>
              </w:rPr>
            </w:pPr>
            <w:r w:rsidRPr="00DE2C0E">
              <w:rPr>
                <w:color w:val="000000"/>
                <w:sz w:val="18"/>
                <w:szCs w:val="18"/>
              </w:rPr>
              <w:t>2014</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BDD" w:rsidRPr="00DE2C0E" w:rsidRDefault="00340BDD" w:rsidP="00C35C39">
            <w:pPr>
              <w:jc w:val="center"/>
              <w:rPr>
                <w:color w:val="000000"/>
                <w:sz w:val="18"/>
                <w:szCs w:val="18"/>
              </w:rPr>
            </w:pPr>
            <w:r w:rsidRPr="00DE2C0E">
              <w:rPr>
                <w:color w:val="000000"/>
                <w:sz w:val="18"/>
                <w:szCs w:val="18"/>
              </w:rPr>
              <w:t>2015</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BDD" w:rsidRPr="00DE2C0E" w:rsidRDefault="00340BDD" w:rsidP="00C35C39">
            <w:pPr>
              <w:jc w:val="center"/>
              <w:rPr>
                <w:color w:val="000000"/>
                <w:sz w:val="18"/>
                <w:szCs w:val="18"/>
              </w:rPr>
            </w:pPr>
            <w:r w:rsidRPr="00DE2C0E">
              <w:rPr>
                <w:color w:val="000000"/>
                <w:sz w:val="18"/>
                <w:szCs w:val="18"/>
              </w:rPr>
              <w:t>2016</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BDD" w:rsidRPr="00DE2C0E" w:rsidRDefault="00340BDD" w:rsidP="00C35C39">
            <w:pPr>
              <w:jc w:val="center"/>
              <w:rPr>
                <w:color w:val="000000"/>
                <w:sz w:val="18"/>
                <w:szCs w:val="18"/>
              </w:rPr>
            </w:pPr>
            <w:r w:rsidRPr="00DE2C0E">
              <w:rPr>
                <w:color w:val="000000"/>
                <w:sz w:val="18"/>
                <w:szCs w:val="18"/>
              </w:rPr>
              <w:t>2017</w:t>
            </w:r>
          </w:p>
        </w:tc>
        <w:tc>
          <w:tcPr>
            <w:tcW w:w="855" w:type="dxa"/>
            <w:tcBorders>
              <w:top w:val="single" w:sz="4" w:space="0" w:color="auto"/>
              <w:left w:val="single" w:sz="4" w:space="0" w:color="auto"/>
              <w:bottom w:val="single" w:sz="4" w:space="0" w:color="auto"/>
              <w:right w:val="nil"/>
            </w:tcBorders>
            <w:shd w:val="clear" w:color="auto" w:fill="auto"/>
            <w:vAlign w:val="bottom"/>
          </w:tcPr>
          <w:p w:rsidR="00340BDD" w:rsidRPr="00DE2C0E" w:rsidRDefault="00340BDD" w:rsidP="00C35C39">
            <w:pPr>
              <w:jc w:val="center"/>
              <w:rPr>
                <w:color w:val="000000"/>
                <w:sz w:val="18"/>
                <w:szCs w:val="18"/>
              </w:rPr>
            </w:pPr>
            <w:r w:rsidRPr="00DE2C0E">
              <w:rPr>
                <w:color w:val="000000"/>
                <w:sz w:val="18"/>
                <w:szCs w:val="18"/>
              </w:rPr>
              <w:t>Finansår 2014</w:t>
            </w:r>
          </w:p>
        </w:tc>
      </w:tr>
      <w:tr w:rsidR="00340BDD" w:rsidRPr="00156E01" w:rsidTr="00C35C39">
        <w:trPr>
          <w:trHeight w:val="210"/>
        </w:trPr>
        <w:tc>
          <w:tcPr>
            <w:tcW w:w="3997" w:type="dxa"/>
            <w:tcBorders>
              <w:top w:val="single" w:sz="4" w:space="0" w:color="auto"/>
              <w:left w:val="nil"/>
              <w:right w:val="single" w:sz="4" w:space="0" w:color="auto"/>
            </w:tcBorders>
            <w:shd w:val="clear" w:color="auto" w:fill="auto"/>
            <w:noWrap/>
            <w:vAlign w:val="center"/>
            <w:hideMark/>
          </w:tcPr>
          <w:p w:rsidR="00340BDD" w:rsidRPr="002C3A6F" w:rsidRDefault="00340BDD" w:rsidP="00C35C39">
            <w:pPr>
              <w:rPr>
                <w:color w:val="000000"/>
                <w:sz w:val="18"/>
                <w:szCs w:val="18"/>
              </w:rPr>
            </w:pPr>
            <w:r w:rsidRPr="002C3A6F">
              <w:rPr>
                <w:color w:val="000000"/>
                <w:sz w:val="18"/>
                <w:szCs w:val="18"/>
              </w:rPr>
              <w:t>Umiddelbar provenuvirkning</w:t>
            </w:r>
          </w:p>
        </w:tc>
        <w:tc>
          <w:tcPr>
            <w:tcW w:w="854" w:type="dxa"/>
            <w:tcBorders>
              <w:top w:val="single" w:sz="4" w:space="0" w:color="auto"/>
              <w:left w:val="single" w:sz="4" w:space="0" w:color="auto"/>
              <w:right w:val="single" w:sz="4" w:space="0" w:color="auto"/>
            </w:tcBorders>
            <w:shd w:val="clear" w:color="auto" w:fill="auto"/>
            <w:noWrap/>
            <w:vAlign w:val="center"/>
          </w:tcPr>
          <w:p w:rsidR="00340BDD" w:rsidRPr="002C3A6F" w:rsidRDefault="00340BDD" w:rsidP="00C35C39">
            <w:pPr>
              <w:ind w:right="113"/>
              <w:jc w:val="right"/>
              <w:rPr>
                <w:color w:val="000000"/>
                <w:sz w:val="18"/>
                <w:szCs w:val="18"/>
              </w:rPr>
            </w:pPr>
            <w:r>
              <w:rPr>
                <w:color w:val="000000"/>
                <w:sz w:val="18"/>
                <w:szCs w:val="18"/>
              </w:rPr>
              <w:t>0</w:t>
            </w:r>
          </w:p>
        </w:tc>
        <w:tc>
          <w:tcPr>
            <w:tcW w:w="855" w:type="dxa"/>
            <w:tcBorders>
              <w:top w:val="single" w:sz="4" w:space="0" w:color="auto"/>
              <w:left w:val="single" w:sz="4" w:space="0" w:color="auto"/>
            </w:tcBorders>
            <w:shd w:val="clear" w:color="auto" w:fill="auto"/>
            <w:vAlign w:val="center"/>
          </w:tcPr>
          <w:p w:rsidR="00340BDD" w:rsidRPr="002C3A6F" w:rsidRDefault="00340BDD" w:rsidP="00C35C39">
            <w:pPr>
              <w:ind w:right="227"/>
              <w:jc w:val="right"/>
              <w:rPr>
                <w:color w:val="000000"/>
                <w:sz w:val="18"/>
                <w:szCs w:val="18"/>
              </w:rPr>
            </w:pPr>
            <w:r w:rsidRPr="002C3A6F">
              <w:rPr>
                <w:color w:val="000000"/>
                <w:sz w:val="18"/>
                <w:szCs w:val="18"/>
              </w:rPr>
              <w:t>-</w:t>
            </w:r>
            <w:r>
              <w:rPr>
                <w:color w:val="000000"/>
                <w:sz w:val="18"/>
                <w:szCs w:val="18"/>
              </w:rPr>
              <w:t>320</w:t>
            </w:r>
          </w:p>
        </w:tc>
        <w:tc>
          <w:tcPr>
            <w:tcW w:w="855" w:type="dxa"/>
            <w:gridSpan w:val="2"/>
            <w:tcBorders>
              <w:top w:val="single" w:sz="4" w:space="0" w:color="auto"/>
            </w:tcBorders>
            <w:shd w:val="clear" w:color="auto" w:fill="auto"/>
            <w:noWrap/>
            <w:vAlign w:val="center"/>
            <w:hideMark/>
          </w:tcPr>
          <w:p w:rsidR="00340BDD" w:rsidRPr="002C3A6F" w:rsidRDefault="00340BDD" w:rsidP="00C35C39">
            <w:pPr>
              <w:ind w:right="227"/>
              <w:jc w:val="right"/>
              <w:rPr>
                <w:color w:val="000000"/>
                <w:sz w:val="18"/>
                <w:szCs w:val="18"/>
              </w:rPr>
            </w:pPr>
            <w:r>
              <w:rPr>
                <w:color w:val="000000"/>
                <w:sz w:val="18"/>
                <w:szCs w:val="18"/>
              </w:rPr>
              <w:t>30</w:t>
            </w:r>
          </w:p>
        </w:tc>
        <w:tc>
          <w:tcPr>
            <w:tcW w:w="854" w:type="dxa"/>
            <w:gridSpan w:val="2"/>
            <w:tcBorders>
              <w:top w:val="single" w:sz="4" w:space="0" w:color="auto"/>
            </w:tcBorders>
            <w:shd w:val="clear" w:color="auto" w:fill="auto"/>
            <w:noWrap/>
            <w:vAlign w:val="center"/>
            <w:hideMark/>
          </w:tcPr>
          <w:p w:rsidR="00340BDD" w:rsidRPr="002C3A6F" w:rsidRDefault="00340BDD" w:rsidP="00C35C39">
            <w:pPr>
              <w:ind w:right="227"/>
              <w:jc w:val="right"/>
              <w:rPr>
                <w:color w:val="000000"/>
                <w:sz w:val="18"/>
                <w:szCs w:val="18"/>
              </w:rPr>
            </w:pPr>
            <w:r>
              <w:rPr>
                <w:color w:val="000000"/>
                <w:sz w:val="18"/>
                <w:szCs w:val="18"/>
              </w:rPr>
              <w:t>30</w:t>
            </w:r>
          </w:p>
        </w:tc>
        <w:tc>
          <w:tcPr>
            <w:tcW w:w="855" w:type="dxa"/>
            <w:gridSpan w:val="2"/>
            <w:tcBorders>
              <w:top w:val="single" w:sz="4" w:space="0" w:color="auto"/>
              <w:right w:val="single" w:sz="4" w:space="0" w:color="auto"/>
            </w:tcBorders>
            <w:shd w:val="clear" w:color="auto" w:fill="auto"/>
            <w:noWrap/>
            <w:vAlign w:val="center"/>
            <w:hideMark/>
          </w:tcPr>
          <w:p w:rsidR="00340BDD" w:rsidRPr="002C3A6F" w:rsidRDefault="00340BDD" w:rsidP="00C35C39">
            <w:pPr>
              <w:ind w:right="227"/>
              <w:jc w:val="right"/>
              <w:rPr>
                <w:color w:val="000000"/>
                <w:sz w:val="18"/>
                <w:szCs w:val="18"/>
              </w:rPr>
            </w:pPr>
            <w:r>
              <w:rPr>
                <w:color w:val="000000"/>
                <w:sz w:val="18"/>
                <w:szCs w:val="18"/>
              </w:rPr>
              <w:t>20</w:t>
            </w:r>
          </w:p>
        </w:tc>
        <w:tc>
          <w:tcPr>
            <w:tcW w:w="855" w:type="dxa"/>
            <w:tcBorders>
              <w:top w:val="single" w:sz="4" w:space="0" w:color="auto"/>
              <w:left w:val="single" w:sz="4" w:space="0" w:color="auto"/>
              <w:right w:val="nil"/>
            </w:tcBorders>
            <w:shd w:val="clear" w:color="auto" w:fill="auto"/>
            <w:vAlign w:val="center"/>
          </w:tcPr>
          <w:p w:rsidR="00340BDD" w:rsidRPr="002C3A6F" w:rsidRDefault="00340BDD" w:rsidP="00C35C39">
            <w:pPr>
              <w:ind w:right="113"/>
              <w:jc w:val="right"/>
              <w:rPr>
                <w:color w:val="000000"/>
                <w:sz w:val="18"/>
                <w:szCs w:val="18"/>
              </w:rPr>
            </w:pPr>
            <w:r>
              <w:rPr>
                <w:color w:val="000000"/>
                <w:sz w:val="18"/>
                <w:szCs w:val="18"/>
              </w:rPr>
              <w:t>0</w:t>
            </w:r>
          </w:p>
        </w:tc>
      </w:tr>
      <w:tr w:rsidR="00340BDD" w:rsidRPr="00156E01" w:rsidTr="00C35C39">
        <w:trPr>
          <w:trHeight w:val="210"/>
        </w:trPr>
        <w:tc>
          <w:tcPr>
            <w:tcW w:w="3997" w:type="dxa"/>
            <w:tcBorders>
              <w:left w:val="nil"/>
              <w:right w:val="single" w:sz="4" w:space="0" w:color="auto"/>
            </w:tcBorders>
            <w:shd w:val="clear" w:color="auto" w:fill="auto"/>
            <w:noWrap/>
            <w:vAlign w:val="center"/>
            <w:hideMark/>
          </w:tcPr>
          <w:p w:rsidR="00340BDD" w:rsidRPr="002C3A6F" w:rsidRDefault="00340BDD" w:rsidP="00C35C39">
            <w:pPr>
              <w:rPr>
                <w:color w:val="000000"/>
                <w:sz w:val="18"/>
                <w:szCs w:val="18"/>
              </w:rPr>
            </w:pPr>
            <w:r w:rsidRPr="002C3A6F">
              <w:rPr>
                <w:color w:val="000000"/>
                <w:sz w:val="18"/>
                <w:szCs w:val="18"/>
              </w:rPr>
              <w:t>Provenuvirkning efter tilbageløb</w:t>
            </w:r>
          </w:p>
        </w:tc>
        <w:tc>
          <w:tcPr>
            <w:tcW w:w="854" w:type="dxa"/>
            <w:tcBorders>
              <w:left w:val="single" w:sz="4" w:space="0" w:color="auto"/>
              <w:right w:val="single" w:sz="4" w:space="0" w:color="auto"/>
            </w:tcBorders>
            <w:shd w:val="clear" w:color="auto" w:fill="auto"/>
            <w:noWrap/>
            <w:vAlign w:val="center"/>
          </w:tcPr>
          <w:p w:rsidR="00340BDD" w:rsidRPr="002C3A6F" w:rsidRDefault="00340BDD" w:rsidP="00C35C39">
            <w:pPr>
              <w:ind w:right="113"/>
              <w:jc w:val="right"/>
              <w:rPr>
                <w:color w:val="000000"/>
                <w:sz w:val="18"/>
                <w:szCs w:val="18"/>
              </w:rPr>
            </w:pPr>
            <w:r>
              <w:rPr>
                <w:color w:val="000000"/>
                <w:sz w:val="18"/>
                <w:szCs w:val="18"/>
              </w:rPr>
              <w:t>0</w:t>
            </w:r>
          </w:p>
        </w:tc>
        <w:tc>
          <w:tcPr>
            <w:tcW w:w="855" w:type="dxa"/>
            <w:tcBorders>
              <w:left w:val="single" w:sz="4" w:space="0" w:color="auto"/>
            </w:tcBorders>
            <w:shd w:val="clear" w:color="auto" w:fill="auto"/>
            <w:vAlign w:val="center"/>
          </w:tcPr>
          <w:p w:rsidR="00340BDD" w:rsidRPr="002C3A6F" w:rsidRDefault="00340BDD" w:rsidP="00C35C39">
            <w:pPr>
              <w:ind w:right="227"/>
              <w:jc w:val="right"/>
              <w:rPr>
                <w:color w:val="000000"/>
                <w:sz w:val="18"/>
                <w:szCs w:val="18"/>
              </w:rPr>
            </w:pPr>
            <w:r w:rsidRPr="002C3A6F">
              <w:rPr>
                <w:color w:val="000000"/>
                <w:sz w:val="18"/>
                <w:szCs w:val="18"/>
              </w:rPr>
              <w:t>-</w:t>
            </w:r>
            <w:r>
              <w:rPr>
                <w:color w:val="000000"/>
                <w:sz w:val="18"/>
                <w:szCs w:val="18"/>
              </w:rPr>
              <w:t>160</w:t>
            </w:r>
          </w:p>
        </w:tc>
        <w:tc>
          <w:tcPr>
            <w:tcW w:w="855" w:type="dxa"/>
            <w:gridSpan w:val="2"/>
            <w:shd w:val="clear" w:color="auto" w:fill="auto"/>
            <w:noWrap/>
            <w:vAlign w:val="center"/>
            <w:hideMark/>
          </w:tcPr>
          <w:p w:rsidR="00340BDD" w:rsidRPr="002C3A6F" w:rsidRDefault="00340BDD" w:rsidP="00C35C39">
            <w:pPr>
              <w:ind w:right="227"/>
              <w:jc w:val="right"/>
              <w:rPr>
                <w:color w:val="000000"/>
                <w:sz w:val="18"/>
                <w:szCs w:val="18"/>
              </w:rPr>
            </w:pPr>
            <w:r>
              <w:rPr>
                <w:color w:val="000000"/>
                <w:sz w:val="18"/>
                <w:szCs w:val="18"/>
              </w:rPr>
              <w:t>15</w:t>
            </w:r>
          </w:p>
        </w:tc>
        <w:tc>
          <w:tcPr>
            <w:tcW w:w="854" w:type="dxa"/>
            <w:gridSpan w:val="2"/>
            <w:shd w:val="clear" w:color="auto" w:fill="auto"/>
            <w:noWrap/>
            <w:vAlign w:val="center"/>
            <w:hideMark/>
          </w:tcPr>
          <w:p w:rsidR="00340BDD" w:rsidRPr="002C3A6F" w:rsidRDefault="00340BDD" w:rsidP="00C35C39">
            <w:pPr>
              <w:ind w:right="227"/>
              <w:jc w:val="right"/>
              <w:rPr>
                <w:color w:val="000000"/>
                <w:sz w:val="18"/>
                <w:szCs w:val="18"/>
              </w:rPr>
            </w:pPr>
            <w:r>
              <w:rPr>
                <w:color w:val="000000"/>
                <w:sz w:val="18"/>
                <w:szCs w:val="18"/>
              </w:rPr>
              <w:t>15</w:t>
            </w:r>
          </w:p>
        </w:tc>
        <w:tc>
          <w:tcPr>
            <w:tcW w:w="855" w:type="dxa"/>
            <w:gridSpan w:val="2"/>
            <w:tcBorders>
              <w:right w:val="single" w:sz="4" w:space="0" w:color="auto"/>
            </w:tcBorders>
            <w:shd w:val="clear" w:color="auto" w:fill="auto"/>
            <w:noWrap/>
            <w:vAlign w:val="center"/>
            <w:hideMark/>
          </w:tcPr>
          <w:p w:rsidR="00340BDD" w:rsidRPr="002C3A6F" w:rsidRDefault="00340BDD" w:rsidP="00C35C39">
            <w:pPr>
              <w:ind w:right="227"/>
              <w:jc w:val="right"/>
              <w:rPr>
                <w:color w:val="000000"/>
                <w:sz w:val="18"/>
                <w:szCs w:val="18"/>
              </w:rPr>
            </w:pPr>
            <w:r>
              <w:rPr>
                <w:color w:val="000000"/>
                <w:sz w:val="18"/>
                <w:szCs w:val="18"/>
              </w:rPr>
              <w:t>10</w:t>
            </w:r>
          </w:p>
        </w:tc>
        <w:tc>
          <w:tcPr>
            <w:tcW w:w="855" w:type="dxa"/>
            <w:tcBorders>
              <w:left w:val="single" w:sz="4" w:space="0" w:color="auto"/>
              <w:right w:val="nil"/>
            </w:tcBorders>
            <w:shd w:val="clear" w:color="auto" w:fill="auto"/>
            <w:vAlign w:val="center"/>
          </w:tcPr>
          <w:p w:rsidR="00340BDD" w:rsidRPr="002C3A6F" w:rsidRDefault="00340BDD" w:rsidP="00C35C39">
            <w:pPr>
              <w:ind w:right="113"/>
              <w:jc w:val="right"/>
              <w:rPr>
                <w:color w:val="000000"/>
                <w:sz w:val="18"/>
                <w:szCs w:val="18"/>
              </w:rPr>
            </w:pPr>
            <w:r w:rsidRPr="002C3A6F">
              <w:rPr>
                <w:color w:val="000000"/>
                <w:sz w:val="18"/>
                <w:szCs w:val="18"/>
              </w:rPr>
              <w:t>-</w:t>
            </w:r>
          </w:p>
        </w:tc>
      </w:tr>
      <w:tr w:rsidR="00340BDD" w:rsidRPr="00156E01" w:rsidTr="00C35C39">
        <w:trPr>
          <w:trHeight w:val="210"/>
        </w:trPr>
        <w:tc>
          <w:tcPr>
            <w:tcW w:w="3997" w:type="dxa"/>
            <w:tcBorders>
              <w:left w:val="nil"/>
              <w:bottom w:val="single" w:sz="4" w:space="0" w:color="auto"/>
              <w:right w:val="single" w:sz="4" w:space="0" w:color="auto"/>
            </w:tcBorders>
            <w:shd w:val="clear" w:color="auto" w:fill="auto"/>
            <w:noWrap/>
            <w:vAlign w:val="center"/>
            <w:hideMark/>
          </w:tcPr>
          <w:p w:rsidR="00340BDD" w:rsidRPr="002C3A6F" w:rsidRDefault="00340BDD" w:rsidP="00C35C39">
            <w:pPr>
              <w:rPr>
                <w:color w:val="000000"/>
                <w:sz w:val="18"/>
                <w:szCs w:val="18"/>
              </w:rPr>
            </w:pPr>
            <w:r w:rsidRPr="002C3A6F">
              <w:rPr>
                <w:color w:val="000000"/>
                <w:sz w:val="18"/>
                <w:szCs w:val="18"/>
              </w:rPr>
              <w:t>Provenuvirkning efter tilbageløb og adfærd</w:t>
            </w:r>
          </w:p>
        </w:tc>
        <w:tc>
          <w:tcPr>
            <w:tcW w:w="854" w:type="dxa"/>
            <w:tcBorders>
              <w:left w:val="single" w:sz="4" w:space="0" w:color="auto"/>
              <w:bottom w:val="single" w:sz="4" w:space="0" w:color="auto"/>
              <w:right w:val="single" w:sz="4" w:space="0" w:color="auto"/>
            </w:tcBorders>
            <w:shd w:val="clear" w:color="auto" w:fill="auto"/>
            <w:noWrap/>
            <w:vAlign w:val="center"/>
          </w:tcPr>
          <w:p w:rsidR="00340BDD" w:rsidRPr="002C3A6F" w:rsidRDefault="00340BDD" w:rsidP="00C35C39">
            <w:pPr>
              <w:ind w:right="113"/>
              <w:jc w:val="right"/>
              <w:rPr>
                <w:color w:val="000000"/>
                <w:sz w:val="18"/>
                <w:szCs w:val="18"/>
              </w:rPr>
            </w:pPr>
            <w:r>
              <w:rPr>
                <w:color w:val="000000"/>
                <w:sz w:val="18"/>
                <w:szCs w:val="18"/>
              </w:rPr>
              <w:t>0</w:t>
            </w:r>
          </w:p>
        </w:tc>
        <w:tc>
          <w:tcPr>
            <w:tcW w:w="855" w:type="dxa"/>
            <w:tcBorders>
              <w:left w:val="single" w:sz="4" w:space="0" w:color="auto"/>
              <w:bottom w:val="single" w:sz="4" w:space="0" w:color="auto"/>
            </w:tcBorders>
            <w:shd w:val="clear" w:color="auto" w:fill="auto"/>
            <w:vAlign w:val="center"/>
          </w:tcPr>
          <w:p w:rsidR="00340BDD" w:rsidRPr="002C3A6F" w:rsidRDefault="00340BDD" w:rsidP="00C35C39">
            <w:pPr>
              <w:ind w:right="227"/>
              <w:jc w:val="right"/>
              <w:rPr>
                <w:color w:val="000000"/>
                <w:sz w:val="18"/>
                <w:szCs w:val="18"/>
              </w:rPr>
            </w:pPr>
            <w:r w:rsidRPr="002C3A6F">
              <w:rPr>
                <w:color w:val="000000"/>
                <w:sz w:val="18"/>
                <w:szCs w:val="18"/>
              </w:rPr>
              <w:t>-</w:t>
            </w:r>
            <w:r>
              <w:rPr>
                <w:color w:val="000000"/>
                <w:sz w:val="18"/>
                <w:szCs w:val="18"/>
              </w:rPr>
              <w:t>215</w:t>
            </w:r>
          </w:p>
        </w:tc>
        <w:tc>
          <w:tcPr>
            <w:tcW w:w="855" w:type="dxa"/>
            <w:gridSpan w:val="2"/>
            <w:tcBorders>
              <w:bottom w:val="single" w:sz="4" w:space="0" w:color="auto"/>
            </w:tcBorders>
            <w:shd w:val="clear" w:color="auto" w:fill="auto"/>
            <w:noWrap/>
            <w:vAlign w:val="center"/>
            <w:hideMark/>
          </w:tcPr>
          <w:p w:rsidR="00340BDD" w:rsidRPr="002C3A6F" w:rsidRDefault="00340BDD" w:rsidP="00C35C39">
            <w:pPr>
              <w:ind w:right="227"/>
              <w:jc w:val="right"/>
              <w:rPr>
                <w:color w:val="000000"/>
                <w:sz w:val="18"/>
                <w:szCs w:val="18"/>
              </w:rPr>
            </w:pPr>
            <w:r>
              <w:rPr>
                <w:color w:val="000000"/>
                <w:sz w:val="18"/>
                <w:szCs w:val="18"/>
              </w:rPr>
              <w:t>20</w:t>
            </w:r>
          </w:p>
        </w:tc>
        <w:tc>
          <w:tcPr>
            <w:tcW w:w="854" w:type="dxa"/>
            <w:gridSpan w:val="2"/>
            <w:tcBorders>
              <w:bottom w:val="single" w:sz="4" w:space="0" w:color="auto"/>
            </w:tcBorders>
            <w:shd w:val="clear" w:color="auto" w:fill="auto"/>
            <w:noWrap/>
            <w:vAlign w:val="center"/>
            <w:hideMark/>
          </w:tcPr>
          <w:p w:rsidR="00340BDD" w:rsidRPr="002C3A6F" w:rsidRDefault="00340BDD" w:rsidP="00C35C39">
            <w:pPr>
              <w:ind w:right="227"/>
              <w:jc w:val="right"/>
              <w:rPr>
                <w:color w:val="000000"/>
                <w:sz w:val="18"/>
                <w:szCs w:val="18"/>
              </w:rPr>
            </w:pPr>
            <w:r>
              <w:rPr>
                <w:color w:val="000000"/>
                <w:sz w:val="18"/>
                <w:szCs w:val="18"/>
              </w:rPr>
              <w:t>20</w:t>
            </w:r>
          </w:p>
        </w:tc>
        <w:tc>
          <w:tcPr>
            <w:tcW w:w="855" w:type="dxa"/>
            <w:gridSpan w:val="2"/>
            <w:tcBorders>
              <w:bottom w:val="single" w:sz="4" w:space="0" w:color="auto"/>
              <w:right w:val="single" w:sz="4" w:space="0" w:color="auto"/>
            </w:tcBorders>
            <w:shd w:val="clear" w:color="auto" w:fill="auto"/>
            <w:noWrap/>
            <w:vAlign w:val="center"/>
            <w:hideMark/>
          </w:tcPr>
          <w:p w:rsidR="00340BDD" w:rsidRPr="002C3A6F" w:rsidRDefault="00340BDD" w:rsidP="00C35C39">
            <w:pPr>
              <w:ind w:right="227"/>
              <w:jc w:val="right"/>
              <w:rPr>
                <w:color w:val="000000"/>
                <w:sz w:val="18"/>
                <w:szCs w:val="18"/>
              </w:rPr>
            </w:pPr>
            <w:r>
              <w:rPr>
                <w:color w:val="000000"/>
                <w:sz w:val="18"/>
                <w:szCs w:val="18"/>
              </w:rPr>
              <w:t>15</w:t>
            </w:r>
          </w:p>
        </w:tc>
        <w:tc>
          <w:tcPr>
            <w:tcW w:w="855" w:type="dxa"/>
            <w:tcBorders>
              <w:left w:val="single" w:sz="4" w:space="0" w:color="auto"/>
              <w:bottom w:val="single" w:sz="4" w:space="0" w:color="auto"/>
              <w:right w:val="nil"/>
            </w:tcBorders>
            <w:shd w:val="clear" w:color="auto" w:fill="auto"/>
            <w:vAlign w:val="center"/>
          </w:tcPr>
          <w:p w:rsidR="00340BDD" w:rsidRPr="002C3A6F" w:rsidRDefault="00340BDD" w:rsidP="00C35C39">
            <w:pPr>
              <w:ind w:right="113"/>
              <w:jc w:val="right"/>
              <w:rPr>
                <w:color w:val="000000"/>
                <w:sz w:val="18"/>
                <w:szCs w:val="18"/>
              </w:rPr>
            </w:pPr>
            <w:r w:rsidRPr="002C3A6F">
              <w:rPr>
                <w:color w:val="000000"/>
                <w:sz w:val="18"/>
                <w:szCs w:val="18"/>
              </w:rPr>
              <w:t>-</w:t>
            </w:r>
          </w:p>
        </w:tc>
      </w:tr>
      <w:tr w:rsidR="00340BDD" w:rsidRPr="00156E01" w:rsidTr="00C35C39">
        <w:trPr>
          <w:trHeight w:val="210"/>
        </w:trPr>
        <w:tc>
          <w:tcPr>
            <w:tcW w:w="3997" w:type="dxa"/>
            <w:tcBorders>
              <w:top w:val="single" w:sz="4" w:space="0" w:color="auto"/>
              <w:left w:val="nil"/>
              <w:bottom w:val="nil"/>
              <w:right w:val="nil"/>
            </w:tcBorders>
            <w:shd w:val="clear" w:color="auto" w:fill="auto"/>
            <w:noWrap/>
            <w:vAlign w:val="bottom"/>
            <w:hideMark/>
          </w:tcPr>
          <w:p w:rsidR="00340BDD" w:rsidRPr="00156E01" w:rsidRDefault="00340BDD" w:rsidP="00C35C39">
            <w:pPr>
              <w:jc w:val="right"/>
              <w:rPr>
                <w:color w:val="000000"/>
                <w:sz w:val="16"/>
                <w:szCs w:val="16"/>
              </w:rPr>
            </w:pPr>
          </w:p>
        </w:tc>
        <w:tc>
          <w:tcPr>
            <w:tcW w:w="1861" w:type="dxa"/>
            <w:gridSpan w:val="3"/>
            <w:tcBorders>
              <w:top w:val="single" w:sz="4" w:space="0" w:color="auto"/>
              <w:left w:val="nil"/>
              <w:bottom w:val="nil"/>
              <w:right w:val="nil"/>
            </w:tcBorders>
            <w:shd w:val="clear" w:color="auto" w:fill="auto"/>
            <w:noWrap/>
            <w:vAlign w:val="bottom"/>
            <w:hideMark/>
          </w:tcPr>
          <w:p w:rsidR="00340BDD" w:rsidRPr="00156E01" w:rsidRDefault="00340BDD" w:rsidP="00C35C39">
            <w:pPr>
              <w:rPr>
                <w:sz w:val="20"/>
                <w:szCs w:val="20"/>
              </w:rPr>
            </w:pPr>
          </w:p>
        </w:tc>
        <w:tc>
          <w:tcPr>
            <w:tcW w:w="1089" w:type="dxa"/>
            <w:gridSpan w:val="2"/>
            <w:tcBorders>
              <w:top w:val="single" w:sz="4" w:space="0" w:color="auto"/>
              <w:left w:val="nil"/>
              <w:bottom w:val="nil"/>
              <w:right w:val="nil"/>
            </w:tcBorders>
            <w:shd w:val="clear" w:color="auto" w:fill="auto"/>
            <w:noWrap/>
            <w:vAlign w:val="bottom"/>
            <w:hideMark/>
          </w:tcPr>
          <w:p w:rsidR="00340BDD" w:rsidRPr="00156E01" w:rsidRDefault="00340BDD" w:rsidP="00C35C39">
            <w:pPr>
              <w:rPr>
                <w:sz w:val="20"/>
                <w:szCs w:val="20"/>
              </w:rPr>
            </w:pPr>
          </w:p>
        </w:tc>
        <w:tc>
          <w:tcPr>
            <w:tcW w:w="1089" w:type="dxa"/>
            <w:gridSpan w:val="2"/>
            <w:tcBorders>
              <w:top w:val="single" w:sz="4" w:space="0" w:color="auto"/>
              <w:left w:val="nil"/>
              <w:bottom w:val="nil"/>
              <w:right w:val="nil"/>
            </w:tcBorders>
            <w:shd w:val="clear" w:color="auto" w:fill="auto"/>
            <w:noWrap/>
            <w:vAlign w:val="bottom"/>
            <w:hideMark/>
          </w:tcPr>
          <w:p w:rsidR="00340BDD" w:rsidRPr="00156E01" w:rsidRDefault="00340BDD" w:rsidP="00C35C39">
            <w:pPr>
              <w:rPr>
                <w:sz w:val="20"/>
                <w:szCs w:val="20"/>
              </w:rPr>
            </w:pPr>
          </w:p>
        </w:tc>
        <w:tc>
          <w:tcPr>
            <w:tcW w:w="1089" w:type="dxa"/>
            <w:gridSpan w:val="2"/>
            <w:tcBorders>
              <w:top w:val="single" w:sz="4" w:space="0" w:color="auto"/>
              <w:left w:val="nil"/>
              <w:bottom w:val="nil"/>
              <w:right w:val="nil"/>
            </w:tcBorders>
            <w:shd w:val="clear" w:color="auto" w:fill="auto"/>
            <w:noWrap/>
            <w:vAlign w:val="bottom"/>
            <w:hideMark/>
          </w:tcPr>
          <w:p w:rsidR="00340BDD" w:rsidRPr="00156E01" w:rsidRDefault="00340BDD" w:rsidP="00C35C39">
            <w:pPr>
              <w:rPr>
                <w:sz w:val="20"/>
                <w:szCs w:val="20"/>
              </w:rPr>
            </w:pPr>
          </w:p>
        </w:tc>
      </w:tr>
    </w:tbl>
    <w:p w:rsidR="00340BDD" w:rsidRDefault="00340BDD" w:rsidP="00340BDD">
      <w:r>
        <w:t>Kommunerne får en andel på 13,41 pct. af selskabsskatteprovenuet uden for kulbrinteområdet. Den lavere modregning i efterfølgende års overskud medfører kun et marginalt merprovenu.</w:t>
      </w:r>
    </w:p>
    <w:p w:rsidR="00340BDD" w:rsidRDefault="00340BDD" w:rsidP="00340BDD"/>
    <w:p w:rsidR="00340BDD" w:rsidRDefault="00340BDD" w:rsidP="00340BDD">
      <w:r>
        <w:t xml:space="preserve">Udbetalingen af skattekreditter sker normalt i november året efter det pågældende indkomstår, hvorfor den foreslåede fremrykning ikke har provenuvirkning i finansåret 2014. </w:t>
      </w:r>
    </w:p>
    <w:p w:rsidR="00340BDD" w:rsidRDefault="00340BDD" w:rsidP="00340BDD"/>
    <w:p w:rsidR="00340BDD" w:rsidRDefault="00340BDD" w:rsidP="00340BDD">
      <w:r>
        <w:t>Forslaget medfører en skatteudgift, der svarer til det umiddelbare mindreprovenu.</w:t>
      </w:r>
    </w:p>
    <w:p w:rsidR="00340BDD" w:rsidRDefault="00340BDD" w:rsidP="00340BDD"/>
    <w:p w:rsidR="00340BDD" w:rsidRDefault="00340BDD" w:rsidP="00340BDD">
      <w:pPr>
        <w:rPr>
          <w:i/>
          <w:iCs/>
        </w:rPr>
      </w:pPr>
      <w:r>
        <w:rPr>
          <w:i/>
          <w:iCs/>
        </w:rPr>
        <w:t>4.5. Lempelse af momskredittid for små virksomheder</w:t>
      </w:r>
    </w:p>
    <w:p w:rsidR="00340BDD" w:rsidRDefault="00340BDD" w:rsidP="00340BDD">
      <w:pPr>
        <w:rPr>
          <w:iCs/>
        </w:rPr>
      </w:pPr>
      <w:r>
        <w:rPr>
          <w:iCs/>
        </w:rPr>
        <w:t>Med vedtagelsen af Vækstplan DK</w:t>
      </w:r>
      <w:r w:rsidRPr="008B739D">
        <w:rPr>
          <w:iCs/>
        </w:rPr>
        <w:t xml:space="preserve"> </w:t>
      </w:r>
      <w:r>
        <w:rPr>
          <w:iCs/>
        </w:rPr>
        <w:t>blev grænsen for, hvornår virksomheder kan foretage halvårlig afregning af moms, forhøjet fra 1 mio. kr. i samlet årlig momspligtig leverance til 5 mio. kr. med virkning fra 1. januar 2015. En fremrykning af denne aftale vil medføre, at de berørte virksomheder får den forlængede kredittid ved at gå fra kvartalsafregning til halvårsafregning allerede i 2014. I forhold til 2013-lovgivningen skønnes dette at medføre et umiddelbart mindreprovenu på 230 mio. kr. i 2014 som følge af rentetab.</w:t>
      </w:r>
    </w:p>
    <w:p w:rsidR="00340BDD" w:rsidRDefault="00340BDD" w:rsidP="00340BDD">
      <w:pPr>
        <w:rPr>
          <w:iCs/>
        </w:rPr>
      </w:pPr>
    </w:p>
    <w:p w:rsidR="00340BDD" w:rsidRDefault="00340BDD" w:rsidP="00340BDD">
      <w:pPr>
        <w:rPr>
          <w:iCs/>
        </w:rPr>
      </w:pPr>
      <w:r>
        <w:rPr>
          <w:iCs/>
        </w:rPr>
        <w:t xml:space="preserve">Med vedtagelse af Vækstplan DK blev betalingsfristen for kvartalsafregnende virksomheder forlænget pr. 1. januar 2014, hvilket blev skønnet til at medføre et umiddelbart mindreprovenu på 130 mio. kr. i 2014. Med en fremrykning af forhøjelsen af grænsen for halvårsafregning af moms mindskes gruppen af kvartalsafregnende virksomheder, der får gavn af den forlængede betalingsfrist i 2014, hvilket medfører et merprovenu på 60 mio. kr. i 2014. Nettoprovenuvirkningen af forslaget om fremrykning af grænsen for, hvornår virksomheder kan foretage halvårlig afregning af moms, kan derfor skønnes til et umiddelbart mindreprovenu på 170 mio. kr. i 2014. En profil for nettoprovenuvirkningen af forslaget i forhold til vedtaget lovgivning fremgår nedenfor, </w:t>
      </w:r>
      <w:r w:rsidRPr="006F2E57">
        <w:rPr>
          <w:i/>
          <w:iCs/>
        </w:rPr>
        <w:t>jf. tabel 4.5.1</w:t>
      </w:r>
      <w:r>
        <w:rPr>
          <w:iCs/>
        </w:rPr>
        <w:t>.</w:t>
      </w:r>
    </w:p>
    <w:p w:rsidR="00340BDD" w:rsidRDefault="00340BDD" w:rsidP="00340BDD">
      <w:pPr>
        <w:rPr>
          <w:iCs/>
        </w:rPr>
      </w:pPr>
    </w:p>
    <w:tbl>
      <w:tblPr>
        <w:tblW w:w="5000" w:type="pct"/>
        <w:tblLayout w:type="fixed"/>
        <w:tblCellMar>
          <w:left w:w="70" w:type="dxa"/>
          <w:right w:w="70" w:type="dxa"/>
        </w:tblCellMar>
        <w:tblLook w:val="04A0" w:firstRow="1" w:lastRow="0" w:firstColumn="1" w:lastColumn="0" w:noHBand="0" w:noVBand="1"/>
      </w:tblPr>
      <w:tblGrid>
        <w:gridCol w:w="4302"/>
        <w:gridCol w:w="817"/>
        <w:gridCol w:w="25"/>
        <w:gridCol w:w="793"/>
        <w:gridCol w:w="92"/>
        <w:gridCol w:w="519"/>
        <w:gridCol w:w="207"/>
        <w:gridCol w:w="312"/>
        <w:gridCol w:w="506"/>
        <w:gridCol w:w="719"/>
        <w:gridCol w:w="99"/>
        <w:gridCol w:w="818"/>
      </w:tblGrid>
      <w:tr w:rsidR="00340BDD" w:rsidRPr="0031091E" w:rsidTr="00C35C39">
        <w:trPr>
          <w:trHeight w:val="241"/>
        </w:trPr>
        <w:tc>
          <w:tcPr>
            <w:tcW w:w="9209" w:type="dxa"/>
            <w:gridSpan w:val="12"/>
            <w:tcBorders>
              <w:top w:val="single" w:sz="4" w:space="0" w:color="auto"/>
              <w:left w:val="nil"/>
              <w:bottom w:val="single" w:sz="4" w:space="0" w:color="auto"/>
              <w:right w:val="nil"/>
            </w:tcBorders>
            <w:shd w:val="clear" w:color="auto" w:fill="auto"/>
            <w:noWrap/>
            <w:vAlign w:val="center"/>
            <w:hideMark/>
          </w:tcPr>
          <w:p w:rsidR="00340BDD" w:rsidRPr="0031091E" w:rsidRDefault="00340BDD" w:rsidP="00C35C39">
            <w:pPr>
              <w:rPr>
                <w:b/>
                <w:bCs/>
                <w:color w:val="000000"/>
              </w:rPr>
            </w:pPr>
            <w:r w:rsidRPr="0031091E">
              <w:rPr>
                <w:b/>
                <w:bCs/>
                <w:color w:val="000000"/>
              </w:rPr>
              <w:t xml:space="preserve">Tabel </w:t>
            </w:r>
            <w:r>
              <w:rPr>
                <w:b/>
                <w:bCs/>
                <w:color w:val="000000"/>
              </w:rPr>
              <w:t>4.5</w:t>
            </w:r>
            <w:r w:rsidRPr="0031091E">
              <w:rPr>
                <w:b/>
                <w:bCs/>
                <w:color w:val="000000"/>
              </w:rPr>
              <w:t>.</w:t>
            </w:r>
            <w:r>
              <w:rPr>
                <w:b/>
                <w:bCs/>
                <w:color w:val="000000"/>
              </w:rPr>
              <w:t>1.</w:t>
            </w:r>
            <w:r w:rsidRPr="0031091E">
              <w:rPr>
                <w:b/>
                <w:bCs/>
                <w:color w:val="000000"/>
              </w:rPr>
              <w:t xml:space="preserve"> </w:t>
            </w:r>
            <w:r>
              <w:rPr>
                <w:b/>
                <w:bCs/>
                <w:color w:val="000000"/>
              </w:rPr>
              <w:t>Provenuvirkning</w:t>
            </w:r>
            <w:r w:rsidRPr="0031091E">
              <w:rPr>
                <w:b/>
                <w:bCs/>
                <w:color w:val="000000"/>
              </w:rPr>
              <w:t xml:space="preserve"> af forhøjelsen af grænsen for halvårlig afregning af moms</w:t>
            </w:r>
          </w:p>
        </w:tc>
      </w:tr>
      <w:tr w:rsidR="00340BDD" w:rsidRPr="0031091E" w:rsidTr="00C35C39">
        <w:trPr>
          <w:trHeight w:val="495"/>
        </w:trPr>
        <w:tc>
          <w:tcPr>
            <w:tcW w:w="4302" w:type="dxa"/>
            <w:tcBorders>
              <w:top w:val="single" w:sz="4" w:space="0" w:color="auto"/>
              <w:left w:val="nil"/>
              <w:bottom w:val="single" w:sz="4" w:space="0" w:color="auto"/>
              <w:right w:val="single" w:sz="4" w:space="0" w:color="auto"/>
            </w:tcBorders>
            <w:shd w:val="clear" w:color="auto" w:fill="auto"/>
            <w:noWrap/>
            <w:vAlign w:val="center"/>
            <w:hideMark/>
          </w:tcPr>
          <w:p w:rsidR="00340BDD" w:rsidRPr="0031091E" w:rsidRDefault="00340BDD" w:rsidP="00C35C39">
            <w:pPr>
              <w:rPr>
                <w:color w:val="000000"/>
                <w:sz w:val="18"/>
                <w:szCs w:val="18"/>
              </w:rPr>
            </w:pPr>
            <w:r w:rsidRPr="0031091E">
              <w:rPr>
                <w:color w:val="000000"/>
                <w:sz w:val="18"/>
                <w:szCs w:val="18"/>
              </w:rPr>
              <w:t>Mio. kr. (2014-niveau)</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0BDD" w:rsidRPr="005D5DE6" w:rsidRDefault="00340BDD" w:rsidP="00C35C39">
            <w:pPr>
              <w:jc w:val="center"/>
              <w:rPr>
                <w:b/>
                <w:bCs/>
                <w:color w:val="000000"/>
                <w:sz w:val="18"/>
                <w:szCs w:val="18"/>
              </w:rPr>
            </w:pPr>
            <w:r w:rsidRPr="005D5DE6">
              <w:rPr>
                <w:b/>
                <w:bCs/>
                <w:color w:val="000000"/>
                <w:sz w:val="18"/>
                <w:szCs w:val="18"/>
              </w:rPr>
              <w:t>Varig virkning</w:t>
            </w:r>
          </w:p>
        </w:tc>
        <w:tc>
          <w:tcPr>
            <w:tcW w:w="818" w:type="dxa"/>
            <w:gridSpan w:val="2"/>
            <w:tcBorders>
              <w:top w:val="single" w:sz="4" w:space="0" w:color="auto"/>
              <w:left w:val="single" w:sz="4" w:space="0" w:color="auto"/>
              <w:bottom w:val="single" w:sz="4" w:space="0" w:color="auto"/>
              <w:right w:val="nil"/>
            </w:tcBorders>
            <w:shd w:val="clear" w:color="auto" w:fill="auto"/>
            <w:noWrap/>
            <w:vAlign w:val="center"/>
            <w:hideMark/>
          </w:tcPr>
          <w:p w:rsidR="00340BDD" w:rsidRPr="007D067E" w:rsidRDefault="00340BDD" w:rsidP="00C35C39">
            <w:pPr>
              <w:jc w:val="center"/>
              <w:rPr>
                <w:b/>
                <w:bCs/>
                <w:color w:val="000000"/>
                <w:sz w:val="18"/>
                <w:szCs w:val="18"/>
              </w:rPr>
            </w:pPr>
            <w:r w:rsidRPr="007D067E">
              <w:rPr>
                <w:b/>
                <w:bCs/>
                <w:color w:val="000000"/>
                <w:sz w:val="18"/>
                <w:szCs w:val="18"/>
              </w:rPr>
              <w:t>2014</w:t>
            </w:r>
          </w:p>
        </w:tc>
        <w:tc>
          <w:tcPr>
            <w:tcW w:w="818" w:type="dxa"/>
            <w:gridSpan w:val="3"/>
            <w:tcBorders>
              <w:top w:val="single" w:sz="4" w:space="0" w:color="auto"/>
              <w:left w:val="nil"/>
              <w:bottom w:val="single" w:sz="4" w:space="0" w:color="auto"/>
              <w:right w:val="nil"/>
            </w:tcBorders>
            <w:shd w:val="clear" w:color="auto" w:fill="auto"/>
            <w:noWrap/>
            <w:vAlign w:val="center"/>
            <w:hideMark/>
          </w:tcPr>
          <w:p w:rsidR="00340BDD" w:rsidRPr="007D067E" w:rsidRDefault="00340BDD" w:rsidP="00C35C39">
            <w:pPr>
              <w:jc w:val="center"/>
              <w:rPr>
                <w:b/>
                <w:bCs/>
                <w:color w:val="000000"/>
                <w:sz w:val="18"/>
                <w:szCs w:val="18"/>
              </w:rPr>
            </w:pPr>
            <w:r w:rsidRPr="007D067E">
              <w:rPr>
                <w:b/>
                <w:bCs/>
                <w:color w:val="000000"/>
                <w:sz w:val="18"/>
                <w:szCs w:val="18"/>
              </w:rPr>
              <w:t>2015</w:t>
            </w:r>
          </w:p>
        </w:tc>
        <w:tc>
          <w:tcPr>
            <w:tcW w:w="818" w:type="dxa"/>
            <w:gridSpan w:val="2"/>
            <w:tcBorders>
              <w:top w:val="single" w:sz="4" w:space="0" w:color="auto"/>
              <w:left w:val="nil"/>
              <w:bottom w:val="single" w:sz="4" w:space="0" w:color="auto"/>
              <w:right w:val="nil"/>
            </w:tcBorders>
            <w:shd w:val="clear" w:color="auto" w:fill="auto"/>
            <w:noWrap/>
            <w:vAlign w:val="center"/>
            <w:hideMark/>
          </w:tcPr>
          <w:p w:rsidR="00340BDD" w:rsidRPr="007D067E" w:rsidRDefault="00340BDD" w:rsidP="00C35C39">
            <w:pPr>
              <w:jc w:val="center"/>
              <w:rPr>
                <w:b/>
                <w:bCs/>
                <w:color w:val="000000"/>
                <w:sz w:val="18"/>
                <w:szCs w:val="18"/>
              </w:rPr>
            </w:pPr>
            <w:r w:rsidRPr="007D067E">
              <w:rPr>
                <w:b/>
                <w:bCs/>
                <w:color w:val="000000"/>
                <w:sz w:val="18"/>
                <w:szCs w:val="18"/>
              </w:rPr>
              <w:t>2016</w:t>
            </w:r>
          </w:p>
        </w:tc>
        <w:tc>
          <w:tcPr>
            <w:tcW w:w="818" w:type="dxa"/>
            <w:gridSpan w:val="2"/>
            <w:tcBorders>
              <w:top w:val="single" w:sz="4" w:space="0" w:color="auto"/>
              <w:left w:val="nil"/>
              <w:bottom w:val="single" w:sz="4" w:space="0" w:color="auto"/>
              <w:right w:val="single" w:sz="4" w:space="0" w:color="auto"/>
            </w:tcBorders>
            <w:shd w:val="clear" w:color="auto" w:fill="auto"/>
            <w:noWrap/>
            <w:vAlign w:val="center"/>
            <w:hideMark/>
          </w:tcPr>
          <w:p w:rsidR="00340BDD" w:rsidRPr="00E564A0" w:rsidRDefault="00340BDD" w:rsidP="00C35C39">
            <w:pPr>
              <w:jc w:val="center"/>
              <w:rPr>
                <w:b/>
                <w:bCs/>
                <w:color w:val="000000"/>
                <w:sz w:val="18"/>
                <w:szCs w:val="18"/>
              </w:rPr>
            </w:pPr>
            <w:r w:rsidRPr="00E564A0">
              <w:rPr>
                <w:b/>
                <w:bCs/>
                <w:color w:val="000000"/>
                <w:sz w:val="18"/>
                <w:szCs w:val="18"/>
              </w:rPr>
              <w:t>2017</w:t>
            </w:r>
          </w:p>
        </w:tc>
        <w:tc>
          <w:tcPr>
            <w:tcW w:w="818" w:type="dxa"/>
            <w:tcBorders>
              <w:top w:val="single" w:sz="4" w:space="0" w:color="auto"/>
              <w:left w:val="single" w:sz="4" w:space="0" w:color="auto"/>
              <w:bottom w:val="single" w:sz="4" w:space="0" w:color="auto"/>
              <w:right w:val="nil"/>
            </w:tcBorders>
            <w:shd w:val="clear" w:color="auto" w:fill="auto"/>
            <w:noWrap/>
            <w:vAlign w:val="center"/>
            <w:hideMark/>
          </w:tcPr>
          <w:p w:rsidR="00340BDD" w:rsidRPr="005D5DE6" w:rsidRDefault="00340BDD" w:rsidP="00C35C39">
            <w:pPr>
              <w:jc w:val="center"/>
              <w:rPr>
                <w:b/>
                <w:bCs/>
                <w:color w:val="000000"/>
                <w:sz w:val="18"/>
                <w:szCs w:val="18"/>
              </w:rPr>
            </w:pPr>
            <w:r w:rsidRPr="005D5DE6">
              <w:rPr>
                <w:b/>
                <w:bCs/>
                <w:color w:val="000000"/>
                <w:sz w:val="18"/>
                <w:szCs w:val="18"/>
              </w:rPr>
              <w:t>Finansår 2014</w:t>
            </w:r>
          </w:p>
        </w:tc>
      </w:tr>
      <w:tr w:rsidR="00340BDD" w:rsidRPr="0031091E" w:rsidTr="00C35C39">
        <w:trPr>
          <w:trHeight w:val="300"/>
        </w:trPr>
        <w:tc>
          <w:tcPr>
            <w:tcW w:w="4302" w:type="dxa"/>
            <w:tcBorders>
              <w:top w:val="single" w:sz="4" w:space="0" w:color="auto"/>
              <w:left w:val="nil"/>
              <w:bottom w:val="nil"/>
              <w:right w:val="single" w:sz="4" w:space="0" w:color="auto"/>
            </w:tcBorders>
            <w:shd w:val="clear" w:color="auto" w:fill="auto"/>
            <w:noWrap/>
            <w:vAlign w:val="center"/>
            <w:hideMark/>
          </w:tcPr>
          <w:p w:rsidR="00340BDD" w:rsidRPr="0031091E" w:rsidRDefault="00340BDD" w:rsidP="00C35C39">
            <w:pPr>
              <w:rPr>
                <w:color w:val="000000"/>
                <w:sz w:val="18"/>
                <w:szCs w:val="18"/>
              </w:rPr>
            </w:pPr>
            <w:r w:rsidRPr="0031091E">
              <w:rPr>
                <w:color w:val="000000"/>
                <w:sz w:val="18"/>
                <w:szCs w:val="18"/>
              </w:rPr>
              <w:t>Umiddelbar provenuvirkning</w:t>
            </w:r>
          </w:p>
        </w:tc>
        <w:tc>
          <w:tcPr>
            <w:tcW w:w="817" w:type="dxa"/>
            <w:tcBorders>
              <w:top w:val="single" w:sz="4" w:space="0" w:color="auto"/>
              <w:left w:val="single" w:sz="4" w:space="0" w:color="auto"/>
              <w:bottom w:val="nil"/>
              <w:right w:val="single" w:sz="4" w:space="0" w:color="auto"/>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5</w:t>
            </w:r>
          </w:p>
        </w:tc>
        <w:tc>
          <w:tcPr>
            <w:tcW w:w="818" w:type="dxa"/>
            <w:gridSpan w:val="2"/>
            <w:tcBorders>
              <w:top w:val="single" w:sz="4" w:space="0" w:color="auto"/>
              <w:left w:val="single" w:sz="4" w:space="0" w:color="auto"/>
              <w:bottom w:val="nil"/>
              <w:right w:val="nil"/>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170</w:t>
            </w:r>
          </w:p>
        </w:tc>
        <w:tc>
          <w:tcPr>
            <w:tcW w:w="818" w:type="dxa"/>
            <w:gridSpan w:val="3"/>
            <w:tcBorders>
              <w:top w:val="single" w:sz="4" w:space="0" w:color="auto"/>
              <w:left w:val="nil"/>
              <w:bottom w:val="nil"/>
              <w:right w:val="nil"/>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0</w:t>
            </w:r>
          </w:p>
        </w:tc>
        <w:tc>
          <w:tcPr>
            <w:tcW w:w="818" w:type="dxa"/>
            <w:gridSpan w:val="2"/>
            <w:tcBorders>
              <w:top w:val="single" w:sz="4" w:space="0" w:color="auto"/>
              <w:left w:val="nil"/>
              <w:bottom w:val="nil"/>
              <w:right w:val="nil"/>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0</w:t>
            </w:r>
          </w:p>
        </w:tc>
        <w:tc>
          <w:tcPr>
            <w:tcW w:w="818" w:type="dxa"/>
            <w:gridSpan w:val="2"/>
            <w:tcBorders>
              <w:top w:val="single" w:sz="4" w:space="0" w:color="auto"/>
              <w:left w:val="nil"/>
              <w:bottom w:val="nil"/>
              <w:right w:val="single" w:sz="4" w:space="0" w:color="auto"/>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0</w:t>
            </w:r>
          </w:p>
        </w:tc>
        <w:tc>
          <w:tcPr>
            <w:tcW w:w="818" w:type="dxa"/>
            <w:tcBorders>
              <w:top w:val="single" w:sz="4" w:space="0" w:color="auto"/>
              <w:left w:val="single" w:sz="4" w:space="0" w:color="auto"/>
              <w:bottom w:val="nil"/>
              <w:right w:val="nil"/>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vertAlign w:val="superscript"/>
              </w:rPr>
              <w:t>1)</w:t>
            </w:r>
          </w:p>
        </w:tc>
      </w:tr>
      <w:tr w:rsidR="00340BDD" w:rsidRPr="0031091E" w:rsidTr="00C35C39">
        <w:trPr>
          <w:trHeight w:val="300"/>
        </w:trPr>
        <w:tc>
          <w:tcPr>
            <w:tcW w:w="4302" w:type="dxa"/>
            <w:tcBorders>
              <w:top w:val="nil"/>
              <w:left w:val="nil"/>
              <w:bottom w:val="nil"/>
              <w:right w:val="single" w:sz="4" w:space="0" w:color="auto"/>
            </w:tcBorders>
            <w:shd w:val="clear" w:color="auto" w:fill="auto"/>
            <w:noWrap/>
            <w:vAlign w:val="center"/>
            <w:hideMark/>
          </w:tcPr>
          <w:p w:rsidR="00340BDD" w:rsidRPr="0031091E" w:rsidRDefault="00340BDD" w:rsidP="00C35C39">
            <w:pPr>
              <w:rPr>
                <w:color w:val="000000"/>
                <w:sz w:val="18"/>
                <w:szCs w:val="18"/>
              </w:rPr>
            </w:pPr>
            <w:r w:rsidRPr="0031091E">
              <w:rPr>
                <w:color w:val="000000"/>
                <w:sz w:val="18"/>
                <w:szCs w:val="18"/>
              </w:rPr>
              <w:t xml:space="preserve">Provenuvirkning efter automatisk tilbageløb </w:t>
            </w:r>
          </w:p>
        </w:tc>
        <w:tc>
          <w:tcPr>
            <w:tcW w:w="817" w:type="dxa"/>
            <w:tcBorders>
              <w:top w:val="nil"/>
              <w:left w:val="single" w:sz="4" w:space="0" w:color="auto"/>
              <w:bottom w:val="nil"/>
              <w:right w:val="single" w:sz="4" w:space="0" w:color="auto"/>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0</w:t>
            </w:r>
          </w:p>
        </w:tc>
        <w:tc>
          <w:tcPr>
            <w:tcW w:w="818" w:type="dxa"/>
            <w:gridSpan w:val="2"/>
            <w:tcBorders>
              <w:top w:val="nil"/>
              <w:left w:val="single" w:sz="4" w:space="0" w:color="auto"/>
              <w:bottom w:val="nil"/>
              <w:right w:val="nil"/>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100</w:t>
            </w:r>
          </w:p>
        </w:tc>
        <w:tc>
          <w:tcPr>
            <w:tcW w:w="818" w:type="dxa"/>
            <w:gridSpan w:val="3"/>
            <w:tcBorders>
              <w:top w:val="nil"/>
              <w:left w:val="nil"/>
              <w:bottom w:val="nil"/>
              <w:right w:val="nil"/>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0</w:t>
            </w:r>
          </w:p>
        </w:tc>
        <w:tc>
          <w:tcPr>
            <w:tcW w:w="818" w:type="dxa"/>
            <w:gridSpan w:val="2"/>
            <w:tcBorders>
              <w:top w:val="nil"/>
              <w:left w:val="nil"/>
              <w:bottom w:val="nil"/>
              <w:right w:val="nil"/>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0</w:t>
            </w:r>
          </w:p>
        </w:tc>
        <w:tc>
          <w:tcPr>
            <w:tcW w:w="818" w:type="dxa"/>
            <w:gridSpan w:val="2"/>
            <w:tcBorders>
              <w:top w:val="nil"/>
              <w:left w:val="nil"/>
              <w:bottom w:val="nil"/>
              <w:right w:val="single" w:sz="4" w:space="0" w:color="auto"/>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0</w:t>
            </w:r>
          </w:p>
        </w:tc>
        <w:tc>
          <w:tcPr>
            <w:tcW w:w="818" w:type="dxa"/>
            <w:tcBorders>
              <w:top w:val="nil"/>
              <w:left w:val="single" w:sz="4" w:space="0" w:color="auto"/>
              <w:bottom w:val="nil"/>
              <w:right w:val="nil"/>
            </w:tcBorders>
            <w:shd w:val="clear" w:color="auto" w:fill="auto"/>
            <w:noWrap/>
            <w:vAlign w:val="center"/>
            <w:hideMark/>
          </w:tcPr>
          <w:p w:rsidR="00340BDD" w:rsidRPr="0031091E" w:rsidRDefault="00340BDD" w:rsidP="00C35C39">
            <w:pPr>
              <w:jc w:val="right"/>
              <w:rPr>
                <w:color w:val="000000"/>
                <w:sz w:val="18"/>
                <w:szCs w:val="18"/>
              </w:rPr>
            </w:pPr>
          </w:p>
        </w:tc>
      </w:tr>
      <w:tr w:rsidR="00C35C39" w:rsidRPr="0031091E" w:rsidTr="00C35C39">
        <w:trPr>
          <w:trHeight w:val="271"/>
        </w:trPr>
        <w:tc>
          <w:tcPr>
            <w:tcW w:w="4302" w:type="dxa"/>
            <w:tcBorders>
              <w:top w:val="nil"/>
              <w:left w:val="nil"/>
              <w:bottom w:val="single" w:sz="4" w:space="0" w:color="auto"/>
              <w:right w:val="single" w:sz="4" w:space="0" w:color="auto"/>
            </w:tcBorders>
            <w:shd w:val="clear" w:color="auto" w:fill="auto"/>
            <w:vAlign w:val="center"/>
            <w:hideMark/>
          </w:tcPr>
          <w:p w:rsidR="00340BDD" w:rsidRPr="0031091E" w:rsidRDefault="00340BDD" w:rsidP="00C35C39">
            <w:pPr>
              <w:rPr>
                <w:color w:val="000000"/>
                <w:sz w:val="18"/>
                <w:szCs w:val="18"/>
              </w:rPr>
            </w:pPr>
            <w:r w:rsidRPr="0031091E">
              <w:rPr>
                <w:color w:val="000000"/>
                <w:sz w:val="18"/>
                <w:szCs w:val="18"/>
              </w:rPr>
              <w:t>Provenuvirkning efter automatisk tilbageløb og adfærd</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0</w:t>
            </w:r>
          </w:p>
        </w:tc>
        <w:tc>
          <w:tcPr>
            <w:tcW w:w="818" w:type="dxa"/>
            <w:gridSpan w:val="2"/>
            <w:tcBorders>
              <w:top w:val="nil"/>
              <w:left w:val="single" w:sz="4" w:space="0" w:color="auto"/>
              <w:bottom w:val="single" w:sz="4" w:space="0" w:color="auto"/>
              <w:right w:val="nil"/>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90</w:t>
            </w:r>
          </w:p>
        </w:tc>
        <w:tc>
          <w:tcPr>
            <w:tcW w:w="818" w:type="dxa"/>
            <w:gridSpan w:val="3"/>
            <w:tcBorders>
              <w:top w:val="nil"/>
              <w:left w:val="nil"/>
              <w:bottom w:val="single" w:sz="4" w:space="0" w:color="auto"/>
              <w:right w:val="nil"/>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0</w:t>
            </w:r>
          </w:p>
        </w:tc>
        <w:tc>
          <w:tcPr>
            <w:tcW w:w="818" w:type="dxa"/>
            <w:gridSpan w:val="2"/>
            <w:tcBorders>
              <w:top w:val="nil"/>
              <w:left w:val="nil"/>
              <w:bottom w:val="single" w:sz="4" w:space="0" w:color="auto"/>
              <w:right w:val="nil"/>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0</w:t>
            </w:r>
          </w:p>
        </w:tc>
        <w:tc>
          <w:tcPr>
            <w:tcW w:w="818" w:type="dxa"/>
            <w:gridSpan w:val="2"/>
            <w:tcBorders>
              <w:top w:val="nil"/>
              <w:left w:val="nil"/>
              <w:bottom w:val="single" w:sz="4" w:space="0" w:color="auto"/>
              <w:right w:val="single" w:sz="4" w:space="0" w:color="auto"/>
            </w:tcBorders>
            <w:shd w:val="clear" w:color="auto" w:fill="auto"/>
            <w:noWrap/>
            <w:vAlign w:val="center"/>
            <w:hideMark/>
          </w:tcPr>
          <w:p w:rsidR="00340BDD" w:rsidRPr="0031091E" w:rsidRDefault="00340BDD" w:rsidP="00C35C39">
            <w:pPr>
              <w:jc w:val="right"/>
              <w:rPr>
                <w:color w:val="000000"/>
                <w:sz w:val="18"/>
                <w:szCs w:val="18"/>
              </w:rPr>
            </w:pPr>
            <w:r w:rsidRPr="0031091E">
              <w:rPr>
                <w:color w:val="000000"/>
                <w:sz w:val="18"/>
                <w:szCs w:val="18"/>
              </w:rPr>
              <w:t>0</w:t>
            </w:r>
          </w:p>
        </w:tc>
        <w:tc>
          <w:tcPr>
            <w:tcW w:w="818" w:type="dxa"/>
            <w:tcBorders>
              <w:top w:val="nil"/>
              <w:left w:val="single" w:sz="4" w:space="0" w:color="auto"/>
              <w:bottom w:val="single" w:sz="4" w:space="0" w:color="auto"/>
              <w:right w:val="nil"/>
            </w:tcBorders>
            <w:shd w:val="clear" w:color="auto" w:fill="auto"/>
            <w:noWrap/>
            <w:vAlign w:val="center"/>
            <w:hideMark/>
          </w:tcPr>
          <w:p w:rsidR="00340BDD" w:rsidRPr="0031091E" w:rsidRDefault="00340BDD" w:rsidP="00C35C39">
            <w:pPr>
              <w:jc w:val="right"/>
              <w:rPr>
                <w:color w:val="000000"/>
                <w:sz w:val="18"/>
                <w:szCs w:val="18"/>
              </w:rPr>
            </w:pPr>
          </w:p>
        </w:tc>
      </w:tr>
      <w:tr w:rsidR="00340BDD" w:rsidRPr="0031091E" w:rsidTr="00C35C39">
        <w:trPr>
          <w:trHeight w:val="169"/>
        </w:trPr>
        <w:tc>
          <w:tcPr>
            <w:tcW w:w="5144" w:type="dxa"/>
            <w:gridSpan w:val="3"/>
            <w:tcBorders>
              <w:top w:val="single" w:sz="4" w:space="0" w:color="auto"/>
              <w:left w:val="nil"/>
              <w:bottom w:val="nil"/>
              <w:right w:val="nil"/>
            </w:tcBorders>
            <w:shd w:val="clear" w:color="auto" w:fill="auto"/>
            <w:noWrap/>
            <w:vAlign w:val="bottom"/>
            <w:hideMark/>
          </w:tcPr>
          <w:p w:rsidR="00340BDD" w:rsidRPr="0031091E" w:rsidRDefault="00340BDD" w:rsidP="00C35C39">
            <w:pPr>
              <w:rPr>
                <w:color w:val="000000"/>
                <w:sz w:val="18"/>
                <w:szCs w:val="18"/>
              </w:rPr>
            </w:pPr>
            <w:r w:rsidRPr="0031091E">
              <w:rPr>
                <w:color w:val="000000"/>
                <w:sz w:val="18"/>
                <w:szCs w:val="18"/>
                <w:vertAlign w:val="superscript"/>
              </w:rPr>
              <w:t xml:space="preserve">1) </w:t>
            </w:r>
            <w:r w:rsidRPr="0031091E">
              <w:rPr>
                <w:color w:val="000000"/>
                <w:sz w:val="18"/>
                <w:szCs w:val="18"/>
              </w:rPr>
              <w:t>Jf. nedenstående afsnit vedrørende finansårsvirkning.</w:t>
            </w:r>
          </w:p>
        </w:tc>
        <w:tc>
          <w:tcPr>
            <w:tcW w:w="885" w:type="dxa"/>
            <w:gridSpan w:val="2"/>
            <w:tcBorders>
              <w:top w:val="single" w:sz="4" w:space="0" w:color="auto"/>
              <w:left w:val="nil"/>
              <w:bottom w:val="nil"/>
              <w:right w:val="nil"/>
            </w:tcBorders>
            <w:shd w:val="clear" w:color="auto" w:fill="auto"/>
            <w:noWrap/>
            <w:vAlign w:val="bottom"/>
            <w:hideMark/>
          </w:tcPr>
          <w:p w:rsidR="00340BDD" w:rsidRPr="0031091E" w:rsidRDefault="00340BDD" w:rsidP="00C35C39">
            <w:pPr>
              <w:rPr>
                <w:rFonts w:ascii="Calibri" w:hAnsi="Calibri" w:cs="Calibri"/>
                <w:color w:val="000000"/>
              </w:rPr>
            </w:pPr>
          </w:p>
        </w:tc>
        <w:tc>
          <w:tcPr>
            <w:tcW w:w="519" w:type="dxa"/>
            <w:tcBorders>
              <w:top w:val="single" w:sz="4" w:space="0" w:color="auto"/>
              <w:left w:val="nil"/>
              <w:bottom w:val="nil"/>
              <w:right w:val="nil"/>
            </w:tcBorders>
            <w:shd w:val="clear" w:color="auto" w:fill="auto"/>
            <w:noWrap/>
            <w:vAlign w:val="bottom"/>
            <w:hideMark/>
          </w:tcPr>
          <w:p w:rsidR="00340BDD" w:rsidRPr="0031091E" w:rsidRDefault="00340BDD" w:rsidP="00C35C39">
            <w:pPr>
              <w:rPr>
                <w:rFonts w:ascii="Calibri" w:hAnsi="Calibri" w:cs="Calibri"/>
                <w:color w:val="000000"/>
              </w:rPr>
            </w:pPr>
          </w:p>
        </w:tc>
        <w:tc>
          <w:tcPr>
            <w:tcW w:w="519" w:type="dxa"/>
            <w:gridSpan w:val="2"/>
            <w:tcBorders>
              <w:top w:val="single" w:sz="4" w:space="0" w:color="auto"/>
              <w:left w:val="nil"/>
              <w:bottom w:val="nil"/>
              <w:right w:val="nil"/>
            </w:tcBorders>
            <w:shd w:val="clear" w:color="auto" w:fill="auto"/>
            <w:noWrap/>
            <w:vAlign w:val="bottom"/>
            <w:hideMark/>
          </w:tcPr>
          <w:p w:rsidR="00340BDD" w:rsidRPr="0031091E" w:rsidRDefault="00340BDD" w:rsidP="00C35C39">
            <w:pPr>
              <w:rPr>
                <w:rFonts w:ascii="Calibri" w:hAnsi="Calibri" w:cs="Calibri"/>
                <w:color w:val="000000"/>
              </w:rPr>
            </w:pPr>
          </w:p>
        </w:tc>
        <w:tc>
          <w:tcPr>
            <w:tcW w:w="1225" w:type="dxa"/>
            <w:gridSpan w:val="2"/>
            <w:tcBorders>
              <w:top w:val="single" w:sz="4" w:space="0" w:color="auto"/>
              <w:left w:val="nil"/>
              <w:bottom w:val="nil"/>
              <w:right w:val="nil"/>
            </w:tcBorders>
            <w:shd w:val="clear" w:color="auto" w:fill="auto"/>
            <w:noWrap/>
            <w:vAlign w:val="bottom"/>
            <w:hideMark/>
          </w:tcPr>
          <w:p w:rsidR="00340BDD" w:rsidRPr="0031091E" w:rsidRDefault="00340BDD" w:rsidP="00C35C39">
            <w:pPr>
              <w:rPr>
                <w:rFonts w:ascii="Calibri" w:hAnsi="Calibri" w:cs="Calibri"/>
                <w:color w:val="000000"/>
              </w:rPr>
            </w:pPr>
          </w:p>
        </w:tc>
        <w:tc>
          <w:tcPr>
            <w:tcW w:w="917" w:type="dxa"/>
            <w:gridSpan w:val="2"/>
            <w:tcBorders>
              <w:top w:val="single" w:sz="4" w:space="0" w:color="auto"/>
              <w:left w:val="nil"/>
              <w:bottom w:val="nil"/>
              <w:right w:val="nil"/>
            </w:tcBorders>
            <w:shd w:val="clear" w:color="auto" w:fill="auto"/>
            <w:noWrap/>
            <w:vAlign w:val="bottom"/>
            <w:hideMark/>
          </w:tcPr>
          <w:p w:rsidR="00340BDD" w:rsidRPr="0031091E" w:rsidRDefault="00340BDD" w:rsidP="00C35C39">
            <w:pPr>
              <w:rPr>
                <w:rFonts w:ascii="Calibri" w:hAnsi="Calibri" w:cs="Calibri"/>
                <w:color w:val="000000"/>
              </w:rPr>
            </w:pPr>
          </w:p>
        </w:tc>
      </w:tr>
    </w:tbl>
    <w:p w:rsidR="00340BDD" w:rsidRDefault="00340BDD" w:rsidP="00340BDD">
      <w:pPr>
        <w:spacing w:line="276" w:lineRule="auto"/>
        <w:rPr>
          <w:iCs/>
        </w:rPr>
      </w:pPr>
    </w:p>
    <w:p w:rsidR="00340BDD" w:rsidRDefault="00340BDD" w:rsidP="00340BDD">
      <w:pPr>
        <w:rPr>
          <w:iCs/>
        </w:rPr>
      </w:pPr>
      <w:r>
        <w:rPr>
          <w:iCs/>
        </w:rPr>
        <w:t>Forslaget medfører, at moms optjent i 3. kvartal 2014 af virksomheder med en årlig momspligtig omsætning mellem 1 og 5 mio. kr. først indbetales i 2015 mod tidligere 4. kvartal 2014. Finansårsvirkningen i 2014 kan således skønnes til et statsligt mindreprovenu på ca. 6,67 mia. kr. i 2014, hvoraf ca. 6,5 mia. kr. vedrører forskydningen af momsindtægter over årsskiftet. Den del af finansårsvirkningen, der vedrører forskydningen af momsindtægterne, er ved gældende lov, jf. lov nr. 903 af 4. juli 2013, forudsat at komme i 2015. Dette lovforslag medfører, at denne forskydning fremrykkes til 2014, og at momsindtægterne i 2015 således igen vil nå et normalt niveau.</w:t>
      </w:r>
    </w:p>
    <w:p w:rsidR="00340BDD" w:rsidRDefault="00340BDD" w:rsidP="00340BDD">
      <w:pPr>
        <w:rPr>
          <w:iCs/>
        </w:rPr>
      </w:pPr>
    </w:p>
    <w:p w:rsidR="00340BDD" w:rsidRDefault="00340BDD" w:rsidP="00340BDD">
      <w:pPr>
        <w:rPr>
          <w:iCs/>
        </w:rPr>
      </w:pPr>
      <w:r>
        <w:rPr>
          <w:iCs/>
        </w:rPr>
        <w:t>De lavere momsindtægter i 2014, har betydning for det danske bidrag til EU gennem EU’s egne indtægter. Det danske bidrag til EU’s egne indtægter skønnes at falde med ca. 8,3 mio. kr. i 2014. Det danske bidrag til EU’s egne indtægter når i 2015 igen et normalt niveau.</w:t>
      </w:r>
    </w:p>
    <w:p w:rsidR="00340BDD" w:rsidRDefault="00340BDD" w:rsidP="00340BDD">
      <w:pPr>
        <w:rPr>
          <w:iCs/>
        </w:rPr>
      </w:pPr>
    </w:p>
    <w:p w:rsidR="00340BDD" w:rsidRPr="004F1A0C" w:rsidRDefault="00340BDD" w:rsidP="00340BDD">
      <w:pPr>
        <w:spacing w:line="276" w:lineRule="auto"/>
        <w:rPr>
          <w:rFonts w:eastAsia="Garamond"/>
          <w:i/>
        </w:rPr>
      </w:pPr>
      <w:r w:rsidRPr="004F1A0C">
        <w:rPr>
          <w:rFonts w:eastAsia="Garamond"/>
          <w:i/>
        </w:rPr>
        <w:t>4.</w:t>
      </w:r>
      <w:r>
        <w:rPr>
          <w:rFonts w:eastAsia="Garamond"/>
          <w:i/>
        </w:rPr>
        <w:t>6</w:t>
      </w:r>
      <w:r w:rsidRPr="004F1A0C">
        <w:rPr>
          <w:rFonts w:eastAsia="Garamond"/>
          <w:i/>
        </w:rPr>
        <w:t>. Lempelse af virksomhedernes afgift på brændsler</w:t>
      </w:r>
    </w:p>
    <w:p w:rsidR="00340BDD" w:rsidRPr="004F1A0C" w:rsidRDefault="00340BDD" w:rsidP="00340BDD">
      <w:pPr>
        <w:rPr>
          <w:rFonts w:eastAsia="Garamond"/>
        </w:rPr>
      </w:pPr>
      <w:r w:rsidRPr="004F1A0C">
        <w:rPr>
          <w:rFonts w:eastAsia="Garamond"/>
        </w:rPr>
        <w:t>Forslaget indebærer, at nedsættelse af godtgørelse af energiafgifterne for brændsler anvendt til procesformål til 4,5 kr. pr. GJ fremrykkes fra 1. januar 2015 til 1. januar 2014.</w:t>
      </w:r>
    </w:p>
    <w:p w:rsidR="00340BDD" w:rsidRPr="004F1A0C" w:rsidRDefault="00340BDD" w:rsidP="00340BDD">
      <w:pPr>
        <w:rPr>
          <w:rFonts w:eastAsia="Garamond"/>
        </w:rPr>
      </w:pPr>
    </w:p>
    <w:p w:rsidR="00340BDD" w:rsidRDefault="00340BDD" w:rsidP="00340BDD">
      <w:pPr>
        <w:rPr>
          <w:rFonts w:eastAsia="Garamond"/>
        </w:rPr>
      </w:pPr>
      <w:r w:rsidRPr="004F1A0C">
        <w:rPr>
          <w:rFonts w:eastAsia="Garamond"/>
        </w:rPr>
        <w:t xml:space="preserve">Forslaget skønnes at medføre et mindreprovenu for staten på ca. 90 mio. kr. i 2014 efter tilbageløb og ca. 75 mio. kr. i 2014 efter tilbageløb og adfærd. Den varige virkning efter tilbageløb og adfærd skønnes til ca. 0 mio. kr., </w:t>
      </w:r>
      <w:r w:rsidRPr="004F1A0C">
        <w:rPr>
          <w:rFonts w:eastAsia="Garamond"/>
          <w:i/>
        </w:rPr>
        <w:t>jf. tabel 4.</w:t>
      </w:r>
      <w:r>
        <w:rPr>
          <w:rFonts w:eastAsia="Garamond"/>
          <w:i/>
        </w:rPr>
        <w:t>6.1</w:t>
      </w:r>
      <w:r w:rsidRPr="004F1A0C">
        <w:rPr>
          <w:rFonts w:eastAsia="Garamond"/>
        </w:rPr>
        <w:t xml:space="preserve">. Finansårsvirkningen i 2014 udgør ca. 85 mio. kr. </w:t>
      </w:r>
    </w:p>
    <w:p w:rsidR="00340BDD" w:rsidRDefault="001B4CDD" w:rsidP="00340BDD">
      <w:pPr>
        <w:spacing w:line="276" w:lineRule="auto"/>
        <w:rPr>
          <w:rFonts w:eastAsia="Garamond"/>
        </w:rPr>
      </w:pPr>
      <w:r>
        <w:rPr>
          <w:rFonts w:eastAsia="Garamond"/>
        </w:rPr>
        <w:br w:type="page"/>
      </w:r>
    </w:p>
    <w:tbl>
      <w:tblPr>
        <w:tblW w:w="5000" w:type="pct"/>
        <w:tblCellMar>
          <w:left w:w="0" w:type="dxa"/>
          <w:right w:w="0" w:type="dxa"/>
        </w:tblCellMar>
        <w:tblLook w:val="04A0" w:firstRow="1" w:lastRow="0" w:firstColumn="1" w:lastColumn="0" w:noHBand="0" w:noVBand="1"/>
      </w:tblPr>
      <w:tblGrid>
        <w:gridCol w:w="4395"/>
        <w:gridCol w:w="779"/>
        <w:gridCol w:w="779"/>
        <w:gridCol w:w="779"/>
        <w:gridCol w:w="779"/>
        <w:gridCol w:w="779"/>
        <w:gridCol w:w="779"/>
      </w:tblGrid>
      <w:tr w:rsidR="00340BDD" w:rsidRPr="00D856B7" w:rsidTr="00C35C39">
        <w:trPr>
          <w:trHeight w:val="283"/>
        </w:trPr>
        <w:tc>
          <w:tcPr>
            <w:tcW w:w="9069" w:type="dxa"/>
            <w:gridSpan w:val="7"/>
            <w:tcBorders>
              <w:top w:val="single" w:sz="4" w:space="0" w:color="auto"/>
              <w:left w:val="nil"/>
              <w:bottom w:val="single" w:sz="4" w:space="0" w:color="auto"/>
              <w:right w:val="nil"/>
            </w:tcBorders>
            <w:vAlign w:val="bottom"/>
            <w:hideMark/>
          </w:tcPr>
          <w:p w:rsidR="00340BDD" w:rsidRPr="00D856B7" w:rsidRDefault="00340BDD" w:rsidP="00C35C39">
            <w:pPr>
              <w:rPr>
                <w:rFonts w:eastAsia="Calibri"/>
                <w:color w:val="000000"/>
                <w:sz w:val="18"/>
                <w:szCs w:val="18"/>
                <w:lang w:eastAsia="en-US"/>
              </w:rPr>
            </w:pPr>
            <w:r>
              <w:rPr>
                <w:b/>
                <w:bCs/>
                <w:color w:val="000000"/>
              </w:rPr>
              <w:t xml:space="preserve">Tabel 4.6.1. </w:t>
            </w:r>
            <w:r w:rsidRPr="00D856B7">
              <w:rPr>
                <w:b/>
                <w:bCs/>
                <w:color w:val="000000"/>
              </w:rPr>
              <w:t>Provenuvirkning af lempelse af virksomhedernes afgift på brændsler</w:t>
            </w:r>
          </w:p>
        </w:tc>
      </w:tr>
      <w:tr w:rsidR="00340BDD" w:rsidRPr="00D856B7" w:rsidTr="00C35C39">
        <w:trPr>
          <w:trHeight w:val="340"/>
        </w:trPr>
        <w:tc>
          <w:tcPr>
            <w:tcW w:w="4395" w:type="dxa"/>
            <w:tcBorders>
              <w:top w:val="single" w:sz="4" w:space="0" w:color="auto"/>
              <w:left w:val="nil"/>
              <w:bottom w:val="single" w:sz="4" w:space="0" w:color="auto"/>
              <w:right w:val="single" w:sz="4" w:space="0" w:color="auto"/>
            </w:tcBorders>
            <w:vAlign w:val="bottom"/>
            <w:hideMark/>
          </w:tcPr>
          <w:p w:rsidR="00340BDD" w:rsidRPr="00D856B7" w:rsidRDefault="00340BDD" w:rsidP="00C35C39">
            <w:pPr>
              <w:rPr>
                <w:rFonts w:eastAsia="Calibri"/>
                <w:color w:val="000000"/>
                <w:sz w:val="18"/>
                <w:szCs w:val="18"/>
              </w:rPr>
            </w:pPr>
            <w:r>
              <w:rPr>
                <w:color w:val="000000"/>
                <w:sz w:val="18"/>
                <w:szCs w:val="18"/>
              </w:rPr>
              <w:t>Mio. kr. (2014-niveau)</w:t>
            </w:r>
          </w:p>
        </w:tc>
        <w:tc>
          <w:tcPr>
            <w:tcW w:w="779" w:type="dxa"/>
            <w:tcBorders>
              <w:top w:val="single" w:sz="4" w:space="0" w:color="auto"/>
              <w:left w:val="single" w:sz="4" w:space="0" w:color="auto"/>
              <w:bottom w:val="single" w:sz="4" w:space="0" w:color="auto"/>
              <w:right w:val="single" w:sz="4" w:space="0" w:color="auto"/>
            </w:tcBorders>
            <w:vAlign w:val="bottom"/>
            <w:hideMark/>
          </w:tcPr>
          <w:p w:rsidR="00340BDD" w:rsidRPr="00D856B7" w:rsidRDefault="00340BDD" w:rsidP="00C35C39">
            <w:pPr>
              <w:jc w:val="center"/>
              <w:rPr>
                <w:rFonts w:eastAsia="Calibri"/>
                <w:color w:val="000000"/>
                <w:sz w:val="18"/>
                <w:szCs w:val="18"/>
              </w:rPr>
            </w:pPr>
            <w:r>
              <w:rPr>
                <w:color w:val="000000"/>
                <w:sz w:val="18"/>
                <w:szCs w:val="18"/>
              </w:rPr>
              <w:t>Varig virkning</w:t>
            </w:r>
          </w:p>
        </w:tc>
        <w:tc>
          <w:tcPr>
            <w:tcW w:w="779" w:type="dxa"/>
            <w:tcBorders>
              <w:top w:val="single" w:sz="4" w:space="0" w:color="auto"/>
              <w:left w:val="single" w:sz="4" w:space="0" w:color="auto"/>
              <w:bottom w:val="single" w:sz="4" w:space="0" w:color="auto"/>
              <w:right w:val="single" w:sz="4" w:space="0" w:color="auto"/>
            </w:tcBorders>
            <w:vAlign w:val="bottom"/>
            <w:hideMark/>
          </w:tcPr>
          <w:p w:rsidR="00340BDD" w:rsidRPr="00D856B7" w:rsidRDefault="00340BDD" w:rsidP="00C35C39">
            <w:pPr>
              <w:jc w:val="center"/>
              <w:rPr>
                <w:rFonts w:eastAsia="Calibri"/>
                <w:color w:val="000000"/>
                <w:sz w:val="18"/>
                <w:szCs w:val="18"/>
              </w:rPr>
            </w:pPr>
            <w:r>
              <w:rPr>
                <w:color w:val="000000"/>
                <w:sz w:val="18"/>
                <w:szCs w:val="18"/>
              </w:rPr>
              <w:t>2014</w:t>
            </w:r>
          </w:p>
        </w:tc>
        <w:tc>
          <w:tcPr>
            <w:tcW w:w="779" w:type="dxa"/>
            <w:tcBorders>
              <w:top w:val="single" w:sz="4" w:space="0" w:color="auto"/>
              <w:left w:val="single" w:sz="4" w:space="0" w:color="auto"/>
              <w:bottom w:val="single" w:sz="4" w:space="0" w:color="auto"/>
              <w:right w:val="single" w:sz="4" w:space="0" w:color="auto"/>
            </w:tcBorders>
            <w:vAlign w:val="bottom"/>
            <w:hideMark/>
          </w:tcPr>
          <w:p w:rsidR="00340BDD" w:rsidRPr="00D856B7" w:rsidRDefault="00340BDD" w:rsidP="00C35C39">
            <w:pPr>
              <w:jc w:val="center"/>
              <w:rPr>
                <w:rFonts w:eastAsia="Calibri"/>
                <w:color w:val="000000"/>
                <w:sz w:val="18"/>
                <w:szCs w:val="18"/>
              </w:rPr>
            </w:pPr>
            <w:r>
              <w:rPr>
                <w:color w:val="000000"/>
                <w:sz w:val="18"/>
                <w:szCs w:val="18"/>
              </w:rPr>
              <w:t>2015</w:t>
            </w:r>
          </w:p>
        </w:tc>
        <w:tc>
          <w:tcPr>
            <w:tcW w:w="779" w:type="dxa"/>
            <w:tcBorders>
              <w:top w:val="single" w:sz="4" w:space="0" w:color="auto"/>
              <w:left w:val="single" w:sz="4" w:space="0" w:color="auto"/>
              <w:bottom w:val="single" w:sz="4" w:space="0" w:color="auto"/>
              <w:right w:val="single" w:sz="4" w:space="0" w:color="auto"/>
            </w:tcBorders>
            <w:vAlign w:val="bottom"/>
            <w:hideMark/>
          </w:tcPr>
          <w:p w:rsidR="00340BDD" w:rsidRPr="00D856B7" w:rsidRDefault="00340BDD" w:rsidP="00C35C39">
            <w:pPr>
              <w:jc w:val="center"/>
              <w:rPr>
                <w:rFonts w:eastAsia="Calibri"/>
                <w:color w:val="000000"/>
                <w:sz w:val="18"/>
                <w:szCs w:val="18"/>
              </w:rPr>
            </w:pPr>
            <w:r>
              <w:rPr>
                <w:color w:val="000000"/>
                <w:sz w:val="18"/>
                <w:szCs w:val="18"/>
              </w:rPr>
              <w:t>2016</w:t>
            </w:r>
          </w:p>
        </w:tc>
        <w:tc>
          <w:tcPr>
            <w:tcW w:w="779" w:type="dxa"/>
            <w:tcBorders>
              <w:top w:val="single" w:sz="4" w:space="0" w:color="auto"/>
              <w:left w:val="single" w:sz="4" w:space="0" w:color="auto"/>
              <w:bottom w:val="single" w:sz="4" w:space="0" w:color="auto"/>
              <w:right w:val="single" w:sz="4" w:space="0" w:color="auto"/>
            </w:tcBorders>
            <w:vAlign w:val="bottom"/>
            <w:hideMark/>
          </w:tcPr>
          <w:p w:rsidR="00340BDD" w:rsidRPr="00D856B7" w:rsidRDefault="00340BDD" w:rsidP="00C35C39">
            <w:pPr>
              <w:jc w:val="center"/>
              <w:rPr>
                <w:rFonts w:eastAsia="Calibri"/>
                <w:color w:val="000000"/>
                <w:sz w:val="18"/>
                <w:szCs w:val="18"/>
              </w:rPr>
            </w:pPr>
            <w:r>
              <w:rPr>
                <w:color w:val="000000"/>
                <w:sz w:val="18"/>
                <w:szCs w:val="18"/>
              </w:rPr>
              <w:t>2017</w:t>
            </w:r>
          </w:p>
        </w:tc>
        <w:tc>
          <w:tcPr>
            <w:tcW w:w="779" w:type="dxa"/>
            <w:tcBorders>
              <w:top w:val="single" w:sz="4" w:space="0" w:color="auto"/>
              <w:left w:val="single" w:sz="4" w:space="0" w:color="auto"/>
              <w:bottom w:val="single" w:sz="4" w:space="0" w:color="auto"/>
              <w:right w:val="nil"/>
            </w:tcBorders>
            <w:vAlign w:val="bottom"/>
            <w:hideMark/>
          </w:tcPr>
          <w:p w:rsidR="00340BDD" w:rsidRPr="00D856B7" w:rsidRDefault="00340BDD" w:rsidP="00C35C39">
            <w:pPr>
              <w:jc w:val="center"/>
              <w:rPr>
                <w:rFonts w:eastAsia="Calibri"/>
                <w:color w:val="000000"/>
                <w:sz w:val="18"/>
                <w:szCs w:val="18"/>
              </w:rPr>
            </w:pPr>
            <w:r>
              <w:rPr>
                <w:color w:val="000000"/>
                <w:sz w:val="18"/>
                <w:szCs w:val="18"/>
              </w:rPr>
              <w:t>Finansår 2014</w:t>
            </w:r>
          </w:p>
        </w:tc>
      </w:tr>
      <w:tr w:rsidR="00340BDD" w:rsidRPr="00D856B7" w:rsidTr="00C35C39">
        <w:trPr>
          <w:trHeight w:val="283"/>
        </w:trPr>
        <w:tc>
          <w:tcPr>
            <w:tcW w:w="4395" w:type="dxa"/>
            <w:tcBorders>
              <w:top w:val="single" w:sz="4" w:space="0" w:color="auto"/>
              <w:left w:val="nil"/>
              <w:bottom w:val="nil"/>
              <w:right w:val="single" w:sz="4" w:space="0" w:color="auto"/>
            </w:tcBorders>
            <w:vAlign w:val="center"/>
            <w:hideMark/>
          </w:tcPr>
          <w:p w:rsidR="00340BDD" w:rsidRPr="00D856B7" w:rsidRDefault="00340BDD" w:rsidP="00C35C39">
            <w:pPr>
              <w:rPr>
                <w:rFonts w:eastAsia="Calibri"/>
                <w:bCs/>
                <w:color w:val="000000"/>
                <w:sz w:val="18"/>
                <w:szCs w:val="18"/>
              </w:rPr>
            </w:pPr>
            <w:r w:rsidRPr="00D856B7">
              <w:rPr>
                <w:bCs/>
                <w:color w:val="000000"/>
                <w:sz w:val="18"/>
                <w:szCs w:val="18"/>
              </w:rPr>
              <w:t xml:space="preserve">Umiddelbar provenuvirkning </w:t>
            </w:r>
          </w:p>
        </w:tc>
        <w:tc>
          <w:tcPr>
            <w:tcW w:w="779" w:type="dxa"/>
            <w:tcBorders>
              <w:top w:val="single" w:sz="4" w:space="0" w:color="auto"/>
              <w:left w:val="single" w:sz="4" w:space="0" w:color="auto"/>
              <w:right w:val="single" w:sz="4" w:space="0" w:color="auto"/>
            </w:tcBorders>
            <w:vAlign w:val="center"/>
            <w:hideMark/>
          </w:tcPr>
          <w:p w:rsidR="00340BDD" w:rsidRPr="001B4CDD" w:rsidRDefault="00340BDD" w:rsidP="00C35C39">
            <w:pPr>
              <w:ind w:right="113"/>
              <w:jc w:val="right"/>
              <w:rPr>
                <w:color w:val="000000"/>
                <w:sz w:val="18"/>
                <w:szCs w:val="18"/>
              </w:rPr>
            </w:pPr>
            <w:r w:rsidRPr="001B4CDD">
              <w:rPr>
                <w:color w:val="000000"/>
                <w:sz w:val="18"/>
                <w:szCs w:val="18"/>
              </w:rPr>
              <w:t>0</w:t>
            </w:r>
          </w:p>
        </w:tc>
        <w:tc>
          <w:tcPr>
            <w:tcW w:w="779" w:type="dxa"/>
            <w:tcBorders>
              <w:top w:val="single" w:sz="4" w:space="0" w:color="auto"/>
              <w:left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-90</w:t>
            </w:r>
          </w:p>
        </w:tc>
        <w:tc>
          <w:tcPr>
            <w:tcW w:w="779" w:type="dxa"/>
            <w:tcBorders>
              <w:top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5</w:t>
            </w:r>
          </w:p>
        </w:tc>
        <w:tc>
          <w:tcPr>
            <w:tcW w:w="779" w:type="dxa"/>
            <w:tcBorders>
              <w:top w:val="single" w:sz="4" w:space="0" w:color="auto"/>
              <w:left w:val="nil"/>
              <w:bottom w:val="nil"/>
              <w:right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single" w:sz="4" w:space="0" w:color="auto"/>
              <w:left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-85</w:t>
            </w:r>
          </w:p>
        </w:tc>
      </w:tr>
      <w:tr w:rsidR="00340BDD" w:rsidRPr="00D856B7" w:rsidTr="00C35C39">
        <w:trPr>
          <w:trHeight w:val="283"/>
        </w:trPr>
        <w:tc>
          <w:tcPr>
            <w:tcW w:w="4395" w:type="dxa"/>
            <w:tcBorders>
              <w:top w:val="nil"/>
              <w:left w:val="nil"/>
              <w:bottom w:val="nil"/>
              <w:right w:val="single" w:sz="4" w:space="0" w:color="auto"/>
            </w:tcBorders>
            <w:vAlign w:val="center"/>
          </w:tcPr>
          <w:p w:rsidR="00340BDD" w:rsidRPr="00D856B7" w:rsidRDefault="00340BDD" w:rsidP="00C35C39">
            <w:pPr>
              <w:rPr>
                <w:bCs/>
                <w:color w:val="000000"/>
                <w:sz w:val="18"/>
                <w:szCs w:val="18"/>
              </w:rPr>
            </w:pPr>
            <w:r w:rsidRPr="00D856B7">
              <w:rPr>
                <w:bCs/>
                <w:color w:val="000000"/>
                <w:sz w:val="18"/>
                <w:szCs w:val="18"/>
              </w:rPr>
              <w:t>Umiddelbar provenuvirkning inkl. virkning på andre konti</w:t>
            </w:r>
          </w:p>
        </w:tc>
        <w:tc>
          <w:tcPr>
            <w:tcW w:w="779" w:type="dxa"/>
            <w:tcBorders>
              <w:left w:val="single" w:sz="4" w:space="0" w:color="auto"/>
              <w:right w:val="single" w:sz="4" w:space="0" w:color="auto"/>
            </w:tcBorders>
            <w:vAlign w:val="center"/>
          </w:tcPr>
          <w:p w:rsidR="00340BDD" w:rsidRPr="00C35C39" w:rsidRDefault="00340BDD" w:rsidP="00C35C39">
            <w:pPr>
              <w:ind w:right="113"/>
              <w:jc w:val="right"/>
              <w:rPr>
                <w:color w:val="000000"/>
                <w:sz w:val="18"/>
                <w:szCs w:val="18"/>
              </w:rPr>
            </w:pPr>
            <w:r w:rsidRPr="00C35C39">
              <w:rPr>
                <w:color w:val="000000"/>
                <w:sz w:val="18"/>
                <w:szCs w:val="18"/>
              </w:rPr>
              <w:t>-5</w:t>
            </w:r>
          </w:p>
        </w:tc>
        <w:tc>
          <w:tcPr>
            <w:tcW w:w="779" w:type="dxa"/>
            <w:tcBorders>
              <w:left w:val="single" w:sz="4" w:space="0" w:color="auto"/>
            </w:tcBorders>
            <w:vAlign w:val="center"/>
          </w:tcPr>
          <w:p w:rsidR="00340BDD" w:rsidRPr="00C35C39" w:rsidRDefault="00340BDD" w:rsidP="00C35C39">
            <w:pPr>
              <w:ind w:right="113"/>
              <w:jc w:val="right"/>
              <w:rPr>
                <w:color w:val="000000"/>
                <w:sz w:val="18"/>
                <w:szCs w:val="18"/>
              </w:rPr>
            </w:pPr>
            <w:r w:rsidRPr="00C35C39">
              <w:rPr>
                <w:color w:val="000000"/>
                <w:sz w:val="18"/>
                <w:szCs w:val="18"/>
              </w:rPr>
              <w:t>-115</w:t>
            </w:r>
          </w:p>
        </w:tc>
        <w:tc>
          <w:tcPr>
            <w:tcW w:w="779" w:type="dxa"/>
            <w:vAlign w:val="center"/>
          </w:tcPr>
          <w:p w:rsidR="00340BDD" w:rsidRPr="00C35C39" w:rsidRDefault="00340BDD" w:rsidP="00C35C39">
            <w:pPr>
              <w:ind w:right="113"/>
              <w:jc w:val="right"/>
              <w:rPr>
                <w:color w:val="000000"/>
                <w:sz w:val="18"/>
                <w:szCs w:val="18"/>
              </w:rPr>
            </w:pPr>
            <w:r w:rsidRPr="00C35C39">
              <w:rPr>
                <w:color w:val="000000"/>
                <w:sz w:val="18"/>
                <w:szCs w:val="18"/>
              </w:rPr>
              <w:t>5</w:t>
            </w:r>
          </w:p>
        </w:tc>
        <w:tc>
          <w:tcPr>
            <w:tcW w:w="779" w:type="dxa"/>
            <w:vAlign w:val="center"/>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nil"/>
              <w:left w:val="nil"/>
              <w:bottom w:val="nil"/>
              <w:right w:val="single" w:sz="4" w:space="0" w:color="auto"/>
            </w:tcBorders>
            <w:vAlign w:val="center"/>
          </w:tcPr>
          <w:p w:rsidR="00340BDD" w:rsidRPr="00C35C39" w:rsidRDefault="00340BDD" w:rsidP="00C35C39">
            <w:pPr>
              <w:ind w:right="113"/>
              <w:jc w:val="right"/>
              <w:rPr>
                <w:color w:val="000000"/>
                <w:sz w:val="18"/>
                <w:szCs w:val="18"/>
              </w:rPr>
            </w:pPr>
            <w:r w:rsidRPr="00C35C39">
              <w:rPr>
                <w:color w:val="000000"/>
                <w:sz w:val="18"/>
                <w:szCs w:val="18"/>
              </w:rPr>
              <w:t>5</w:t>
            </w:r>
          </w:p>
        </w:tc>
        <w:tc>
          <w:tcPr>
            <w:tcW w:w="779" w:type="dxa"/>
            <w:tcBorders>
              <w:left w:val="single" w:sz="4" w:space="0" w:color="auto"/>
            </w:tcBorders>
            <w:vAlign w:val="center"/>
          </w:tcPr>
          <w:p w:rsidR="00340BDD" w:rsidRPr="007D067E" w:rsidRDefault="00340BDD" w:rsidP="00C35C39">
            <w:pPr>
              <w:ind w:right="113"/>
              <w:jc w:val="right"/>
              <w:rPr>
                <w:color w:val="000000"/>
                <w:sz w:val="18"/>
                <w:szCs w:val="18"/>
              </w:rPr>
            </w:pPr>
            <w:r w:rsidRPr="007D067E">
              <w:rPr>
                <w:color w:val="000000"/>
                <w:sz w:val="18"/>
                <w:szCs w:val="18"/>
              </w:rPr>
              <w:t>-105</w:t>
            </w:r>
          </w:p>
        </w:tc>
      </w:tr>
      <w:tr w:rsidR="00340BDD" w:rsidRPr="00D856B7" w:rsidTr="00C35C39">
        <w:trPr>
          <w:trHeight w:val="300"/>
        </w:trPr>
        <w:tc>
          <w:tcPr>
            <w:tcW w:w="4395" w:type="dxa"/>
            <w:tcBorders>
              <w:top w:val="nil"/>
              <w:left w:val="nil"/>
              <w:bottom w:val="single" w:sz="4" w:space="0" w:color="auto"/>
              <w:right w:val="single" w:sz="4" w:space="0" w:color="auto"/>
            </w:tcBorders>
            <w:vAlign w:val="center"/>
            <w:hideMark/>
          </w:tcPr>
          <w:p w:rsidR="00340BDD" w:rsidRPr="00D856B7" w:rsidRDefault="00340BDD" w:rsidP="00C35C39">
            <w:pPr>
              <w:rPr>
                <w:rFonts w:eastAsia="Calibri"/>
                <w:bCs/>
                <w:color w:val="000000"/>
                <w:sz w:val="18"/>
                <w:szCs w:val="18"/>
              </w:rPr>
            </w:pPr>
            <w:r w:rsidRPr="00D856B7">
              <w:rPr>
                <w:bCs/>
                <w:color w:val="000000"/>
                <w:sz w:val="18"/>
                <w:szCs w:val="18"/>
              </w:rPr>
              <w:t>Provenuvirkning efter tilbageløb i alt</w:t>
            </w:r>
          </w:p>
        </w:tc>
        <w:tc>
          <w:tcPr>
            <w:tcW w:w="779" w:type="dxa"/>
            <w:tcBorders>
              <w:top w:val="nil"/>
              <w:left w:val="single" w:sz="4" w:space="0" w:color="auto"/>
              <w:bottom w:val="single" w:sz="4" w:space="0" w:color="auto"/>
              <w:right w:val="single" w:sz="4" w:space="0" w:color="auto"/>
            </w:tcBorders>
            <w:vAlign w:val="center"/>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nil"/>
              <w:left w:val="single" w:sz="4" w:space="0" w:color="auto"/>
              <w:bottom w:val="single" w:sz="4" w:space="0" w:color="auto"/>
              <w:right w:val="nil"/>
            </w:tcBorders>
            <w:vAlign w:val="center"/>
          </w:tcPr>
          <w:p w:rsidR="00340BDD" w:rsidRPr="00C35C39" w:rsidRDefault="00340BDD" w:rsidP="00C35C39">
            <w:pPr>
              <w:ind w:right="113"/>
              <w:jc w:val="right"/>
              <w:rPr>
                <w:color w:val="000000"/>
                <w:sz w:val="18"/>
                <w:szCs w:val="18"/>
              </w:rPr>
            </w:pPr>
            <w:r w:rsidRPr="00C35C39">
              <w:rPr>
                <w:color w:val="000000"/>
                <w:sz w:val="18"/>
                <w:szCs w:val="18"/>
              </w:rPr>
              <w:t>-90</w:t>
            </w:r>
          </w:p>
        </w:tc>
        <w:tc>
          <w:tcPr>
            <w:tcW w:w="779" w:type="dxa"/>
            <w:tcBorders>
              <w:top w:val="nil"/>
              <w:left w:val="nil"/>
              <w:bottom w:val="single" w:sz="4" w:space="0" w:color="auto"/>
              <w:right w:val="nil"/>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nil"/>
              <w:left w:val="nil"/>
              <w:bottom w:val="single" w:sz="4" w:space="0" w:color="auto"/>
              <w:right w:val="nil"/>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5</w:t>
            </w:r>
          </w:p>
        </w:tc>
        <w:tc>
          <w:tcPr>
            <w:tcW w:w="779" w:type="dxa"/>
            <w:tcBorders>
              <w:top w:val="nil"/>
              <w:left w:val="nil"/>
              <w:bottom w:val="single" w:sz="4" w:space="0" w:color="auto"/>
              <w:right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nil"/>
              <w:left w:val="single" w:sz="4" w:space="0" w:color="auto"/>
              <w:bottom w:val="single" w:sz="4" w:space="0" w:color="auto"/>
              <w:right w:val="nil"/>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-85</w:t>
            </w:r>
          </w:p>
        </w:tc>
      </w:tr>
      <w:tr w:rsidR="00340BDD" w:rsidRPr="00D856B7" w:rsidTr="00C35C39">
        <w:trPr>
          <w:trHeight w:val="300"/>
        </w:trPr>
        <w:tc>
          <w:tcPr>
            <w:tcW w:w="4395" w:type="dxa"/>
            <w:tcBorders>
              <w:top w:val="single" w:sz="4" w:space="0" w:color="auto"/>
              <w:left w:val="nil"/>
              <w:bottom w:val="single" w:sz="4" w:space="0" w:color="auto"/>
              <w:right w:val="single" w:sz="4" w:space="0" w:color="auto"/>
            </w:tcBorders>
            <w:vAlign w:val="center"/>
            <w:hideMark/>
          </w:tcPr>
          <w:p w:rsidR="00340BDD" w:rsidRPr="00D856B7" w:rsidRDefault="00340BDD" w:rsidP="00C35C39">
            <w:pPr>
              <w:rPr>
                <w:rFonts w:eastAsia="Calibri"/>
                <w:bCs/>
                <w:color w:val="000000"/>
                <w:sz w:val="18"/>
                <w:szCs w:val="18"/>
              </w:rPr>
            </w:pPr>
            <w:r>
              <w:rPr>
                <w:bCs/>
                <w:color w:val="000000"/>
                <w:sz w:val="18"/>
                <w:szCs w:val="18"/>
              </w:rPr>
              <w:t>P</w:t>
            </w:r>
            <w:r w:rsidRPr="00D856B7">
              <w:rPr>
                <w:bCs/>
                <w:color w:val="000000"/>
                <w:sz w:val="18"/>
                <w:szCs w:val="18"/>
              </w:rPr>
              <w:t>rovenuvirkning efter tilbageløb og adfærd i alt</w:t>
            </w:r>
          </w:p>
        </w:tc>
        <w:tc>
          <w:tcPr>
            <w:tcW w:w="779" w:type="dxa"/>
            <w:tcBorders>
              <w:top w:val="single" w:sz="4" w:space="0" w:color="auto"/>
              <w:left w:val="single" w:sz="4" w:space="0" w:color="auto"/>
              <w:bottom w:val="single" w:sz="4" w:space="0" w:color="auto"/>
              <w:right w:val="single" w:sz="4" w:space="0" w:color="auto"/>
            </w:tcBorders>
            <w:vAlign w:val="center"/>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single" w:sz="4" w:space="0" w:color="auto"/>
              <w:left w:val="single" w:sz="4" w:space="0" w:color="auto"/>
              <w:bottom w:val="single" w:sz="4" w:space="0" w:color="auto"/>
              <w:right w:val="nil"/>
            </w:tcBorders>
            <w:vAlign w:val="center"/>
          </w:tcPr>
          <w:p w:rsidR="00340BDD" w:rsidRPr="00C35C39" w:rsidRDefault="00340BDD" w:rsidP="00C35C39">
            <w:pPr>
              <w:ind w:right="113"/>
              <w:jc w:val="right"/>
              <w:rPr>
                <w:color w:val="000000"/>
                <w:sz w:val="18"/>
                <w:szCs w:val="18"/>
              </w:rPr>
            </w:pPr>
            <w:r w:rsidRPr="00C35C39">
              <w:rPr>
                <w:color w:val="000000"/>
                <w:sz w:val="18"/>
                <w:szCs w:val="18"/>
              </w:rPr>
              <w:t>-75</w:t>
            </w:r>
          </w:p>
        </w:tc>
        <w:tc>
          <w:tcPr>
            <w:tcW w:w="779" w:type="dxa"/>
            <w:tcBorders>
              <w:top w:val="single" w:sz="4" w:space="0" w:color="auto"/>
              <w:left w:val="nil"/>
              <w:bottom w:val="single" w:sz="4" w:space="0" w:color="auto"/>
              <w:right w:val="nil"/>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single" w:sz="4" w:space="0" w:color="auto"/>
              <w:left w:val="nil"/>
              <w:bottom w:val="single" w:sz="4" w:space="0" w:color="auto"/>
              <w:right w:val="nil"/>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5</w:t>
            </w:r>
          </w:p>
        </w:tc>
        <w:tc>
          <w:tcPr>
            <w:tcW w:w="779" w:type="dxa"/>
            <w:tcBorders>
              <w:top w:val="single" w:sz="4" w:space="0" w:color="auto"/>
              <w:left w:val="nil"/>
              <w:bottom w:val="single" w:sz="4" w:space="0" w:color="auto"/>
              <w:right w:val="single" w:sz="4" w:space="0" w:color="auto"/>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0</w:t>
            </w:r>
          </w:p>
        </w:tc>
        <w:tc>
          <w:tcPr>
            <w:tcW w:w="779" w:type="dxa"/>
            <w:tcBorders>
              <w:top w:val="single" w:sz="4" w:space="0" w:color="auto"/>
              <w:left w:val="single" w:sz="4" w:space="0" w:color="auto"/>
              <w:bottom w:val="single" w:sz="4" w:space="0" w:color="auto"/>
              <w:right w:val="nil"/>
            </w:tcBorders>
            <w:vAlign w:val="center"/>
            <w:hideMark/>
          </w:tcPr>
          <w:p w:rsidR="00340BDD" w:rsidRPr="00C35C39" w:rsidRDefault="00340BDD" w:rsidP="00C35C39">
            <w:pPr>
              <w:ind w:right="113"/>
              <w:jc w:val="right"/>
              <w:rPr>
                <w:color w:val="000000"/>
                <w:sz w:val="18"/>
                <w:szCs w:val="18"/>
              </w:rPr>
            </w:pPr>
            <w:r w:rsidRPr="00C35C39">
              <w:rPr>
                <w:color w:val="000000"/>
                <w:sz w:val="18"/>
                <w:szCs w:val="18"/>
              </w:rPr>
              <w:t>-70</w:t>
            </w:r>
          </w:p>
        </w:tc>
      </w:tr>
      <w:tr w:rsidR="00340BDD" w:rsidRPr="00D856B7" w:rsidTr="00C35C39">
        <w:trPr>
          <w:trHeight w:val="69"/>
        </w:trPr>
        <w:tc>
          <w:tcPr>
            <w:tcW w:w="9069" w:type="dxa"/>
            <w:gridSpan w:val="7"/>
            <w:tcBorders>
              <w:top w:val="single" w:sz="4" w:space="0" w:color="auto"/>
            </w:tcBorders>
            <w:vAlign w:val="center"/>
            <w:hideMark/>
          </w:tcPr>
          <w:p w:rsidR="00340BDD" w:rsidRPr="00D856B7" w:rsidRDefault="00340BDD" w:rsidP="00C35C39">
            <w:pPr>
              <w:rPr>
                <w:rFonts w:eastAsia="Calibri"/>
                <w:color w:val="000000"/>
                <w:sz w:val="14"/>
                <w:szCs w:val="14"/>
              </w:rPr>
            </w:pPr>
          </w:p>
        </w:tc>
      </w:tr>
    </w:tbl>
    <w:p w:rsidR="00340BDD" w:rsidRDefault="00340BDD" w:rsidP="00340BDD">
      <w:pPr>
        <w:spacing w:line="276" w:lineRule="auto"/>
        <w:rPr>
          <w:iCs/>
        </w:rPr>
      </w:pPr>
    </w:p>
    <w:p w:rsidR="00340BDD" w:rsidRPr="00DD01E0" w:rsidRDefault="00340BDD" w:rsidP="00340BDD">
      <w:pPr>
        <w:spacing w:line="276" w:lineRule="auto"/>
        <w:rPr>
          <w:i/>
          <w:iCs/>
        </w:rPr>
      </w:pPr>
      <w:r w:rsidRPr="00DD01E0">
        <w:rPr>
          <w:i/>
          <w:iCs/>
        </w:rPr>
        <w:t>4.7. Fradrag for selvstændiges syge- og arbejdsskadeforsikring</w:t>
      </w:r>
    </w:p>
    <w:p w:rsidR="00340BDD" w:rsidRDefault="00340BDD" w:rsidP="00340BDD">
      <w:r>
        <w:t xml:space="preserve">Med forslaget fremrykkes selvstændiges mulighed for at fratrække udgifter til syge- og arbejdsskadeforsikring som et ligningsmæssigt fradrag fra indkomståret 2015 til indkomståret 2014. Dette forventes at medføre et umiddelbart mindreprovenu på ca. 75 mio. kr. i 2014, mens det forventede mindreprovenu efter tilbageløb og adfærdsændringer udgør ca. 55 mio. kr. Opgjort i varig virkning indebærer forslaget kun et marginalt mindreprovenu. </w:t>
      </w:r>
    </w:p>
    <w:p w:rsidR="00340BDD" w:rsidRDefault="00340BDD" w:rsidP="00340BDD"/>
    <w:p w:rsidR="00340BDD" w:rsidRDefault="00340BDD" w:rsidP="00340BDD"/>
    <w:tbl>
      <w:tblPr>
        <w:tblW w:w="5000" w:type="pct"/>
        <w:tblLayout w:type="fixed"/>
        <w:tblCellMar>
          <w:top w:w="28" w:type="dxa"/>
          <w:left w:w="28" w:type="dxa"/>
          <w:bottom w:w="28" w:type="dxa"/>
          <w:right w:w="28" w:type="dxa"/>
        </w:tblCellMar>
        <w:tblLook w:val="04A0" w:firstRow="1" w:lastRow="0" w:firstColumn="1" w:lastColumn="0" w:noHBand="0" w:noVBand="1"/>
      </w:tblPr>
      <w:tblGrid>
        <w:gridCol w:w="3997"/>
        <w:gridCol w:w="854"/>
        <w:gridCol w:w="855"/>
        <w:gridCol w:w="152"/>
        <w:gridCol w:w="703"/>
        <w:gridCol w:w="386"/>
        <w:gridCol w:w="468"/>
        <w:gridCol w:w="621"/>
        <w:gridCol w:w="234"/>
        <w:gridCol w:w="855"/>
      </w:tblGrid>
      <w:tr w:rsidR="00340BDD" w:rsidRPr="000D47CC" w:rsidTr="00C35C39">
        <w:trPr>
          <w:trHeight w:val="210"/>
        </w:trPr>
        <w:tc>
          <w:tcPr>
            <w:tcW w:w="9125" w:type="dxa"/>
            <w:gridSpan w:val="10"/>
            <w:tcBorders>
              <w:top w:val="single" w:sz="4" w:space="0" w:color="auto"/>
              <w:left w:val="nil"/>
              <w:bottom w:val="single" w:sz="4" w:space="0" w:color="auto"/>
              <w:right w:val="nil"/>
            </w:tcBorders>
            <w:shd w:val="clear" w:color="auto" w:fill="auto"/>
            <w:noWrap/>
            <w:vAlign w:val="center"/>
            <w:hideMark/>
          </w:tcPr>
          <w:p w:rsidR="00340BDD" w:rsidRPr="000D47CC" w:rsidRDefault="00340BDD" w:rsidP="00C35C39">
            <w:pPr>
              <w:rPr>
                <w:b/>
                <w:bCs/>
              </w:rPr>
            </w:pPr>
            <w:r w:rsidRPr="000D47CC">
              <w:rPr>
                <w:b/>
                <w:bCs/>
              </w:rPr>
              <w:t xml:space="preserve">Tabel 4.7.1. </w:t>
            </w:r>
            <w:r w:rsidRPr="000D47CC">
              <w:rPr>
                <w:b/>
                <w:color w:val="000000"/>
              </w:rPr>
              <w:t>Provenuvirkning af fradrag for selvstændiges syge- og arbejdsskadeforsikring</w:t>
            </w:r>
          </w:p>
        </w:tc>
      </w:tr>
      <w:tr w:rsidR="00340BDD" w:rsidRPr="000D47CC" w:rsidTr="00C35C39">
        <w:trPr>
          <w:trHeight w:val="210"/>
        </w:trPr>
        <w:tc>
          <w:tcPr>
            <w:tcW w:w="3997" w:type="dxa"/>
            <w:tcBorders>
              <w:top w:val="single" w:sz="4" w:space="0" w:color="auto"/>
              <w:left w:val="nil"/>
              <w:bottom w:val="single" w:sz="4" w:space="0" w:color="auto"/>
              <w:right w:val="single" w:sz="4" w:space="0" w:color="auto"/>
            </w:tcBorders>
            <w:shd w:val="clear" w:color="auto" w:fill="auto"/>
            <w:noWrap/>
            <w:vAlign w:val="bottom"/>
            <w:hideMark/>
          </w:tcPr>
          <w:p w:rsidR="00340BDD" w:rsidRPr="000D47CC" w:rsidRDefault="00340BDD" w:rsidP="00C35C39">
            <w:pPr>
              <w:rPr>
                <w:color w:val="000000"/>
                <w:sz w:val="18"/>
                <w:szCs w:val="18"/>
              </w:rPr>
            </w:pPr>
            <w:r w:rsidRPr="000D47CC">
              <w:rPr>
                <w:color w:val="000000"/>
                <w:sz w:val="18"/>
                <w:szCs w:val="18"/>
              </w:rPr>
              <w:t>Mio. kr. (2014-niveau)</w:t>
            </w:r>
          </w:p>
        </w:tc>
        <w:tc>
          <w:tcPr>
            <w:tcW w:w="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40BDD" w:rsidRPr="000D47CC" w:rsidRDefault="00340BDD" w:rsidP="00C35C39">
            <w:pPr>
              <w:jc w:val="center"/>
              <w:rPr>
                <w:color w:val="000000"/>
                <w:sz w:val="18"/>
                <w:szCs w:val="18"/>
              </w:rPr>
            </w:pPr>
            <w:r w:rsidRPr="000D47CC">
              <w:rPr>
                <w:color w:val="000000"/>
                <w:sz w:val="18"/>
                <w:szCs w:val="18"/>
              </w:rPr>
              <w:t>Varig virkning</w:t>
            </w:r>
          </w:p>
        </w:tc>
        <w:tc>
          <w:tcPr>
            <w:tcW w:w="855" w:type="dxa"/>
            <w:tcBorders>
              <w:top w:val="single" w:sz="4" w:space="0" w:color="auto"/>
              <w:left w:val="single" w:sz="4" w:space="0" w:color="auto"/>
              <w:bottom w:val="single" w:sz="4" w:space="0" w:color="auto"/>
              <w:right w:val="single" w:sz="4" w:space="0" w:color="auto"/>
            </w:tcBorders>
            <w:shd w:val="clear" w:color="auto" w:fill="auto"/>
            <w:vAlign w:val="bottom"/>
          </w:tcPr>
          <w:p w:rsidR="00340BDD" w:rsidRPr="000D47CC" w:rsidRDefault="00340BDD" w:rsidP="00C35C39">
            <w:pPr>
              <w:jc w:val="center"/>
              <w:rPr>
                <w:color w:val="000000"/>
                <w:sz w:val="18"/>
                <w:szCs w:val="18"/>
              </w:rPr>
            </w:pPr>
            <w:r w:rsidRPr="000D47CC">
              <w:rPr>
                <w:color w:val="000000"/>
                <w:sz w:val="18"/>
                <w:szCs w:val="18"/>
              </w:rPr>
              <w:t>2014</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BDD" w:rsidRPr="000D47CC" w:rsidRDefault="00340BDD" w:rsidP="00C35C39">
            <w:pPr>
              <w:jc w:val="center"/>
              <w:rPr>
                <w:color w:val="000000"/>
                <w:sz w:val="18"/>
                <w:szCs w:val="18"/>
              </w:rPr>
            </w:pPr>
            <w:r w:rsidRPr="000D47CC">
              <w:rPr>
                <w:color w:val="000000"/>
                <w:sz w:val="18"/>
                <w:szCs w:val="18"/>
              </w:rPr>
              <w:t>2015</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BDD" w:rsidRPr="000D47CC" w:rsidRDefault="00340BDD" w:rsidP="00C35C39">
            <w:pPr>
              <w:jc w:val="center"/>
              <w:rPr>
                <w:color w:val="000000"/>
                <w:sz w:val="18"/>
                <w:szCs w:val="18"/>
              </w:rPr>
            </w:pPr>
            <w:r w:rsidRPr="000D47CC">
              <w:rPr>
                <w:color w:val="000000"/>
                <w:sz w:val="18"/>
                <w:szCs w:val="18"/>
              </w:rPr>
              <w:t>2016</w:t>
            </w: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BDD" w:rsidRPr="000D47CC" w:rsidRDefault="00340BDD" w:rsidP="00C35C39">
            <w:pPr>
              <w:jc w:val="center"/>
              <w:rPr>
                <w:color w:val="000000"/>
                <w:sz w:val="18"/>
                <w:szCs w:val="18"/>
              </w:rPr>
            </w:pPr>
            <w:r w:rsidRPr="000D47CC">
              <w:rPr>
                <w:color w:val="000000"/>
                <w:sz w:val="18"/>
                <w:szCs w:val="18"/>
              </w:rPr>
              <w:t>2017</w:t>
            </w:r>
          </w:p>
        </w:tc>
        <w:tc>
          <w:tcPr>
            <w:tcW w:w="855" w:type="dxa"/>
            <w:tcBorders>
              <w:top w:val="single" w:sz="4" w:space="0" w:color="auto"/>
              <w:left w:val="single" w:sz="4" w:space="0" w:color="auto"/>
              <w:bottom w:val="single" w:sz="4" w:space="0" w:color="auto"/>
              <w:right w:val="nil"/>
            </w:tcBorders>
            <w:shd w:val="clear" w:color="auto" w:fill="auto"/>
            <w:vAlign w:val="bottom"/>
          </w:tcPr>
          <w:p w:rsidR="00340BDD" w:rsidRPr="000D47CC" w:rsidRDefault="00340BDD" w:rsidP="00C35C39">
            <w:pPr>
              <w:jc w:val="center"/>
              <w:rPr>
                <w:color w:val="000000"/>
                <w:sz w:val="18"/>
                <w:szCs w:val="18"/>
              </w:rPr>
            </w:pPr>
            <w:r w:rsidRPr="000D47CC">
              <w:rPr>
                <w:color w:val="000000"/>
                <w:sz w:val="18"/>
                <w:szCs w:val="18"/>
              </w:rPr>
              <w:t>Finansår 2014</w:t>
            </w:r>
          </w:p>
        </w:tc>
      </w:tr>
      <w:tr w:rsidR="00340BDD" w:rsidRPr="000D47CC" w:rsidTr="00C35C39">
        <w:trPr>
          <w:trHeight w:val="210"/>
        </w:trPr>
        <w:tc>
          <w:tcPr>
            <w:tcW w:w="3997" w:type="dxa"/>
            <w:tcBorders>
              <w:top w:val="single" w:sz="4" w:space="0" w:color="auto"/>
              <w:left w:val="nil"/>
              <w:right w:val="single" w:sz="4" w:space="0" w:color="auto"/>
            </w:tcBorders>
            <w:shd w:val="clear" w:color="auto" w:fill="auto"/>
            <w:noWrap/>
            <w:vAlign w:val="center"/>
            <w:hideMark/>
          </w:tcPr>
          <w:p w:rsidR="00340BDD" w:rsidRPr="000D47CC" w:rsidRDefault="00340BDD" w:rsidP="00C35C39">
            <w:pPr>
              <w:rPr>
                <w:color w:val="000000"/>
                <w:sz w:val="18"/>
                <w:szCs w:val="18"/>
              </w:rPr>
            </w:pPr>
            <w:r w:rsidRPr="000D47CC">
              <w:rPr>
                <w:color w:val="000000"/>
                <w:sz w:val="18"/>
                <w:szCs w:val="18"/>
              </w:rPr>
              <w:t>Umiddelbar provenuvirkning</w:t>
            </w:r>
          </w:p>
        </w:tc>
        <w:tc>
          <w:tcPr>
            <w:tcW w:w="854" w:type="dxa"/>
            <w:tcBorders>
              <w:top w:val="single" w:sz="4" w:space="0" w:color="auto"/>
              <w:left w:val="single" w:sz="4" w:space="0" w:color="auto"/>
              <w:right w:val="single" w:sz="4" w:space="0" w:color="auto"/>
            </w:tcBorders>
            <w:shd w:val="clear" w:color="auto" w:fill="auto"/>
            <w:noWrap/>
            <w:vAlign w:val="center"/>
          </w:tcPr>
          <w:p w:rsidR="00340BDD" w:rsidRPr="000D47CC" w:rsidRDefault="00340BDD" w:rsidP="00C35C39">
            <w:pPr>
              <w:ind w:right="113"/>
              <w:jc w:val="right"/>
              <w:rPr>
                <w:color w:val="000000"/>
                <w:sz w:val="18"/>
                <w:szCs w:val="18"/>
              </w:rPr>
            </w:pPr>
            <w:r w:rsidRPr="000D47CC">
              <w:rPr>
                <w:color w:val="000000"/>
                <w:sz w:val="18"/>
                <w:szCs w:val="18"/>
              </w:rPr>
              <w:t>0</w:t>
            </w:r>
          </w:p>
        </w:tc>
        <w:tc>
          <w:tcPr>
            <w:tcW w:w="855" w:type="dxa"/>
            <w:tcBorders>
              <w:top w:val="single" w:sz="4" w:space="0" w:color="auto"/>
              <w:left w:val="single" w:sz="4" w:space="0" w:color="auto"/>
            </w:tcBorders>
            <w:shd w:val="clear" w:color="auto" w:fill="auto"/>
            <w:vAlign w:val="center"/>
          </w:tcPr>
          <w:p w:rsidR="00340BDD" w:rsidRPr="000D47CC" w:rsidRDefault="00340BDD" w:rsidP="00C35C39">
            <w:pPr>
              <w:ind w:right="227"/>
              <w:jc w:val="right"/>
              <w:rPr>
                <w:color w:val="000000"/>
                <w:sz w:val="18"/>
                <w:szCs w:val="18"/>
              </w:rPr>
            </w:pPr>
            <w:r w:rsidRPr="000D47CC">
              <w:rPr>
                <w:color w:val="000000"/>
                <w:sz w:val="18"/>
                <w:szCs w:val="18"/>
              </w:rPr>
              <w:t>-75</w:t>
            </w:r>
          </w:p>
        </w:tc>
        <w:tc>
          <w:tcPr>
            <w:tcW w:w="855" w:type="dxa"/>
            <w:gridSpan w:val="2"/>
            <w:tcBorders>
              <w:top w:val="single" w:sz="4" w:space="0" w:color="auto"/>
            </w:tcBorders>
            <w:shd w:val="clear" w:color="auto" w:fill="auto"/>
            <w:noWrap/>
            <w:vAlign w:val="center"/>
            <w:hideMark/>
          </w:tcPr>
          <w:p w:rsidR="00340BDD" w:rsidRPr="000D47CC" w:rsidRDefault="00340BDD" w:rsidP="00C35C39">
            <w:pPr>
              <w:ind w:right="227"/>
              <w:jc w:val="right"/>
              <w:rPr>
                <w:color w:val="000000"/>
                <w:sz w:val="18"/>
                <w:szCs w:val="18"/>
              </w:rPr>
            </w:pPr>
            <w:r w:rsidRPr="000D47CC">
              <w:rPr>
                <w:color w:val="000000"/>
                <w:sz w:val="18"/>
                <w:szCs w:val="18"/>
              </w:rPr>
              <w:t>0</w:t>
            </w:r>
          </w:p>
        </w:tc>
        <w:tc>
          <w:tcPr>
            <w:tcW w:w="854" w:type="dxa"/>
            <w:gridSpan w:val="2"/>
            <w:tcBorders>
              <w:top w:val="single" w:sz="4" w:space="0" w:color="auto"/>
            </w:tcBorders>
            <w:shd w:val="clear" w:color="auto" w:fill="auto"/>
            <w:noWrap/>
            <w:vAlign w:val="center"/>
            <w:hideMark/>
          </w:tcPr>
          <w:p w:rsidR="00340BDD" w:rsidRPr="000D47CC" w:rsidRDefault="00340BDD" w:rsidP="00C35C39">
            <w:pPr>
              <w:ind w:right="227"/>
              <w:jc w:val="right"/>
              <w:rPr>
                <w:color w:val="000000"/>
                <w:sz w:val="18"/>
                <w:szCs w:val="18"/>
              </w:rPr>
            </w:pPr>
            <w:r w:rsidRPr="000D47CC">
              <w:rPr>
                <w:color w:val="000000"/>
                <w:sz w:val="18"/>
                <w:szCs w:val="18"/>
              </w:rPr>
              <w:t>0</w:t>
            </w:r>
          </w:p>
        </w:tc>
        <w:tc>
          <w:tcPr>
            <w:tcW w:w="855" w:type="dxa"/>
            <w:gridSpan w:val="2"/>
            <w:tcBorders>
              <w:top w:val="single" w:sz="4" w:space="0" w:color="auto"/>
              <w:right w:val="single" w:sz="4" w:space="0" w:color="auto"/>
            </w:tcBorders>
            <w:shd w:val="clear" w:color="auto" w:fill="auto"/>
            <w:noWrap/>
            <w:vAlign w:val="center"/>
            <w:hideMark/>
          </w:tcPr>
          <w:p w:rsidR="00340BDD" w:rsidRPr="000D47CC" w:rsidRDefault="00340BDD" w:rsidP="00C35C39">
            <w:pPr>
              <w:ind w:right="227"/>
              <w:jc w:val="right"/>
              <w:rPr>
                <w:color w:val="000000"/>
                <w:sz w:val="18"/>
                <w:szCs w:val="18"/>
              </w:rPr>
            </w:pPr>
            <w:r w:rsidRPr="000D47CC">
              <w:rPr>
                <w:color w:val="000000"/>
                <w:sz w:val="18"/>
                <w:szCs w:val="18"/>
              </w:rPr>
              <w:t>0</w:t>
            </w:r>
          </w:p>
        </w:tc>
        <w:tc>
          <w:tcPr>
            <w:tcW w:w="855" w:type="dxa"/>
            <w:tcBorders>
              <w:top w:val="single" w:sz="4" w:space="0" w:color="auto"/>
              <w:left w:val="single" w:sz="4" w:space="0" w:color="auto"/>
              <w:right w:val="nil"/>
            </w:tcBorders>
            <w:shd w:val="clear" w:color="auto" w:fill="auto"/>
            <w:vAlign w:val="center"/>
          </w:tcPr>
          <w:p w:rsidR="00340BDD" w:rsidRPr="000D47CC" w:rsidRDefault="00340BDD" w:rsidP="00C35C39">
            <w:pPr>
              <w:ind w:right="113"/>
              <w:jc w:val="right"/>
              <w:rPr>
                <w:color w:val="000000"/>
                <w:sz w:val="18"/>
                <w:szCs w:val="18"/>
              </w:rPr>
            </w:pPr>
            <w:r w:rsidRPr="000D47CC">
              <w:rPr>
                <w:color w:val="000000"/>
                <w:sz w:val="18"/>
                <w:szCs w:val="18"/>
              </w:rPr>
              <w:t>-75</w:t>
            </w:r>
          </w:p>
        </w:tc>
      </w:tr>
      <w:tr w:rsidR="00340BDD" w:rsidRPr="000D47CC" w:rsidTr="00C35C39">
        <w:trPr>
          <w:trHeight w:val="210"/>
        </w:trPr>
        <w:tc>
          <w:tcPr>
            <w:tcW w:w="3997" w:type="dxa"/>
            <w:tcBorders>
              <w:left w:val="nil"/>
              <w:right w:val="single" w:sz="4" w:space="0" w:color="auto"/>
            </w:tcBorders>
            <w:shd w:val="clear" w:color="auto" w:fill="auto"/>
            <w:noWrap/>
            <w:vAlign w:val="center"/>
            <w:hideMark/>
          </w:tcPr>
          <w:p w:rsidR="00340BDD" w:rsidRPr="000D47CC" w:rsidRDefault="00340BDD" w:rsidP="00C35C39">
            <w:pPr>
              <w:rPr>
                <w:color w:val="000000"/>
                <w:sz w:val="18"/>
                <w:szCs w:val="18"/>
              </w:rPr>
            </w:pPr>
            <w:r w:rsidRPr="000D47CC">
              <w:rPr>
                <w:color w:val="000000"/>
                <w:sz w:val="18"/>
                <w:szCs w:val="18"/>
              </w:rPr>
              <w:t>Provenuvirkning efter tilbageløb</w:t>
            </w:r>
          </w:p>
        </w:tc>
        <w:tc>
          <w:tcPr>
            <w:tcW w:w="854" w:type="dxa"/>
            <w:tcBorders>
              <w:left w:val="single" w:sz="4" w:space="0" w:color="auto"/>
              <w:right w:val="single" w:sz="4" w:space="0" w:color="auto"/>
            </w:tcBorders>
            <w:shd w:val="clear" w:color="auto" w:fill="auto"/>
            <w:noWrap/>
            <w:vAlign w:val="center"/>
          </w:tcPr>
          <w:p w:rsidR="00340BDD" w:rsidRPr="000D47CC" w:rsidRDefault="00340BDD" w:rsidP="00C35C39">
            <w:pPr>
              <w:ind w:right="113"/>
              <w:jc w:val="right"/>
              <w:rPr>
                <w:color w:val="000000"/>
                <w:sz w:val="18"/>
                <w:szCs w:val="18"/>
              </w:rPr>
            </w:pPr>
            <w:r w:rsidRPr="000D47CC">
              <w:rPr>
                <w:color w:val="000000"/>
                <w:sz w:val="18"/>
                <w:szCs w:val="18"/>
              </w:rPr>
              <w:t>0</w:t>
            </w:r>
          </w:p>
        </w:tc>
        <w:tc>
          <w:tcPr>
            <w:tcW w:w="855" w:type="dxa"/>
            <w:tcBorders>
              <w:left w:val="single" w:sz="4" w:space="0" w:color="auto"/>
            </w:tcBorders>
            <w:shd w:val="clear" w:color="auto" w:fill="auto"/>
            <w:vAlign w:val="center"/>
          </w:tcPr>
          <w:p w:rsidR="00340BDD" w:rsidRPr="000D47CC" w:rsidRDefault="00340BDD" w:rsidP="00C35C39">
            <w:pPr>
              <w:ind w:right="227"/>
              <w:jc w:val="right"/>
              <w:rPr>
                <w:color w:val="000000"/>
                <w:sz w:val="18"/>
                <w:szCs w:val="18"/>
              </w:rPr>
            </w:pPr>
            <w:r w:rsidRPr="000D47CC">
              <w:rPr>
                <w:color w:val="000000"/>
                <w:sz w:val="18"/>
                <w:szCs w:val="18"/>
              </w:rPr>
              <w:t>-55</w:t>
            </w:r>
          </w:p>
        </w:tc>
        <w:tc>
          <w:tcPr>
            <w:tcW w:w="855" w:type="dxa"/>
            <w:gridSpan w:val="2"/>
            <w:shd w:val="clear" w:color="auto" w:fill="auto"/>
            <w:noWrap/>
            <w:vAlign w:val="center"/>
            <w:hideMark/>
          </w:tcPr>
          <w:p w:rsidR="00340BDD" w:rsidRPr="000D47CC" w:rsidRDefault="00340BDD" w:rsidP="00C35C39">
            <w:pPr>
              <w:ind w:right="227"/>
              <w:jc w:val="right"/>
              <w:rPr>
                <w:color w:val="000000"/>
                <w:sz w:val="18"/>
                <w:szCs w:val="18"/>
              </w:rPr>
            </w:pPr>
            <w:r w:rsidRPr="000D47CC">
              <w:rPr>
                <w:color w:val="000000"/>
                <w:sz w:val="18"/>
                <w:szCs w:val="18"/>
              </w:rPr>
              <w:t>0</w:t>
            </w:r>
          </w:p>
        </w:tc>
        <w:tc>
          <w:tcPr>
            <w:tcW w:w="854" w:type="dxa"/>
            <w:gridSpan w:val="2"/>
            <w:shd w:val="clear" w:color="auto" w:fill="auto"/>
            <w:noWrap/>
            <w:vAlign w:val="center"/>
            <w:hideMark/>
          </w:tcPr>
          <w:p w:rsidR="00340BDD" w:rsidRPr="000D47CC" w:rsidRDefault="00340BDD" w:rsidP="00C35C39">
            <w:pPr>
              <w:ind w:right="227"/>
              <w:jc w:val="right"/>
              <w:rPr>
                <w:color w:val="000000"/>
                <w:sz w:val="18"/>
                <w:szCs w:val="18"/>
              </w:rPr>
            </w:pPr>
            <w:r w:rsidRPr="000D47CC">
              <w:rPr>
                <w:color w:val="000000"/>
                <w:sz w:val="18"/>
                <w:szCs w:val="18"/>
              </w:rPr>
              <w:t>0</w:t>
            </w:r>
          </w:p>
        </w:tc>
        <w:tc>
          <w:tcPr>
            <w:tcW w:w="855" w:type="dxa"/>
            <w:gridSpan w:val="2"/>
            <w:tcBorders>
              <w:right w:val="single" w:sz="4" w:space="0" w:color="auto"/>
            </w:tcBorders>
            <w:shd w:val="clear" w:color="auto" w:fill="auto"/>
            <w:noWrap/>
            <w:vAlign w:val="center"/>
            <w:hideMark/>
          </w:tcPr>
          <w:p w:rsidR="00340BDD" w:rsidRPr="000D47CC" w:rsidRDefault="00340BDD" w:rsidP="00C35C39">
            <w:pPr>
              <w:ind w:right="227"/>
              <w:jc w:val="right"/>
              <w:rPr>
                <w:color w:val="000000"/>
                <w:sz w:val="18"/>
                <w:szCs w:val="18"/>
              </w:rPr>
            </w:pPr>
            <w:r w:rsidRPr="000D47CC">
              <w:rPr>
                <w:color w:val="000000"/>
                <w:sz w:val="18"/>
                <w:szCs w:val="18"/>
              </w:rPr>
              <w:t>0</w:t>
            </w:r>
          </w:p>
        </w:tc>
        <w:tc>
          <w:tcPr>
            <w:tcW w:w="855" w:type="dxa"/>
            <w:tcBorders>
              <w:left w:val="single" w:sz="4" w:space="0" w:color="auto"/>
              <w:right w:val="nil"/>
            </w:tcBorders>
            <w:shd w:val="clear" w:color="auto" w:fill="auto"/>
            <w:vAlign w:val="center"/>
          </w:tcPr>
          <w:p w:rsidR="00340BDD" w:rsidRPr="000D47CC" w:rsidRDefault="00340BDD" w:rsidP="00C35C39">
            <w:pPr>
              <w:ind w:right="113"/>
              <w:jc w:val="right"/>
              <w:rPr>
                <w:color w:val="000000"/>
                <w:sz w:val="18"/>
                <w:szCs w:val="18"/>
              </w:rPr>
            </w:pPr>
            <w:r w:rsidRPr="000D47CC">
              <w:rPr>
                <w:color w:val="000000"/>
                <w:sz w:val="18"/>
                <w:szCs w:val="18"/>
              </w:rPr>
              <w:t>-</w:t>
            </w:r>
          </w:p>
        </w:tc>
      </w:tr>
      <w:tr w:rsidR="00340BDD" w:rsidRPr="000D47CC" w:rsidTr="00C35C39">
        <w:trPr>
          <w:trHeight w:val="210"/>
        </w:trPr>
        <w:tc>
          <w:tcPr>
            <w:tcW w:w="3997" w:type="dxa"/>
            <w:tcBorders>
              <w:left w:val="nil"/>
              <w:bottom w:val="single" w:sz="4" w:space="0" w:color="auto"/>
              <w:right w:val="single" w:sz="4" w:space="0" w:color="auto"/>
            </w:tcBorders>
            <w:shd w:val="clear" w:color="auto" w:fill="auto"/>
            <w:noWrap/>
            <w:vAlign w:val="center"/>
            <w:hideMark/>
          </w:tcPr>
          <w:p w:rsidR="00340BDD" w:rsidRPr="000D47CC" w:rsidRDefault="00340BDD" w:rsidP="00C35C39">
            <w:pPr>
              <w:rPr>
                <w:color w:val="000000"/>
                <w:sz w:val="18"/>
                <w:szCs w:val="18"/>
              </w:rPr>
            </w:pPr>
            <w:r w:rsidRPr="000D47CC">
              <w:rPr>
                <w:color w:val="000000"/>
                <w:sz w:val="18"/>
                <w:szCs w:val="18"/>
              </w:rPr>
              <w:t>Provenuvirkning efter tilbageløb og adfærd</w:t>
            </w:r>
          </w:p>
        </w:tc>
        <w:tc>
          <w:tcPr>
            <w:tcW w:w="854" w:type="dxa"/>
            <w:tcBorders>
              <w:left w:val="single" w:sz="4" w:space="0" w:color="auto"/>
              <w:bottom w:val="single" w:sz="4" w:space="0" w:color="auto"/>
              <w:right w:val="single" w:sz="4" w:space="0" w:color="auto"/>
            </w:tcBorders>
            <w:shd w:val="clear" w:color="auto" w:fill="auto"/>
            <w:noWrap/>
            <w:vAlign w:val="center"/>
          </w:tcPr>
          <w:p w:rsidR="00340BDD" w:rsidRPr="000D47CC" w:rsidRDefault="00340BDD" w:rsidP="00C35C39">
            <w:pPr>
              <w:ind w:right="113"/>
              <w:jc w:val="right"/>
              <w:rPr>
                <w:color w:val="000000"/>
                <w:sz w:val="18"/>
                <w:szCs w:val="18"/>
              </w:rPr>
            </w:pPr>
            <w:r w:rsidRPr="000D47CC">
              <w:rPr>
                <w:color w:val="000000"/>
                <w:sz w:val="18"/>
                <w:szCs w:val="18"/>
              </w:rPr>
              <w:t>0</w:t>
            </w:r>
          </w:p>
        </w:tc>
        <w:tc>
          <w:tcPr>
            <w:tcW w:w="855" w:type="dxa"/>
            <w:tcBorders>
              <w:left w:val="single" w:sz="4" w:space="0" w:color="auto"/>
              <w:bottom w:val="single" w:sz="4" w:space="0" w:color="auto"/>
            </w:tcBorders>
            <w:shd w:val="clear" w:color="auto" w:fill="auto"/>
            <w:vAlign w:val="center"/>
          </w:tcPr>
          <w:p w:rsidR="00340BDD" w:rsidRPr="000D47CC" w:rsidRDefault="00340BDD" w:rsidP="00C35C39">
            <w:pPr>
              <w:ind w:right="227"/>
              <w:jc w:val="right"/>
              <w:rPr>
                <w:color w:val="000000"/>
                <w:sz w:val="18"/>
                <w:szCs w:val="18"/>
              </w:rPr>
            </w:pPr>
            <w:r w:rsidRPr="000D47CC">
              <w:rPr>
                <w:color w:val="000000"/>
                <w:sz w:val="18"/>
                <w:szCs w:val="18"/>
              </w:rPr>
              <w:t>-55</w:t>
            </w:r>
          </w:p>
        </w:tc>
        <w:tc>
          <w:tcPr>
            <w:tcW w:w="855" w:type="dxa"/>
            <w:gridSpan w:val="2"/>
            <w:tcBorders>
              <w:bottom w:val="single" w:sz="4" w:space="0" w:color="auto"/>
            </w:tcBorders>
            <w:shd w:val="clear" w:color="auto" w:fill="auto"/>
            <w:noWrap/>
            <w:vAlign w:val="center"/>
            <w:hideMark/>
          </w:tcPr>
          <w:p w:rsidR="00340BDD" w:rsidRPr="000D47CC" w:rsidRDefault="00340BDD" w:rsidP="00C35C39">
            <w:pPr>
              <w:ind w:right="227"/>
              <w:jc w:val="right"/>
              <w:rPr>
                <w:color w:val="000000"/>
                <w:sz w:val="18"/>
                <w:szCs w:val="18"/>
              </w:rPr>
            </w:pPr>
            <w:r w:rsidRPr="000D47CC">
              <w:rPr>
                <w:color w:val="000000"/>
                <w:sz w:val="18"/>
                <w:szCs w:val="18"/>
              </w:rPr>
              <w:t>0</w:t>
            </w:r>
          </w:p>
        </w:tc>
        <w:tc>
          <w:tcPr>
            <w:tcW w:w="854" w:type="dxa"/>
            <w:gridSpan w:val="2"/>
            <w:tcBorders>
              <w:bottom w:val="single" w:sz="4" w:space="0" w:color="auto"/>
            </w:tcBorders>
            <w:shd w:val="clear" w:color="auto" w:fill="auto"/>
            <w:noWrap/>
            <w:vAlign w:val="center"/>
            <w:hideMark/>
          </w:tcPr>
          <w:p w:rsidR="00340BDD" w:rsidRPr="000D47CC" w:rsidRDefault="00340BDD" w:rsidP="00C35C39">
            <w:pPr>
              <w:ind w:right="227"/>
              <w:jc w:val="right"/>
              <w:rPr>
                <w:color w:val="000000"/>
                <w:sz w:val="18"/>
                <w:szCs w:val="18"/>
              </w:rPr>
            </w:pPr>
            <w:r w:rsidRPr="000D47CC">
              <w:rPr>
                <w:color w:val="000000"/>
                <w:sz w:val="18"/>
                <w:szCs w:val="18"/>
              </w:rPr>
              <w:t>0</w:t>
            </w:r>
          </w:p>
        </w:tc>
        <w:tc>
          <w:tcPr>
            <w:tcW w:w="855" w:type="dxa"/>
            <w:gridSpan w:val="2"/>
            <w:tcBorders>
              <w:bottom w:val="single" w:sz="4" w:space="0" w:color="auto"/>
              <w:right w:val="single" w:sz="4" w:space="0" w:color="auto"/>
            </w:tcBorders>
            <w:shd w:val="clear" w:color="auto" w:fill="auto"/>
            <w:noWrap/>
            <w:vAlign w:val="center"/>
            <w:hideMark/>
          </w:tcPr>
          <w:p w:rsidR="00340BDD" w:rsidRPr="000D47CC" w:rsidRDefault="00340BDD" w:rsidP="00C35C39">
            <w:pPr>
              <w:ind w:right="227"/>
              <w:jc w:val="right"/>
              <w:rPr>
                <w:color w:val="000000"/>
                <w:sz w:val="18"/>
                <w:szCs w:val="18"/>
              </w:rPr>
            </w:pPr>
            <w:r w:rsidRPr="000D47CC">
              <w:rPr>
                <w:color w:val="000000"/>
                <w:sz w:val="18"/>
                <w:szCs w:val="18"/>
              </w:rPr>
              <w:t>0</w:t>
            </w:r>
          </w:p>
        </w:tc>
        <w:tc>
          <w:tcPr>
            <w:tcW w:w="855" w:type="dxa"/>
            <w:tcBorders>
              <w:left w:val="single" w:sz="4" w:space="0" w:color="auto"/>
              <w:bottom w:val="single" w:sz="4" w:space="0" w:color="auto"/>
              <w:right w:val="nil"/>
            </w:tcBorders>
            <w:shd w:val="clear" w:color="auto" w:fill="auto"/>
            <w:vAlign w:val="center"/>
          </w:tcPr>
          <w:p w:rsidR="00340BDD" w:rsidRPr="000D47CC" w:rsidRDefault="00340BDD" w:rsidP="00C35C39">
            <w:pPr>
              <w:ind w:right="113"/>
              <w:jc w:val="right"/>
              <w:rPr>
                <w:color w:val="000000"/>
                <w:sz w:val="18"/>
                <w:szCs w:val="18"/>
              </w:rPr>
            </w:pPr>
            <w:r w:rsidRPr="000D47CC">
              <w:rPr>
                <w:color w:val="000000"/>
                <w:sz w:val="18"/>
                <w:szCs w:val="18"/>
              </w:rPr>
              <w:t>-</w:t>
            </w:r>
          </w:p>
        </w:tc>
      </w:tr>
      <w:tr w:rsidR="00340BDD" w:rsidRPr="000D47CC" w:rsidTr="00C35C39">
        <w:trPr>
          <w:trHeight w:val="210"/>
        </w:trPr>
        <w:tc>
          <w:tcPr>
            <w:tcW w:w="3997" w:type="dxa"/>
            <w:tcBorders>
              <w:top w:val="single" w:sz="4" w:space="0" w:color="auto"/>
              <w:left w:val="nil"/>
              <w:bottom w:val="nil"/>
              <w:right w:val="nil"/>
            </w:tcBorders>
            <w:shd w:val="clear" w:color="auto" w:fill="auto"/>
            <w:noWrap/>
            <w:vAlign w:val="bottom"/>
            <w:hideMark/>
          </w:tcPr>
          <w:p w:rsidR="00340BDD" w:rsidRPr="000D47CC" w:rsidRDefault="00340BDD" w:rsidP="00C35C39">
            <w:pPr>
              <w:jc w:val="right"/>
              <w:rPr>
                <w:color w:val="000000"/>
                <w:sz w:val="16"/>
                <w:szCs w:val="16"/>
              </w:rPr>
            </w:pPr>
          </w:p>
        </w:tc>
        <w:tc>
          <w:tcPr>
            <w:tcW w:w="1861" w:type="dxa"/>
            <w:gridSpan w:val="3"/>
            <w:tcBorders>
              <w:top w:val="single" w:sz="4" w:space="0" w:color="auto"/>
              <w:left w:val="nil"/>
              <w:bottom w:val="nil"/>
              <w:right w:val="nil"/>
            </w:tcBorders>
            <w:shd w:val="clear" w:color="auto" w:fill="auto"/>
            <w:noWrap/>
            <w:vAlign w:val="bottom"/>
            <w:hideMark/>
          </w:tcPr>
          <w:p w:rsidR="00340BDD" w:rsidRPr="000D47CC" w:rsidRDefault="00340BDD" w:rsidP="00C35C39">
            <w:pPr>
              <w:rPr>
                <w:sz w:val="20"/>
                <w:szCs w:val="20"/>
              </w:rPr>
            </w:pPr>
          </w:p>
        </w:tc>
        <w:tc>
          <w:tcPr>
            <w:tcW w:w="1089" w:type="dxa"/>
            <w:gridSpan w:val="2"/>
            <w:tcBorders>
              <w:top w:val="single" w:sz="4" w:space="0" w:color="auto"/>
              <w:left w:val="nil"/>
              <w:bottom w:val="nil"/>
              <w:right w:val="nil"/>
            </w:tcBorders>
            <w:shd w:val="clear" w:color="auto" w:fill="auto"/>
            <w:noWrap/>
            <w:vAlign w:val="bottom"/>
            <w:hideMark/>
          </w:tcPr>
          <w:p w:rsidR="00340BDD" w:rsidRPr="000D47CC" w:rsidRDefault="00340BDD" w:rsidP="00C35C39">
            <w:pPr>
              <w:rPr>
                <w:sz w:val="20"/>
                <w:szCs w:val="20"/>
              </w:rPr>
            </w:pPr>
          </w:p>
        </w:tc>
        <w:tc>
          <w:tcPr>
            <w:tcW w:w="1089" w:type="dxa"/>
            <w:gridSpan w:val="2"/>
            <w:tcBorders>
              <w:top w:val="single" w:sz="4" w:space="0" w:color="auto"/>
              <w:left w:val="nil"/>
              <w:bottom w:val="nil"/>
              <w:right w:val="nil"/>
            </w:tcBorders>
            <w:shd w:val="clear" w:color="auto" w:fill="auto"/>
            <w:noWrap/>
            <w:vAlign w:val="bottom"/>
            <w:hideMark/>
          </w:tcPr>
          <w:p w:rsidR="00340BDD" w:rsidRPr="000D47CC" w:rsidRDefault="00340BDD" w:rsidP="00C35C39">
            <w:pPr>
              <w:rPr>
                <w:sz w:val="20"/>
                <w:szCs w:val="20"/>
              </w:rPr>
            </w:pPr>
          </w:p>
        </w:tc>
        <w:tc>
          <w:tcPr>
            <w:tcW w:w="1089" w:type="dxa"/>
            <w:gridSpan w:val="2"/>
            <w:tcBorders>
              <w:top w:val="single" w:sz="4" w:space="0" w:color="auto"/>
              <w:left w:val="nil"/>
              <w:bottom w:val="nil"/>
              <w:right w:val="nil"/>
            </w:tcBorders>
            <w:shd w:val="clear" w:color="auto" w:fill="auto"/>
            <w:noWrap/>
            <w:vAlign w:val="bottom"/>
            <w:hideMark/>
          </w:tcPr>
          <w:p w:rsidR="00340BDD" w:rsidRPr="000D47CC" w:rsidRDefault="00340BDD" w:rsidP="00C35C39">
            <w:pPr>
              <w:rPr>
                <w:sz w:val="20"/>
                <w:szCs w:val="20"/>
              </w:rPr>
            </w:pPr>
          </w:p>
        </w:tc>
      </w:tr>
    </w:tbl>
    <w:p w:rsidR="00340BDD" w:rsidRDefault="00340BDD" w:rsidP="00340BDD">
      <w:r>
        <w:t>Forslaget medfører et umiddelbart mindreprovenu for kommunerne på ca. 65 mio. kr. i 2014 i form af færre skatteindtægter fra selvstændigt erhvervsdrivende.</w:t>
      </w:r>
    </w:p>
    <w:p w:rsidR="00340BDD" w:rsidRDefault="00340BDD" w:rsidP="00340BDD"/>
    <w:p w:rsidR="00340BDD" w:rsidRDefault="00340BDD" w:rsidP="00340BDD">
      <w:r>
        <w:t xml:space="preserve">For finansåret 2014 indebærer fremrykningen et umiddelbart mindreprovenu på ca. 75 mio. kr.  </w:t>
      </w:r>
    </w:p>
    <w:p w:rsidR="00340BDD" w:rsidRDefault="00340BDD" w:rsidP="00340BDD"/>
    <w:p w:rsidR="00340BDD" w:rsidRDefault="00340BDD" w:rsidP="00340BDD">
      <w:r>
        <w:t>Forslaget medfører en skatteudgift, der svarer til det umiddelbare mindreprovenu.</w:t>
      </w:r>
    </w:p>
    <w:p w:rsidR="009C0BA7" w:rsidRPr="00BC172D" w:rsidRDefault="009C0BA7" w:rsidP="009C0BA7"/>
    <w:p w:rsidR="00376FD2" w:rsidRPr="00BC172D" w:rsidRDefault="00376FD2" w:rsidP="00376FD2">
      <w:pPr>
        <w:rPr>
          <w:i/>
          <w:iCs/>
        </w:rPr>
      </w:pPr>
      <w:r w:rsidRPr="00BC172D">
        <w:rPr>
          <w:i/>
          <w:iCs/>
        </w:rPr>
        <w:t xml:space="preserve">5. Administrative konsekvenser for det offentlige </w:t>
      </w:r>
    </w:p>
    <w:p w:rsidR="00376FD2" w:rsidRDefault="00376FD2" w:rsidP="00376FD2"/>
    <w:p w:rsidR="00D52C94" w:rsidRPr="000E49FC" w:rsidRDefault="00D52C94" w:rsidP="00D52C94">
      <w:pPr>
        <w:spacing w:line="264" w:lineRule="auto"/>
        <w:rPr>
          <w:i/>
          <w:iCs/>
        </w:rPr>
      </w:pPr>
      <w:r w:rsidRPr="00D52C94">
        <w:rPr>
          <w:i/>
          <w:iCs/>
        </w:rPr>
        <w:t xml:space="preserve"> </w:t>
      </w:r>
      <w:r>
        <w:rPr>
          <w:i/>
          <w:iCs/>
        </w:rPr>
        <w:t>5</w:t>
      </w:r>
      <w:r w:rsidRPr="000E49FC">
        <w:rPr>
          <w:i/>
          <w:iCs/>
        </w:rPr>
        <w:t xml:space="preserve">.1. </w:t>
      </w:r>
      <w:r w:rsidR="00C066FF">
        <w:rPr>
          <w:i/>
          <w:iCs/>
        </w:rPr>
        <w:t>F</w:t>
      </w:r>
      <w:r>
        <w:rPr>
          <w:i/>
          <w:iCs/>
        </w:rPr>
        <w:t>orhøjelse af beskæft</w:t>
      </w:r>
      <w:r w:rsidRPr="000E49FC">
        <w:rPr>
          <w:i/>
          <w:iCs/>
        </w:rPr>
        <w:t xml:space="preserve">igelsesfradraget </w:t>
      </w:r>
    </w:p>
    <w:p w:rsidR="00D52C94" w:rsidRDefault="00D52C94" w:rsidP="00D52C94">
      <w:r>
        <w:t xml:space="preserve">Forslaget om fremrykning af forhøjelsen af beskæftigelsesfradraget og forslaget om fremrykning af forhøjelsen af det ekstra beskæftigelsesfradrag til enlige forsørgere </w:t>
      </w:r>
      <w:r w:rsidRPr="004A18D6">
        <w:t>skønnes at medføre engangsudgifter til i</w:t>
      </w:r>
      <w:r>
        <w:t>t-tilretninger på 0,2 mio. kr. i alt.</w:t>
      </w:r>
    </w:p>
    <w:p w:rsidR="00D52C94" w:rsidRDefault="00D52C94" w:rsidP="00D52C94"/>
    <w:p w:rsidR="00D52C94" w:rsidRPr="000E49FC" w:rsidRDefault="00D52C94" w:rsidP="00D52C94">
      <w:pPr>
        <w:spacing w:line="264" w:lineRule="auto"/>
        <w:rPr>
          <w:i/>
          <w:iCs/>
        </w:rPr>
      </w:pPr>
      <w:r>
        <w:rPr>
          <w:i/>
          <w:iCs/>
        </w:rPr>
        <w:t>5</w:t>
      </w:r>
      <w:r w:rsidRPr="000E49FC">
        <w:rPr>
          <w:i/>
          <w:iCs/>
        </w:rPr>
        <w:t xml:space="preserve">.2. </w:t>
      </w:r>
      <w:r w:rsidR="00C066FF">
        <w:rPr>
          <w:i/>
          <w:iCs/>
        </w:rPr>
        <w:t>F</w:t>
      </w:r>
      <w:r>
        <w:rPr>
          <w:i/>
          <w:iCs/>
        </w:rPr>
        <w:t xml:space="preserve">orhøjelse af det ekstra </w:t>
      </w:r>
      <w:r w:rsidRPr="000E49FC">
        <w:rPr>
          <w:i/>
          <w:iCs/>
        </w:rPr>
        <w:t xml:space="preserve">beskæftigelsesfradrag </w:t>
      </w:r>
      <w:r w:rsidR="00C066FF">
        <w:rPr>
          <w:i/>
          <w:iCs/>
        </w:rPr>
        <w:t>for</w:t>
      </w:r>
      <w:r w:rsidRPr="000E49FC">
        <w:rPr>
          <w:i/>
          <w:iCs/>
        </w:rPr>
        <w:t xml:space="preserve"> enlige forsørgere</w:t>
      </w:r>
    </w:p>
    <w:p w:rsidR="00D52C94" w:rsidRPr="004A18D6" w:rsidRDefault="002E2401" w:rsidP="00D52C94">
      <w:r>
        <w:t>Jf. afsnit 5.1.</w:t>
      </w:r>
    </w:p>
    <w:p w:rsidR="00D52C94" w:rsidRDefault="00D52C94" w:rsidP="00D52C94"/>
    <w:p w:rsidR="00D52C94" w:rsidRPr="00BC172D" w:rsidRDefault="00D52C94" w:rsidP="00D52C94">
      <w:pPr>
        <w:rPr>
          <w:i/>
          <w:iCs/>
        </w:rPr>
      </w:pPr>
      <w:r>
        <w:rPr>
          <w:i/>
          <w:iCs/>
        </w:rPr>
        <w:t>5</w:t>
      </w:r>
      <w:r w:rsidRPr="00BC172D">
        <w:rPr>
          <w:i/>
          <w:iCs/>
        </w:rPr>
        <w:t>.</w:t>
      </w:r>
      <w:r>
        <w:rPr>
          <w:i/>
          <w:iCs/>
        </w:rPr>
        <w:t>3</w:t>
      </w:r>
      <w:r w:rsidRPr="00BC172D">
        <w:rPr>
          <w:i/>
          <w:iCs/>
        </w:rPr>
        <w:t xml:space="preserve">. </w:t>
      </w:r>
      <w:r>
        <w:rPr>
          <w:i/>
          <w:iCs/>
        </w:rPr>
        <w:t>Afskaffelse af den vægtbaserede emballageafgift</w:t>
      </w:r>
    </w:p>
    <w:p w:rsidR="00D52C94" w:rsidRPr="00DD5DCC" w:rsidRDefault="00D52C94" w:rsidP="00D52C94">
      <w:r>
        <w:rPr>
          <w:bCs/>
        </w:rPr>
        <w:t xml:space="preserve">Forslaget om afskaffelse af den vægtbaserede emballageafgift </w:t>
      </w:r>
      <w:r w:rsidRPr="004A18D6">
        <w:t>skønnes at medføre engangsudgifter</w:t>
      </w:r>
      <w:r>
        <w:t xml:space="preserve"> på i alt 0,2 mio. kr.</w:t>
      </w:r>
    </w:p>
    <w:p w:rsidR="00D52C94" w:rsidRDefault="00D52C94" w:rsidP="00D52C94"/>
    <w:p w:rsidR="00D52C94" w:rsidRDefault="00D52C94" w:rsidP="00D52C94">
      <w:pPr>
        <w:rPr>
          <w:i/>
          <w:iCs/>
        </w:rPr>
      </w:pPr>
      <w:r>
        <w:rPr>
          <w:i/>
          <w:iCs/>
        </w:rPr>
        <w:t>5</w:t>
      </w:r>
      <w:r w:rsidRPr="00BC172D">
        <w:rPr>
          <w:i/>
          <w:iCs/>
        </w:rPr>
        <w:t>.</w:t>
      </w:r>
      <w:r>
        <w:rPr>
          <w:i/>
          <w:iCs/>
        </w:rPr>
        <w:t>4</w:t>
      </w:r>
      <w:r w:rsidRPr="00BC172D">
        <w:rPr>
          <w:i/>
          <w:iCs/>
        </w:rPr>
        <w:t xml:space="preserve">. </w:t>
      </w:r>
      <w:r>
        <w:rPr>
          <w:i/>
          <w:iCs/>
        </w:rPr>
        <w:t>Forhøjelse af grænsen for skattekreditter vedr. forsknings- og udviklingsaktiviteter</w:t>
      </w:r>
    </w:p>
    <w:p w:rsidR="00D52C94" w:rsidRPr="00DE57F4" w:rsidRDefault="00D52C94" w:rsidP="00D52C94">
      <w:r w:rsidRPr="00DE57F4">
        <w:rPr>
          <w:bCs/>
        </w:rPr>
        <w:t xml:space="preserve">Forslaget om </w:t>
      </w:r>
      <w:r>
        <w:rPr>
          <w:bCs/>
          <w:iCs/>
        </w:rPr>
        <w:t>f</w:t>
      </w:r>
      <w:r w:rsidRPr="00DE57F4">
        <w:rPr>
          <w:bCs/>
          <w:iCs/>
        </w:rPr>
        <w:t>orhøjelse af grænsen for skattekreditter vedr. forsknings- og udviklingsaktiviteter</w:t>
      </w:r>
      <w:r w:rsidRPr="00DE57F4">
        <w:rPr>
          <w:bCs/>
        </w:rPr>
        <w:t xml:space="preserve"> </w:t>
      </w:r>
      <w:r>
        <w:rPr>
          <w:bCs/>
        </w:rPr>
        <w:t xml:space="preserve">skønnes ikke at medføre </w:t>
      </w:r>
      <w:r w:rsidRPr="00DE57F4">
        <w:t xml:space="preserve">administrative </w:t>
      </w:r>
      <w:r>
        <w:t>udgifter.</w:t>
      </w:r>
    </w:p>
    <w:p w:rsidR="00D52C94" w:rsidRDefault="00D52C94" w:rsidP="00D52C94"/>
    <w:p w:rsidR="00D52C94" w:rsidRPr="00BC172D" w:rsidRDefault="00D52C94" w:rsidP="00D52C94">
      <w:pPr>
        <w:rPr>
          <w:i/>
          <w:iCs/>
        </w:rPr>
      </w:pPr>
      <w:r>
        <w:rPr>
          <w:i/>
          <w:iCs/>
        </w:rPr>
        <w:t>5</w:t>
      </w:r>
      <w:r w:rsidRPr="00BC172D">
        <w:rPr>
          <w:i/>
          <w:iCs/>
        </w:rPr>
        <w:t>.</w:t>
      </w:r>
      <w:r>
        <w:rPr>
          <w:i/>
          <w:iCs/>
        </w:rPr>
        <w:t>5</w:t>
      </w:r>
      <w:r w:rsidRPr="00BC172D">
        <w:rPr>
          <w:i/>
          <w:iCs/>
        </w:rPr>
        <w:t xml:space="preserve">. </w:t>
      </w:r>
      <w:r w:rsidR="002B1B59">
        <w:rPr>
          <w:i/>
          <w:iCs/>
        </w:rPr>
        <w:t>L</w:t>
      </w:r>
      <w:r>
        <w:rPr>
          <w:i/>
          <w:iCs/>
        </w:rPr>
        <w:t>empelse af momskredittid for små virksomheder</w:t>
      </w:r>
    </w:p>
    <w:p w:rsidR="00D52C94" w:rsidRPr="007A441A" w:rsidRDefault="00D52C94" w:rsidP="00D52C94">
      <w:pPr>
        <w:rPr>
          <w:iCs/>
        </w:rPr>
      </w:pPr>
      <w:r w:rsidRPr="007A441A">
        <w:rPr>
          <w:iCs/>
        </w:rPr>
        <w:t xml:space="preserve">Forslaget om </w:t>
      </w:r>
      <w:r>
        <w:rPr>
          <w:iCs/>
        </w:rPr>
        <w:t>f</w:t>
      </w:r>
      <w:r w:rsidRPr="007A441A">
        <w:rPr>
          <w:iCs/>
        </w:rPr>
        <w:t>remrykning af lempelse af momskredittid for små virksomheder</w:t>
      </w:r>
      <w:r>
        <w:rPr>
          <w:iCs/>
        </w:rPr>
        <w:t xml:space="preserve"> vurderes at medføre </w:t>
      </w:r>
      <w:r w:rsidRPr="007A441A">
        <w:rPr>
          <w:iCs/>
        </w:rPr>
        <w:t>engangsomkostninger på 0,1 mio. kr.</w:t>
      </w:r>
      <w:r>
        <w:rPr>
          <w:iCs/>
        </w:rPr>
        <w:t xml:space="preserve"> til </w:t>
      </w:r>
      <w:r w:rsidRPr="007A441A">
        <w:rPr>
          <w:iCs/>
        </w:rPr>
        <w:t>justeringer i program</w:t>
      </w:r>
      <w:r>
        <w:rPr>
          <w:iCs/>
        </w:rPr>
        <w:t>met</w:t>
      </w:r>
      <w:r w:rsidRPr="007A441A">
        <w:rPr>
          <w:iCs/>
        </w:rPr>
        <w:t xml:space="preserve"> til maskinel omregistrering af virksomheder</w:t>
      </w:r>
      <w:r>
        <w:rPr>
          <w:iCs/>
        </w:rPr>
        <w:t>, samt engangsudgifter</w:t>
      </w:r>
      <w:r w:rsidRPr="007A441A">
        <w:rPr>
          <w:iCs/>
        </w:rPr>
        <w:t xml:space="preserve"> </w:t>
      </w:r>
      <w:r>
        <w:rPr>
          <w:iCs/>
        </w:rPr>
        <w:t xml:space="preserve">på 0,4 mio. kr. </w:t>
      </w:r>
      <w:r w:rsidRPr="004A18D6">
        <w:t>til ekstra porto til udsendelse af omregistreringsbreve</w:t>
      </w:r>
      <w:r>
        <w:t>.</w:t>
      </w:r>
    </w:p>
    <w:p w:rsidR="00D52C94" w:rsidRDefault="00D52C94" w:rsidP="00D52C94"/>
    <w:p w:rsidR="00D52C94" w:rsidRPr="000853E2" w:rsidRDefault="00D52C94" w:rsidP="00D52C94">
      <w:pPr>
        <w:rPr>
          <w:i/>
          <w:iCs/>
        </w:rPr>
      </w:pPr>
      <w:r>
        <w:rPr>
          <w:i/>
          <w:iCs/>
        </w:rPr>
        <w:t>5</w:t>
      </w:r>
      <w:r w:rsidRPr="000853E2">
        <w:rPr>
          <w:i/>
          <w:iCs/>
        </w:rPr>
        <w:t>.</w:t>
      </w:r>
      <w:r>
        <w:rPr>
          <w:i/>
          <w:iCs/>
        </w:rPr>
        <w:t>6</w:t>
      </w:r>
      <w:r w:rsidRPr="000853E2">
        <w:rPr>
          <w:i/>
          <w:iCs/>
        </w:rPr>
        <w:t>. Lempelse af virksomhedernes afgift på brændsler</w:t>
      </w:r>
    </w:p>
    <w:p w:rsidR="00D52C94" w:rsidRDefault="00D52C94" w:rsidP="00D52C94">
      <w:r>
        <w:rPr>
          <w:iCs/>
        </w:rPr>
        <w:t>Forslaget om l</w:t>
      </w:r>
      <w:r w:rsidRPr="007A441A">
        <w:rPr>
          <w:iCs/>
        </w:rPr>
        <w:t>empelse af virksomhedernes afgift på brændsler</w:t>
      </w:r>
      <w:r w:rsidRPr="007A441A">
        <w:t xml:space="preserve"> </w:t>
      </w:r>
      <w:r>
        <w:rPr>
          <w:bCs/>
        </w:rPr>
        <w:t xml:space="preserve">skønnes </w:t>
      </w:r>
      <w:r w:rsidRPr="007A441A">
        <w:t xml:space="preserve">ikke </w:t>
      </w:r>
      <w:r>
        <w:t xml:space="preserve">at medføre </w:t>
      </w:r>
      <w:r w:rsidRPr="007A441A">
        <w:t>administrative</w:t>
      </w:r>
      <w:r w:rsidRPr="004A18D6">
        <w:t xml:space="preserve"> </w:t>
      </w:r>
      <w:r>
        <w:t>udgifter.</w:t>
      </w:r>
    </w:p>
    <w:p w:rsidR="00D52C94" w:rsidRDefault="00D52C94" w:rsidP="00D52C94"/>
    <w:p w:rsidR="00D52C94" w:rsidRDefault="00D52C94" w:rsidP="00D52C94">
      <w:pPr>
        <w:rPr>
          <w:i/>
          <w:iCs/>
        </w:rPr>
      </w:pPr>
      <w:r>
        <w:rPr>
          <w:i/>
          <w:iCs/>
        </w:rPr>
        <w:t>5.7. Fradrag for selvstændiges syge- og arbejdsskadeforsikring</w:t>
      </w:r>
    </w:p>
    <w:p w:rsidR="00D52C94" w:rsidRDefault="00D52C94" w:rsidP="00D52C94">
      <w:r w:rsidRPr="002677AE">
        <w:rPr>
          <w:iCs/>
        </w:rPr>
        <w:t xml:space="preserve">Forslaget om </w:t>
      </w:r>
      <w:r>
        <w:rPr>
          <w:iCs/>
        </w:rPr>
        <w:t>f</w:t>
      </w:r>
      <w:r w:rsidRPr="002677AE">
        <w:rPr>
          <w:iCs/>
        </w:rPr>
        <w:t>radrag for selvstændiges syge- og arbejdsskadeforsikring</w:t>
      </w:r>
      <w:r w:rsidRPr="002677AE">
        <w:rPr>
          <w:bCs/>
          <w:iCs/>
        </w:rPr>
        <w:t xml:space="preserve"> </w:t>
      </w:r>
      <w:r w:rsidRPr="002677AE">
        <w:rPr>
          <w:bCs/>
        </w:rPr>
        <w:t xml:space="preserve">skønnes </w:t>
      </w:r>
      <w:r w:rsidRPr="002677AE">
        <w:t>ikke at medføre administrative</w:t>
      </w:r>
      <w:r w:rsidRPr="004A18D6">
        <w:t xml:space="preserve"> </w:t>
      </w:r>
      <w:r>
        <w:t>udgifter.</w:t>
      </w:r>
    </w:p>
    <w:p w:rsidR="00FF707B" w:rsidRPr="00BC172D" w:rsidRDefault="00FF707B" w:rsidP="00376FD2"/>
    <w:p w:rsidR="00376FD2" w:rsidRPr="00BC172D" w:rsidRDefault="00376FD2" w:rsidP="00376FD2">
      <w:pPr>
        <w:rPr>
          <w:i/>
          <w:iCs/>
        </w:rPr>
      </w:pPr>
      <w:r w:rsidRPr="00BC172D">
        <w:rPr>
          <w:i/>
          <w:iCs/>
        </w:rPr>
        <w:t xml:space="preserve">6. Økonomiske konsekvenser for erhvervslivet </w:t>
      </w:r>
    </w:p>
    <w:p w:rsidR="0017647C" w:rsidRDefault="0017647C" w:rsidP="0017647C">
      <w:pPr>
        <w:rPr>
          <w:rFonts w:cs="Times New Roman"/>
          <w:szCs w:val="24"/>
        </w:rPr>
      </w:pPr>
    </w:p>
    <w:p w:rsidR="0017647C" w:rsidRPr="006F2E57" w:rsidRDefault="0017647C" w:rsidP="0017647C">
      <w:pPr>
        <w:rPr>
          <w:i/>
        </w:rPr>
      </w:pPr>
      <w:r w:rsidRPr="00E51C0A">
        <w:rPr>
          <w:i/>
        </w:rPr>
        <w:t xml:space="preserve">6.1. </w:t>
      </w:r>
      <w:r>
        <w:rPr>
          <w:i/>
        </w:rPr>
        <w:t>Samlede økonomiske konsekvenser for erhvervslivet</w:t>
      </w:r>
    </w:p>
    <w:p w:rsidR="0017647C" w:rsidRDefault="0017647C" w:rsidP="0017647C">
      <w:pPr>
        <w:rPr>
          <w:rFonts w:cs="Times New Roman"/>
          <w:szCs w:val="24"/>
        </w:rPr>
      </w:pPr>
      <w:r>
        <w:rPr>
          <w:rFonts w:cs="Times New Roman"/>
          <w:szCs w:val="24"/>
        </w:rPr>
        <w:t>Der fremrykkes</w:t>
      </w:r>
      <w:r w:rsidRPr="00767573">
        <w:rPr>
          <w:rFonts w:cs="Times New Roman"/>
          <w:szCs w:val="24"/>
        </w:rPr>
        <w:t xml:space="preserve"> erhvervsrettede skattelettelser </w:t>
      </w:r>
      <w:r>
        <w:rPr>
          <w:rFonts w:cs="Times New Roman"/>
          <w:szCs w:val="24"/>
        </w:rPr>
        <w:t xml:space="preserve">svarende til et </w:t>
      </w:r>
      <w:r w:rsidRPr="00767573">
        <w:rPr>
          <w:rFonts w:cs="Times New Roman"/>
          <w:szCs w:val="24"/>
        </w:rPr>
        <w:t>samlet umiddelbart mindreprovenu på 1.050 mio. kr. (2014-niveau) i perioden 2014 til 2017</w:t>
      </w:r>
      <w:r>
        <w:rPr>
          <w:rFonts w:cs="Times New Roman"/>
          <w:szCs w:val="24"/>
        </w:rPr>
        <w:t>. Dette vil bidrage til øget aktivitet, øget investeringer og bedre likviditet i virksomhederne fra 2014.</w:t>
      </w:r>
    </w:p>
    <w:p w:rsidR="0017647C" w:rsidRPr="006F2E57" w:rsidRDefault="0017647C" w:rsidP="0017647C">
      <w:pPr>
        <w:rPr>
          <w:rFonts w:cs="Times New Roman"/>
          <w:szCs w:val="24"/>
        </w:rPr>
      </w:pPr>
    </w:p>
    <w:p w:rsidR="0017647C" w:rsidRPr="00E51C0A" w:rsidRDefault="0017647C" w:rsidP="0017647C">
      <w:pPr>
        <w:rPr>
          <w:i/>
        </w:rPr>
      </w:pPr>
      <w:r w:rsidRPr="00E51C0A">
        <w:rPr>
          <w:i/>
        </w:rPr>
        <w:t>6.</w:t>
      </w:r>
      <w:r>
        <w:rPr>
          <w:i/>
        </w:rPr>
        <w:t>2</w:t>
      </w:r>
      <w:r w:rsidRPr="00E51C0A">
        <w:rPr>
          <w:i/>
        </w:rPr>
        <w:t xml:space="preserve">. </w:t>
      </w:r>
      <w:r>
        <w:rPr>
          <w:i/>
          <w:iCs/>
        </w:rPr>
        <w:t>Forhøjelse af beskæftigelsesfradragene</w:t>
      </w:r>
    </w:p>
    <w:p w:rsidR="0017647C" w:rsidRDefault="0017647C" w:rsidP="0017647C">
      <w:r>
        <w:t>Forslaget skønnes ikke at have umiddelbare økonomiske konsekvenser for erhvervslivet.</w:t>
      </w:r>
    </w:p>
    <w:p w:rsidR="0017647C" w:rsidRDefault="0017647C" w:rsidP="0017647C"/>
    <w:p w:rsidR="0017647C" w:rsidRPr="00A604F3" w:rsidRDefault="0017647C" w:rsidP="0017647C">
      <w:pPr>
        <w:rPr>
          <w:i/>
        </w:rPr>
      </w:pPr>
      <w:r w:rsidRPr="00A604F3">
        <w:rPr>
          <w:i/>
        </w:rPr>
        <w:t>6.3. Afskaffelse af den vægtbaserede emballageafgift</w:t>
      </w:r>
    </w:p>
    <w:p w:rsidR="0017647C" w:rsidRDefault="0017647C" w:rsidP="0017647C">
      <w:pPr>
        <w:rPr>
          <w:rFonts w:eastAsia="Garamond"/>
        </w:rPr>
      </w:pPr>
      <w:r w:rsidRPr="004D4A3C">
        <w:rPr>
          <w:rFonts w:eastAsia="Garamond"/>
        </w:rPr>
        <w:t>Fremrykning af afskaffelse af den vægtbaserede afgift fra 1. januar 2015 til 1. januar 2014 skønnes at medføre en umiddelbar forbedring af vilkårene for privatproduktion og beskæftigelse svarende til ca. 460 mio. kr. i 2014 ved uændrede priser. Dog forventes det, at afgiften overvæltes fuldt ud, således at priserne falder svarende til afgiften inkl. moms. Herved øges efterspørgslen og dermed virksomhedernes omsætning.</w:t>
      </w:r>
    </w:p>
    <w:p w:rsidR="0017647C" w:rsidRDefault="0017647C" w:rsidP="0017647C">
      <w:pPr>
        <w:rPr>
          <w:rFonts w:eastAsia="Garamond"/>
        </w:rPr>
      </w:pPr>
    </w:p>
    <w:p w:rsidR="0017647C" w:rsidRPr="00602738" w:rsidRDefault="0017647C" w:rsidP="0017647C">
      <w:pPr>
        <w:spacing w:line="276" w:lineRule="auto"/>
        <w:rPr>
          <w:rFonts w:eastAsia="Garamond"/>
          <w:i/>
        </w:rPr>
      </w:pPr>
      <w:r w:rsidRPr="00602738">
        <w:rPr>
          <w:rFonts w:eastAsia="Garamond"/>
          <w:i/>
        </w:rPr>
        <w:t xml:space="preserve">6.4. Forhøjelse af grænsen for skattekreditter </w:t>
      </w:r>
      <w:r w:rsidR="00486EC8">
        <w:rPr>
          <w:rFonts w:eastAsia="Garamond"/>
          <w:i/>
        </w:rPr>
        <w:t>vedrørende</w:t>
      </w:r>
      <w:r w:rsidRPr="00602738">
        <w:rPr>
          <w:rFonts w:eastAsia="Garamond"/>
          <w:i/>
        </w:rPr>
        <w:t xml:space="preserve"> forsknings- og udviklingsaktiviteter</w:t>
      </w:r>
    </w:p>
    <w:p w:rsidR="0017647C" w:rsidRDefault="0017647C" w:rsidP="0017647C">
      <w:r>
        <w:t>Den foreslåede fremrykning af forhøjelsen af grænsen for udbetaling af skattekreditter for forsknings- og udviklingsudgifter vil styrke virksomhedernes incitament til at investere i disse aktiviteter i 2014.</w:t>
      </w:r>
    </w:p>
    <w:p w:rsidR="0017647C" w:rsidRDefault="0017647C" w:rsidP="0017647C"/>
    <w:p w:rsidR="0017647C" w:rsidRPr="006D134C" w:rsidRDefault="0017647C" w:rsidP="0017647C">
      <w:pPr>
        <w:rPr>
          <w:i/>
          <w:iCs/>
        </w:rPr>
      </w:pPr>
      <w:r w:rsidRPr="006D134C">
        <w:rPr>
          <w:i/>
        </w:rPr>
        <w:t xml:space="preserve">6.5. </w:t>
      </w:r>
      <w:r w:rsidRPr="006D134C">
        <w:rPr>
          <w:i/>
          <w:iCs/>
        </w:rPr>
        <w:t>Lempelse af momskredittid for små virksomheder</w:t>
      </w:r>
    </w:p>
    <w:p w:rsidR="0017647C" w:rsidRDefault="0017647C" w:rsidP="0017647C">
      <w:pPr>
        <w:rPr>
          <w:iCs/>
        </w:rPr>
      </w:pPr>
      <w:r>
        <w:rPr>
          <w:iCs/>
        </w:rPr>
        <w:t>En forlænget kredittid øger virksomhedernes likviditet, hvilket giver en rentegevinst for virksomhederne. Denne rentegevinst skal ses i lyset af, at de fleste virksomheder i praksis, på baggrund af en lavere kreditværdighed, ikke kan låne til samme vilkår som staten. Den samlede rentegevinst for de berørte virksomheder må forventes at være større end det tilhørende mindreprovenu for staten.</w:t>
      </w:r>
    </w:p>
    <w:p w:rsidR="0017647C" w:rsidRDefault="0017647C" w:rsidP="0017647C">
      <w:pPr>
        <w:rPr>
          <w:iCs/>
        </w:rPr>
      </w:pPr>
    </w:p>
    <w:p w:rsidR="0017647C" w:rsidRPr="004D4A3C" w:rsidRDefault="0017647C" w:rsidP="0017647C">
      <w:pPr>
        <w:spacing w:line="276" w:lineRule="auto"/>
        <w:rPr>
          <w:rFonts w:eastAsia="Garamond"/>
          <w:i/>
        </w:rPr>
      </w:pPr>
      <w:r w:rsidRPr="004D4A3C">
        <w:rPr>
          <w:rFonts w:eastAsia="Garamond"/>
          <w:i/>
        </w:rPr>
        <w:t>6.</w:t>
      </w:r>
      <w:r>
        <w:rPr>
          <w:rFonts w:eastAsia="Garamond"/>
          <w:i/>
        </w:rPr>
        <w:t>6</w:t>
      </w:r>
      <w:r w:rsidRPr="004D4A3C">
        <w:rPr>
          <w:rFonts w:eastAsia="Garamond"/>
          <w:i/>
        </w:rPr>
        <w:t>. Lempelse af virksomhedernes afgift på brændsler</w:t>
      </w:r>
    </w:p>
    <w:p w:rsidR="0017647C" w:rsidRPr="004D4A3C" w:rsidRDefault="0017647C" w:rsidP="0017647C">
      <w:pPr>
        <w:rPr>
          <w:rFonts w:eastAsia="Garamond"/>
        </w:rPr>
      </w:pPr>
      <w:r w:rsidRPr="004D4A3C">
        <w:rPr>
          <w:rFonts w:eastAsia="Garamond"/>
        </w:rPr>
        <w:t xml:space="preserve">Fremrykning af nedsættelse af godtgørelse af energiafgifterne for brændsler anvendt til procesformål til 4,5 kr. pr. GJ fra 1. januar 2015 til 1. januar 2014 skønnes at medføre en umiddelbar forbedring af vilkårene for privatproduktion og beskæftigelse svarende til ca. 115 mio. kr. i 2014 ved uændrede priser. </w:t>
      </w:r>
    </w:p>
    <w:p w:rsidR="0017647C" w:rsidRPr="004D4A3C" w:rsidRDefault="0017647C" w:rsidP="0017647C">
      <w:pPr>
        <w:rPr>
          <w:rFonts w:eastAsia="Garamond"/>
        </w:rPr>
      </w:pPr>
    </w:p>
    <w:p w:rsidR="0017647C" w:rsidRDefault="0017647C" w:rsidP="0017647C">
      <w:pPr>
        <w:rPr>
          <w:rFonts w:eastAsia="Garamond"/>
        </w:rPr>
      </w:pPr>
      <w:r w:rsidRPr="004D4A3C">
        <w:rPr>
          <w:rFonts w:eastAsia="Garamond"/>
        </w:rPr>
        <w:t>Fremrykning af energiafgiftslempelserne medfører, at danske virksomheders energiomkostninger understøtter en konkurrencedygtig produktion. Især de energiintensive virksomheder i fremstillingserhvervene vil opnå en lempelse vedrørende deres udgifter til primært naturgas og kul, som anvendes i proces.</w:t>
      </w:r>
    </w:p>
    <w:p w:rsidR="0017647C" w:rsidRDefault="0017647C" w:rsidP="0017647C">
      <w:pPr>
        <w:rPr>
          <w:rFonts w:eastAsia="Garamond"/>
        </w:rPr>
      </w:pPr>
    </w:p>
    <w:p w:rsidR="0017647C" w:rsidRPr="001D694D" w:rsidRDefault="0017647C" w:rsidP="0017647C">
      <w:pPr>
        <w:spacing w:line="276" w:lineRule="auto"/>
        <w:rPr>
          <w:i/>
          <w:iCs/>
        </w:rPr>
      </w:pPr>
      <w:r w:rsidRPr="001D694D">
        <w:rPr>
          <w:i/>
          <w:iCs/>
        </w:rPr>
        <w:t>6.7. Fradrag for selvstændiges syge- og arbejdsskadeforsikring</w:t>
      </w:r>
    </w:p>
    <w:p w:rsidR="0017647C" w:rsidRDefault="0017647C" w:rsidP="0017647C">
      <w:r>
        <w:t>Forslaget medfører et øget skattefradrag for selvstændigt erhvervsdrivende, hvilket vil øge deres disponible indkomst i 2014 svarende til det umiddelbare mindreprovenu for det offentlige.</w:t>
      </w:r>
    </w:p>
    <w:p w:rsidR="009C0BA7" w:rsidRPr="009C0BA7" w:rsidRDefault="009C0BA7" w:rsidP="00376FD2">
      <w:pPr>
        <w:rPr>
          <w:iCs/>
        </w:rPr>
      </w:pPr>
    </w:p>
    <w:p w:rsidR="00376FD2" w:rsidRPr="00BC172D" w:rsidRDefault="00376FD2" w:rsidP="00376FD2">
      <w:pPr>
        <w:rPr>
          <w:i/>
          <w:iCs/>
        </w:rPr>
      </w:pPr>
      <w:r w:rsidRPr="00BC172D">
        <w:rPr>
          <w:i/>
          <w:iCs/>
        </w:rPr>
        <w:t xml:space="preserve">7. Administrative konsekvenser for erhvervslivet </w:t>
      </w:r>
    </w:p>
    <w:p w:rsidR="009C0BA7" w:rsidRDefault="009C0BA7" w:rsidP="00A37157">
      <w:r>
        <w:t>Forslaget er sendt i høring hos Erhvervsstyrelsens Team Effektiv Regulering (TER).</w:t>
      </w:r>
    </w:p>
    <w:p w:rsidR="009C0BA7" w:rsidRDefault="009C0BA7" w:rsidP="00A37157"/>
    <w:p w:rsidR="009C0BA7" w:rsidRDefault="009C0BA7" w:rsidP="00A37157">
      <w:r>
        <w:t>Forslaget skønnes ikke at have nævneværdige administrative konsekvenser for erhvervslivet.</w:t>
      </w:r>
    </w:p>
    <w:p w:rsidR="009C0BA7" w:rsidRDefault="009C0BA7" w:rsidP="00A37157"/>
    <w:p w:rsidR="00D30F5F" w:rsidRPr="004D4A3C" w:rsidRDefault="00D30F5F" w:rsidP="00A37157">
      <w:pPr>
        <w:rPr>
          <w:rFonts w:eastAsia="Garamond"/>
        </w:rPr>
      </w:pPr>
      <w:r w:rsidRPr="004D4A3C">
        <w:rPr>
          <w:rFonts w:eastAsia="Garamond"/>
        </w:rPr>
        <w:t>Fremrykning af afskaffelse af den vægtbaserede afgift fra 1. januar 2015 til 1. januar 2014 indebærer</w:t>
      </w:r>
      <w:r w:rsidR="009C0BA7">
        <w:rPr>
          <w:rFonts w:eastAsia="Garamond"/>
        </w:rPr>
        <w:t xml:space="preserve"> dog</w:t>
      </w:r>
      <w:r w:rsidRPr="004D4A3C">
        <w:rPr>
          <w:rFonts w:eastAsia="Garamond"/>
        </w:rPr>
        <w:t>, at erhvervene lettes for de administrative byrder, der er forbundet med at opgøre den vægtbaserede emballageafgift, allerede fra 1. januar 2014.</w:t>
      </w:r>
    </w:p>
    <w:p w:rsidR="00D30F5F" w:rsidRPr="004D4A3C" w:rsidRDefault="00D30F5F" w:rsidP="00A37157">
      <w:pPr>
        <w:rPr>
          <w:rFonts w:eastAsia="Garamond"/>
        </w:rPr>
      </w:pPr>
    </w:p>
    <w:p w:rsidR="00D30F5F" w:rsidRPr="004D4A3C" w:rsidRDefault="00D30F5F" w:rsidP="00A37157">
      <w:pPr>
        <w:rPr>
          <w:rFonts w:eastAsia="Garamond"/>
        </w:rPr>
      </w:pPr>
      <w:r w:rsidRPr="004D4A3C">
        <w:rPr>
          <w:rFonts w:eastAsia="Garamond"/>
        </w:rPr>
        <w:t>Der er 12 forskellige satser for den vægtbaserede emballageafgift afhængigt af materiale og 1</w:t>
      </w:r>
      <w:r w:rsidR="007D4137">
        <w:rPr>
          <w:rFonts w:eastAsia="Garamond"/>
        </w:rPr>
        <w:t>4</w:t>
      </w:r>
      <w:r w:rsidRPr="004D4A3C">
        <w:rPr>
          <w:rFonts w:eastAsia="Garamond"/>
        </w:rPr>
        <w:t xml:space="preserve"> forskellige varegrupper. I en del tilfælde skal importerede emballager skilles ad og vejes, for at afgiften kan afregnes.</w:t>
      </w:r>
    </w:p>
    <w:p w:rsidR="00D30F5F" w:rsidRPr="004D4A3C" w:rsidRDefault="00D30F5F" w:rsidP="00A37157">
      <w:pPr>
        <w:rPr>
          <w:rFonts w:eastAsia="Garamond"/>
        </w:rPr>
      </w:pPr>
    </w:p>
    <w:p w:rsidR="00D30F5F" w:rsidRPr="004D4A3C" w:rsidRDefault="00D30F5F" w:rsidP="00A37157">
      <w:pPr>
        <w:rPr>
          <w:rFonts w:eastAsia="Garamond"/>
        </w:rPr>
      </w:pPr>
      <w:r w:rsidRPr="004D4A3C">
        <w:rPr>
          <w:rFonts w:eastAsia="Garamond"/>
        </w:rPr>
        <w:t xml:space="preserve">Alle importører og producenter af de pågældende produkter skal registreres for afgift, </w:t>
      </w:r>
      <w:r>
        <w:rPr>
          <w:rFonts w:eastAsia="Garamond"/>
        </w:rPr>
        <w:t xml:space="preserve">svarende til ca. </w:t>
      </w:r>
      <w:r w:rsidRPr="004D4A3C">
        <w:rPr>
          <w:rFonts w:eastAsia="Garamond"/>
        </w:rPr>
        <w:t xml:space="preserve">1.000 </w:t>
      </w:r>
      <w:r>
        <w:rPr>
          <w:rFonts w:eastAsia="Garamond"/>
        </w:rPr>
        <w:t xml:space="preserve">registrerede </w:t>
      </w:r>
      <w:r w:rsidRPr="004D4A3C">
        <w:rPr>
          <w:rFonts w:eastAsia="Garamond"/>
        </w:rPr>
        <w:t>virksomheder. Det er relativt mange sammenlignet med andre afgifter.</w:t>
      </w:r>
    </w:p>
    <w:p w:rsidR="001D694D" w:rsidRPr="00BC172D" w:rsidRDefault="001D694D" w:rsidP="00A37157"/>
    <w:p w:rsidR="00376FD2" w:rsidRPr="00BC172D" w:rsidRDefault="00376FD2" w:rsidP="00376FD2">
      <w:pPr>
        <w:rPr>
          <w:i/>
          <w:iCs/>
        </w:rPr>
      </w:pPr>
      <w:r w:rsidRPr="00BC172D">
        <w:rPr>
          <w:i/>
          <w:iCs/>
        </w:rPr>
        <w:t xml:space="preserve">8. Administrative konsekvenser for borgerne  </w:t>
      </w:r>
    </w:p>
    <w:p w:rsidR="00C33C18" w:rsidRDefault="00C33C18" w:rsidP="00A37157">
      <w:r w:rsidRPr="000E49FC">
        <w:t>Forslaget har ingen administrative konsekvenser for borgerne</w:t>
      </w:r>
      <w:r>
        <w:t>.</w:t>
      </w:r>
    </w:p>
    <w:p w:rsidR="00C33C18" w:rsidRDefault="00C33C18" w:rsidP="00A37157"/>
    <w:p w:rsidR="00376FD2" w:rsidRDefault="00C33C18" w:rsidP="00A37157">
      <w:r>
        <w:t>Skattelettelserne som følge af forhøjelsen af beskæftigelsesfradragene udmøntes automatisk</w:t>
      </w:r>
      <w:r w:rsidRPr="000E49FC">
        <w:t>.</w:t>
      </w:r>
      <w:r>
        <w:t xml:space="preserve"> Så snart </w:t>
      </w:r>
      <w:r w:rsidR="00715E31">
        <w:t>loven er trådt i kraft</w:t>
      </w:r>
      <w:r>
        <w:t>, bliver der foretaget en ændring i SKATs forskudsændringssystem, således at personer, der efterfølgende får ændret forskudsansættelsen, bliver forskudsregistreret med de ændrede satser. For personer, der ikke får ændret forskudsopgørelsen i løbet af 2014, vil de foreslåede satser medføre større overskydende skatter eller reducerede restskatter af forholdsvis begrænset størrelse, som udbetales eller opkræves ved årsopgørelsen for 2014 i foråret 2015, eller for så vidt angår restskatten eventuelt indregnes i forskudsopgørelsen for 2015.</w:t>
      </w:r>
    </w:p>
    <w:p w:rsidR="001D694D" w:rsidRPr="00BC172D" w:rsidRDefault="001D694D" w:rsidP="00A37157"/>
    <w:p w:rsidR="00376FD2" w:rsidRPr="00BC172D" w:rsidRDefault="00376FD2" w:rsidP="00376FD2">
      <w:pPr>
        <w:rPr>
          <w:i/>
          <w:iCs/>
        </w:rPr>
      </w:pPr>
      <w:r w:rsidRPr="00BC172D">
        <w:rPr>
          <w:i/>
          <w:iCs/>
        </w:rPr>
        <w:t>9. Miljømæssige konsekvenser</w:t>
      </w:r>
    </w:p>
    <w:p w:rsidR="00E60445" w:rsidRPr="004D4A3C" w:rsidRDefault="00E60445" w:rsidP="00A37157">
      <w:pPr>
        <w:rPr>
          <w:rFonts w:eastAsia="Garamond"/>
        </w:rPr>
      </w:pPr>
      <w:r w:rsidRPr="004D4A3C">
        <w:rPr>
          <w:rFonts w:eastAsia="Garamond"/>
        </w:rPr>
        <w:t>Fremrykning af afskaffelse af den vægtbaserede afgift fra 1. januar 2015 til 1. januar 2014 skønnes ikke at indebære miljømæssige konsekvenser.</w:t>
      </w:r>
    </w:p>
    <w:p w:rsidR="00E60445" w:rsidRPr="004D4A3C" w:rsidRDefault="00E60445" w:rsidP="00A37157">
      <w:pPr>
        <w:rPr>
          <w:rFonts w:eastAsia="Garamond"/>
        </w:rPr>
      </w:pPr>
    </w:p>
    <w:p w:rsidR="00E60445" w:rsidRPr="004D4A3C" w:rsidRDefault="00E60445" w:rsidP="00A37157">
      <w:pPr>
        <w:rPr>
          <w:rFonts w:eastAsia="Garamond"/>
        </w:rPr>
      </w:pPr>
      <w:r w:rsidRPr="004D4A3C">
        <w:rPr>
          <w:rFonts w:eastAsia="Garamond"/>
        </w:rPr>
        <w:t>Kun en lille del af emballageforbruget er dækket af den vægtbaserede emballageafgift. Samtidig er forureningskilder i forbindelse med produktion og forbrug af emballager i stort omfang reguleret ved andre afgifter, f.eks. energi-, CO2</w:t>
      </w:r>
      <w:r w:rsidR="00C1516C">
        <w:rPr>
          <w:rFonts w:eastAsia="Garamond"/>
        </w:rPr>
        <w:t>-</w:t>
      </w:r>
      <w:r w:rsidRPr="004D4A3C">
        <w:rPr>
          <w:rFonts w:eastAsia="Garamond"/>
        </w:rPr>
        <w:t>, svovl</w:t>
      </w:r>
      <w:r w:rsidR="00C1516C">
        <w:rPr>
          <w:rFonts w:eastAsia="Garamond"/>
        </w:rPr>
        <w:t>-</w:t>
      </w:r>
      <w:r w:rsidRPr="004D4A3C">
        <w:rPr>
          <w:rFonts w:eastAsia="Garamond"/>
        </w:rPr>
        <w:t>, NOx</w:t>
      </w:r>
      <w:r w:rsidR="00C1516C">
        <w:rPr>
          <w:rFonts w:eastAsia="Garamond"/>
        </w:rPr>
        <w:t>-</w:t>
      </w:r>
      <w:r w:rsidRPr="004D4A3C">
        <w:rPr>
          <w:rFonts w:eastAsia="Garamond"/>
        </w:rPr>
        <w:t>, spildevand- og affaldsafgift. På baggrund heraf vurderes det, at afskaffelse af den vægtbaserede emballageafgift har meget begrænsede miljømæssige konsekvenser.</w:t>
      </w:r>
    </w:p>
    <w:p w:rsidR="00E60445" w:rsidRPr="004D4A3C" w:rsidRDefault="00E60445" w:rsidP="00A37157">
      <w:pPr>
        <w:rPr>
          <w:rFonts w:eastAsia="Garamond"/>
        </w:rPr>
      </w:pPr>
    </w:p>
    <w:p w:rsidR="00E60445" w:rsidRDefault="00E60445" w:rsidP="00A37157">
      <w:pPr>
        <w:rPr>
          <w:rFonts w:eastAsia="Garamond"/>
        </w:rPr>
      </w:pPr>
      <w:r w:rsidRPr="004D4A3C">
        <w:rPr>
          <w:rFonts w:eastAsia="Garamond"/>
        </w:rPr>
        <w:t>Ved nedsættelsen af erhvervenes energiafgifter på brændsler til proces til 4,5 kr./GJ pr. 1. januar 2015 blev det skønnet, at</w:t>
      </w:r>
      <w:r>
        <w:rPr>
          <w:rFonts w:eastAsia="Garamond"/>
        </w:rPr>
        <w:t xml:space="preserve"> den faktiske</w:t>
      </w:r>
      <w:r w:rsidRPr="004D4A3C">
        <w:rPr>
          <w:rFonts w:eastAsia="Garamond"/>
        </w:rPr>
        <w:t xml:space="preserve"> CO2-udledning blev øget med knap 0,03 mio. ton CO2. Ca. halvdelen af forbruget af brændsler til proces er underlagt EU’s CO2-kvotesystem</w:t>
      </w:r>
      <w:r w:rsidR="005D1699">
        <w:rPr>
          <w:rFonts w:eastAsia="Garamond"/>
        </w:rPr>
        <w:t>,</w:t>
      </w:r>
      <w:r w:rsidRPr="004D4A3C">
        <w:rPr>
          <w:rFonts w:eastAsia="Garamond"/>
        </w:rPr>
        <w:t xml:space="preserve"> og</w:t>
      </w:r>
      <w:r w:rsidR="005D1699">
        <w:rPr>
          <w:rFonts w:eastAsia="Garamond"/>
        </w:rPr>
        <w:t xml:space="preserve"> </w:t>
      </w:r>
      <w:r w:rsidR="00832EC3">
        <w:rPr>
          <w:rFonts w:eastAsia="Garamond"/>
        </w:rPr>
        <w:t xml:space="preserve">nedsættelsen af afgiften på </w:t>
      </w:r>
      <w:r w:rsidR="005D1699">
        <w:rPr>
          <w:rFonts w:eastAsia="Garamond"/>
        </w:rPr>
        <w:t>disse brændsler</w:t>
      </w:r>
      <w:r w:rsidRPr="004D4A3C">
        <w:rPr>
          <w:rFonts w:eastAsia="Garamond"/>
        </w:rPr>
        <w:t xml:space="preserve"> vil således ikke føre til en samlet forøgelse af udledningen af CO2 inden for CO2-kvotesystemet. </w:t>
      </w:r>
    </w:p>
    <w:p w:rsidR="00E60445" w:rsidRPr="004D4A3C" w:rsidRDefault="00E60445" w:rsidP="00A37157">
      <w:pPr>
        <w:rPr>
          <w:rFonts w:eastAsia="Garamond"/>
        </w:rPr>
      </w:pPr>
    </w:p>
    <w:p w:rsidR="00376FD2" w:rsidRDefault="00E60445" w:rsidP="00A37157">
      <w:pPr>
        <w:rPr>
          <w:rFonts w:eastAsia="Garamond"/>
        </w:rPr>
      </w:pPr>
      <w:r w:rsidRPr="004D4A3C">
        <w:rPr>
          <w:rFonts w:eastAsia="Garamond"/>
        </w:rPr>
        <w:t xml:space="preserve">Fremrykning af nedsættelse af godtgørelse af energiafgifterne for brændsler anvendt til procesformål til 4,5 kr. pr. GJ fra 1. januar 2015 til 1. januar 2014 </w:t>
      </w:r>
      <w:r>
        <w:rPr>
          <w:rFonts w:eastAsia="Garamond"/>
        </w:rPr>
        <w:t xml:space="preserve">vil indebære, at CO2-udledningen øges </w:t>
      </w:r>
      <w:r w:rsidR="005D1699">
        <w:rPr>
          <w:rFonts w:eastAsia="Garamond"/>
        </w:rPr>
        <w:t xml:space="preserve">med knap 0,03 tons CO2 </w:t>
      </w:r>
      <w:r>
        <w:rPr>
          <w:rFonts w:eastAsia="Garamond"/>
        </w:rPr>
        <w:t>fra 1. januar 2014. Fremrykningen påvirker ikke energiforbruget på sigt.</w:t>
      </w:r>
    </w:p>
    <w:p w:rsidR="00E60445" w:rsidRDefault="00E60445" w:rsidP="00A37157">
      <w:pPr>
        <w:rPr>
          <w:rFonts w:eastAsia="Garamond"/>
        </w:rPr>
      </w:pPr>
    </w:p>
    <w:p w:rsidR="00E60445" w:rsidRDefault="008B49B2" w:rsidP="00A37157">
      <w:r>
        <w:rPr>
          <w:rFonts w:eastAsia="Garamond"/>
        </w:rPr>
        <w:t>L</w:t>
      </w:r>
      <w:r w:rsidR="00E60445">
        <w:rPr>
          <w:rFonts w:eastAsia="Garamond"/>
        </w:rPr>
        <w:t>ovforslaget</w:t>
      </w:r>
      <w:r>
        <w:rPr>
          <w:rFonts w:eastAsia="Garamond"/>
        </w:rPr>
        <w:t xml:space="preserve"> har herudover</w:t>
      </w:r>
      <w:r w:rsidR="00E60445">
        <w:rPr>
          <w:rFonts w:eastAsia="Garamond"/>
        </w:rPr>
        <w:t xml:space="preserve"> ingen miljømæssige konsekvenser.</w:t>
      </w:r>
    </w:p>
    <w:p w:rsidR="000076C5" w:rsidRPr="00BC172D" w:rsidRDefault="000076C5" w:rsidP="00A37157"/>
    <w:p w:rsidR="00376FD2" w:rsidRPr="00BC172D" w:rsidRDefault="00376FD2" w:rsidP="00376FD2">
      <w:pPr>
        <w:rPr>
          <w:i/>
          <w:iCs/>
        </w:rPr>
      </w:pPr>
      <w:r w:rsidRPr="00BC172D">
        <w:rPr>
          <w:i/>
          <w:iCs/>
        </w:rPr>
        <w:t>10. Forholdet til EU-retten</w:t>
      </w:r>
    </w:p>
    <w:p w:rsidR="00466B48" w:rsidRDefault="00466B48" w:rsidP="00A37157">
      <w:pPr>
        <w:rPr>
          <w:iCs/>
        </w:rPr>
      </w:pPr>
      <w:r>
        <w:rPr>
          <w:iCs/>
        </w:rPr>
        <w:t xml:space="preserve">EU’s momsregler fastsætter visse rammer for betalingsfristen og angivelsesperioden. Betalingsfristen må højst være på 2 måneder. Afregningsperioden skal som hovedregel fastsættes til en, to eller tre måneder, men det er muligt at fastsætte andre perioder, så længe afregningsfristen ikke overstiger </w:t>
      </w:r>
      <w:r w:rsidR="00A37157">
        <w:rPr>
          <w:iCs/>
        </w:rPr>
        <w:t>1</w:t>
      </w:r>
      <w:r>
        <w:rPr>
          <w:iCs/>
        </w:rPr>
        <w:t xml:space="preserve"> år.</w:t>
      </w:r>
    </w:p>
    <w:p w:rsidR="00466B48" w:rsidRDefault="00466B48" w:rsidP="00A37157">
      <w:pPr>
        <w:rPr>
          <w:iCs/>
        </w:rPr>
      </w:pPr>
    </w:p>
    <w:p w:rsidR="00466B48" w:rsidRPr="00B55DA4" w:rsidRDefault="00466B48" w:rsidP="00A37157">
      <w:pPr>
        <w:rPr>
          <w:iCs/>
        </w:rPr>
      </w:pPr>
      <w:r>
        <w:rPr>
          <w:iCs/>
        </w:rPr>
        <w:t xml:space="preserve">Ændringen af definitionen for, hvornår en virksomhed kan afregne moms halvårligt har ikke konsekvenser i forhold til EU-retten, idet afregningsperioden for alle virksomheder ikke overstiger 1 år.  </w:t>
      </w:r>
    </w:p>
    <w:p w:rsidR="00466B48" w:rsidRPr="00466B48" w:rsidRDefault="00466B48" w:rsidP="00A37157">
      <w:pPr>
        <w:rPr>
          <w:rFonts w:eastAsia="Garamond"/>
        </w:rPr>
      </w:pPr>
    </w:p>
    <w:p w:rsidR="00466B48" w:rsidRDefault="00466B48" w:rsidP="00A37157">
      <w:pPr>
        <w:rPr>
          <w:rFonts w:eastAsia="Garamond"/>
        </w:rPr>
      </w:pPr>
      <w:r w:rsidRPr="004D4A3C">
        <w:rPr>
          <w:rFonts w:eastAsia="Garamond"/>
        </w:rPr>
        <w:t>Ændring i energiafgiftslovene skal meddeles EU-Kommissionen i henhold til energibeskatningsdirektivet (direktiv 2003/96/EU).</w:t>
      </w:r>
    </w:p>
    <w:p w:rsidR="008B49B2" w:rsidRDefault="008B49B2" w:rsidP="00A37157">
      <w:pPr>
        <w:rPr>
          <w:rFonts w:eastAsia="Garamond"/>
        </w:rPr>
      </w:pPr>
    </w:p>
    <w:p w:rsidR="008B49B2" w:rsidRPr="004D4A3C" w:rsidRDefault="008B49B2" w:rsidP="00A37157">
      <w:pPr>
        <w:rPr>
          <w:rFonts w:eastAsia="Garamond"/>
        </w:rPr>
      </w:pPr>
      <w:r>
        <w:rPr>
          <w:rFonts w:eastAsia="Garamond"/>
        </w:rPr>
        <w:t>Lovforslaget indeholder herudover ingen EU-retlige aspekter.</w:t>
      </w:r>
    </w:p>
    <w:p w:rsidR="000076C5" w:rsidRPr="00BC172D" w:rsidRDefault="000076C5" w:rsidP="00A37157"/>
    <w:p w:rsidR="00376FD2" w:rsidRPr="00BC172D" w:rsidRDefault="00376FD2" w:rsidP="00376FD2">
      <w:pPr>
        <w:spacing w:line="288" w:lineRule="auto"/>
        <w:rPr>
          <w:i/>
          <w:iCs/>
        </w:rPr>
      </w:pPr>
      <w:r w:rsidRPr="00BC172D">
        <w:rPr>
          <w:i/>
          <w:iCs/>
        </w:rPr>
        <w:t xml:space="preserve">11. Hørte myndigheder og organisationer m.v.  </w:t>
      </w:r>
    </w:p>
    <w:p w:rsidR="008B49B2" w:rsidRPr="008B49B2" w:rsidRDefault="008B49B2" w:rsidP="008B49B2">
      <w:pPr>
        <w:rPr>
          <w:rFonts w:eastAsia="Times New Roman" w:cs="Times New Roman"/>
          <w:szCs w:val="24"/>
        </w:rPr>
      </w:pPr>
      <w:r w:rsidRPr="008B49B2">
        <w:rPr>
          <w:rFonts w:eastAsia="Times New Roman" w:cs="Times New Roman"/>
          <w:szCs w:val="24"/>
        </w:rPr>
        <w:t>Et udkast til lovforslaget har været sendt i høring hos følgende myndigheder og organisationer m.v.:</w:t>
      </w:r>
    </w:p>
    <w:p w:rsidR="00466B48" w:rsidRPr="008B49B2" w:rsidRDefault="00466B48" w:rsidP="008B49B2"/>
    <w:p w:rsidR="009F65F3" w:rsidRPr="00367EEA" w:rsidRDefault="00123E0D" w:rsidP="009F65F3">
      <w:r>
        <w:t xml:space="preserve">3F, Advokatrådet, </w:t>
      </w:r>
      <w:r w:rsidRPr="00B20EE8">
        <w:t>Affald Danmark</w:t>
      </w:r>
      <w:r>
        <w:t xml:space="preserve">, </w:t>
      </w:r>
      <w:r w:rsidRPr="002C6620">
        <w:rPr>
          <w:iCs/>
        </w:rPr>
        <w:t>AgroSkat as</w:t>
      </w:r>
      <w:r>
        <w:rPr>
          <w:iCs/>
        </w:rPr>
        <w:t xml:space="preserve">, </w:t>
      </w:r>
      <w:r w:rsidRPr="001351E1">
        <w:t>Aluminium Danmark</w:t>
      </w:r>
      <w:r>
        <w:t xml:space="preserve">, </w:t>
      </w:r>
      <w:r w:rsidRPr="008268F1">
        <w:rPr>
          <w:iCs/>
        </w:rPr>
        <w:t>AmCham Denmark</w:t>
      </w:r>
      <w:r>
        <w:rPr>
          <w:iCs/>
        </w:rPr>
        <w:t xml:space="preserve">, </w:t>
      </w:r>
      <w:r>
        <w:t xml:space="preserve">Arbejderbevægelsens Erhvervsråd, </w:t>
      </w:r>
      <w:r w:rsidRPr="00A1693E">
        <w:rPr>
          <w:iCs/>
        </w:rPr>
        <w:t>ATP</w:t>
      </w:r>
      <w:r>
        <w:rPr>
          <w:iCs/>
        </w:rPr>
        <w:t xml:space="preserve">, </w:t>
      </w:r>
      <w:r>
        <w:t>BDO Kommunernes Revision,</w:t>
      </w:r>
      <w:r w:rsidRPr="00123E0D">
        <w:t xml:space="preserve"> </w:t>
      </w:r>
      <w:r>
        <w:t>Beskæftigelsesministeriet,</w:t>
      </w:r>
      <w:r w:rsidRPr="00123E0D">
        <w:t xml:space="preserve"> </w:t>
      </w:r>
      <w:r>
        <w:t>Biobrændselsforeningen,</w:t>
      </w:r>
      <w:r w:rsidRPr="00123E0D">
        <w:t xml:space="preserve"> </w:t>
      </w:r>
      <w:r>
        <w:t>Brancheforeningen for biogas,</w:t>
      </w:r>
      <w:r w:rsidRPr="00123E0D">
        <w:t xml:space="preserve"> </w:t>
      </w:r>
      <w:r>
        <w:t>Brancheforeningen for Decentral kraftvarme,</w:t>
      </w:r>
      <w:r w:rsidRPr="00123E0D">
        <w:t xml:space="preserve"> </w:t>
      </w:r>
      <w:r>
        <w:t xml:space="preserve">Brancheforeningen for husstandsvindmøller, </w:t>
      </w:r>
      <w:r w:rsidRPr="00BF1082">
        <w:t>Business Danmark</w:t>
      </w:r>
      <w:r>
        <w:t xml:space="preserve">, </w:t>
      </w:r>
      <w:r w:rsidRPr="00A1693E">
        <w:rPr>
          <w:iCs/>
        </w:rPr>
        <w:t>Børsmæglerforeningen</w:t>
      </w:r>
      <w:r>
        <w:rPr>
          <w:iCs/>
        </w:rPr>
        <w:t>,</w:t>
      </w:r>
      <w:r w:rsidRPr="00123E0D">
        <w:t xml:space="preserve"> </w:t>
      </w:r>
      <w:r w:rsidRPr="008268F1">
        <w:t>CEPOS</w:t>
      </w:r>
      <w:r>
        <w:t xml:space="preserve">, </w:t>
      </w:r>
      <w:r w:rsidRPr="001F0C1C">
        <w:t>Centrum-venstre Akademiet</w:t>
      </w:r>
      <w:r>
        <w:t>,</w:t>
      </w:r>
      <w:r w:rsidRPr="00674C8A">
        <w:rPr>
          <w:iCs/>
        </w:rPr>
        <w:t xml:space="preserve"> Cevea</w:t>
      </w:r>
      <w:r>
        <w:tab/>
        <w:t>,</w:t>
      </w:r>
      <w:r w:rsidRPr="00674C8A">
        <w:t xml:space="preserve"> Coop Danmark</w:t>
      </w:r>
      <w:r>
        <w:t>,</w:t>
      </w:r>
      <w:r w:rsidRPr="00674C8A">
        <w:t xml:space="preserve"> DAKOFA</w:t>
      </w:r>
      <w:r>
        <w:t>,</w:t>
      </w:r>
      <w:r w:rsidRPr="009E70AB">
        <w:rPr>
          <w:color w:val="FF0000"/>
        </w:rPr>
        <w:t xml:space="preserve"> </w:t>
      </w:r>
      <w:r w:rsidRPr="00674C8A">
        <w:t>Danish Operators</w:t>
      </w:r>
      <w:r>
        <w:t>,</w:t>
      </w:r>
      <w:r w:rsidRPr="00123E0D">
        <w:t xml:space="preserve"> </w:t>
      </w:r>
      <w:r w:rsidRPr="00BF1082">
        <w:t>Danmarks Jordbrugsforskning</w:t>
      </w:r>
      <w:r>
        <w:t>,</w:t>
      </w:r>
      <w:r w:rsidRPr="00BF1082">
        <w:tab/>
      </w:r>
      <w:r>
        <w:t>Danmarks Naturfredningsforening,</w:t>
      </w:r>
      <w:r w:rsidRPr="00123E0D">
        <w:t xml:space="preserve"> </w:t>
      </w:r>
      <w:r>
        <w:t>Danmarks Rederiforening,</w:t>
      </w:r>
      <w:r w:rsidRPr="00123E0D">
        <w:rPr>
          <w:iCs/>
        </w:rPr>
        <w:t xml:space="preserve"> </w:t>
      </w:r>
      <w:r w:rsidRPr="00A1693E">
        <w:rPr>
          <w:iCs/>
        </w:rPr>
        <w:t>Danmarks Skibskreditfond</w:t>
      </w:r>
      <w:r>
        <w:rPr>
          <w:iCs/>
        </w:rPr>
        <w:t>,</w:t>
      </w:r>
      <w:r w:rsidRPr="00123E0D">
        <w:t xml:space="preserve"> </w:t>
      </w:r>
      <w:r>
        <w:t>Danmarks Vindmølleforening,</w:t>
      </w:r>
      <w:r w:rsidRPr="00123E0D">
        <w:t xml:space="preserve"> </w:t>
      </w:r>
      <w:r>
        <w:t>Dansk Affaldsforening,</w:t>
      </w:r>
      <w:r w:rsidRPr="00123E0D">
        <w:rPr>
          <w:iCs/>
        </w:rPr>
        <w:t xml:space="preserve"> </w:t>
      </w:r>
      <w:r w:rsidRPr="00A1693E">
        <w:rPr>
          <w:iCs/>
        </w:rPr>
        <w:t>Dansk Aktionærforening</w:t>
      </w:r>
      <w:r>
        <w:rPr>
          <w:iCs/>
        </w:rPr>
        <w:t>,</w:t>
      </w:r>
      <w:r w:rsidRPr="00123E0D">
        <w:t xml:space="preserve"> </w:t>
      </w:r>
      <w:r>
        <w:t>Dansk Arbejdsgiverforening,</w:t>
      </w:r>
      <w:r w:rsidRPr="00123E0D">
        <w:t xml:space="preserve"> </w:t>
      </w:r>
      <w:r>
        <w:t>Dansk Byggeri, Dansk Dagligvareleverandørforening,</w:t>
      </w:r>
      <w:r w:rsidRPr="00123E0D">
        <w:t xml:space="preserve"> </w:t>
      </w:r>
      <w:r>
        <w:t>Dansk Energi,</w:t>
      </w:r>
      <w:r w:rsidRPr="00123E0D">
        <w:t xml:space="preserve"> </w:t>
      </w:r>
      <w:r>
        <w:t>Dansk Erhverv,</w:t>
      </w:r>
      <w:r>
        <w:tab/>
        <w:t>Dansk Fjernvarme,</w:t>
      </w:r>
      <w:r w:rsidRPr="00123E0D">
        <w:t xml:space="preserve"> </w:t>
      </w:r>
      <w:r>
        <w:t>Dansk Funktionærforbund,</w:t>
      </w:r>
      <w:r w:rsidRPr="00123E0D">
        <w:t xml:space="preserve"> </w:t>
      </w:r>
      <w:r>
        <w:t>Dansk Gartneri,</w:t>
      </w:r>
      <w:r w:rsidRPr="00123E0D">
        <w:t xml:space="preserve"> </w:t>
      </w:r>
      <w:r>
        <w:t>Dansk Gasteknisk Center,</w:t>
      </w:r>
      <w:r w:rsidRPr="00123E0D">
        <w:rPr>
          <w:iCs/>
        </w:rPr>
        <w:t xml:space="preserve"> </w:t>
      </w:r>
      <w:r w:rsidRPr="00A1693E">
        <w:rPr>
          <w:iCs/>
        </w:rPr>
        <w:t>Dansk Iværksætterforening</w:t>
      </w:r>
      <w:r>
        <w:rPr>
          <w:iCs/>
        </w:rPr>
        <w:t>,</w:t>
      </w:r>
      <w:r w:rsidRPr="00123E0D">
        <w:t xml:space="preserve"> </w:t>
      </w:r>
      <w:r>
        <w:t>Dansk Journalistforbund,</w:t>
      </w:r>
      <w:r w:rsidRPr="00123E0D">
        <w:t xml:space="preserve"> </w:t>
      </w:r>
      <w:r>
        <w:t>Dansk Landbrugsrådgivning,</w:t>
      </w:r>
      <w:r w:rsidRPr="00123E0D">
        <w:t xml:space="preserve"> </w:t>
      </w:r>
      <w:r>
        <w:t>Dansk Metal,</w:t>
      </w:r>
      <w:r w:rsidRPr="00123E0D">
        <w:t xml:space="preserve"> </w:t>
      </w:r>
      <w:r w:rsidRPr="00CF0463">
        <w:t>Dansk Retursystem A/S</w:t>
      </w:r>
      <w:r>
        <w:t>,</w:t>
      </w:r>
      <w:r w:rsidRPr="00123E0D">
        <w:t xml:space="preserve"> </w:t>
      </w:r>
      <w:r>
        <w:t>Dansk Skovforening,</w:t>
      </w:r>
      <w:r w:rsidRPr="00123E0D">
        <w:t xml:space="preserve"> </w:t>
      </w:r>
      <w:r>
        <w:t>Dansk Solcelleforening,</w:t>
      </w:r>
      <w:r w:rsidRPr="00123E0D">
        <w:t xml:space="preserve"> </w:t>
      </w:r>
      <w:r>
        <w:t>Dansk Told- og Skatteforbund,</w:t>
      </w:r>
      <w:r w:rsidRPr="00123E0D">
        <w:t xml:space="preserve"> </w:t>
      </w:r>
      <w:r>
        <w:t>Dansk Transport og Logistik</w:t>
      </w:r>
      <w:r w:rsidR="00E02F12">
        <w:t>,</w:t>
      </w:r>
      <w:r w:rsidR="00E02F12" w:rsidRPr="00E02F12">
        <w:t xml:space="preserve"> </w:t>
      </w:r>
      <w:r w:rsidR="00E02F12">
        <w:t>Danske Advokater,</w:t>
      </w:r>
      <w:r w:rsidR="00E02F12" w:rsidRPr="00E02F12">
        <w:t xml:space="preserve"> </w:t>
      </w:r>
      <w:r w:rsidR="00E02F12">
        <w:t>Danske Regioner,</w:t>
      </w:r>
      <w:r w:rsidR="00E02F12" w:rsidRPr="00E02F12">
        <w:t xml:space="preserve"> </w:t>
      </w:r>
      <w:r w:rsidR="00E02F12">
        <w:t>Danske Speditører,</w:t>
      </w:r>
      <w:r w:rsidR="00E02F12" w:rsidRPr="00E02F12">
        <w:t xml:space="preserve"> </w:t>
      </w:r>
      <w:r w:rsidR="00E02F12">
        <w:t>Dansk Supermarked Gruppen,</w:t>
      </w:r>
      <w:r w:rsidR="00E02F12" w:rsidRPr="00E02F12">
        <w:t xml:space="preserve"> </w:t>
      </w:r>
      <w:r w:rsidR="00E02F12">
        <w:t>DANVA,</w:t>
      </w:r>
      <w:r w:rsidR="00E02F12">
        <w:tab/>
        <w:t>Datatilsynet,</w:t>
      </w:r>
      <w:r w:rsidR="00E02F12" w:rsidRPr="00E02F12">
        <w:t xml:space="preserve"> </w:t>
      </w:r>
      <w:r w:rsidR="00E02F12">
        <w:t>De Samvirkende Købmænd,</w:t>
      </w:r>
      <w:r w:rsidR="00E02F12" w:rsidRPr="00E02F12">
        <w:rPr>
          <w:iCs/>
        </w:rPr>
        <w:t xml:space="preserve"> </w:t>
      </w:r>
      <w:r w:rsidR="00E02F12">
        <w:rPr>
          <w:iCs/>
        </w:rPr>
        <w:t>Den Danske Dommerforening,</w:t>
      </w:r>
      <w:r w:rsidR="00E02F12" w:rsidRPr="00E02F12">
        <w:rPr>
          <w:iCs/>
        </w:rPr>
        <w:t xml:space="preserve"> </w:t>
      </w:r>
      <w:r w:rsidR="00E02F12">
        <w:rPr>
          <w:iCs/>
        </w:rPr>
        <w:t>Den Danske Fondsmæglerforening,</w:t>
      </w:r>
      <w:r w:rsidR="00E02F12" w:rsidRPr="00E02F12">
        <w:t xml:space="preserve"> </w:t>
      </w:r>
      <w:r w:rsidR="00E02F12">
        <w:t>Den Danske Landinspektørforening,</w:t>
      </w:r>
      <w:r w:rsidR="00E02F12" w:rsidRPr="00E02F12">
        <w:t xml:space="preserve"> </w:t>
      </w:r>
      <w:r w:rsidR="00E02F12">
        <w:t>Den Danske Skatteborgerforening,</w:t>
      </w:r>
      <w:r w:rsidR="00E02F12" w:rsidRPr="00E02F12">
        <w:t xml:space="preserve"> </w:t>
      </w:r>
      <w:r w:rsidR="00E02F12">
        <w:t>Det Økologiske Råd</w:t>
      </w:r>
      <w:r w:rsidR="00E02F12">
        <w:rPr>
          <w:iCs/>
        </w:rPr>
        <w:t>, DI,</w:t>
      </w:r>
      <w:r w:rsidR="00E02F12" w:rsidRPr="00E02F12">
        <w:rPr>
          <w:iCs/>
        </w:rPr>
        <w:t xml:space="preserve"> </w:t>
      </w:r>
      <w:r w:rsidR="00E02F12">
        <w:rPr>
          <w:iCs/>
        </w:rPr>
        <w:t>Dommerfuldmægtigforeningen,</w:t>
      </w:r>
      <w:r w:rsidR="00E02F12" w:rsidRPr="00E02F12">
        <w:rPr>
          <w:iCs/>
        </w:rPr>
        <w:t xml:space="preserve"> </w:t>
      </w:r>
      <w:r w:rsidR="00E02F12">
        <w:rPr>
          <w:iCs/>
        </w:rPr>
        <w:t>Domstolsstyrelsen,</w:t>
      </w:r>
      <w:r w:rsidR="00E02F12" w:rsidRPr="00E02F12">
        <w:rPr>
          <w:iCs/>
        </w:rPr>
        <w:t xml:space="preserve"> </w:t>
      </w:r>
      <w:r w:rsidR="00E02F12" w:rsidRPr="00A1693E">
        <w:rPr>
          <w:iCs/>
        </w:rPr>
        <w:t>DVCA</w:t>
      </w:r>
      <w:r w:rsidR="00E02F12">
        <w:rPr>
          <w:iCs/>
        </w:rPr>
        <w:t>,</w:t>
      </w:r>
      <w:r w:rsidR="00E02F12" w:rsidRPr="00E02F12">
        <w:t xml:space="preserve"> </w:t>
      </w:r>
      <w:r w:rsidR="00E02F12" w:rsidRPr="002E026E">
        <w:t>Ejendomsforeningen Danmark</w:t>
      </w:r>
      <w:r w:rsidR="00E02F12">
        <w:t>,</w:t>
      </w:r>
      <w:r w:rsidR="00E02F12" w:rsidRPr="00E02F12">
        <w:t xml:space="preserve"> </w:t>
      </w:r>
      <w:r w:rsidR="00E02F12" w:rsidRPr="009C3D5A">
        <w:t>EmballageIndustrien</w:t>
      </w:r>
      <w:r w:rsidR="00E02F12">
        <w:t>,</w:t>
      </w:r>
      <w:r w:rsidR="00E02F12" w:rsidRPr="00E02F12">
        <w:t xml:space="preserve"> </w:t>
      </w:r>
      <w:r w:rsidR="00E02F12">
        <w:t>Energiforum Danmark,</w:t>
      </w:r>
      <w:r w:rsidR="00E02F12" w:rsidRPr="00E02F12">
        <w:t xml:space="preserve"> </w:t>
      </w:r>
      <w:r w:rsidR="00E02F12">
        <w:t>Energi- og Olieforum.dk,</w:t>
      </w:r>
      <w:r w:rsidR="00E02F12" w:rsidRPr="00E02F12">
        <w:t xml:space="preserve"> </w:t>
      </w:r>
      <w:r w:rsidR="00E02F12">
        <w:t>Energistyrelsen,</w:t>
      </w:r>
      <w:r w:rsidR="00E02F12" w:rsidRPr="00E02F12">
        <w:t xml:space="preserve"> </w:t>
      </w:r>
      <w:r w:rsidR="00E02F12">
        <w:t>Energitilsynet,</w:t>
      </w:r>
      <w:r w:rsidR="00E02F12" w:rsidRPr="00E02F12">
        <w:t xml:space="preserve"> </w:t>
      </w:r>
      <w:r w:rsidR="00E02F12" w:rsidRPr="00F2063F">
        <w:t>Erhvervs- og Vækstministeriet</w:t>
      </w:r>
      <w:r w:rsidR="00E02F12">
        <w:t>,</w:t>
      </w:r>
      <w:r w:rsidR="00E02F12" w:rsidRPr="00E02F12">
        <w:t xml:space="preserve"> </w:t>
      </w:r>
      <w:r w:rsidR="00E02F12" w:rsidRPr="00F2063F">
        <w:t>Erhvervsstyrelsen – Team Effektiv Regulering</w:t>
      </w:r>
      <w:r w:rsidR="00E02F12">
        <w:t>,</w:t>
      </w:r>
      <w:r w:rsidR="00E02F12" w:rsidRPr="00E02F12">
        <w:rPr>
          <w:iCs/>
        </w:rPr>
        <w:t xml:space="preserve"> </w:t>
      </w:r>
      <w:r w:rsidR="00E02F12">
        <w:rPr>
          <w:iCs/>
        </w:rPr>
        <w:t>Finans og Leasing,</w:t>
      </w:r>
      <w:r w:rsidR="00E02F12" w:rsidRPr="00E02F12">
        <w:t xml:space="preserve"> </w:t>
      </w:r>
      <w:r w:rsidR="00E02F12" w:rsidRPr="00F2063F">
        <w:t>Finansministeriet</w:t>
      </w:r>
      <w:r w:rsidR="00E02F12">
        <w:t>,</w:t>
      </w:r>
      <w:r w:rsidR="00E02F12" w:rsidRPr="00E02F12">
        <w:t xml:space="preserve"> </w:t>
      </w:r>
      <w:r w:rsidR="00E02F12" w:rsidRPr="00F2063F">
        <w:t>Finansrådet</w:t>
      </w:r>
      <w:r w:rsidR="00E02F12">
        <w:t>,</w:t>
      </w:r>
      <w:r w:rsidR="00E02F12" w:rsidRPr="00E02F12">
        <w:t xml:space="preserve"> </w:t>
      </w:r>
      <w:r w:rsidR="00E02F12">
        <w:t>Foreningen Danske K</w:t>
      </w:r>
      <w:r w:rsidR="00E02F12" w:rsidRPr="00F2063F">
        <w:t>raftvarmeværker</w:t>
      </w:r>
      <w:r w:rsidR="00E02F12">
        <w:t>,</w:t>
      </w:r>
      <w:r w:rsidR="00E02F12" w:rsidRPr="00E02F12">
        <w:t xml:space="preserve"> </w:t>
      </w:r>
      <w:r w:rsidR="00E02F12">
        <w:t>Foa,</w:t>
      </w:r>
      <w:r w:rsidR="00E02F12" w:rsidRPr="00E02F12">
        <w:t xml:space="preserve"> </w:t>
      </w:r>
      <w:r w:rsidR="00E02F12">
        <w:t>Foreningen af rådgivende ingeniører,</w:t>
      </w:r>
      <w:r w:rsidR="00E02F12" w:rsidRPr="00E02F12">
        <w:t xml:space="preserve"> </w:t>
      </w:r>
      <w:r w:rsidR="00E02F12">
        <w:t>Foreningen for Danske Biogasanlæg,</w:t>
      </w:r>
      <w:r w:rsidR="00E02F12" w:rsidRPr="00E02F12">
        <w:t xml:space="preserve"> </w:t>
      </w:r>
      <w:r w:rsidR="00E02F12">
        <w:t>Foreningen for Slutbrugere af Energi (FSE),</w:t>
      </w:r>
      <w:r w:rsidR="00E02F12" w:rsidRPr="00E02F12">
        <w:t xml:space="preserve"> </w:t>
      </w:r>
      <w:r w:rsidR="00E02F12">
        <w:t>Forsikring &amp; Pension,</w:t>
      </w:r>
      <w:r w:rsidR="00E02F12" w:rsidRPr="00E02F12">
        <w:t xml:space="preserve"> </w:t>
      </w:r>
      <w:r w:rsidR="00E02F12">
        <w:t>Frie Funktionærer,</w:t>
      </w:r>
      <w:r w:rsidR="00E02F12" w:rsidRPr="00E02F12">
        <w:t xml:space="preserve"> </w:t>
      </w:r>
      <w:r w:rsidR="00E02F12">
        <w:t>FSR – danske revisorer,</w:t>
      </w:r>
      <w:r w:rsidR="00E02F12" w:rsidRPr="00E02F12">
        <w:t xml:space="preserve"> </w:t>
      </w:r>
      <w:r w:rsidR="00E02F12">
        <w:t>FTF,</w:t>
      </w:r>
      <w:r w:rsidR="00E02F12" w:rsidRPr="00E02F12">
        <w:t xml:space="preserve"> </w:t>
      </w:r>
      <w:r w:rsidR="00E02F12" w:rsidRPr="00121508">
        <w:t>Fødevareministeriet</w:t>
      </w:r>
      <w:r w:rsidR="00E02F12">
        <w:t>, HK-Kommunal,</w:t>
      </w:r>
      <w:r w:rsidR="00E02F12" w:rsidRPr="00E02F12">
        <w:t xml:space="preserve"> </w:t>
      </w:r>
      <w:r w:rsidR="00E02F12">
        <w:t xml:space="preserve">HK-Privat, </w:t>
      </w:r>
      <w:r w:rsidR="00E02F12" w:rsidRPr="00121508">
        <w:t>HORESTA</w:t>
      </w:r>
      <w:r w:rsidR="00E02F12">
        <w:t>,</w:t>
      </w:r>
      <w:r w:rsidR="00E02F12" w:rsidRPr="00E02F12">
        <w:t xml:space="preserve"> </w:t>
      </w:r>
      <w:r w:rsidR="00E02F12" w:rsidRPr="00121508">
        <w:t>Håndværksrådet</w:t>
      </w:r>
      <w:r w:rsidR="00E02F12">
        <w:t>,</w:t>
      </w:r>
      <w:r w:rsidR="00E02F12" w:rsidRPr="00E02F12">
        <w:t xml:space="preserve"> </w:t>
      </w:r>
      <w:r w:rsidR="00E02F12">
        <w:t>Ingeniørforeningen,</w:t>
      </w:r>
      <w:r w:rsidR="00E02F12" w:rsidRPr="00E02F12">
        <w:t xml:space="preserve"> </w:t>
      </w:r>
      <w:r w:rsidR="00E02F12">
        <w:t>International Transport Danmark,</w:t>
      </w:r>
      <w:r w:rsidR="00E02F12" w:rsidRPr="00E02F12">
        <w:rPr>
          <w:iCs/>
        </w:rPr>
        <w:t xml:space="preserve"> </w:t>
      </w:r>
      <w:r w:rsidR="00E02F12" w:rsidRPr="00A1693E">
        <w:rPr>
          <w:iCs/>
        </w:rPr>
        <w:t>InvesteringsForeningsRådet</w:t>
      </w:r>
      <w:r w:rsidR="00E02F12">
        <w:rPr>
          <w:iCs/>
        </w:rPr>
        <w:t xml:space="preserve">, </w:t>
      </w:r>
      <w:r w:rsidR="00E02F12">
        <w:t>KL,</w:t>
      </w:r>
      <w:r w:rsidR="00E02F12" w:rsidRPr="00E02F12">
        <w:t xml:space="preserve"> </w:t>
      </w:r>
      <w:r w:rsidR="00E02F12" w:rsidRPr="00F2063F">
        <w:t>Klima-, Energi- og Bygningsministeriet</w:t>
      </w:r>
      <w:r w:rsidR="00E02F12">
        <w:t>,</w:t>
      </w:r>
      <w:r w:rsidR="00E02F12" w:rsidRPr="00E02F12">
        <w:t xml:space="preserve"> </w:t>
      </w:r>
      <w:r w:rsidR="00E02F12">
        <w:t>Konkurrencestyrelsen,</w:t>
      </w:r>
      <w:r w:rsidR="00E02F12" w:rsidRPr="00E02F12">
        <w:t xml:space="preserve"> </w:t>
      </w:r>
      <w:r w:rsidR="00E02F12">
        <w:t>Kraka,</w:t>
      </w:r>
      <w:r w:rsidR="00E02F12" w:rsidRPr="00E02F12">
        <w:t xml:space="preserve"> </w:t>
      </w:r>
      <w:r w:rsidR="00E02F12">
        <w:t>Landbrug &amp; Fødevarer,</w:t>
      </w:r>
      <w:r w:rsidR="00E02F12" w:rsidRPr="00E02F12">
        <w:t xml:space="preserve"> </w:t>
      </w:r>
      <w:r w:rsidR="00E02F12">
        <w:t>Landsbrancheklubben for Hotel og Restauration,</w:t>
      </w:r>
      <w:r w:rsidR="00E02F12" w:rsidRPr="00E02F12">
        <w:t xml:space="preserve"> </w:t>
      </w:r>
      <w:r w:rsidR="00E02F12">
        <w:t>Landsforeningen for bæredygtigt landbrug,</w:t>
      </w:r>
      <w:r w:rsidR="00E02F12" w:rsidRPr="00E02F12">
        <w:t xml:space="preserve"> </w:t>
      </w:r>
      <w:r w:rsidR="00E02F12">
        <w:t>Landsorganisationen i Danmark, Landsskatteretten,</w:t>
      </w:r>
      <w:r w:rsidR="00E02F12" w:rsidRPr="00E02F12">
        <w:t xml:space="preserve"> </w:t>
      </w:r>
      <w:r w:rsidR="00E02F12">
        <w:t>Ledernes Hovedorganisation, Lokale Pengeinstitutter,</w:t>
      </w:r>
      <w:r w:rsidR="00E02F12" w:rsidRPr="00E02F12">
        <w:t xml:space="preserve"> </w:t>
      </w:r>
      <w:r w:rsidR="00E02F12">
        <w:t>Miljøstyrelsen,</w:t>
      </w:r>
      <w:r w:rsidR="00E02F12" w:rsidRPr="00E02F12">
        <w:t xml:space="preserve"> </w:t>
      </w:r>
      <w:r w:rsidR="00E02F12">
        <w:t>Mineralolie Brancheforeningen,</w:t>
      </w:r>
      <w:r w:rsidR="00E02F12" w:rsidRPr="00E02F12">
        <w:rPr>
          <w:iCs/>
        </w:rPr>
        <w:t xml:space="preserve"> </w:t>
      </w:r>
      <w:r w:rsidR="00E02F12" w:rsidRPr="00030752">
        <w:rPr>
          <w:iCs/>
        </w:rPr>
        <w:t>Nasdaq OMX Copenhagen A/S</w:t>
      </w:r>
      <w:r w:rsidR="00E02F12">
        <w:rPr>
          <w:iCs/>
        </w:rPr>
        <w:t>,</w:t>
      </w:r>
      <w:r w:rsidR="00E02F12" w:rsidRPr="00E02F12">
        <w:rPr>
          <w:iCs/>
        </w:rPr>
        <w:t xml:space="preserve"> </w:t>
      </w:r>
      <w:r w:rsidR="00E02F12" w:rsidRPr="00A1693E">
        <w:rPr>
          <w:iCs/>
        </w:rPr>
        <w:t>Nationalbanken</w:t>
      </w:r>
      <w:r w:rsidR="00E02F12">
        <w:rPr>
          <w:iCs/>
        </w:rPr>
        <w:t>,</w:t>
      </w:r>
      <w:r w:rsidR="00E02F12" w:rsidRPr="00E02F12">
        <w:t xml:space="preserve"> </w:t>
      </w:r>
      <w:r w:rsidR="00E02F12" w:rsidRPr="009E70AB">
        <w:t>Nationalt Center for Miljø og Energi</w:t>
      </w:r>
      <w:r w:rsidR="00E02F12">
        <w:t>,</w:t>
      </w:r>
      <w:r w:rsidR="00476DEF">
        <w:t xml:space="preserve"> Ministeriet for Forskning, Innovation og Videregående Uddannelser,</w:t>
      </w:r>
      <w:r w:rsidR="00BF6AF4">
        <w:t xml:space="preserve"> Moder</w:t>
      </w:r>
      <w:r w:rsidR="00476DEF">
        <w:t>ni</w:t>
      </w:r>
      <w:r w:rsidR="00BF6AF4">
        <w:t>seringsstyrelsen,</w:t>
      </w:r>
      <w:r w:rsidR="00E02F12" w:rsidRPr="00E02F12">
        <w:t xml:space="preserve"> </w:t>
      </w:r>
      <w:r w:rsidR="00E02F12">
        <w:t>Naturerhvervstyrelsen,</w:t>
      </w:r>
      <w:r w:rsidR="00E02F12" w:rsidRPr="00E02F12">
        <w:t xml:space="preserve"> </w:t>
      </w:r>
      <w:r w:rsidR="00E02F12">
        <w:t>Naturstyrelsen,</w:t>
      </w:r>
      <w:r w:rsidR="00E02F12" w:rsidRPr="00E02F12">
        <w:t xml:space="preserve"> </w:t>
      </w:r>
      <w:r w:rsidR="00E02F12">
        <w:t>Noah,</w:t>
      </w:r>
      <w:r w:rsidR="00E02F12" w:rsidRPr="00E02F12">
        <w:t xml:space="preserve"> </w:t>
      </w:r>
      <w:r w:rsidR="00E02F12">
        <w:t>Nordisk Folkecenter for Vedvarende Energi, Organisationen for Vedvarende Energi (OVE),</w:t>
      </w:r>
      <w:r w:rsidR="00E02F12" w:rsidRPr="00E02F12">
        <w:t xml:space="preserve"> </w:t>
      </w:r>
      <w:r w:rsidR="00E02F12">
        <w:t>Plastindustrien,</w:t>
      </w:r>
      <w:r w:rsidR="00E02F12" w:rsidRPr="00E02F12">
        <w:rPr>
          <w:iCs/>
        </w:rPr>
        <w:t xml:space="preserve"> </w:t>
      </w:r>
      <w:r w:rsidR="00E02F12" w:rsidRPr="00A1693E">
        <w:rPr>
          <w:iCs/>
        </w:rPr>
        <w:t>Realkreditforeningen</w:t>
      </w:r>
      <w:r w:rsidR="00E02F12">
        <w:rPr>
          <w:iCs/>
        </w:rPr>
        <w:t xml:space="preserve">, </w:t>
      </w:r>
      <w:r w:rsidR="00E02F12">
        <w:t>Retssikkerhedschefen</w:t>
      </w:r>
      <w:r w:rsidR="009F65F3">
        <w:t>,</w:t>
      </w:r>
      <w:r w:rsidR="009F65F3" w:rsidRPr="009F65F3">
        <w:t xml:space="preserve"> </w:t>
      </w:r>
      <w:r w:rsidR="009F65F3">
        <w:t>Restaurationsbranchen,</w:t>
      </w:r>
      <w:r w:rsidR="009F65F3" w:rsidRPr="009F65F3">
        <w:rPr>
          <w:iCs/>
        </w:rPr>
        <w:t xml:space="preserve"> </w:t>
      </w:r>
      <w:r w:rsidR="009F65F3" w:rsidRPr="00A1693E">
        <w:rPr>
          <w:iCs/>
        </w:rPr>
        <w:t>Realkreditrådet</w:t>
      </w:r>
      <w:r w:rsidR="009F65F3">
        <w:rPr>
          <w:iCs/>
        </w:rPr>
        <w:t>,</w:t>
      </w:r>
      <w:r w:rsidR="009F65F3" w:rsidRPr="009F65F3">
        <w:t xml:space="preserve"> </w:t>
      </w:r>
      <w:r w:rsidR="009F65F3" w:rsidRPr="00432C1C">
        <w:t>Sammensluttede Danske Energiforbrugere</w:t>
      </w:r>
      <w:r w:rsidR="009F65F3">
        <w:t>,</w:t>
      </w:r>
      <w:r w:rsidR="009F65F3" w:rsidRPr="009F65F3">
        <w:t xml:space="preserve"> </w:t>
      </w:r>
      <w:r w:rsidR="009F65F3">
        <w:t>SKAT,</w:t>
      </w:r>
      <w:r w:rsidR="009F65F3" w:rsidRPr="009F65F3">
        <w:t xml:space="preserve"> </w:t>
      </w:r>
      <w:r w:rsidR="009F65F3">
        <w:t>S</w:t>
      </w:r>
      <w:r w:rsidR="009F65F3" w:rsidRPr="009F6EC7">
        <w:t>RF - Skattefaglig Forening</w:t>
      </w:r>
      <w:r w:rsidR="009F65F3">
        <w:t>,</w:t>
      </w:r>
      <w:r w:rsidR="009F65F3" w:rsidRPr="009F65F3">
        <w:t xml:space="preserve"> </w:t>
      </w:r>
      <w:r w:rsidR="009F65F3">
        <w:t>Videncentret for landbrug,</w:t>
      </w:r>
      <w:r w:rsidR="009F65F3" w:rsidRPr="009F65F3">
        <w:t xml:space="preserve"> </w:t>
      </w:r>
      <w:r w:rsidR="009F65F3" w:rsidRPr="004C72E1">
        <w:t>Vindmølleindustrien</w:t>
      </w:r>
      <w:r w:rsidR="009F65F3">
        <w:t>,</w:t>
      </w:r>
      <w:r w:rsidR="009F65F3" w:rsidRPr="009F65F3">
        <w:rPr>
          <w:iCs/>
        </w:rPr>
        <w:t xml:space="preserve"> </w:t>
      </w:r>
      <w:r w:rsidR="009F65F3" w:rsidRPr="00367EEA">
        <w:rPr>
          <w:iCs/>
        </w:rPr>
        <w:t>VP Securities A/</w:t>
      </w:r>
      <w:r w:rsidR="009F65F3">
        <w:rPr>
          <w:iCs/>
        </w:rPr>
        <w:t>S,</w:t>
      </w:r>
      <w:r w:rsidR="009F65F3" w:rsidRPr="009F65F3">
        <w:t xml:space="preserve"> </w:t>
      </w:r>
      <w:r w:rsidR="009F65F3">
        <w:t>Ældresagen,</w:t>
      </w:r>
      <w:r w:rsidR="009F65F3" w:rsidRPr="009F65F3">
        <w:t xml:space="preserve"> </w:t>
      </w:r>
      <w:r w:rsidR="009F65F3">
        <w:t xml:space="preserve">Økologisk </w:t>
      </w:r>
      <w:r w:rsidR="009F65F3" w:rsidRPr="00F2063F">
        <w:t>Landsforening</w:t>
      </w:r>
      <w:r w:rsidR="009F65F3">
        <w:t>,</w:t>
      </w:r>
      <w:r w:rsidR="009F65F3" w:rsidRPr="009F65F3">
        <w:t xml:space="preserve"> </w:t>
      </w:r>
      <w:r w:rsidR="009F65F3" w:rsidRPr="00F2063F">
        <w:t>Økonomi- og Indenrigsministeriet</w:t>
      </w:r>
      <w:r w:rsidR="009F65F3">
        <w:rPr>
          <w:iCs/>
        </w:rPr>
        <w:t>.</w:t>
      </w:r>
      <w:r w:rsidR="009F65F3" w:rsidRPr="00367EEA">
        <w:rPr>
          <w:iCs/>
        </w:rPr>
        <w:t xml:space="preserve">                                                                          </w:t>
      </w:r>
    </w:p>
    <w:p w:rsidR="00123E0D" w:rsidRPr="00674C8A" w:rsidRDefault="00123E0D" w:rsidP="00123E0D">
      <w:pPr>
        <w:rPr>
          <w:rStyle w:val="Hyperlink"/>
        </w:rPr>
      </w:pPr>
      <w:r w:rsidRPr="00674C8A">
        <w:tab/>
      </w:r>
      <w:r w:rsidRPr="00674C8A">
        <w:rPr>
          <w:rStyle w:val="Hyperlink"/>
          <w:color w:val="FF0000"/>
        </w:rPr>
        <w:t xml:space="preserve"> </w:t>
      </w:r>
    </w:p>
    <w:p w:rsidR="009D4AF3" w:rsidRPr="00BC172D" w:rsidRDefault="009D4AF3" w:rsidP="009D4AF3">
      <w:pPr>
        <w:rPr>
          <w:i/>
          <w:iCs/>
        </w:rPr>
      </w:pPr>
      <w:r w:rsidRPr="00BC172D">
        <w:rPr>
          <w:i/>
          <w:iCs/>
        </w:rPr>
        <w:t xml:space="preserve">12. Sammenfattende skema </w:t>
      </w:r>
    </w:p>
    <w:p w:rsidR="009D4AF3" w:rsidRPr="00BC172D" w:rsidRDefault="009D4AF3" w:rsidP="00376FD2">
      <w:pPr>
        <w:rPr>
          <w:i/>
          <w:iCs/>
        </w:rPr>
      </w:pPr>
    </w:p>
    <w:p w:rsidR="00376FD2" w:rsidRPr="00BC172D" w:rsidRDefault="00376FD2" w:rsidP="00376FD2">
      <w:pPr>
        <w:ind w:right="1"/>
        <w:jc w:val="center"/>
        <w:rPr>
          <w:b/>
          <w:bCs/>
        </w:rPr>
      </w:pPr>
      <w:r w:rsidRPr="00BC172D">
        <w:rPr>
          <w:b/>
          <w:bCs/>
        </w:rPr>
        <w:t>Samlet vurdering af konsekvenser af lovforslaget</w:t>
      </w:r>
    </w:p>
    <w:p w:rsidR="00376FD2" w:rsidRPr="00BC172D" w:rsidRDefault="00376FD2" w:rsidP="00376FD2">
      <w:pPr>
        <w:ind w:right="1"/>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3"/>
        <w:gridCol w:w="3250"/>
        <w:gridCol w:w="3122"/>
      </w:tblGrid>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376FD2" w:rsidP="00460FC4">
            <w:r w:rsidRPr="00BC172D">
              <w:t xml:space="preserve">Positive konsekvenser/ mindre udgifter  </w:t>
            </w: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376FD2" w:rsidP="00460FC4">
            <w:r w:rsidRPr="00BC172D">
              <w:t>Negative konsekvenser/merudgifter</w:t>
            </w: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r w:rsidRPr="00BC172D">
              <w:t xml:space="preserve">Økonomiske konsekvenser for det offentlige </w:t>
            </w: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DD4E34" w:rsidP="00460FC4">
            <w:pPr>
              <w:pStyle w:val="Sidefod"/>
              <w:tabs>
                <w:tab w:val="left" w:pos="1304"/>
              </w:tabs>
            </w:pPr>
            <w:r>
              <w:t>Ingen</w:t>
            </w:r>
          </w:p>
        </w:tc>
        <w:tc>
          <w:tcPr>
            <w:tcW w:w="1681" w:type="pct"/>
            <w:tcBorders>
              <w:top w:val="single" w:sz="4" w:space="0" w:color="auto"/>
              <w:left w:val="single" w:sz="4" w:space="0" w:color="auto"/>
              <w:bottom w:val="single" w:sz="4" w:space="0" w:color="auto"/>
              <w:right w:val="single" w:sz="4" w:space="0" w:color="auto"/>
            </w:tcBorders>
          </w:tcPr>
          <w:p w:rsidR="00376FD2" w:rsidRPr="00BC172D" w:rsidRDefault="00B44EAB" w:rsidP="00B44EAB">
            <w:r w:rsidRPr="00767573">
              <w:rPr>
                <w:rFonts w:cs="Times New Roman"/>
                <w:szCs w:val="24"/>
              </w:rPr>
              <w:t xml:space="preserve">Med </w:t>
            </w:r>
            <w:r w:rsidRPr="00767573">
              <w:rPr>
                <w:rFonts w:cs="Times New Roman"/>
                <w:i/>
                <w:szCs w:val="24"/>
              </w:rPr>
              <w:t>Aftaler om finansloven for 2014</w:t>
            </w:r>
            <w:r w:rsidRPr="00767573">
              <w:rPr>
                <w:rFonts w:cs="Times New Roman"/>
                <w:szCs w:val="24"/>
              </w:rPr>
              <w:t xml:space="preserve"> fremrykkes samlet set skatte- og afgiftslettelser for ca. 3.350 mio. kr. (2014-niveau) i perioden 2014 til 2017 opgjort som umiddelbar provenuvirkning. Efter tilbageløb og adfærd svarer det til knap 2.100 mio. kr. (2014-niveau).</w:t>
            </w:r>
          </w:p>
        </w:tc>
      </w:tr>
      <w:tr w:rsidR="00376FD2" w:rsidRPr="00BC172D" w:rsidTr="00460FC4">
        <w:tc>
          <w:tcPr>
            <w:tcW w:w="1569" w:type="pct"/>
            <w:tcBorders>
              <w:top w:val="single" w:sz="4" w:space="0" w:color="auto"/>
              <w:left w:val="single" w:sz="4" w:space="0" w:color="auto"/>
              <w:bottom w:val="single" w:sz="4" w:space="0" w:color="auto"/>
              <w:right w:val="single" w:sz="4" w:space="0" w:color="auto"/>
            </w:tcBorders>
          </w:tcPr>
          <w:p w:rsidR="00376FD2" w:rsidRPr="00BC172D" w:rsidRDefault="00376FD2" w:rsidP="00460FC4">
            <w:r w:rsidRPr="00BC172D">
              <w:t>Administrative konsekvenser for det offentlige</w:t>
            </w:r>
          </w:p>
        </w:tc>
        <w:tc>
          <w:tcPr>
            <w:tcW w:w="1750" w:type="pct"/>
            <w:tcBorders>
              <w:top w:val="single" w:sz="4" w:space="0" w:color="auto"/>
              <w:left w:val="single" w:sz="4" w:space="0" w:color="auto"/>
              <w:bottom w:val="single" w:sz="4" w:space="0" w:color="auto"/>
              <w:right w:val="single" w:sz="4" w:space="0" w:color="auto"/>
            </w:tcBorders>
          </w:tcPr>
          <w:p w:rsidR="00376FD2" w:rsidRPr="00BC172D" w:rsidRDefault="00376FD2" w:rsidP="00EF19E3"/>
        </w:tc>
        <w:tc>
          <w:tcPr>
            <w:tcW w:w="1681" w:type="pct"/>
            <w:tcBorders>
              <w:top w:val="single" w:sz="4" w:space="0" w:color="auto"/>
              <w:left w:val="single" w:sz="4" w:space="0" w:color="auto"/>
              <w:bottom w:val="single" w:sz="4" w:space="0" w:color="auto"/>
              <w:right w:val="single" w:sz="4" w:space="0" w:color="auto"/>
            </w:tcBorders>
          </w:tcPr>
          <w:p w:rsidR="00EF19E3" w:rsidRDefault="00EF19E3" w:rsidP="00EF19E3">
            <w:pPr>
              <w:jc w:val="left"/>
            </w:pPr>
            <w:r>
              <w:t xml:space="preserve"> Lovforslagene </w:t>
            </w:r>
            <w:r w:rsidRPr="002C6B47">
              <w:t>om fremrykning af forhøj</w:t>
            </w:r>
            <w:r>
              <w:t xml:space="preserve">elsen af beskæftigelsesfradragene </w:t>
            </w:r>
            <w:r w:rsidRPr="002C6B47">
              <w:t>skønnes at medføre engangsudgifter på 0,2 mio. kr. i alt.</w:t>
            </w:r>
          </w:p>
          <w:p w:rsidR="00EF19E3" w:rsidRDefault="00EF19E3" w:rsidP="00EF19E3">
            <w:pPr>
              <w:jc w:val="left"/>
            </w:pPr>
          </w:p>
          <w:p w:rsidR="00EF19E3" w:rsidRDefault="00EF19E3" w:rsidP="00EF19E3">
            <w:pPr>
              <w:jc w:val="left"/>
            </w:pPr>
            <w:r w:rsidRPr="002C6B47">
              <w:rPr>
                <w:bCs/>
              </w:rPr>
              <w:t xml:space="preserve">Forslaget om afskaffelse af den vægtbaserede emballageafgift </w:t>
            </w:r>
            <w:r w:rsidRPr="002C6B47">
              <w:t>skønnes at medføre engangsudgifter</w:t>
            </w:r>
            <w:r>
              <w:t xml:space="preserve"> på 0,2 mio. kr.</w:t>
            </w:r>
          </w:p>
          <w:p w:rsidR="00EF19E3" w:rsidRDefault="00EF19E3" w:rsidP="00EF19E3">
            <w:pPr>
              <w:jc w:val="left"/>
            </w:pPr>
          </w:p>
          <w:p w:rsidR="00376FD2" w:rsidRPr="00BC172D" w:rsidRDefault="00EF19E3" w:rsidP="00674C8A">
            <w:pPr>
              <w:jc w:val="left"/>
            </w:pPr>
            <w:r w:rsidRPr="007A441A">
              <w:rPr>
                <w:iCs/>
              </w:rPr>
              <w:t xml:space="preserve">Forslaget om </w:t>
            </w:r>
            <w:r>
              <w:rPr>
                <w:iCs/>
              </w:rPr>
              <w:t>f</w:t>
            </w:r>
            <w:r w:rsidRPr="007A441A">
              <w:rPr>
                <w:iCs/>
              </w:rPr>
              <w:t>remrykning af lempelse af momskredittid for små virksomheder</w:t>
            </w:r>
            <w:r>
              <w:rPr>
                <w:iCs/>
              </w:rPr>
              <w:t xml:space="preserve"> vurderes at medføre engangsomkostninger på 0,5</w:t>
            </w:r>
            <w:r w:rsidRPr="007A441A">
              <w:rPr>
                <w:iCs/>
              </w:rPr>
              <w:t xml:space="preserve"> mio. kr.</w:t>
            </w:r>
          </w:p>
        </w:tc>
      </w:tr>
      <w:tr w:rsidR="006475AD" w:rsidRPr="00BC172D" w:rsidTr="00460FC4">
        <w:tc>
          <w:tcPr>
            <w:tcW w:w="1569" w:type="pct"/>
            <w:tcBorders>
              <w:top w:val="single" w:sz="4" w:space="0" w:color="auto"/>
              <w:left w:val="single" w:sz="4" w:space="0" w:color="auto"/>
              <w:bottom w:val="single" w:sz="4" w:space="0" w:color="auto"/>
              <w:right w:val="single" w:sz="4" w:space="0" w:color="auto"/>
            </w:tcBorders>
          </w:tcPr>
          <w:p w:rsidR="006475AD" w:rsidRPr="00BC172D" w:rsidRDefault="006475AD" w:rsidP="00460FC4">
            <w:r w:rsidRPr="00BC172D">
              <w:t>Økonomiske konsekvenser for erhvervslivet</w:t>
            </w:r>
          </w:p>
        </w:tc>
        <w:tc>
          <w:tcPr>
            <w:tcW w:w="1750" w:type="pct"/>
            <w:tcBorders>
              <w:top w:val="single" w:sz="4" w:space="0" w:color="auto"/>
              <w:left w:val="single" w:sz="4" w:space="0" w:color="auto"/>
              <w:bottom w:val="single" w:sz="4" w:space="0" w:color="auto"/>
              <w:right w:val="single" w:sz="4" w:space="0" w:color="auto"/>
            </w:tcBorders>
          </w:tcPr>
          <w:p w:rsidR="006475AD" w:rsidRDefault="006475AD" w:rsidP="00C35C39">
            <w:pPr>
              <w:rPr>
                <w:rFonts w:cs="Times New Roman"/>
                <w:szCs w:val="24"/>
              </w:rPr>
            </w:pPr>
            <w:r>
              <w:rPr>
                <w:rFonts w:cs="Times New Roman"/>
                <w:szCs w:val="24"/>
              </w:rPr>
              <w:t>Der fremrykkes</w:t>
            </w:r>
            <w:r w:rsidRPr="00767573">
              <w:rPr>
                <w:rFonts w:cs="Times New Roman"/>
                <w:szCs w:val="24"/>
              </w:rPr>
              <w:t xml:space="preserve"> erhvervsrettede skattelettelser </w:t>
            </w:r>
            <w:r>
              <w:rPr>
                <w:rFonts w:cs="Times New Roman"/>
                <w:szCs w:val="24"/>
              </w:rPr>
              <w:t xml:space="preserve">svarende til et </w:t>
            </w:r>
            <w:r w:rsidRPr="00767573">
              <w:rPr>
                <w:rFonts w:cs="Times New Roman"/>
                <w:szCs w:val="24"/>
              </w:rPr>
              <w:t>samlet umiddelbart mindreprovenu på 1.050 mio. kr. (2014-niveau) i perioden 2014 til 2017</w:t>
            </w:r>
            <w:r>
              <w:rPr>
                <w:rFonts w:cs="Times New Roman"/>
                <w:szCs w:val="24"/>
              </w:rPr>
              <w:t xml:space="preserve">. </w:t>
            </w:r>
          </w:p>
          <w:p w:rsidR="006475AD" w:rsidRPr="00BC172D" w:rsidRDefault="006475AD" w:rsidP="00C35C39">
            <w:r>
              <w:rPr>
                <w:rFonts w:cs="Times New Roman"/>
                <w:szCs w:val="24"/>
              </w:rPr>
              <w:t>Dette vil bidrage til øget aktivitet, øget investeringer og bedre likviditet i virksomhederne fra 2014.</w:t>
            </w:r>
          </w:p>
        </w:tc>
        <w:tc>
          <w:tcPr>
            <w:tcW w:w="1681" w:type="pct"/>
            <w:tcBorders>
              <w:top w:val="single" w:sz="4" w:space="0" w:color="auto"/>
              <w:left w:val="single" w:sz="4" w:space="0" w:color="auto"/>
              <w:bottom w:val="single" w:sz="4" w:space="0" w:color="auto"/>
              <w:right w:val="single" w:sz="4" w:space="0" w:color="auto"/>
            </w:tcBorders>
          </w:tcPr>
          <w:p w:rsidR="006475AD" w:rsidRPr="00BC172D" w:rsidRDefault="006475AD" w:rsidP="00460FC4">
            <w:r>
              <w:t>Ingen</w:t>
            </w:r>
          </w:p>
        </w:tc>
      </w:tr>
      <w:tr w:rsidR="006475AD" w:rsidRPr="00BC172D" w:rsidTr="00460FC4">
        <w:tc>
          <w:tcPr>
            <w:tcW w:w="1569" w:type="pct"/>
            <w:tcBorders>
              <w:top w:val="single" w:sz="4" w:space="0" w:color="auto"/>
              <w:left w:val="single" w:sz="4" w:space="0" w:color="auto"/>
              <w:bottom w:val="single" w:sz="4" w:space="0" w:color="auto"/>
              <w:right w:val="single" w:sz="4" w:space="0" w:color="auto"/>
            </w:tcBorders>
          </w:tcPr>
          <w:p w:rsidR="006475AD" w:rsidRPr="00BC172D" w:rsidRDefault="006475AD" w:rsidP="00460FC4">
            <w:r w:rsidRPr="00BC172D">
              <w:t xml:space="preserve">Administrative konsekvenser for erhvervslivet </w:t>
            </w:r>
          </w:p>
        </w:tc>
        <w:tc>
          <w:tcPr>
            <w:tcW w:w="1750" w:type="pct"/>
            <w:tcBorders>
              <w:top w:val="single" w:sz="4" w:space="0" w:color="auto"/>
              <w:left w:val="single" w:sz="4" w:space="0" w:color="auto"/>
              <w:bottom w:val="single" w:sz="4" w:space="0" w:color="auto"/>
              <w:right w:val="single" w:sz="4" w:space="0" w:color="auto"/>
            </w:tcBorders>
          </w:tcPr>
          <w:p w:rsidR="006475AD" w:rsidRPr="00BC172D" w:rsidRDefault="006475AD" w:rsidP="00DD4E34">
            <w:r>
              <w:t xml:space="preserve">Fremrykning af afskaffelse af den vægtbaserede emballageafgift skønnes at medføre lettelser af de administrative byrder for virksomhederne. </w:t>
            </w:r>
          </w:p>
        </w:tc>
        <w:tc>
          <w:tcPr>
            <w:tcW w:w="1681" w:type="pct"/>
            <w:tcBorders>
              <w:top w:val="single" w:sz="4" w:space="0" w:color="auto"/>
              <w:left w:val="single" w:sz="4" w:space="0" w:color="auto"/>
              <w:bottom w:val="single" w:sz="4" w:space="0" w:color="auto"/>
              <w:right w:val="single" w:sz="4" w:space="0" w:color="auto"/>
            </w:tcBorders>
          </w:tcPr>
          <w:p w:rsidR="006475AD" w:rsidRPr="00BC172D" w:rsidRDefault="006475AD" w:rsidP="00460FC4">
            <w:r>
              <w:t>Ingen</w:t>
            </w:r>
          </w:p>
        </w:tc>
      </w:tr>
      <w:tr w:rsidR="006475AD" w:rsidRPr="00BC172D" w:rsidTr="00460FC4">
        <w:tc>
          <w:tcPr>
            <w:tcW w:w="1569" w:type="pct"/>
            <w:tcBorders>
              <w:top w:val="single" w:sz="4" w:space="0" w:color="auto"/>
              <w:left w:val="single" w:sz="4" w:space="0" w:color="auto"/>
              <w:bottom w:val="single" w:sz="4" w:space="0" w:color="auto"/>
              <w:right w:val="single" w:sz="4" w:space="0" w:color="auto"/>
            </w:tcBorders>
          </w:tcPr>
          <w:p w:rsidR="006475AD" w:rsidRPr="00BC172D" w:rsidRDefault="006475AD" w:rsidP="00460FC4">
            <w:r w:rsidRPr="00BC172D">
              <w:t xml:space="preserve">Administrative konsekvenser for borgerne  </w:t>
            </w:r>
          </w:p>
        </w:tc>
        <w:tc>
          <w:tcPr>
            <w:tcW w:w="1750" w:type="pct"/>
            <w:tcBorders>
              <w:top w:val="single" w:sz="4" w:space="0" w:color="auto"/>
              <w:left w:val="single" w:sz="4" w:space="0" w:color="auto"/>
              <w:bottom w:val="single" w:sz="4" w:space="0" w:color="auto"/>
              <w:right w:val="single" w:sz="4" w:space="0" w:color="auto"/>
            </w:tcBorders>
          </w:tcPr>
          <w:p w:rsidR="006475AD" w:rsidRPr="00BC172D" w:rsidRDefault="006475AD" w:rsidP="00460FC4">
            <w:r>
              <w:t>Ingen</w:t>
            </w:r>
          </w:p>
        </w:tc>
        <w:tc>
          <w:tcPr>
            <w:tcW w:w="1681" w:type="pct"/>
            <w:tcBorders>
              <w:top w:val="single" w:sz="4" w:space="0" w:color="auto"/>
              <w:left w:val="single" w:sz="4" w:space="0" w:color="auto"/>
              <w:bottom w:val="single" w:sz="4" w:space="0" w:color="auto"/>
              <w:right w:val="single" w:sz="4" w:space="0" w:color="auto"/>
            </w:tcBorders>
          </w:tcPr>
          <w:p w:rsidR="006475AD" w:rsidRPr="00BC172D" w:rsidRDefault="006475AD" w:rsidP="00460FC4">
            <w:r>
              <w:t>Ingen</w:t>
            </w:r>
          </w:p>
        </w:tc>
      </w:tr>
      <w:tr w:rsidR="006475AD" w:rsidRPr="00BC172D" w:rsidTr="00460FC4">
        <w:tc>
          <w:tcPr>
            <w:tcW w:w="1569" w:type="pct"/>
            <w:tcBorders>
              <w:top w:val="single" w:sz="4" w:space="0" w:color="auto"/>
              <w:left w:val="single" w:sz="4" w:space="0" w:color="auto"/>
              <w:bottom w:val="single" w:sz="4" w:space="0" w:color="auto"/>
              <w:right w:val="single" w:sz="4" w:space="0" w:color="auto"/>
            </w:tcBorders>
          </w:tcPr>
          <w:p w:rsidR="006475AD" w:rsidRPr="00BC172D" w:rsidRDefault="006475AD" w:rsidP="00460FC4">
            <w:r w:rsidRPr="00BC172D">
              <w:t xml:space="preserve">Miljømæssige konsekvenser </w:t>
            </w:r>
          </w:p>
        </w:tc>
        <w:tc>
          <w:tcPr>
            <w:tcW w:w="1750" w:type="pct"/>
            <w:tcBorders>
              <w:top w:val="single" w:sz="4" w:space="0" w:color="auto"/>
              <w:left w:val="single" w:sz="4" w:space="0" w:color="auto"/>
              <w:bottom w:val="single" w:sz="4" w:space="0" w:color="auto"/>
              <w:right w:val="single" w:sz="4" w:space="0" w:color="auto"/>
            </w:tcBorders>
          </w:tcPr>
          <w:p w:rsidR="006475AD" w:rsidRPr="00BC172D" w:rsidRDefault="006475AD" w:rsidP="00460FC4">
            <w:r>
              <w:t>Ingen</w:t>
            </w:r>
          </w:p>
        </w:tc>
        <w:tc>
          <w:tcPr>
            <w:tcW w:w="1681" w:type="pct"/>
            <w:tcBorders>
              <w:top w:val="single" w:sz="4" w:space="0" w:color="auto"/>
              <w:left w:val="single" w:sz="4" w:space="0" w:color="auto"/>
              <w:bottom w:val="single" w:sz="4" w:space="0" w:color="auto"/>
              <w:right w:val="single" w:sz="4" w:space="0" w:color="auto"/>
            </w:tcBorders>
          </w:tcPr>
          <w:p w:rsidR="006475AD" w:rsidRPr="00BC172D" w:rsidRDefault="006475AD" w:rsidP="005C6BE0">
            <w:r>
              <w:t xml:space="preserve">Fremrykning af nedsættelse af </w:t>
            </w:r>
            <w:r w:rsidRPr="004D4A3C">
              <w:rPr>
                <w:rFonts w:eastAsia="Garamond"/>
              </w:rPr>
              <w:t xml:space="preserve">godtgørelse af energiafgifterne for brændsler anvendt til procesformål til 4,5 kr. pr. GJ </w:t>
            </w:r>
            <w:r>
              <w:rPr>
                <w:rFonts w:eastAsia="Garamond"/>
              </w:rPr>
              <w:t>vil indebære, at CO2-udledningen øges med knap 0,03 mio. ton CO2 fra 1. januar 2014.</w:t>
            </w:r>
          </w:p>
        </w:tc>
      </w:tr>
      <w:tr w:rsidR="006475AD" w:rsidRPr="00BC172D" w:rsidTr="00460FC4">
        <w:trPr>
          <w:cantSplit/>
        </w:trPr>
        <w:tc>
          <w:tcPr>
            <w:tcW w:w="1569" w:type="pct"/>
            <w:tcBorders>
              <w:top w:val="single" w:sz="4" w:space="0" w:color="auto"/>
              <w:left w:val="single" w:sz="4" w:space="0" w:color="auto"/>
              <w:bottom w:val="single" w:sz="4" w:space="0" w:color="auto"/>
              <w:right w:val="single" w:sz="4" w:space="0" w:color="auto"/>
            </w:tcBorders>
          </w:tcPr>
          <w:p w:rsidR="006475AD" w:rsidRPr="00BC172D" w:rsidRDefault="006475AD" w:rsidP="00460FC4">
            <w:r w:rsidRPr="00BC172D">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tcPr>
          <w:p w:rsidR="006475AD" w:rsidRPr="00BC172D" w:rsidRDefault="006475AD" w:rsidP="005C6BE0">
            <w:r w:rsidRPr="004D4A3C">
              <w:rPr>
                <w:rFonts w:eastAsia="Garamond"/>
              </w:rPr>
              <w:t>Ændring i energiafgiftslovene skal meddeles EU-Kommissionen i henhold til energibeskatningsdirektivet (direktiv 2003/96/EU)</w:t>
            </w:r>
            <w:r>
              <w:rPr>
                <w:rFonts w:eastAsia="Garamond"/>
              </w:rPr>
              <w:t>. Forslaget indeholder herudover ingen EU-retlige aspekter.</w:t>
            </w:r>
          </w:p>
        </w:tc>
      </w:tr>
    </w:tbl>
    <w:p w:rsidR="00376FD2" w:rsidRPr="00BC172D" w:rsidRDefault="00376FD2" w:rsidP="00376FD2">
      <w:pPr>
        <w:ind w:right="1"/>
      </w:pPr>
    </w:p>
    <w:p w:rsidR="00376FD2" w:rsidRPr="00BC172D" w:rsidRDefault="0084316E" w:rsidP="00376FD2">
      <w:pPr>
        <w:ind w:right="1"/>
        <w:rPr>
          <w:b/>
        </w:rPr>
      </w:pPr>
      <w:r>
        <w:rPr>
          <w:b/>
        </w:rPr>
        <w:br w:type="page"/>
      </w:r>
    </w:p>
    <w:p w:rsidR="00376FD2" w:rsidRPr="00BC172D" w:rsidRDefault="00376FD2" w:rsidP="00376FD2">
      <w:pPr>
        <w:jc w:val="center"/>
        <w:rPr>
          <w:i/>
          <w:iCs/>
        </w:rPr>
      </w:pPr>
      <w:r w:rsidRPr="00BC172D">
        <w:rPr>
          <w:i/>
          <w:iCs/>
        </w:rPr>
        <w:t>Bemærkninger til lovforslagets enkelte bestemmelser</w:t>
      </w:r>
    </w:p>
    <w:p w:rsidR="00376FD2" w:rsidRPr="00BC172D" w:rsidRDefault="00376FD2" w:rsidP="00376FD2"/>
    <w:p w:rsidR="00376FD2" w:rsidRPr="00BC172D" w:rsidRDefault="00376FD2" w:rsidP="00376FD2"/>
    <w:p w:rsidR="00376FD2" w:rsidRPr="00BC172D" w:rsidRDefault="00376FD2" w:rsidP="00376FD2">
      <w:pPr>
        <w:jc w:val="center"/>
        <w:rPr>
          <w:i/>
          <w:iCs/>
        </w:rPr>
      </w:pPr>
      <w:r w:rsidRPr="00BC172D">
        <w:rPr>
          <w:i/>
          <w:iCs/>
        </w:rPr>
        <w:t>Til § 1</w:t>
      </w:r>
    </w:p>
    <w:p w:rsidR="004165AB" w:rsidRPr="000E49FC" w:rsidRDefault="004165AB" w:rsidP="004165AB">
      <w:pPr>
        <w:pStyle w:val="Sidehoved"/>
        <w:tabs>
          <w:tab w:val="clear" w:pos="4819"/>
          <w:tab w:val="clear" w:pos="9638"/>
        </w:tabs>
      </w:pPr>
      <w:r w:rsidRPr="000E49FC">
        <w:t xml:space="preserve">Til nr. 1  </w:t>
      </w:r>
    </w:p>
    <w:p w:rsidR="004165AB" w:rsidRDefault="004165AB" w:rsidP="00A37157">
      <w:r w:rsidRPr="000E49FC">
        <w:t>Det foreslås, at bes</w:t>
      </w:r>
      <w:r>
        <w:t>kæftigelsesfradraget i 2014 forhøjes til 7,65 pct., dog maks. 24.500 kr. (2010-niveau), i 2015 til 8,05 pct., dog maks. 25.900 kr. (2010-niveau), i 2016 til 8,3 pct., dog maks. 26.700 kr. (2010-niveau) og i 2017 til 8,75 pct., dog maks. 28.000 kr. (2010-niveau).</w:t>
      </w:r>
    </w:p>
    <w:p w:rsidR="004165AB" w:rsidRDefault="004165AB" w:rsidP="00A37157"/>
    <w:p w:rsidR="004165AB" w:rsidRPr="000E49FC" w:rsidRDefault="004165AB" w:rsidP="00A37157">
      <w:r>
        <w:t>I lovbestemmelsen i ligningsloven fastsættes det maksimale beskæftigelsesfradrag som grund</w:t>
      </w:r>
      <w:r>
        <w:softHyphen/>
        <w:t xml:space="preserve">beløb i 2010-niveau, og det </w:t>
      </w:r>
      <w:r w:rsidRPr="000E49FC">
        <w:t>regulere</w:t>
      </w:r>
      <w:r>
        <w:t>s</w:t>
      </w:r>
      <w:r w:rsidRPr="000E49FC">
        <w:t xml:space="preserve"> efter personskattelovens § 20.</w:t>
      </w:r>
    </w:p>
    <w:p w:rsidR="004165AB" w:rsidRDefault="004165AB" w:rsidP="00A37157"/>
    <w:p w:rsidR="004165AB" w:rsidRPr="000C50AC" w:rsidRDefault="004165AB" w:rsidP="00A37157">
      <w:r>
        <w:t xml:space="preserve">Efter at reguleringen </w:t>
      </w:r>
      <w:r w:rsidRPr="000E49FC">
        <w:t>som led i den tidligere regerings Genopretningspakke fra juni 2010</w:t>
      </w:r>
      <w:r>
        <w:t xml:space="preserve"> har været suspenderet i 2010-2013, genoptages reguleringen efter personskattelovens § 20 i 2014, hvor grundbeløbene opreguleres med 1,8 pct. De opregulerede beløbsgrænser i 2014-niveau fremgår af </w:t>
      </w:r>
      <w:r w:rsidRPr="00FC73B0">
        <w:rPr>
          <w:i/>
        </w:rPr>
        <w:t>tabel 1</w:t>
      </w:r>
      <w:r w:rsidRPr="00E77249">
        <w:t xml:space="preserve"> i </w:t>
      </w:r>
      <w:r w:rsidRPr="00FC73B0">
        <w:rPr>
          <w:i/>
        </w:rPr>
        <w:t>afsnit 3.1.2.</w:t>
      </w:r>
    </w:p>
    <w:p w:rsidR="004165AB" w:rsidRPr="000E49FC" w:rsidRDefault="004165AB" w:rsidP="00A37157"/>
    <w:p w:rsidR="004165AB" w:rsidRPr="00E31B37" w:rsidRDefault="004165AB" w:rsidP="00A37157">
      <w:r w:rsidRPr="00E31B37">
        <w:t>Til nr. 2</w:t>
      </w:r>
    </w:p>
    <w:p w:rsidR="004165AB" w:rsidRPr="00E31B37" w:rsidRDefault="004165AB" w:rsidP="00A37157">
      <w:r w:rsidRPr="00E31B37">
        <w:t>Det foreslås</w:t>
      </w:r>
      <w:r>
        <w:t xml:space="preserve">, at det </w:t>
      </w:r>
      <w:r w:rsidRPr="00E31B37">
        <w:t>ekstra beskæftigelsesfradrag for enlige forsørgere</w:t>
      </w:r>
      <w:r>
        <w:t xml:space="preserve"> i 2014 forhøjes til 5,4 pct., dog maks.17.300 kr. (2010-niveau). Fradraget vil således være det samme i 2014 og 2015.</w:t>
      </w:r>
    </w:p>
    <w:p w:rsidR="004165AB" w:rsidRPr="00E31B37" w:rsidRDefault="004165AB" w:rsidP="00A37157"/>
    <w:p w:rsidR="004165AB" w:rsidRPr="000E49FC" w:rsidRDefault="004165AB" w:rsidP="00A37157">
      <w:r>
        <w:t>I lovbestemmelsen i ligningsloven fastsættes det maksimale beskæftigelsesfradrag som grund</w:t>
      </w:r>
      <w:r>
        <w:softHyphen/>
        <w:t xml:space="preserve">beløb i 2010-niveau, og det </w:t>
      </w:r>
      <w:r w:rsidRPr="000E49FC">
        <w:t>regulere</w:t>
      </w:r>
      <w:r>
        <w:t>s</w:t>
      </w:r>
      <w:r w:rsidRPr="000E49FC">
        <w:t xml:space="preserve"> efter personskattelovens § 20.</w:t>
      </w:r>
    </w:p>
    <w:p w:rsidR="004165AB" w:rsidRDefault="004165AB" w:rsidP="00A37157"/>
    <w:p w:rsidR="004165AB" w:rsidRPr="000E49FC" w:rsidRDefault="004165AB" w:rsidP="00A37157">
      <w:r>
        <w:t xml:space="preserve">Efter at reguleringen </w:t>
      </w:r>
      <w:r w:rsidRPr="000E49FC">
        <w:t>som led i den tidligere regerings Genopretningspakke fra juni 2010</w:t>
      </w:r>
      <w:r>
        <w:t xml:space="preserve"> har været suspenderet i 2010-2013, genoptages reguleringen efter personskattelovens § 20 i 2014, hvor grundbeløbene opreguleres med 1,8 pct. De opregulerede beløbsgrænser i 2014-niveau fremgår af </w:t>
      </w:r>
      <w:r w:rsidRPr="00FC73B0">
        <w:rPr>
          <w:i/>
        </w:rPr>
        <w:t>tabel 1</w:t>
      </w:r>
      <w:r w:rsidRPr="00E77249">
        <w:t xml:space="preserve"> i </w:t>
      </w:r>
      <w:r w:rsidRPr="00FC73B0">
        <w:rPr>
          <w:i/>
        </w:rPr>
        <w:t>afsnit 3.</w:t>
      </w:r>
      <w:r>
        <w:rPr>
          <w:i/>
        </w:rPr>
        <w:t>2</w:t>
      </w:r>
      <w:r w:rsidRPr="00FC73B0">
        <w:rPr>
          <w:i/>
        </w:rPr>
        <w:t>.2.</w:t>
      </w:r>
    </w:p>
    <w:p w:rsidR="006E18F2" w:rsidRPr="00BC172D" w:rsidRDefault="006E18F2" w:rsidP="00A37157"/>
    <w:p w:rsidR="00376FD2" w:rsidRPr="00BC172D" w:rsidRDefault="00376FD2" w:rsidP="00376FD2">
      <w:pPr>
        <w:jc w:val="center"/>
        <w:rPr>
          <w:i/>
          <w:iCs/>
        </w:rPr>
      </w:pPr>
      <w:r w:rsidRPr="00BC172D">
        <w:rPr>
          <w:i/>
          <w:iCs/>
        </w:rPr>
        <w:t>Til § 2</w:t>
      </w:r>
    </w:p>
    <w:p w:rsidR="001F6AD1" w:rsidRDefault="001F6AD1" w:rsidP="001F6AD1">
      <w:pPr>
        <w:spacing w:line="276" w:lineRule="auto"/>
        <w:rPr>
          <w:bCs/>
        </w:rPr>
      </w:pPr>
      <w:r>
        <w:rPr>
          <w:bCs/>
        </w:rPr>
        <w:t>Til nr. 1</w:t>
      </w:r>
    </w:p>
    <w:p w:rsidR="001F6AD1" w:rsidRDefault="001F6AD1" w:rsidP="001F6AD1">
      <w:pPr>
        <w:spacing w:line="276" w:lineRule="auto"/>
        <w:rPr>
          <w:bCs/>
        </w:rPr>
      </w:pPr>
      <w:r>
        <w:rPr>
          <w:bCs/>
        </w:rPr>
        <w:t>Det foreslås at forhøje grænsen for halvårlig afregning af moms med henblik på at fremrykke ikrafttrædelsestidspunktet til afregningsperioder, der begynder 1. januar 2014.</w:t>
      </w:r>
    </w:p>
    <w:p w:rsidR="00AC1F42" w:rsidRDefault="00AC1F42" w:rsidP="001F6AD1">
      <w:pPr>
        <w:spacing w:line="276" w:lineRule="auto"/>
        <w:rPr>
          <w:bCs/>
        </w:rPr>
      </w:pPr>
    </w:p>
    <w:p w:rsidR="00AC1F42" w:rsidRPr="00B8643B" w:rsidRDefault="00B8643B" w:rsidP="00B8643B">
      <w:pPr>
        <w:spacing w:line="276" w:lineRule="auto"/>
        <w:jc w:val="center"/>
        <w:rPr>
          <w:bCs/>
          <w:i/>
        </w:rPr>
      </w:pPr>
      <w:r w:rsidRPr="00B8643B">
        <w:rPr>
          <w:bCs/>
          <w:i/>
        </w:rPr>
        <w:t>Til § 3</w:t>
      </w:r>
    </w:p>
    <w:p w:rsidR="00B8643B" w:rsidRPr="009E5D88" w:rsidRDefault="00B8643B" w:rsidP="00B8643B">
      <w:r w:rsidRPr="009E5D88">
        <w:t xml:space="preserve">Til nr. 1 og 2 </w:t>
      </w:r>
    </w:p>
    <w:p w:rsidR="00674C8A" w:rsidRDefault="00B8643B" w:rsidP="00B8643B">
      <w:pPr>
        <w:rPr>
          <w:bCs/>
        </w:rPr>
      </w:pPr>
      <w:r w:rsidRPr="009E5D88">
        <w:t xml:space="preserve">Der er tale om konsekvensrettelser i forhold til </w:t>
      </w:r>
      <w:r w:rsidRPr="009E5D88">
        <w:rPr>
          <w:bCs/>
        </w:rPr>
        <w:t>lov nr. 903 af 4. juli 2013</w:t>
      </w:r>
      <w:r w:rsidR="009E7874" w:rsidRPr="009E7874">
        <w:t xml:space="preserve"> </w:t>
      </w:r>
      <w:r w:rsidR="009E7874" w:rsidRPr="000853E2">
        <w:t>om ændring af affalds- og råstofafgiftsloven, lov om kuldioxidafgift af visse energiprodukter, lov om afgift af elektricitet, momsloven og forskellige andre love (Nedsættelse af afgifter på el til erhverv, bortfald af CO2-afgift af el for erhverv, nedsættelse af energiafgifter på brændsler til proces, ændret lagerprincip ved deponering af farligt affald, lempelse af momskredittider samt supplerende støtte til eksisterende industrielle kraft-varme-værker)</w:t>
      </w:r>
      <w:r w:rsidRPr="009E5D88">
        <w:rPr>
          <w:bCs/>
        </w:rPr>
        <w:t xml:space="preserve">, som var en del af </w:t>
      </w:r>
      <w:r w:rsidRPr="009E5D88">
        <w:rPr>
          <w:bCs/>
          <w:i/>
        </w:rPr>
        <w:t>Vækstplanen</w:t>
      </w:r>
      <w:r w:rsidR="000E74C4">
        <w:rPr>
          <w:bCs/>
          <w:i/>
        </w:rPr>
        <w:t xml:space="preserve"> DK</w:t>
      </w:r>
      <w:r w:rsidRPr="009E5D88">
        <w:rPr>
          <w:bCs/>
          <w:i/>
        </w:rPr>
        <w:t xml:space="preserve">. </w:t>
      </w:r>
      <w:r w:rsidRPr="009E5D88">
        <w:rPr>
          <w:bCs/>
        </w:rPr>
        <w:t xml:space="preserve">Heri blev satserne for elafgiften ændret, mens satserne for godtgørelse af elafgiften </w:t>
      </w:r>
      <w:r w:rsidR="004E3108" w:rsidRPr="004E3108">
        <w:rPr>
          <w:rFonts w:eastAsia="Times New Roman" w:cs="Times New Roman"/>
          <w:bCs/>
          <w:szCs w:val="24"/>
        </w:rPr>
        <w:t>ved brug af elektricitet i virksomheder til rumvarme m</w:t>
      </w:r>
      <w:r w:rsidR="009E7874">
        <w:rPr>
          <w:rFonts w:eastAsia="Times New Roman" w:cs="Times New Roman"/>
          <w:bCs/>
          <w:szCs w:val="24"/>
        </w:rPr>
        <w:t>.</w:t>
      </w:r>
      <w:r w:rsidR="004E3108" w:rsidRPr="004E3108">
        <w:rPr>
          <w:rFonts w:eastAsia="Times New Roman" w:cs="Times New Roman"/>
          <w:bCs/>
          <w:szCs w:val="24"/>
        </w:rPr>
        <w:t xml:space="preserve">v. </w:t>
      </w:r>
      <w:r w:rsidRPr="004E3108">
        <w:rPr>
          <w:bCs/>
        </w:rPr>
        <w:t>ikke blev ændret</w:t>
      </w:r>
      <w:r w:rsidR="000B6ABB">
        <w:rPr>
          <w:bCs/>
        </w:rPr>
        <w:t xml:space="preserve"> som konsekvens heraf.</w:t>
      </w:r>
      <w:r w:rsidRPr="004E3108">
        <w:rPr>
          <w:bCs/>
        </w:rPr>
        <w:t xml:space="preserve"> Disse satser rettes hermed med dette lovforslag.</w:t>
      </w:r>
    </w:p>
    <w:p w:rsidR="00B8643B" w:rsidRDefault="00B8643B" w:rsidP="00B8643B">
      <w:pPr>
        <w:rPr>
          <w:bCs/>
        </w:rPr>
      </w:pPr>
    </w:p>
    <w:p w:rsidR="00B8643B" w:rsidRPr="00B8643B" w:rsidRDefault="00B8643B" w:rsidP="00B8643B">
      <w:pPr>
        <w:jc w:val="center"/>
        <w:rPr>
          <w:bCs/>
          <w:i/>
        </w:rPr>
      </w:pPr>
      <w:r w:rsidRPr="00B8643B">
        <w:rPr>
          <w:bCs/>
          <w:i/>
        </w:rPr>
        <w:t>Til § 4</w:t>
      </w:r>
    </w:p>
    <w:p w:rsidR="00B8643B" w:rsidRPr="00792789" w:rsidRDefault="00B8643B" w:rsidP="00B8643B">
      <w:r w:rsidRPr="00792789">
        <w:t>Til nr. 1</w:t>
      </w:r>
    </w:p>
    <w:p w:rsidR="00623980" w:rsidRDefault="00C7016D" w:rsidP="00A37157">
      <w:pPr>
        <w:rPr>
          <w:bCs/>
        </w:rPr>
      </w:pPr>
      <w:r>
        <w:rPr>
          <w:bCs/>
        </w:rPr>
        <w:t>M</w:t>
      </w:r>
      <w:r w:rsidR="00623980" w:rsidRPr="00623980">
        <w:rPr>
          <w:bCs/>
        </w:rPr>
        <w:t>omsregistrerede virksomheder kan som udgangspunkt opnå hel eller delvis godtgørelse af energiafgifter af brændsler i samme omfang, som virksomheden har fradragsret for indgående moms af energiprodukter og varme.</w:t>
      </w:r>
      <w:r>
        <w:rPr>
          <w:bCs/>
        </w:rPr>
        <w:t xml:space="preserve"> </w:t>
      </w:r>
      <w:r w:rsidR="00623980" w:rsidRPr="00623980">
        <w:rPr>
          <w:bCs/>
        </w:rPr>
        <w:t xml:space="preserve">Det er en forudsætning for godtgørelse af energiafgiften, at brændslerne er anvendt til en momspligtig produktionsproces, hvor varerne udsættes for en forarbejdning, og at de fremstillede varer er bestemt for videresalg. </w:t>
      </w:r>
    </w:p>
    <w:p w:rsidR="00623980" w:rsidRDefault="00623980" w:rsidP="00A37157">
      <w:pPr>
        <w:rPr>
          <w:bCs/>
        </w:rPr>
      </w:pPr>
    </w:p>
    <w:p w:rsidR="00B8643B" w:rsidRPr="00792789" w:rsidRDefault="00B8643B" w:rsidP="00A37157">
      <w:pPr>
        <w:rPr>
          <w:bCs/>
        </w:rPr>
      </w:pPr>
      <w:r w:rsidRPr="00792789">
        <w:rPr>
          <w:bCs/>
        </w:rPr>
        <w:t xml:space="preserve">Momsregistrerede virksomheder har </w:t>
      </w:r>
      <w:r w:rsidR="00C7016D">
        <w:rPr>
          <w:bCs/>
        </w:rPr>
        <w:t xml:space="preserve">således </w:t>
      </w:r>
      <w:r w:rsidRPr="00792789">
        <w:rPr>
          <w:bCs/>
        </w:rPr>
        <w:t>mulighed for godtgørelse af energiafgifter af brændsler, hvor brændslerne er brugt til proces. Rent teknisk beregnes procesafgiften som et procentvis</w:t>
      </w:r>
      <w:r w:rsidR="006E3E6B">
        <w:rPr>
          <w:bCs/>
        </w:rPr>
        <w:t>t</w:t>
      </w:r>
      <w:r w:rsidRPr="00792789">
        <w:rPr>
          <w:bCs/>
        </w:rPr>
        <w:t xml:space="preserve"> nedslag i godtgørelsen af den fulde afgift for proces.</w:t>
      </w:r>
    </w:p>
    <w:p w:rsidR="00B8643B" w:rsidRPr="00792789" w:rsidRDefault="00B8643B" w:rsidP="00A37157">
      <w:pPr>
        <w:rPr>
          <w:bCs/>
        </w:rPr>
      </w:pPr>
    </w:p>
    <w:p w:rsidR="00B8643B" w:rsidRPr="00792789" w:rsidRDefault="00B8643B" w:rsidP="00A37157">
      <w:pPr>
        <w:rPr>
          <w:bCs/>
        </w:rPr>
      </w:pPr>
      <w:r w:rsidRPr="00792789">
        <w:rPr>
          <w:bCs/>
        </w:rPr>
        <w:t xml:space="preserve">Ved lov nr. 903 af 4. juli 2013, som var en del af </w:t>
      </w:r>
      <w:r w:rsidRPr="00792789">
        <w:rPr>
          <w:bCs/>
          <w:i/>
        </w:rPr>
        <w:t>Vækstplan</w:t>
      </w:r>
      <w:r w:rsidR="000E74C4">
        <w:rPr>
          <w:bCs/>
          <w:i/>
        </w:rPr>
        <w:t xml:space="preserve"> DK</w:t>
      </w:r>
      <w:r w:rsidRPr="00792789">
        <w:rPr>
          <w:bCs/>
        </w:rPr>
        <w:t xml:space="preserve">, blev afgiftslempelserne på erhvervenes forbrug af energi til procesformål </w:t>
      </w:r>
      <w:r w:rsidR="00250D22">
        <w:rPr>
          <w:bCs/>
        </w:rPr>
        <w:t>ændret</w:t>
      </w:r>
      <w:r w:rsidRPr="00792789">
        <w:rPr>
          <w:bCs/>
        </w:rPr>
        <w:t xml:space="preserve"> i to omgange, henholdsvis til 2014 og 2015.</w:t>
      </w:r>
    </w:p>
    <w:p w:rsidR="00B8643B" w:rsidRPr="00792789" w:rsidRDefault="00B8643B" w:rsidP="00A37157">
      <w:pPr>
        <w:rPr>
          <w:bCs/>
        </w:rPr>
      </w:pPr>
    </w:p>
    <w:p w:rsidR="00B8643B" w:rsidRPr="00792789" w:rsidRDefault="00B8643B" w:rsidP="00A37157">
      <w:pPr>
        <w:rPr>
          <w:bCs/>
        </w:rPr>
      </w:pPr>
      <w:r w:rsidRPr="00792789">
        <w:rPr>
          <w:bCs/>
        </w:rPr>
        <w:t xml:space="preserve">I 2014 vil godtgørelsen efter gældende ret af energiafgifterne for brændsler anvendt til procesformål blive opgjort som den aktuelle afgiftssats for det pågældende brændsel (gas, kul eller mineralolie) nedsat med 9 pct. </w:t>
      </w:r>
    </w:p>
    <w:p w:rsidR="00B8643B" w:rsidRPr="00792789" w:rsidRDefault="00B8643B" w:rsidP="00A37157">
      <w:pPr>
        <w:rPr>
          <w:bCs/>
        </w:rPr>
      </w:pPr>
    </w:p>
    <w:p w:rsidR="00B8643B" w:rsidRDefault="00B8643B" w:rsidP="00A37157">
      <w:pPr>
        <w:rPr>
          <w:bCs/>
        </w:rPr>
      </w:pPr>
      <w:r w:rsidRPr="00792789">
        <w:rPr>
          <w:bCs/>
        </w:rPr>
        <w:t>Det for</w:t>
      </w:r>
      <w:r w:rsidR="006E3E6B">
        <w:rPr>
          <w:bCs/>
        </w:rPr>
        <w:t>e</w:t>
      </w:r>
      <w:r w:rsidRPr="00792789">
        <w:rPr>
          <w:bCs/>
        </w:rPr>
        <w:t xml:space="preserve">slås at fremrykke afgiftslempelserne fra 2015 til 2014. Med forslaget nedsættes procesafgiften til 4,5 kr./GJ for alle brændsler til proces allerede fra 2014. </w:t>
      </w:r>
    </w:p>
    <w:p w:rsidR="00C73124" w:rsidRDefault="00C73124" w:rsidP="00A37157">
      <w:pPr>
        <w:rPr>
          <w:bCs/>
        </w:rPr>
      </w:pPr>
    </w:p>
    <w:p w:rsidR="00C73124" w:rsidRPr="00792789" w:rsidRDefault="00C73124" w:rsidP="00A37157">
      <w:pPr>
        <w:rPr>
          <w:bCs/>
        </w:rPr>
      </w:pPr>
      <w:r w:rsidRPr="00C73124">
        <w:rPr>
          <w:bCs/>
        </w:rPr>
        <w:t>Rent praktisk sker dette ved at ophæve de</w:t>
      </w:r>
      <w:r>
        <w:rPr>
          <w:bCs/>
        </w:rPr>
        <w:t>n relevante bestemmelse</w:t>
      </w:r>
      <w:r w:rsidRPr="00C73124">
        <w:rPr>
          <w:bCs/>
        </w:rPr>
        <w:t xml:space="preserve"> i lov nr. 903 af 4. juli 2013 og indsætte de</w:t>
      </w:r>
      <w:r w:rsidR="007867C1">
        <w:rPr>
          <w:bCs/>
        </w:rPr>
        <w:t>n</w:t>
      </w:r>
      <w:r w:rsidRPr="00C73124">
        <w:rPr>
          <w:bCs/>
        </w:rPr>
        <w:t xml:space="preserve"> på ny i dette lovforslag. Fremgangsmåden er valgt, fordi første del af de allerede vedtagne proceslempelser dvs. for 2014, jf. lov nr. 903 af 4. juli 2013</w:t>
      </w:r>
      <w:r w:rsidR="007867C1">
        <w:rPr>
          <w:bCs/>
        </w:rPr>
        <w:t>,</w:t>
      </w:r>
      <w:r w:rsidRPr="00C73124">
        <w:rPr>
          <w:bCs/>
        </w:rPr>
        <w:t xml:space="preserve"> træder i kraft pr. 1. januar 2014. Grundet den sene fremsættelse af dette lovfo</w:t>
      </w:r>
      <w:r>
        <w:rPr>
          <w:bCs/>
        </w:rPr>
        <w:t>rslag i 2013, forventes det</w:t>
      </w:r>
      <w:r w:rsidRPr="00C73124">
        <w:rPr>
          <w:bCs/>
        </w:rPr>
        <w:t xml:space="preserve"> først vedtaget ultimo januar 2014. Den forslåede fremrykning af anden del af proceslempelserne, dvs. fra 2015 til 2014, foreslås dog at få virkning </w:t>
      </w:r>
      <w:r w:rsidR="00C31688">
        <w:rPr>
          <w:bCs/>
        </w:rPr>
        <w:t xml:space="preserve">fra 1. januar 2014. </w:t>
      </w:r>
      <w:r w:rsidRPr="00C73124">
        <w:rPr>
          <w:bCs/>
        </w:rPr>
        <w:t xml:space="preserve"> </w:t>
      </w:r>
    </w:p>
    <w:p w:rsidR="00B8643B" w:rsidRPr="00792789" w:rsidRDefault="00B8643B" w:rsidP="00A37157">
      <w:pPr>
        <w:rPr>
          <w:bCs/>
        </w:rPr>
      </w:pPr>
    </w:p>
    <w:p w:rsidR="00B8643B" w:rsidRPr="00792789" w:rsidRDefault="00B8643B" w:rsidP="00A37157">
      <w:pPr>
        <w:rPr>
          <w:bCs/>
        </w:rPr>
      </w:pPr>
      <w:r w:rsidRPr="00792789">
        <w:rPr>
          <w:bCs/>
        </w:rPr>
        <w:t>En godtgørelse, som tager udgangspunkt i energiindholdet, kræver</w:t>
      </w:r>
      <w:r w:rsidR="009A56BA">
        <w:rPr>
          <w:bCs/>
        </w:rPr>
        <w:t>,</w:t>
      </w:r>
      <w:r w:rsidRPr="00792789">
        <w:rPr>
          <w:bCs/>
        </w:rPr>
        <w:t xml:space="preserve"> at godtgørelsesberettigede virksomheder har kendskab til energiindholdet. Denne oplysning er ikke nødvendigvis altid tilgængelig, hvis det f.eks. alene er mængden (Nm3, ton m.v.), som fremgår af fakturaen. Det kan også være vanskeligt at modregne 4,5 kr./GJ, hvis varme f</w:t>
      </w:r>
      <w:r w:rsidR="009A56BA">
        <w:rPr>
          <w:bCs/>
        </w:rPr>
        <w:t>.eks.</w:t>
      </w:r>
      <w:r w:rsidRPr="00792789">
        <w:rPr>
          <w:bCs/>
        </w:rPr>
        <w:t xml:space="preserve"> er fremstillet ved brug af både afgiftspligtige og afgiftsfrie brændsler. </w:t>
      </w:r>
    </w:p>
    <w:p w:rsidR="00B8643B" w:rsidRPr="00792789" w:rsidRDefault="00B8643B" w:rsidP="00A37157">
      <w:pPr>
        <w:rPr>
          <w:bCs/>
        </w:rPr>
      </w:pPr>
    </w:p>
    <w:p w:rsidR="00B8643B" w:rsidRPr="00792789" w:rsidRDefault="00B8643B" w:rsidP="00A37157">
      <w:pPr>
        <w:rPr>
          <w:bCs/>
        </w:rPr>
      </w:pPr>
      <w:r w:rsidRPr="00792789">
        <w:rPr>
          <w:bCs/>
        </w:rPr>
        <w:t xml:space="preserve">Administrativt vil det derfor være nemmere for virksomhederne, hvis godtgørelsen kan beregnes som </w:t>
      </w:r>
      <w:r w:rsidR="00487321">
        <w:rPr>
          <w:bCs/>
        </w:rPr>
        <w:t xml:space="preserve">en </w:t>
      </w:r>
      <w:r w:rsidRPr="00792789">
        <w:rPr>
          <w:bCs/>
        </w:rPr>
        <w:t>fast procent af det samlede afgiftsbeløb for den godtgørelsesberettigede andel.</w:t>
      </w:r>
    </w:p>
    <w:p w:rsidR="00B8643B" w:rsidRPr="00792789" w:rsidRDefault="00B8643B" w:rsidP="00A37157">
      <w:pPr>
        <w:rPr>
          <w:bCs/>
        </w:rPr>
      </w:pPr>
    </w:p>
    <w:p w:rsidR="00B8643B" w:rsidRPr="00792789" w:rsidRDefault="000C2D8E" w:rsidP="00A37157">
      <w:pPr>
        <w:rPr>
          <w:bCs/>
        </w:rPr>
      </w:pPr>
      <w:r>
        <w:rPr>
          <w:bCs/>
        </w:rPr>
        <w:t xml:space="preserve">I overensstemmelse med de regler, der blev vedtaget med </w:t>
      </w:r>
      <w:r w:rsidRPr="00C73124">
        <w:rPr>
          <w:bCs/>
        </w:rPr>
        <w:t>lov nr. 903 af 4. juli 2013</w:t>
      </w:r>
      <w:r>
        <w:rPr>
          <w:bCs/>
        </w:rPr>
        <w:t>, foreslås det</w:t>
      </w:r>
      <w:r w:rsidRPr="00C73124">
        <w:rPr>
          <w:bCs/>
        </w:rPr>
        <w:t xml:space="preserve"> </w:t>
      </w:r>
      <w:r w:rsidR="00B8643B" w:rsidRPr="00792789">
        <w:rPr>
          <w:bCs/>
        </w:rPr>
        <w:t>, at der også er mulighed for at beregne godtgørelse som en fast procent af det samlede afgiftsbeløb for den godtgørelsesberettigede andel.</w:t>
      </w:r>
    </w:p>
    <w:p w:rsidR="00B8643B" w:rsidRPr="00792789" w:rsidRDefault="00B8643B" w:rsidP="00A37157">
      <w:pPr>
        <w:rPr>
          <w:bCs/>
        </w:rPr>
      </w:pPr>
    </w:p>
    <w:p w:rsidR="00B8643B" w:rsidRPr="00792789" w:rsidRDefault="00487321" w:rsidP="00A37157">
      <w:pPr>
        <w:rPr>
          <w:bCs/>
        </w:rPr>
      </w:pPr>
      <w:r>
        <w:rPr>
          <w:bCs/>
        </w:rPr>
        <w:t>D</w:t>
      </w:r>
      <w:r w:rsidR="000B0A67">
        <w:rPr>
          <w:bCs/>
        </w:rPr>
        <w:t>a</w:t>
      </w:r>
      <w:r w:rsidR="00B8643B" w:rsidRPr="00792789">
        <w:rPr>
          <w:bCs/>
        </w:rPr>
        <w:t xml:space="preserve"> afgiftssatserne årligt indekseres, vil en procentsats tilsvarende skulle reguleres årligt.</w:t>
      </w:r>
    </w:p>
    <w:p w:rsidR="00B8643B" w:rsidRPr="00792789" w:rsidRDefault="00B8643B" w:rsidP="00A37157">
      <w:pPr>
        <w:rPr>
          <w:bCs/>
        </w:rPr>
      </w:pPr>
    </w:p>
    <w:p w:rsidR="00B8643B" w:rsidRPr="00792789" w:rsidRDefault="00B8643B" w:rsidP="00A37157">
      <w:pPr>
        <w:rPr>
          <w:bCs/>
        </w:rPr>
      </w:pPr>
      <w:r w:rsidRPr="00792789">
        <w:rPr>
          <w:bCs/>
        </w:rPr>
        <w:t>Satsen for den andel</w:t>
      </w:r>
      <w:r w:rsidR="00487321">
        <w:rPr>
          <w:bCs/>
        </w:rPr>
        <w:t>,</w:t>
      </w:r>
      <w:r w:rsidRPr="00792789">
        <w:rPr>
          <w:bCs/>
        </w:rPr>
        <w:t xml:space="preserve"> som ikke godtgøres ved brug af energi i forbindelse med elpatronordningen, jf. gasafgiftslovens § 8, stk. 4</w:t>
      </w:r>
      <w:r w:rsidR="00487321">
        <w:rPr>
          <w:bCs/>
        </w:rPr>
        <w:t>,</w:t>
      </w:r>
      <w:r w:rsidRPr="00792789">
        <w:rPr>
          <w:bCs/>
        </w:rPr>
        <w:t xml:space="preserve"> indekseres årligt, hvorfor den ønskede procentsats kan beregnes ved at dividere 4,5 kr./GJ med satsen for godtgørelse for elpatronordningen, hvorefter der ganges med 1 divideret med 1,2 for at kalibrere den samlede sats.</w:t>
      </w:r>
    </w:p>
    <w:p w:rsidR="00674C8A" w:rsidRDefault="00674C8A" w:rsidP="00A37157">
      <w:pPr>
        <w:rPr>
          <w:bCs/>
        </w:rPr>
      </w:pPr>
    </w:p>
    <w:p w:rsidR="00B8643B" w:rsidRPr="00792789" w:rsidRDefault="00B8643B" w:rsidP="00A37157">
      <w:pPr>
        <w:rPr>
          <w:bCs/>
        </w:rPr>
      </w:pPr>
    </w:p>
    <w:p w:rsidR="00B8643B" w:rsidRPr="00792789" w:rsidRDefault="003357D1" w:rsidP="00A37157">
      <w:pPr>
        <w:rPr>
          <w:bCs/>
        </w:rPr>
      </w:pPr>
      <w:r>
        <w:rPr>
          <w:bCs/>
        </w:rPr>
        <w:t>P</w:t>
      </w:r>
      <w:r w:rsidR="00B8643B" w:rsidRPr="00792789">
        <w:rPr>
          <w:bCs/>
        </w:rPr>
        <w:t>rocentsats</w:t>
      </w:r>
      <w:r>
        <w:rPr>
          <w:bCs/>
        </w:rPr>
        <w:t>en</w:t>
      </w:r>
      <w:r w:rsidR="00B8643B" w:rsidRPr="00792789">
        <w:rPr>
          <w:bCs/>
        </w:rPr>
        <w:t xml:space="preserve"> beregnes årligt som:</w:t>
      </w:r>
    </w:p>
    <w:p w:rsidR="00B8643B" w:rsidRPr="00792789" w:rsidRDefault="00B8643B" w:rsidP="00B8643B">
      <w:pPr>
        <w:rPr>
          <w:bCs/>
        </w:rPr>
      </w:pPr>
    </w:p>
    <w:tbl>
      <w:tblPr>
        <w:tblW w:w="3690" w:type="dxa"/>
        <w:tblCellSpacing w:w="0" w:type="dxa"/>
        <w:tblCellMar>
          <w:top w:w="15" w:type="dxa"/>
          <w:left w:w="0" w:type="dxa"/>
          <w:bottom w:w="15" w:type="dxa"/>
          <w:right w:w="0" w:type="dxa"/>
        </w:tblCellMar>
        <w:tblLook w:val="04A0" w:firstRow="1" w:lastRow="0" w:firstColumn="1" w:lastColumn="0" w:noHBand="0" w:noVBand="1"/>
      </w:tblPr>
      <w:tblGrid>
        <w:gridCol w:w="2982"/>
        <w:gridCol w:w="286"/>
        <w:gridCol w:w="422"/>
      </w:tblGrid>
      <w:tr w:rsidR="00B8643B" w:rsidRPr="00792789" w:rsidTr="00D35226">
        <w:trPr>
          <w:tblCellSpacing w:w="0" w:type="dxa"/>
        </w:trPr>
        <w:tc>
          <w:tcPr>
            <w:tcW w:w="2970" w:type="dxa"/>
          </w:tcPr>
          <w:p w:rsidR="00B8643B" w:rsidRPr="00792789" w:rsidRDefault="00B8643B" w:rsidP="00D35226">
            <w:r w:rsidRPr="00792789">
              <w:t> </w:t>
            </w:r>
          </w:p>
        </w:tc>
        <w:tc>
          <w:tcPr>
            <w:tcW w:w="285" w:type="dxa"/>
          </w:tcPr>
          <w:p w:rsidR="00B8643B" w:rsidRPr="00792789" w:rsidRDefault="00B8643B" w:rsidP="00D35226">
            <w:r w:rsidRPr="00792789">
              <w:t> </w:t>
            </w:r>
          </w:p>
        </w:tc>
        <w:tc>
          <w:tcPr>
            <w:tcW w:w="420" w:type="dxa"/>
          </w:tcPr>
          <w:p w:rsidR="00B8643B" w:rsidRPr="00792789" w:rsidRDefault="00B8643B" w:rsidP="00D35226">
            <w:r w:rsidRPr="00792789">
              <w:t> </w:t>
            </w:r>
          </w:p>
        </w:tc>
      </w:tr>
      <w:tr w:rsidR="00B8643B" w:rsidRPr="00792789" w:rsidTr="00D35226">
        <w:trPr>
          <w:tblCellSpacing w:w="0" w:type="dxa"/>
        </w:trPr>
        <w:tc>
          <w:tcPr>
            <w:tcW w:w="2970" w:type="dxa"/>
            <w:tcBorders>
              <w:bottom w:val="single" w:sz="8" w:space="0" w:color="000000"/>
            </w:tcBorders>
            <w:vAlign w:val="center"/>
          </w:tcPr>
          <w:p w:rsidR="00B8643B" w:rsidRPr="00584E37" w:rsidRDefault="00B8643B" w:rsidP="00D35226">
            <w:pPr>
              <w:jc w:val="center"/>
            </w:pPr>
            <w:r w:rsidRPr="00584E37">
              <w:t>4,5 kr./</w:t>
            </w:r>
            <w:r w:rsidRPr="00584E37">
              <w:rPr>
                <w:iCs/>
              </w:rPr>
              <w:t>GJ</w:t>
            </w:r>
          </w:p>
        </w:tc>
        <w:tc>
          <w:tcPr>
            <w:tcW w:w="285" w:type="dxa"/>
            <w:vMerge w:val="restart"/>
            <w:vAlign w:val="center"/>
          </w:tcPr>
          <w:p w:rsidR="00B8643B" w:rsidRPr="00792789" w:rsidRDefault="00B8643B" w:rsidP="00D35226">
            <w:pPr>
              <w:jc w:val="center"/>
            </w:pPr>
            <w:r w:rsidRPr="00792789">
              <w:t>*</w:t>
            </w:r>
          </w:p>
        </w:tc>
        <w:tc>
          <w:tcPr>
            <w:tcW w:w="420" w:type="dxa"/>
            <w:tcBorders>
              <w:bottom w:val="single" w:sz="8" w:space="0" w:color="000000"/>
            </w:tcBorders>
            <w:vAlign w:val="center"/>
          </w:tcPr>
          <w:p w:rsidR="00B8643B" w:rsidRPr="00792789" w:rsidRDefault="00B8643B" w:rsidP="00D35226">
            <w:pPr>
              <w:jc w:val="center"/>
            </w:pPr>
            <w:r w:rsidRPr="00792789">
              <w:t>1</w:t>
            </w:r>
          </w:p>
        </w:tc>
      </w:tr>
      <w:tr w:rsidR="00B8643B" w:rsidRPr="00792789" w:rsidTr="00D35226">
        <w:trPr>
          <w:tblCellSpacing w:w="0" w:type="dxa"/>
        </w:trPr>
        <w:tc>
          <w:tcPr>
            <w:tcW w:w="2970" w:type="dxa"/>
            <w:tcBorders>
              <w:top w:val="single" w:sz="8" w:space="0" w:color="000000"/>
            </w:tcBorders>
            <w:vAlign w:val="center"/>
          </w:tcPr>
          <w:p w:rsidR="00B8643B" w:rsidRPr="00792789" w:rsidRDefault="00B8643B" w:rsidP="00D35226">
            <w:pPr>
              <w:jc w:val="center"/>
            </w:pPr>
            <w:r w:rsidRPr="00792789">
              <w:rPr>
                <w:iCs/>
              </w:rPr>
              <w:t>satsen efter</w:t>
            </w:r>
            <w:r w:rsidRPr="00792789">
              <w:t xml:space="preserve"> § 8, stk. 4, 2. pkt.</w:t>
            </w:r>
          </w:p>
        </w:tc>
        <w:tc>
          <w:tcPr>
            <w:tcW w:w="0" w:type="auto"/>
            <w:vMerge/>
            <w:vAlign w:val="center"/>
          </w:tcPr>
          <w:p w:rsidR="00B8643B" w:rsidRPr="00792789" w:rsidRDefault="00B8643B" w:rsidP="00D35226"/>
        </w:tc>
        <w:tc>
          <w:tcPr>
            <w:tcW w:w="420" w:type="dxa"/>
            <w:tcBorders>
              <w:top w:val="single" w:sz="8" w:space="0" w:color="000000"/>
            </w:tcBorders>
            <w:vAlign w:val="center"/>
          </w:tcPr>
          <w:p w:rsidR="00B8643B" w:rsidRPr="00792789" w:rsidRDefault="00B8643B" w:rsidP="00D35226">
            <w:pPr>
              <w:jc w:val="center"/>
            </w:pPr>
            <w:r w:rsidRPr="00792789">
              <w:t>1,2</w:t>
            </w:r>
          </w:p>
        </w:tc>
      </w:tr>
      <w:tr w:rsidR="00B8643B" w:rsidRPr="00792789" w:rsidTr="00D35226">
        <w:trPr>
          <w:tblCellSpacing w:w="0" w:type="dxa"/>
        </w:trPr>
        <w:tc>
          <w:tcPr>
            <w:tcW w:w="2970" w:type="dxa"/>
          </w:tcPr>
          <w:p w:rsidR="00B8643B" w:rsidRPr="00792789" w:rsidRDefault="00B8643B" w:rsidP="00D35226">
            <w:r w:rsidRPr="00792789">
              <w:t> </w:t>
            </w:r>
          </w:p>
        </w:tc>
        <w:tc>
          <w:tcPr>
            <w:tcW w:w="285" w:type="dxa"/>
          </w:tcPr>
          <w:p w:rsidR="00B8643B" w:rsidRPr="00792789" w:rsidRDefault="00B8643B" w:rsidP="00D35226">
            <w:r w:rsidRPr="00792789">
              <w:t> </w:t>
            </w:r>
          </w:p>
        </w:tc>
        <w:tc>
          <w:tcPr>
            <w:tcW w:w="420" w:type="dxa"/>
          </w:tcPr>
          <w:p w:rsidR="00B8643B" w:rsidRPr="00792789" w:rsidRDefault="00B8643B" w:rsidP="00D35226">
            <w:r w:rsidRPr="00792789">
              <w:t> </w:t>
            </w:r>
          </w:p>
        </w:tc>
      </w:tr>
    </w:tbl>
    <w:p w:rsidR="00B8643B" w:rsidRPr="00792789" w:rsidRDefault="00B8643B" w:rsidP="00B8643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B8643B" w:rsidRPr="00792789" w:rsidTr="00D35226">
        <w:tc>
          <w:tcPr>
            <w:tcW w:w="3069" w:type="dxa"/>
            <w:shd w:val="clear" w:color="auto" w:fill="auto"/>
          </w:tcPr>
          <w:p w:rsidR="00B8643B" w:rsidRPr="00792789" w:rsidRDefault="00B8643B" w:rsidP="00D35226">
            <w:pPr>
              <w:rPr>
                <w:bCs/>
              </w:rPr>
            </w:pPr>
          </w:p>
        </w:tc>
        <w:tc>
          <w:tcPr>
            <w:tcW w:w="3070" w:type="dxa"/>
            <w:shd w:val="clear" w:color="auto" w:fill="auto"/>
          </w:tcPr>
          <w:p w:rsidR="00B8643B" w:rsidRPr="00792789" w:rsidRDefault="00B8643B" w:rsidP="00D35226">
            <w:pPr>
              <w:rPr>
                <w:bCs/>
              </w:rPr>
            </w:pPr>
            <w:r w:rsidRPr="00792789">
              <w:rPr>
                <w:bCs/>
              </w:rPr>
              <w:t>Tilbagebetaling efter gasafgiftslovens § 8, stk. 4, 2. pkt.</w:t>
            </w:r>
          </w:p>
        </w:tc>
        <w:tc>
          <w:tcPr>
            <w:tcW w:w="3070" w:type="dxa"/>
            <w:shd w:val="clear" w:color="auto" w:fill="auto"/>
          </w:tcPr>
          <w:p w:rsidR="00B8643B" w:rsidRPr="00792789" w:rsidRDefault="00B8643B" w:rsidP="00D35226">
            <w:pPr>
              <w:rPr>
                <w:bCs/>
              </w:rPr>
            </w:pPr>
            <w:r w:rsidRPr="00792789">
              <w:rPr>
                <w:bCs/>
              </w:rPr>
              <w:t>Beregnet procentsats</w:t>
            </w:r>
          </w:p>
        </w:tc>
      </w:tr>
      <w:tr w:rsidR="00B8643B" w:rsidRPr="00792789" w:rsidTr="00D35226">
        <w:tc>
          <w:tcPr>
            <w:tcW w:w="3069" w:type="dxa"/>
            <w:shd w:val="clear" w:color="auto" w:fill="auto"/>
          </w:tcPr>
          <w:p w:rsidR="00B8643B" w:rsidRPr="00792789" w:rsidRDefault="00B8643B" w:rsidP="00D35226">
            <w:pPr>
              <w:rPr>
                <w:bCs/>
              </w:rPr>
            </w:pPr>
            <w:r w:rsidRPr="00792789">
              <w:rPr>
                <w:bCs/>
              </w:rPr>
              <w:t>2014</w:t>
            </w:r>
          </w:p>
        </w:tc>
        <w:tc>
          <w:tcPr>
            <w:tcW w:w="3070" w:type="dxa"/>
            <w:shd w:val="clear" w:color="auto" w:fill="auto"/>
          </w:tcPr>
          <w:p w:rsidR="00B8643B" w:rsidRPr="00792789" w:rsidRDefault="00B8643B" w:rsidP="00D35226">
            <w:pPr>
              <w:rPr>
                <w:bCs/>
              </w:rPr>
            </w:pPr>
            <w:r w:rsidRPr="00792789">
              <w:rPr>
                <w:bCs/>
              </w:rPr>
              <w:t>59,8 kr./GJ</w:t>
            </w:r>
          </w:p>
        </w:tc>
        <w:tc>
          <w:tcPr>
            <w:tcW w:w="3070" w:type="dxa"/>
            <w:shd w:val="clear" w:color="auto" w:fill="auto"/>
          </w:tcPr>
          <w:p w:rsidR="00B8643B" w:rsidRPr="00792789" w:rsidRDefault="00B8643B" w:rsidP="00D35226">
            <w:pPr>
              <w:rPr>
                <w:b/>
                <w:bCs/>
              </w:rPr>
            </w:pPr>
            <w:r w:rsidRPr="00792789">
              <w:rPr>
                <w:bCs/>
              </w:rPr>
              <w:t xml:space="preserve">6,27 </w:t>
            </w:r>
          </w:p>
        </w:tc>
      </w:tr>
      <w:tr w:rsidR="00B8643B" w:rsidRPr="00792789" w:rsidTr="00D35226">
        <w:tc>
          <w:tcPr>
            <w:tcW w:w="3069" w:type="dxa"/>
            <w:shd w:val="clear" w:color="auto" w:fill="auto"/>
          </w:tcPr>
          <w:p w:rsidR="00B8643B" w:rsidRPr="00792789" w:rsidRDefault="00B8643B" w:rsidP="00D35226">
            <w:pPr>
              <w:rPr>
                <w:bCs/>
              </w:rPr>
            </w:pPr>
            <w:r w:rsidRPr="00792789">
              <w:rPr>
                <w:bCs/>
              </w:rPr>
              <w:t>2015</w:t>
            </w:r>
          </w:p>
        </w:tc>
        <w:tc>
          <w:tcPr>
            <w:tcW w:w="3070" w:type="dxa"/>
            <w:shd w:val="clear" w:color="auto" w:fill="auto"/>
          </w:tcPr>
          <w:p w:rsidR="00B8643B" w:rsidRPr="00792789" w:rsidRDefault="00B8643B" w:rsidP="00D35226">
            <w:pPr>
              <w:rPr>
                <w:bCs/>
              </w:rPr>
            </w:pPr>
            <w:r w:rsidRPr="00792789">
              <w:rPr>
                <w:bCs/>
              </w:rPr>
              <w:t>60,9 kr./GJ</w:t>
            </w:r>
          </w:p>
        </w:tc>
        <w:tc>
          <w:tcPr>
            <w:tcW w:w="3070" w:type="dxa"/>
            <w:shd w:val="clear" w:color="auto" w:fill="auto"/>
          </w:tcPr>
          <w:p w:rsidR="00B8643B" w:rsidRPr="00792789" w:rsidRDefault="00B8643B" w:rsidP="00D35226">
            <w:pPr>
              <w:rPr>
                <w:bCs/>
              </w:rPr>
            </w:pPr>
            <w:r w:rsidRPr="00792789">
              <w:rPr>
                <w:bCs/>
              </w:rPr>
              <w:t>6,16</w:t>
            </w:r>
          </w:p>
        </w:tc>
      </w:tr>
    </w:tbl>
    <w:p w:rsidR="00B8643B" w:rsidRPr="00792789" w:rsidRDefault="00B8643B" w:rsidP="00B8643B">
      <w:pPr>
        <w:rPr>
          <w:bCs/>
        </w:rPr>
      </w:pPr>
    </w:p>
    <w:p w:rsidR="00B8643B" w:rsidRPr="00792789" w:rsidRDefault="00B8643B" w:rsidP="00B8643B">
      <w:pPr>
        <w:rPr>
          <w:bCs/>
        </w:rPr>
      </w:pPr>
    </w:p>
    <w:p w:rsidR="00B8643B" w:rsidRPr="00792789" w:rsidRDefault="00B8643B" w:rsidP="00B8643B">
      <w:pPr>
        <w:rPr>
          <w:bCs/>
        </w:rPr>
      </w:pPr>
      <w:r w:rsidRPr="00792789">
        <w:rPr>
          <w:bCs/>
        </w:rPr>
        <w:t>I 2014 er energiafgiften 71,8 kr./GJ</w:t>
      </w:r>
      <w:r>
        <w:rPr>
          <w:bCs/>
        </w:rPr>
        <w:t>.</w:t>
      </w:r>
      <w:r w:rsidRPr="00792789">
        <w:rPr>
          <w:bCs/>
        </w:rPr>
        <w:t xml:space="preserve"> 6,27 pct. heraf er 4,50 kr./GJ. I 2015 er energiafgiften 73,1 kr./GJ. 6,16 pct. heraf er 4,50 kr./GJ.</w:t>
      </w:r>
    </w:p>
    <w:p w:rsidR="00B8643B" w:rsidRPr="00792789" w:rsidRDefault="00B8643B" w:rsidP="00B8643B">
      <w:pPr>
        <w:rPr>
          <w:bCs/>
        </w:rPr>
      </w:pPr>
    </w:p>
    <w:p w:rsidR="00B8643B" w:rsidRPr="00792789" w:rsidRDefault="00B8643B" w:rsidP="00B8643B">
      <w:pPr>
        <w:rPr>
          <w:bCs/>
        </w:rPr>
      </w:pPr>
      <w:r w:rsidRPr="00792789">
        <w:rPr>
          <w:bCs/>
        </w:rPr>
        <w:t>Fra 2016 indekseres satsen i lovens § 8, stk. 4</w:t>
      </w:r>
      <w:r w:rsidR="00487321">
        <w:rPr>
          <w:bCs/>
        </w:rPr>
        <w:t>,</w:t>
      </w:r>
      <w:r w:rsidRPr="00792789">
        <w:rPr>
          <w:bCs/>
        </w:rPr>
        <w:t xml:space="preserve"> efter § 32</w:t>
      </w:r>
      <w:r w:rsidR="00487321">
        <w:rPr>
          <w:bCs/>
        </w:rPr>
        <w:t xml:space="preserve"> </w:t>
      </w:r>
      <w:r w:rsidRPr="00792789">
        <w:rPr>
          <w:bCs/>
        </w:rPr>
        <w:t>a i mineralolieafgiftsloven.</w:t>
      </w:r>
    </w:p>
    <w:p w:rsidR="00B8643B" w:rsidRPr="00792789" w:rsidRDefault="00B8643B" w:rsidP="00B8643B">
      <w:pPr>
        <w:rPr>
          <w:bCs/>
        </w:rPr>
      </w:pPr>
    </w:p>
    <w:p w:rsidR="00B8643B" w:rsidRDefault="00B8643B" w:rsidP="00B8643B">
      <w:pPr>
        <w:rPr>
          <w:bCs/>
        </w:rPr>
      </w:pPr>
      <w:r w:rsidRPr="00792789">
        <w:rPr>
          <w:bCs/>
        </w:rPr>
        <w:t>De årlige procentsatser vil hvert år blive offentliggjort på</w:t>
      </w:r>
      <w:r>
        <w:rPr>
          <w:bCs/>
        </w:rPr>
        <w:t xml:space="preserve"> www.skat.dk</w:t>
      </w:r>
      <w:r w:rsidR="00487321">
        <w:rPr>
          <w:bCs/>
        </w:rPr>
        <w:t>.</w:t>
      </w:r>
    </w:p>
    <w:p w:rsidR="00B8643B" w:rsidRDefault="00B8643B" w:rsidP="00B8643B">
      <w:pPr>
        <w:rPr>
          <w:bCs/>
        </w:rPr>
      </w:pPr>
    </w:p>
    <w:p w:rsidR="00B8643B" w:rsidRDefault="00B8643B" w:rsidP="00B8643B">
      <w:pPr>
        <w:jc w:val="center"/>
        <w:rPr>
          <w:bCs/>
          <w:i/>
        </w:rPr>
      </w:pPr>
      <w:r w:rsidRPr="00B8643B">
        <w:rPr>
          <w:bCs/>
          <w:i/>
        </w:rPr>
        <w:t>Til § 5</w:t>
      </w:r>
    </w:p>
    <w:p w:rsidR="003C3931" w:rsidRPr="00B8643B" w:rsidRDefault="003C3931" w:rsidP="00B8643B">
      <w:pPr>
        <w:jc w:val="center"/>
        <w:rPr>
          <w:bCs/>
          <w:i/>
        </w:rPr>
      </w:pPr>
    </w:p>
    <w:p w:rsidR="003C3931" w:rsidRDefault="004547AD" w:rsidP="004547AD">
      <w:r w:rsidRPr="00792789">
        <w:t>Til nr. 1</w:t>
      </w:r>
    </w:p>
    <w:p w:rsidR="004547AD" w:rsidRPr="00792789" w:rsidRDefault="004547AD" w:rsidP="004547AD">
      <w:pPr>
        <w:rPr>
          <w:bCs/>
        </w:rPr>
      </w:pPr>
      <w:r w:rsidRPr="00792789">
        <w:rPr>
          <w:bCs/>
        </w:rPr>
        <w:t>Momsregistrerede virksomheder har mulighed for godtgørelse af energiafgifter af brændsler, hvor brændslerne er brugt til proces. Rent teknisk beregnes procesafgiften som et procentvis</w:t>
      </w:r>
      <w:r w:rsidR="006E3E6B">
        <w:rPr>
          <w:bCs/>
        </w:rPr>
        <w:t>t</w:t>
      </w:r>
      <w:r w:rsidRPr="00792789">
        <w:rPr>
          <w:bCs/>
        </w:rPr>
        <w:t xml:space="preserve"> nedslag i godtgørelsen af den fulde afgift for proces.</w:t>
      </w:r>
    </w:p>
    <w:p w:rsidR="004547AD" w:rsidRPr="00792789" w:rsidRDefault="004547AD" w:rsidP="004547AD">
      <w:pPr>
        <w:rPr>
          <w:bCs/>
        </w:rPr>
      </w:pPr>
    </w:p>
    <w:p w:rsidR="004547AD" w:rsidRPr="00792789" w:rsidRDefault="004547AD" w:rsidP="004547AD">
      <w:pPr>
        <w:rPr>
          <w:bCs/>
        </w:rPr>
      </w:pPr>
      <w:r w:rsidRPr="00792789">
        <w:rPr>
          <w:bCs/>
        </w:rPr>
        <w:t xml:space="preserve">Ved lov nr. 903 af 4. juli 2013, som var en del af </w:t>
      </w:r>
      <w:r w:rsidRPr="00792789">
        <w:rPr>
          <w:bCs/>
          <w:i/>
        </w:rPr>
        <w:t>Vækstplan</w:t>
      </w:r>
      <w:r w:rsidR="000E74C4">
        <w:rPr>
          <w:bCs/>
          <w:i/>
        </w:rPr>
        <w:t xml:space="preserve"> DK</w:t>
      </w:r>
      <w:r w:rsidRPr="00792789">
        <w:rPr>
          <w:bCs/>
        </w:rPr>
        <w:t xml:space="preserve">, blev afgiftslempelserne på erhvervenes forbrug af energi til procesformål </w:t>
      </w:r>
      <w:r w:rsidR="00250D22">
        <w:rPr>
          <w:bCs/>
        </w:rPr>
        <w:t>ændret</w:t>
      </w:r>
      <w:r w:rsidRPr="00792789">
        <w:rPr>
          <w:bCs/>
        </w:rPr>
        <w:t xml:space="preserve"> i to omgange, henholdsvis til 2014 og 2015.</w:t>
      </w:r>
    </w:p>
    <w:p w:rsidR="004547AD" w:rsidRPr="00792789" w:rsidRDefault="004547AD" w:rsidP="004547AD">
      <w:pPr>
        <w:rPr>
          <w:bCs/>
        </w:rPr>
      </w:pPr>
    </w:p>
    <w:p w:rsidR="004547AD" w:rsidRPr="00792789" w:rsidRDefault="004547AD" w:rsidP="004547AD">
      <w:pPr>
        <w:rPr>
          <w:bCs/>
        </w:rPr>
      </w:pPr>
      <w:r w:rsidRPr="00792789">
        <w:rPr>
          <w:bCs/>
        </w:rPr>
        <w:t xml:space="preserve">I 2014 vil godtgørelsen efter gældende ret af energiafgifterne for brændsler anvendt til procesformål blive opgjort som den aktuelle afgiftssats for det pågældende brændsel (gas, kul eller mineralolie) nedsat med 9 pct. </w:t>
      </w:r>
    </w:p>
    <w:p w:rsidR="004547AD" w:rsidRPr="00792789" w:rsidRDefault="004547AD" w:rsidP="004547AD">
      <w:pPr>
        <w:rPr>
          <w:bCs/>
        </w:rPr>
      </w:pPr>
    </w:p>
    <w:p w:rsidR="004547AD" w:rsidRDefault="004547AD" w:rsidP="004547AD">
      <w:pPr>
        <w:rPr>
          <w:bCs/>
        </w:rPr>
      </w:pPr>
      <w:r w:rsidRPr="00792789">
        <w:rPr>
          <w:bCs/>
        </w:rPr>
        <w:t>Det for</w:t>
      </w:r>
      <w:r w:rsidR="006E3E6B">
        <w:rPr>
          <w:bCs/>
        </w:rPr>
        <w:t>e</w:t>
      </w:r>
      <w:r w:rsidRPr="00792789">
        <w:rPr>
          <w:bCs/>
        </w:rPr>
        <w:t xml:space="preserve">slås at fremrykke afgiftslempelserne fra 2015 til 2014. Med forslaget nedsættes procesafgiften til 4,5 kr./GJ for alle brændsler til proces allerede fra 2014. </w:t>
      </w:r>
    </w:p>
    <w:p w:rsidR="00C73124" w:rsidRDefault="00C73124" w:rsidP="004547AD">
      <w:pPr>
        <w:rPr>
          <w:bCs/>
        </w:rPr>
      </w:pPr>
    </w:p>
    <w:p w:rsidR="00C73124" w:rsidRPr="00792789" w:rsidRDefault="00C73124" w:rsidP="00C73124">
      <w:pPr>
        <w:rPr>
          <w:bCs/>
        </w:rPr>
      </w:pPr>
      <w:r w:rsidRPr="00C73124">
        <w:rPr>
          <w:bCs/>
        </w:rPr>
        <w:t>Rent praktisk sker dette ved at ophæve de</w:t>
      </w:r>
      <w:r>
        <w:rPr>
          <w:bCs/>
        </w:rPr>
        <w:t>n relevante bestemmelse</w:t>
      </w:r>
      <w:r w:rsidRPr="00C73124">
        <w:rPr>
          <w:bCs/>
        </w:rPr>
        <w:t xml:space="preserve"> i lov nr. 903 af 4. juli 2013 og indsætte de</w:t>
      </w:r>
      <w:r w:rsidR="007867C1">
        <w:rPr>
          <w:bCs/>
        </w:rPr>
        <w:t>n</w:t>
      </w:r>
      <w:r w:rsidRPr="00C73124">
        <w:rPr>
          <w:bCs/>
        </w:rPr>
        <w:t xml:space="preserve"> på ny i dette lovforslag. Fremgangsmåden er valgt, fordi første del af de allerede vedtagne proceslempelser dvs. for 2014, jf. lov nr. 903 af 4. juli 2013</w:t>
      </w:r>
      <w:r w:rsidR="007867C1">
        <w:rPr>
          <w:bCs/>
        </w:rPr>
        <w:t>,</w:t>
      </w:r>
      <w:r w:rsidRPr="00C73124">
        <w:rPr>
          <w:bCs/>
        </w:rPr>
        <w:t xml:space="preserve"> træder i kraft pr. 1. januar 2014. Grundet den sene fremsættelse af dette lovfo</w:t>
      </w:r>
      <w:r>
        <w:rPr>
          <w:bCs/>
        </w:rPr>
        <w:t>rslag i 2013, forventes det</w:t>
      </w:r>
      <w:r w:rsidRPr="00C73124">
        <w:rPr>
          <w:bCs/>
        </w:rPr>
        <w:t xml:space="preserve"> først vedtaget ultimo januar 2014. Den forslåede fremrykning af anden del af proceslempelserne, dvs. fra 2015 til 2014, foreslås dog at få virkning</w:t>
      </w:r>
      <w:r w:rsidR="00C31688">
        <w:rPr>
          <w:bCs/>
        </w:rPr>
        <w:t xml:space="preserve"> fra 1. januar 2014. </w:t>
      </w:r>
    </w:p>
    <w:p w:rsidR="00C73124" w:rsidRPr="00792789" w:rsidRDefault="00C73124" w:rsidP="004547AD">
      <w:pPr>
        <w:rPr>
          <w:bCs/>
        </w:rPr>
      </w:pPr>
    </w:p>
    <w:p w:rsidR="004547AD" w:rsidRPr="00792789" w:rsidRDefault="004547AD" w:rsidP="004547AD">
      <w:pPr>
        <w:rPr>
          <w:bCs/>
        </w:rPr>
      </w:pPr>
    </w:p>
    <w:p w:rsidR="004547AD" w:rsidRPr="00792789" w:rsidRDefault="004547AD" w:rsidP="004547AD">
      <w:pPr>
        <w:rPr>
          <w:bCs/>
        </w:rPr>
      </w:pPr>
      <w:r w:rsidRPr="00792789">
        <w:rPr>
          <w:bCs/>
        </w:rPr>
        <w:t>En godtgørelse, som tager udgangspunkt i energiindholdet, kræver at godtgørelsesberettigede virksomheder har kendskab til energiindholdet. Denne oplysning er ikke nødvendigvis altid tilgængelig, hvis det f.eks. alene er mængden (Nm3, ton m.v.), som fremgår af fakturaen.</w:t>
      </w:r>
    </w:p>
    <w:p w:rsidR="004547AD" w:rsidRPr="00792789" w:rsidRDefault="004547AD" w:rsidP="004547AD">
      <w:pPr>
        <w:rPr>
          <w:bCs/>
        </w:rPr>
      </w:pPr>
    </w:p>
    <w:p w:rsidR="004547AD" w:rsidRPr="00792789" w:rsidRDefault="004547AD" w:rsidP="004547AD">
      <w:pPr>
        <w:rPr>
          <w:bCs/>
        </w:rPr>
      </w:pPr>
      <w:r w:rsidRPr="00792789">
        <w:rPr>
          <w:bCs/>
        </w:rPr>
        <w:t xml:space="preserve">Administrativt vil det derfor være nemmere for virksomhederne, hvis godtgørelsen kan beregnes som </w:t>
      </w:r>
      <w:r w:rsidR="00487321">
        <w:rPr>
          <w:bCs/>
        </w:rPr>
        <w:t xml:space="preserve">en </w:t>
      </w:r>
      <w:r w:rsidRPr="00792789">
        <w:rPr>
          <w:bCs/>
        </w:rPr>
        <w:t>fast procent af det samlede afgiftsbeløb for den godtgørelsesberettigede andel.</w:t>
      </w:r>
    </w:p>
    <w:p w:rsidR="004547AD" w:rsidRPr="00792789" w:rsidRDefault="004547AD" w:rsidP="004547AD">
      <w:pPr>
        <w:rPr>
          <w:bCs/>
        </w:rPr>
      </w:pPr>
    </w:p>
    <w:p w:rsidR="004547AD" w:rsidRPr="00792789" w:rsidRDefault="000C2D8E" w:rsidP="004547AD">
      <w:pPr>
        <w:rPr>
          <w:bCs/>
        </w:rPr>
      </w:pPr>
      <w:r>
        <w:rPr>
          <w:bCs/>
        </w:rPr>
        <w:t xml:space="preserve">I overensstemmelse med de regler, der blev vedtaget med </w:t>
      </w:r>
      <w:r w:rsidRPr="00C73124">
        <w:rPr>
          <w:bCs/>
        </w:rPr>
        <w:t>lov nr. 903 af 4. juli 2013</w:t>
      </w:r>
      <w:r>
        <w:rPr>
          <w:bCs/>
        </w:rPr>
        <w:t>, foreslås det</w:t>
      </w:r>
      <w:r w:rsidR="004547AD" w:rsidRPr="00792789">
        <w:rPr>
          <w:bCs/>
        </w:rPr>
        <w:t>, at der også er mulighed for at beregne godtgørelse som en fast procent af det samlede afgiftsbeløb for den godtgørelsesberettigede andel.</w:t>
      </w:r>
    </w:p>
    <w:p w:rsidR="004547AD" w:rsidRPr="00792789" w:rsidRDefault="004547AD" w:rsidP="004547AD">
      <w:pPr>
        <w:rPr>
          <w:bCs/>
        </w:rPr>
      </w:pPr>
    </w:p>
    <w:p w:rsidR="004547AD" w:rsidRPr="00792789" w:rsidRDefault="00487321" w:rsidP="004547AD">
      <w:pPr>
        <w:rPr>
          <w:bCs/>
        </w:rPr>
      </w:pPr>
      <w:r>
        <w:rPr>
          <w:bCs/>
        </w:rPr>
        <w:t xml:space="preserve">Da </w:t>
      </w:r>
      <w:r w:rsidR="004547AD" w:rsidRPr="00792789">
        <w:rPr>
          <w:bCs/>
        </w:rPr>
        <w:t xml:space="preserve">afgiftssatserne </w:t>
      </w:r>
      <w:r w:rsidRPr="00792789">
        <w:rPr>
          <w:bCs/>
        </w:rPr>
        <w:t>årligt indekseres</w:t>
      </w:r>
      <w:r w:rsidR="004547AD" w:rsidRPr="00792789">
        <w:rPr>
          <w:bCs/>
        </w:rPr>
        <w:t>, vil en procentsats tilsvarende skulle reguleres årligt.</w:t>
      </w:r>
    </w:p>
    <w:p w:rsidR="004547AD" w:rsidRPr="00792789" w:rsidRDefault="004547AD" w:rsidP="004547AD">
      <w:pPr>
        <w:rPr>
          <w:bCs/>
        </w:rPr>
      </w:pPr>
    </w:p>
    <w:p w:rsidR="004547AD" w:rsidRPr="00792789" w:rsidRDefault="004547AD" w:rsidP="004547AD">
      <w:pPr>
        <w:rPr>
          <w:bCs/>
        </w:rPr>
      </w:pPr>
      <w:r w:rsidRPr="00792789">
        <w:rPr>
          <w:bCs/>
        </w:rPr>
        <w:t>Satsen for den andel</w:t>
      </w:r>
      <w:r w:rsidR="00487321">
        <w:rPr>
          <w:bCs/>
        </w:rPr>
        <w:t>,</w:t>
      </w:r>
      <w:r w:rsidRPr="00792789">
        <w:rPr>
          <w:bCs/>
        </w:rPr>
        <w:t xml:space="preserve"> som ikke godtgøres ved brug af energi i forbindelse med elpatronordningen, jf. kulafgiftslovens § 7, stk. 4</w:t>
      </w:r>
      <w:r w:rsidR="00487321">
        <w:rPr>
          <w:bCs/>
        </w:rPr>
        <w:t>,</w:t>
      </w:r>
      <w:r w:rsidRPr="00792789">
        <w:rPr>
          <w:bCs/>
        </w:rPr>
        <w:t xml:space="preserve"> indekseres årligt, hvorfor den ønskede procentsats kan beregnes ved at dividere 4,5 kr./GJ med satsen for godtgørelse for elpatronordningen, hvorefter der ganges med 1 divideret med 1,2 for at kalibrere den samlede sats.</w:t>
      </w:r>
    </w:p>
    <w:p w:rsidR="004547AD" w:rsidRPr="00792789" w:rsidRDefault="004547AD" w:rsidP="004547AD">
      <w:pPr>
        <w:rPr>
          <w:bCs/>
        </w:rPr>
      </w:pPr>
    </w:p>
    <w:p w:rsidR="004547AD" w:rsidRPr="00792789" w:rsidRDefault="003357D1" w:rsidP="004547AD">
      <w:pPr>
        <w:rPr>
          <w:bCs/>
        </w:rPr>
      </w:pPr>
      <w:r>
        <w:rPr>
          <w:bCs/>
        </w:rPr>
        <w:t>P</w:t>
      </w:r>
      <w:r w:rsidR="004547AD" w:rsidRPr="00792789">
        <w:rPr>
          <w:bCs/>
        </w:rPr>
        <w:t>rocentsats</w:t>
      </w:r>
      <w:r>
        <w:rPr>
          <w:bCs/>
        </w:rPr>
        <w:t>en</w:t>
      </w:r>
      <w:r w:rsidR="004547AD" w:rsidRPr="00792789">
        <w:rPr>
          <w:bCs/>
        </w:rPr>
        <w:t xml:space="preserve"> beregnes årligt som:</w:t>
      </w:r>
    </w:p>
    <w:p w:rsidR="004547AD" w:rsidRPr="00792789" w:rsidRDefault="004547AD" w:rsidP="004547AD">
      <w:pPr>
        <w:rPr>
          <w:bCs/>
        </w:rPr>
      </w:pPr>
    </w:p>
    <w:tbl>
      <w:tblPr>
        <w:tblW w:w="3690" w:type="dxa"/>
        <w:tblCellSpacing w:w="0" w:type="dxa"/>
        <w:tblCellMar>
          <w:top w:w="15" w:type="dxa"/>
          <w:left w:w="0" w:type="dxa"/>
          <w:bottom w:w="15" w:type="dxa"/>
          <w:right w:w="0" w:type="dxa"/>
        </w:tblCellMar>
        <w:tblLook w:val="04A0" w:firstRow="1" w:lastRow="0" w:firstColumn="1" w:lastColumn="0" w:noHBand="0" w:noVBand="1"/>
      </w:tblPr>
      <w:tblGrid>
        <w:gridCol w:w="2982"/>
        <w:gridCol w:w="286"/>
        <w:gridCol w:w="422"/>
      </w:tblGrid>
      <w:tr w:rsidR="004547AD" w:rsidRPr="00792789" w:rsidTr="00D35226">
        <w:trPr>
          <w:tblCellSpacing w:w="0" w:type="dxa"/>
        </w:trPr>
        <w:tc>
          <w:tcPr>
            <w:tcW w:w="2970" w:type="dxa"/>
          </w:tcPr>
          <w:p w:rsidR="004547AD" w:rsidRPr="00792789" w:rsidRDefault="004547AD" w:rsidP="00D35226">
            <w:r w:rsidRPr="00792789">
              <w:t> </w:t>
            </w:r>
          </w:p>
        </w:tc>
        <w:tc>
          <w:tcPr>
            <w:tcW w:w="285" w:type="dxa"/>
          </w:tcPr>
          <w:p w:rsidR="004547AD" w:rsidRPr="00792789" w:rsidRDefault="004547AD" w:rsidP="00D35226">
            <w:r w:rsidRPr="00792789">
              <w:t> </w:t>
            </w:r>
          </w:p>
        </w:tc>
        <w:tc>
          <w:tcPr>
            <w:tcW w:w="420" w:type="dxa"/>
          </w:tcPr>
          <w:p w:rsidR="004547AD" w:rsidRPr="00792789" w:rsidRDefault="004547AD" w:rsidP="00D35226">
            <w:r w:rsidRPr="00792789">
              <w:t> </w:t>
            </w:r>
          </w:p>
        </w:tc>
      </w:tr>
      <w:tr w:rsidR="004547AD" w:rsidRPr="00792789" w:rsidTr="00D35226">
        <w:trPr>
          <w:tblCellSpacing w:w="0" w:type="dxa"/>
        </w:trPr>
        <w:tc>
          <w:tcPr>
            <w:tcW w:w="2970" w:type="dxa"/>
            <w:tcBorders>
              <w:bottom w:val="single" w:sz="8" w:space="0" w:color="000000"/>
            </w:tcBorders>
            <w:vAlign w:val="center"/>
          </w:tcPr>
          <w:p w:rsidR="004547AD" w:rsidRPr="00792789" w:rsidRDefault="004547AD" w:rsidP="00D35226">
            <w:pPr>
              <w:jc w:val="center"/>
            </w:pPr>
            <w:r w:rsidRPr="00792789">
              <w:t>4,5 kr./</w:t>
            </w:r>
            <w:r w:rsidRPr="00792789">
              <w:rPr>
                <w:iCs/>
              </w:rPr>
              <w:t>GJ</w:t>
            </w:r>
          </w:p>
        </w:tc>
        <w:tc>
          <w:tcPr>
            <w:tcW w:w="285" w:type="dxa"/>
            <w:vMerge w:val="restart"/>
            <w:vAlign w:val="center"/>
          </w:tcPr>
          <w:p w:rsidR="004547AD" w:rsidRPr="00792789" w:rsidRDefault="004547AD" w:rsidP="00D35226">
            <w:pPr>
              <w:jc w:val="center"/>
            </w:pPr>
            <w:r w:rsidRPr="00792789">
              <w:t>*</w:t>
            </w:r>
          </w:p>
        </w:tc>
        <w:tc>
          <w:tcPr>
            <w:tcW w:w="420" w:type="dxa"/>
            <w:tcBorders>
              <w:bottom w:val="single" w:sz="8" w:space="0" w:color="000000"/>
            </w:tcBorders>
            <w:vAlign w:val="center"/>
          </w:tcPr>
          <w:p w:rsidR="004547AD" w:rsidRPr="00792789" w:rsidRDefault="004547AD" w:rsidP="00D35226">
            <w:pPr>
              <w:jc w:val="center"/>
            </w:pPr>
            <w:r w:rsidRPr="00792789">
              <w:t>1</w:t>
            </w:r>
          </w:p>
        </w:tc>
      </w:tr>
      <w:tr w:rsidR="004547AD" w:rsidRPr="00792789" w:rsidTr="00D35226">
        <w:trPr>
          <w:tblCellSpacing w:w="0" w:type="dxa"/>
        </w:trPr>
        <w:tc>
          <w:tcPr>
            <w:tcW w:w="2970" w:type="dxa"/>
            <w:tcBorders>
              <w:top w:val="single" w:sz="8" w:space="0" w:color="000000"/>
            </w:tcBorders>
            <w:vAlign w:val="center"/>
          </w:tcPr>
          <w:p w:rsidR="004547AD" w:rsidRPr="00792789" w:rsidRDefault="004547AD" w:rsidP="00D35226">
            <w:pPr>
              <w:jc w:val="center"/>
            </w:pPr>
            <w:r w:rsidRPr="00792789">
              <w:rPr>
                <w:iCs/>
              </w:rPr>
              <w:t>satsen efter</w:t>
            </w:r>
            <w:r w:rsidRPr="00792789">
              <w:t xml:space="preserve"> § 7, stk. 4, 2. pkt.</w:t>
            </w:r>
          </w:p>
        </w:tc>
        <w:tc>
          <w:tcPr>
            <w:tcW w:w="0" w:type="auto"/>
            <w:vMerge/>
            <w:vAlign w:val="center"/>
          </w:tcPr>
          <w:p w:rsidR="004547AD" w:rsidRPr="00792789" w:rsidRDefault="004547AD" w:rsidP="00D35226"/>
        </w:tc>
        <w:tc>
          <w:tcPr>
            <w:tcW w:w="420" w:type="dxa"/>
            <w:tcBorders>
              <w:top w:val="single" w:sz="8" w:space="0" w:color="000000"/>
            </w:tcBorders>
            <w:vAlign w:val="center"/>
          </w:tcPr>
          <w:p w:rsidR="004547AD" w:rsidRPr="00792789" w:rsidRDefault="004547AD" w:rsidP="00D35226">
            <w:pPr>
              <w:jc w:val="center"/>
            </w:pPr>
            <w:r w:rsidRPr="00792789">
              <w:t>1,2</w:t>
            </w:r>
          </w:p>
        </w:tc>
      </w:tr>
      <w:tr w:rsidR="004547AD" w:rsidRPr="00792789" w:rsidTr="00D35226">
        <w:trPr>
          <w:tblCellSpacing w:w="0" w:type="dxa"/>
        </w:trPr>
        <w:tc>
          <w:tcPr>
            <w:tcW w:w="2970" w:type="dxa"/>
          </w:tcPr>
          <w:p w:rsidR="004547AD" w:rsidRPr="00792789" w:rsidRDefault="004547AD" w:rsidP="00D35226">
            <w:r w:rsidRPr="00792789">
              <w:t> </w:t>
            </w:r>
          </w:p>
        </w:tc>
        <w:tc>
          <w:tcPr>
            <w:tcW w:w="285" w:type="dxa"/>
          </w:tcPr>
          <w:p w:rsidR="004547AD" w:rsidRPr="00792789" w:rsidRDefault="004547AD" w:rsidP="00D35226">
            <w:r w:rsidRPr="00792789">
              <w:t> </w:t>
            </w:r>
          </w:p>
        </w:tc>
        <w:tc>
          <w:tcPr>
            <w:tcW w:w="420" w:type="dxa"/>
          </w:tcPr>
          <w:p w:rsidR="004547AD" w:rsidRPr="00792789" w:rsidRDefault="004547AD" w:rsidP="00D35226">
            <w:r w:rsidRPr="00792789">
              <w:t> </w:t>
            </w:r>
          </w:p>
        </w:tc>
      </w:tr>
    </w:tbl>
    <w:p w:rsidR="004547AD" w:rsidRPr="00792789" w:rsidRDefault="004547AD" w:rsidP="004547AD">
      <w:pPr>
        <w:rPr>
          <w:bCs/>
        </w:rPr>
      </w:pPr>
    </w:p>
    <w:p w:rsidR="004547AD" w:rsidRPr="00792789" w:rsidRDefault="004547AD" w:rsidP="004547AD">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4547AD" w:rsidRPr="00792789" w:rsidTr="00D35226">
        <w:tc>
          <w:tcPr>
            <w:tcW w:w="3069" w:type="dxa"/>
            <w:shd w:val="clear" w:color="auto" w:fill="auto"/>
          </w:tcPr>
          <w:p w:rsidR="004547AD" w:rsidRPr="00792789" w:rsidRDefault="004547AD" w:rsidP="00D35226">
            <w:pPr>
              <w:rPr>
                <w:bCs/>
              </w:rPr>
            </w:pPr>
          </w:p>
        </w:tc>
        <w:tc>
          <w:tcPr>
            <w:tcW w:w="3070" w:type="dxa"/>
            <w:shd w:val="clear" w:color="auto" w:fill="auto"/>
          </w:tcPr>
          <w:p w:rsidR="004547AD" w:rsidRPr="00792789" w:rsidRDefault="004547AD" w:rsidP="00D35226">
            <w:pPr>
              <w:rPr>
                <w:bCs/>
              </w:rPr>
            </w:pPr>
            <w:r w:rsidRPr="00792789">
              <w:rPr>
                <w:bCs/>
              </w:rPr>
              <w:t>Tilbagebetaling efter kulafgiftslovens § 7, stk. 4, 2. pkt.</w:t>
            </w:r>
          </w:p>
        </w:tc>
        <w:tc>
          <w:tcPr>
            <w:tcW w:w="3070" w:type="dxa"/>
            <w:shd w:val="clear" w:color="auto" w:fill="auto"/>
          </w:tcPr>
          <w:p w:rsidR="004547AD" w:rsidRPr="00792789" w:rsidRDefault="004547AD" w:rsidP="00D35226">
            <w:pPr>
              <w:rPr>
                <w:bCs/>
              </w:rPr>
            </w:pPr>
            <w:r w:rsidRPr="00792789">
              <w:rPr>
                <w:bCs/>
              </w:rPr>
              <w:t>Beregnet procentsats</w:t>
            </w:r>
          </w:p>
        </w:tc>
      </w:tr>
      <w:tr w:rsidR="004547AD" w:rsidRPr="00792789" w:rsidTr="00D35226">
        <w:tc>
          <w:tcPr>
            <w:tcW w:w="3069" w:type="dxa"/>
            <w:shd w:val="clear" w:color="auto" w:fill="auto"/>
          </w:tcPr>
          <w:p w:rsidR="004547AD" w:rsidRPr="00792789" w:rsidRDefault="004547AD" w:rsidP="00D35226">
            <w:pPr>
              <w:rPr>
                <w:bCs/>
              </w:rPr>
            </w:pPr>
            <w:r w:rsidRPr="00792789">
              <w:rPr>
                <w:bCs/>
              </w:rPr>
              <w:t>2014</w:t>
            </w:r>
          </w:p>
        </w:tc>
        <w:tc>
          <w:tcPr>
            <w:tcW w:w="3070" w:type="dxa"/>
            <w:shd w:val="clear" w:color="auto" w:fill="auto"/>
          </w:tcPr>
          <w:p w:rsidR="004547AD" w:rsidRPr="00792789" w:rsidRDefault="004547AD" w:rsidP="00D35226">
            <w:pPr>
              <w:rPr>
                <w:bCs/>
              </w:rPr>
            </w:pPr>
            <w:r w:rsidRPr="00792789">
              <w:rPr>
                <w:bCs/>
              </w:rPr>
              <w:t>59,8 kr./GJ</w:t>
            </w:r>
          </w:p>
        </w:tc>
        <w:tc>
          <w:tcPr>
            <w:tcW w:w="3070" w:type="dxa"/>
            <w:shd w:val="clear" w:color="auto" w:fill="auto"/>
          </w:tcPr>
          <w:p w:rsidR="004547AD" w:rsidRPr="00792789" w:rsidRDefault="004547AD" w:rsidP="00D35226">
            <w:pPr>
              <w:rPr>
                <w:bCs/>
              </w:rPr>
            </w:pPr>
            <w:r w:rsidRPr="00792789">
              <w:rPr>
                <w:bCs/>
              </w:rPr>
              <w:t>6,27</w:t>
            </w:r>
          </w:p>
        </w:tc>
      </w:tr>
      <w:tr w:rsidR="004547AD" w:rsidRPr="00792789" w:rsidTr="00D35226">
        <w:tc>
          <w:tcPr>
            <w:tcW w:w="3069" w:type="dxa"/>
            <w:shd w:val="clear" w:color="auto" w:fill="auto"/>
          </w:tcPr>
          <w:p w:rsidR="004547AD" w:rsidRPr="00792789" w:rsidRDefault="004547AD" w:rsidP="00D35226">
            <w:pPr>
              <w:rPr>
                <w:bCs/>
              </w:rPr>
            </w:pPr>
            <w:r w:rsidRPr="00792789">
              <w:rPr>
                <w:bCs/>
              </w:rPr>
              <w:t>2015</w:t>
            </w:r>
          </w:p>
        </w:tc>
        <w:tc>
          <w:tcPr>
            <w:tcW w:w="3070" w:type="dxa"/>
            <w:shd w:val="clear" w:color="auto" w:fill="auto"/>
          </w:tcPr>
          <w:p w:rsidR="004547AD" w:rsidRPr="00792789" w:rsidRDefault="004547AD" w:rsidP="00D35226">
            <w:pPr>
              <w:rPr>
                <w:bCs/>
              </w:rPr>
            </w:pPr>
            <w:r w:rsidRPr="00792789">
              <w:rPr>
                <w:bCs/>
              </w:rPr>
              <w:t>60,9 kr./GJ</w:t>
            </w:r>
          </w:p>
        </w:tc>
        <w:tc>
          <w:tcPr>
            <w:tcW w:w="3070" w:type="dxa"/>
            <w:shd w:val="clear" w:color="auto" w:fill="auto"/>
          </w:tcPr>
          <w:p w:rsidR="004547AD" w:rsidRPr="00792789" w:rsidRDefault="004547AD" w:rsidP="00D35226">
            <w:pPr>
              <w:rPr>
                <w:bCs/>
              </w:rPr>
            </w:pPr>
            <w:r w:rsidRPr="00792789">
              <w:rPr>
                <w:bCs/>
              </w:rPr>
              <w:t>6,16</w:t>
            </w:r>
          </w:p>
        </w:tc>
      </w:tr>
    </w:tbl>
    <w:p w:rsidR="004547AD" w:rsidRPr="00792789" w:rsidRDefault="004547AD" w:rsidP="004547AD">
      <w:pPr>
        <w:rPr>
          <w:bCs/>
        </w:rPr>
      </w:pPr>
    </w:p>
    <w:p w:rsidR="004547AD" w:rsidRPr="00792789" w:rsidRDefault="004547AD" w:rsidP="004547AD">
      <w:pPr>
        <w:rPr>
          <w:bCs/>
        </w:rPr>
      </w:pPr>
    </w:p>
    <w:p w:rsidR="004547AD" w:rsidRPr="00792789" w:rsidRDefault="004547AD" w:rsidP="004547AD">
      <w:pPr>
        <w:rPr>
          <w:bCs/>
        </w:rPr>
      </w:pPr>
      <w:r w:rsidRPr="00792789">
        <w:rPr>
          <w:bCs/>
        </w:rPr>
        <w:t>I 2014 er energiafgiften 71,8 kr./GJ</w:t>
      </w:r>
      <w:r>
        <w:rPr>
          <w:bCs/>
        </w:rPr>
        <w:t>.</w:t>
      </w:r>
      <w:r w:rsidRPr="00792789">
        <w:rPr>
          <w:bCs/>
        </w:rPr>
        <w:t xml:space="preserve"> 6,27 pct. heraf er 4,50 kr./GJ. I 2015 er energiafgiften 73,1 kr./GJ. 6,16 pct. heraf er 4,50 kr./GJ.</w:t>
      </w:r>
    </w:p>
    <w:p w:rsidR="004547AD" w:rsidRPr="00792789" w:rsidRDefault="004547AD" w:rsidP="004547AD">
      <w:pPr>
        <w:rPr>
          <w:bCs/>
        </w:rPr>
      </w:pPr>
    </w:p>
    <w:p w:rsidR="004547AD" w:rsidRPr="00792789" w:rsidRDefault="004547AD" w:rsidP="004547AD">
      <w:pPr>
        <w:rPr>
          <w:bCs/>
        </w:rPr>
      </w:pPr>
      <w:r w:rsidRPr="00792789">
        <w:rPr>
          <w:bCs/>
        </w:rPr>
        <w:t>Fra 2016 indekseres satsen i lovens § 7, stk. 4</w:t>
      </w:r>
      <w:r w:rsidR="00487321">
        <w:rPr>
          <w:bCs/>
        </w:rPr>
        <w:t>,</w:t>
      </w:r>
      <w:r w:rsidRPr="00792789">
        <w:rPr>
          <w:bCs/>
        </w:rPr>
        <w:t xml:space="preserve"> efter § 32</w:t>
      </w:r>
      <w:r w:rsidR="00487321">
        <w:rPr>
          <w:bCs/>
        </w:rPr>
        <w:t xml:space="preserve"> </w:t>
      </w:r>
      <w:r w:rsidRPr="00792789">
        <w:rPr>
          <w:bCs/>
        </w:rPr>
        <w:t>a i mineralolieafgiftsloven.</w:t>
      </w:r>
    </w:p>
    <w:p w:rsidR="004547AD" w:rsidRPr="00792789" w:rsidRDefault="004547AD" w:rsidP="004547AD">
      <w:pPr>
        <w:rPr>
          <w:bCs/>
        </w:rPr>
      </w:pPr>
    </w:p>
    <w:p w:rsidR="004547AD" w:rsidRPr="00792789" w:rsidRDefault="004547AD" w:rsidP="004547AD">
      <w:pPr>
        <w:rPr>
          <w:bCs/>
        </w:rPr>
      </w:pPr>
      <w:r w:rsidRPr="00792789">
        <w:rPr>
          <w:bCs/>
        </w:rPr>
        <w:t>De årlige procentsatser vil hvert år blive offentliggjort på www.skat.dk.</w:t>
      </w:r>
    </w:p>
    <w:p w:rsidR="004547AD" w:rsidRPr="00792789" w:rsidRDefault="004547AD" w:rsidP="004547AD">
      <w:pPr>
        <w:rPr>
          <w:bCs/>
        </w:rPr>
      </w:pPr>
    </w:p>
    <w:p w:rsidR="004547AD" w:rsidRPr="00792789" w:rsidRDefault="004547AD" w:rsidP="004547AD">
      <w:pPr>
        <w:jc w:val="center"/>
        <w:rPr>
          <w:bCs/>
          <w:i/>
        </w:rPr>
      </w:pPr>
      <w:r>
        <w:rPr>
          <w:bCs/>
          <w:i/>
        </w:rPr>
        <w:t>Til § 6</w:t>
      </w:r>
    </w:p>
    <w:p w:rsidR="004547AD" w:rsidRPr="00792789" w:rsidRDefault="004547AD" w:rsidP="004547AD"/>
    <w:p w:rsidR="004547AD" w:rsidRPr="00792789" w:rsidRDefault="004547AD" w:rsidP="004547AD">
      <w:r w:rsidRPr="00792789">
        <w:t>Til nr. 1</w:t>
      </w:r>
    </w:p>
    <w:p w:rsidR="004547AD" w:rsidRPr="00792789" w:rsidRDefault="004547AD" w:rsidP="004547AD">
      <w:pPr>
        <w:rPr>
          <w:bCs/>
        </w:rPr>
      </w:pPr>
      <w:r w:rsidRPr="00792789">
        <w:rPr>
          <w:bCs/>
        </w:rPr>
        <w:t>Momsregistrerede virksomheder har mulighed for godtgørelse af energiafgifter af brændsler, hvor brændslerne er brugt til proces. Rent teknisk beregnes procesafgiften som et procentvis</w:t>
      </w:r>
      <w:r w:rsidR="006E3E6B">
        <w:rPr>
          <w:bCs/>
        </w:rPr>
        <w:t>t</w:t>
      </w:r>
      <w:r w:rsidRPr="00792789">
        <w:rPr>
          <w:bCs/>
        </w:rPr>
        <w:t xml:space="preserve"> nedslag i godtgørelsen af den fulde afgift for proces.</w:t>
      </w:r>
    </w:p>
    <w:p w:rsidR="004547AD" w:rsidRPr="00792789" w:rsidRDefault="004547AD" w:rsidP="004547AD">
      <w:pPr>
        <w:rPr>
          <w:bCs/>
        </w:rPr>
      </w:pPr>
    </w:p>
    <w:p w:rsidR="004547AD" w:rsidRPr="00792789" w:rsidRDefault="004547AD" w:rsidP="004547AD">
      <w:pPr>
        <w:rPr>
          <w:bCs/>
        </w:rPr>
      </w:pPr>
      <w:r w:rsidRPr="00792789">
        <w:rPr>
          <w:bCs/>
        </w:rPr>
        <w:t xml:space="preserve">Ved lov nr. 903 af 4. juli 2013, som var en del af </w:t>
      </w:r>
      <w:r w:rsidRPr="00792789">
        <w:rPr>
          <w:bCs/>
          <w:i/>
        </w:rPr>
        <w:t>Vækstplan</w:t>
      </w:r>
      <w:r w:rsidR="000E74C4">
        <w:rPr>
          <w:bCs/>
          <w:i/>
        </w:rPr>
        <w:t xml:space="preserve"> DK</w:t>
      </w:r>
      <w:r w:rsidRPr="00792789">
        <w:rPr>
          <w:bCs/>
        </w:rPr>
        <w:t xml:space="preserve">, blev afgiftslempelserne på erhvervenes forbrug af energi til procesformål </w:t>
      </w:r>
      <w:r w:rsidR="00250D22">
        <w:rPr>
          <w:bCs/>
        </w:rPr>
        <w:t>ændret</w:t>
      </w:r>
      <w:r w:rsidRPr="00792789">
        <w:rPr>
          <w:bCs/>
        </w:rPr>
        <w:t xml:space="preserve"> i to omgange, henholdsvis til 2014 og 2015.</w:t>
      </w:r>
    </w:p>
    <w:p w:rsidR="004547AD" w:rsidRPr="00792789" w:rsidRDefault="004547AD" w:rsidP="004547AD">
      <w:pPr>
        <w:rPr>
          <w:bCs/>
        </w:rPr>
      </w:pPr>
    </w:p>
    <w:p w:rsidR="004547AD" w:rsidRPr="00792789" w:rsidRDefault="004547AD" w:rsidP="004547AD">
      <w:pPr>
        <w:rPr>
          <w:bCs/>
        </w:rPr>
      </w:pPr>
      <w:r w:rsidRPr="00792789">
        <w:rPr>
          <w:bCs/>
        </w:rPr>
        <w:t xml:space="preserve">I 2014 vil godtgørelsen af energiafgifterne for brændsler anvendt til procesformål blive opgjort som den aktuelle afgiftssats for det pågældende brændsel (gas, kul eller mineralolie) nedsat med 9 pct. </w:t>
      </w:r>
    </w:p>
    <w:p w:rsidR="004547AD" w:rsidRPr="00792789" w:rsidRDefault="004547AD" w:rsidP="004547AD">
      <w:pPr>
        <w:rPr>
          <w:bCs/>
        </w:rPr>
      </w:pPr>
    </w:p>
    <w:p w:rsidR="004547AD" w:rsidRDefault="004547AD" w:rsidP="004547AD">
      <w:pPr>
        <w:rPr>
          <w:bCs/>
        </w:rPr>
      </w:pPr>
      <w:r w:rsidRPr="00792789">
        <w:rPr>
          <w:bCs/>
        </w:rPr>
        <w:t>Det for</w:t>
      </w:r>
      <w:r w:rsidR="006E3E6B">
        <w:rPr>
          <w:bCs/>
        </w:rPr>
        <w:t>e</w:t>
      </w:r>
      <w:r w:rsidRPr="00792789">
        <w:rPr>
          <w:bCs/>
        </w:rPr>
        <w:t xml:space="preserve">slås at fremrykke afgiftslempelserne fra 2015 til 2014. Med forslaget nedsættes procesafgiften til 4,5 kr./GJ for alle brændsler til proces allerede fra 2014. </w:t>
      </w:r>
    </w:p>
    <w:p w:rsidR="00C73124" w:rsidRDefault="00C73124" w:rsidP="004547AD">
      <w:pPr>
        <w:rPr>
          <w:bCs/>
        </w:rPr>
      </w:pPr>
    </w:p>
    <w:p w:rsidR="00C73124" w:rsidRPr="00792789" w:rsidRDefault="00C73124" w:rsidP="004547AD">
      <w:pPr>
        <w:rPr>
          <w:bCs/>
        </w:rPr>
      </w:pPr>
      <w:r w:rsidRPr="00C73124">
        <w:rPr>
          <w:bCs/>
        </w:rPr>
        <w:t>Rent praktisk sker dette ved at ophæve de</w:t>
      </w:r>
      <w:r>
        <w:rPr>
          <w:bCs/>
        </w:rPr>
        <w:t>n relevante bestemmelse</w:t>
      </w:r>
      <w:r w:rsidRPr="00C73124">
        <w:rPr>
          <w:bCs/>
        </w:rPr>
        <w:t xml:space="preserve"> i lov nr. 903 af 4. juli 2013 og indsætte de</w:t>
      </w:r>
      <w:r w:rsidR="007867C1">
        <w:rPr>
          <w:bCs/>
        </w:rPr>
        <w:t>n</w:t>
      </w:r>
      <w:r w:rsidRPr="00C73124">
        <w:rPr>
          <w:bCs/>
        </w:rPr>
        <w:t xml:space="preserve"> på ny i dette lovforslag. Fremgangsmåden er valgt, fordi første del af de allerede vedtagne proceslempelser dvs. for 2014, jf. lov nr. 903 af 4. juli 2013</w:t>
      </w:r>
      <w:r w:rsidR="007867C1">
        <w:rPr>
          <w:bCs/>
        </w:rPr>
        <w:t>,</w:t>
      </w:r>
      <w:r w:rsidRPr="00C73124">
        <w:rPr>
          <w:bCs/>
        </w:rPr>
        <w:t xml:space="preserve"> træder i kraft pr. 1. januar 2014. Grundet den sene fremsættelse af dette lovfo</w:t>
      </w:r>
      <w:r>
        <w:rPr>
          <w:bCs/>
        </w:rPr>
        <w:t>rslag i 2013, forventes det</w:t>
      </w:r>
      <w:r w:rsidRPr="00C73124">
        <w:rPr>
          <w:bCs/>
        </w:rPr>
        <w:t xml:space="preserve"> først vedtaget ultimo januar 2014. Den forslåede fremrykning af anden del af proceslempelserne, dvs. fra 2015 til 2014, foreslås dog at få virkning fra 1. januar 2014</w:t>
      </w:r>
      <w:r w:rsidR="00C31688">
        <w:rPr>
          <w:bCs/>
        </w:rPr>
        <w:t>.</w:t>
      </w:r>
    </w:p>
    <w:p w:rsidR="004547AD" w:rsidRPr="00792789" w:rsidRDefault="004547AD" w:rsidP="004547AD">
      <w:pPr>
        <w:rPr>
          <w:bCs/>
        </w:rPr>
      </w:pPr>
    </w:p>
    <w:p w:rsidR="004547AD" w:rsidRPr="00792789" w:rsidRDefault="004547AD" w:rsidP="004547AD">
      <w:pPr>
        <w:rPr>
          <w:bCs/>
        </w:rPr>
      </w:pPr>
      <w:r w:rsidRPr="00792789">
        <w:rPr>
          <w:bCs/>
        </w:rPr>
        <w:t>En godtgørelse, som tager udgangspunkt i energiindholdet, kræver</w:t>
      </w:r>
      <w:r w:rsidR="009A56BA">
        <w:rPr>
          <w:bCs/>
        </w:rPr>
        <w:t>,</w:t>
      </w:r>
      <w:r w:rsidRPr="00792789">
        <w:rPr>
          <w:bCs/>
        </w:rPr>
        <w:t xml:space="preserve"> at godtgørelsesberettigede virksomheder har kendskab til energiindholdet. Denne oplysning er ikke nødvendigvis altid tilgængelig, hvis det f.eks. alene er mængden (Nm3, ton m.v.), som fremgår af fakturaen.</w:t>
      </w:r>
    </w:p>
    <w:p w:rsidR="004547AD" w:rsidRPr="00792789" w:rsidRDefault="004547AD" w:rsidP="004547AD">
      <w:pPr>
        <w:rPr>
          <w:bCs/>
        </w:rPr>
      </w:pPr>
    </w:p>
    <w:p w:rsidR="004547AD" w:rsidRPr="00792789" w:rsidRDefault="004547AD" w:rsidP="004547AD">
      <w:pPr>
        <w:rPr>
          <w:bCs/>
        </w:rPr>
      </w:pPr>
      <w:r w:rsidRPr="00792789">
        <w:rPr>
          <w:bCs/>
        </w:rPr>
        <w:t>Administrativt vil det derfor være nemmere for virksomhederne, hvis godtgørelsen kan beregnes som</w:t>
      </w:r>
      <w:r w:rsidR="009D63D3">
        <w:rPr>
          <w:bCs/>
        </w:rPr>
        <w:t xml:space="preserve"> en</w:t>
      </w:r>
      <w:r w:rsidRPr="00792789">
        <w:rPr>
          <w:bCs/>
        </w:rPr>
        <w:t xml:space="preserve"> fast procent af det samlede afgiftsbeløb for den godtgørelsesberettigede andel.</w:t>
      </w:r>
    </w:p>
    <w:p w:rsidR="004547AD" w:rsidRPr="00792789" w:rsidRDefault="004547AD" w:rsidP="004547AD">
      <w:pPr>
        <w:rPr>
          <w:bCs/>
        </w:rPr>
      </w:pPr>
    </w:p>
    <w:p w:rsidR="004547AD" w:rsidRPr="00792789" w:rsidRDefault="000C2D8E" w:rsidP="004547AD">
      <w:pPr>
        <w:rPr>
          <w:bCs/>
        </w:rPr>
      </w:pPr>
      <w:r>
        <w:rPr>
          <w:bCs/>
        </w:rPr>
        <w:t xml:space="preserve">I overensstemmelse med de regler, der blev vedtaget med </w:t>
      </w:r>
      <w:r w:rsidRPr="00C73124">
        <w:rPr>
          <w:bCs/>
        </w:rPr>
        <w:t>lov nr. 903 af 4. juli 2013</w:t>
      </w:r>
      <w:r>
        <w:rPr>
          <w:bCs/>
        </w:rPr>
        <w:t>, foreslås det</w:t>
      </w:r>
      <w:r w:rsidR="004547AD" w:rsidRPr="00792789">
        <w:rPr>
          <w:bCs/>
        </w:rPr>
        <w:t>, at der også er mulighed for at beregne godtgørelse som en fast procent af det samlede afgiftsbeløb for den godtgørelsesberettigede andel.</w:t>
      </w:r>
    </w:p>
    <w:p w:rsidR="004547AD" w:rsidRPr="00792789" w:rsidRDefault="004547AD" w:rsidP="004547AD">
      <w:pPr>
        <w:rPr>
          <w:bCs/>
        </w:rPr>
      </w:pPr>
    </w:p>
    <w:p w:rsidR="004547AD" w:rsidRPr="00792789" w:rsidRDefault="00487321" w:rsidP="004547AD">
      <w:pPr>
        <w:rPr>
          <w:bCs/>
        </w:rPr>
      </w:pPr>
      <w:r>
        <w:rPr>
          <w:bCs/>
        </w:rPr>
        <w:t>Da</w:t>
      </w:r>
      <w:r w:rsidR="004547AD" w:rsidRPr="00792789">
        <w:rPr>
          <w:bCs/>
        </w:rPr>
        <w:t xml:space="preserve"> afgiftssatserne årligt indekseres, vil en procentsats tilsvarende skulle reguleres årligt.</w:t>
      </w:r>
    </w:p>
    <w:p w:rsidR="004547AD" w:rsidRPr="00792789" w:rsidRDefault="004547AD" w:rsidP="004547AD">
      <w:pPr>
        <w:rPr>
          <w:bCs/>
        </w:rPr>
      </w:pPr>
    </w:p>
    <w:p w:rsidR="004547AD" w:rsidRDefault="004547AD" w:rsidP="004547AD">
      <w:pPr>
        <w:rPr>
          <w:bCs/>
        </w:rPr>
      </w:pPr>
      <w:r w:rsidRPr="00792789">
        <w:rPr>
          <w:bCs/>
        </w:rPr>
        <w:t>Satsen for den andel</w:t>
      </w:r>
      <w:r w:rsidR="009D63D3">
        <w:rPr>
          <w:bCs/>
        </w:rPr>
        <w:t>,</w:t>
      </w:r>
      <w:r w:rsidRPr="00792789">
        <w:rPr>
          <w:bCs/>
        </w:rPr>
        <w:t xml:space="preserve"> som ikke godtgøres ved brug af energi i forbindelse med elpatronordningen, jf. mineralolieafgiftslovens § 9, stk. 4</w:t>
      </w:r>
      <w:r w:rsidR="009D63D3">
        <w:rPr>
          <w:bCs/>
        </w:rPr>
        <w:t>,</w:t>
      </w:r>
      <w:r w:rsidRPr="00792789">
        <w:rPr>
          <w:bCs/>
        </w:rPr>
        <w:t xml:space="preserve"> indekseres årligt, hvorfor den ønskede procentsats kan beregnes ved at dividere 4,5 kr./GJ med satsen for godtgørelse for elpatronordningen, hvorefter der ganges med 1 divideret med 1,2 for at kalibrere den samlede sats.</w:t>
      </w:r>
    </w:p>
    <w:p w:rsidR="008275FD" w:rsidRDefault="008275FD" w:rsidP="004547AD">
      <w:pPr>
        <w:rPr>
          <w:bCs/>
        </w:rPr>
      </w:pPr>
    </w:p>
    <w:p w:rsidR="004547AD" w:rsidRPr="00792789" w:rsidRDefault="003357D1" w:rsidP="004547AD">
      <w:pPr>
        <w:rPr>
          <w:bCs/>
        </w:rPr>
      </w:pPr>
      <w:r>
        <w:rPr>
          <w:bCs/>
        </w:rPr>
        <w:t>P</w:t>
      </w:r>
      <w:r w:rsidR="004547AD" w:rsidRPr="00792789">
        <w:rPr>
          <w:bCs/>
        </w:rPr>
        <w:t>rocentsats</w:t>
      </w:r>
      <w:r>
        <w:rPr>
          <w:bCs/>
        </w:rPr>
        <w:t>en</w:t>
      </w:r>
      <w:r w:rsidR="004547AD" w:rsidRPr="00792789">
        <w:rPr>
          <w:bCs/>
        </w:rPr>
        <w:t xml:space="preserve"> beregnes årligt som:</w:t>
      </w:r>
    </w:p>
    <w:p w:rsidR="004547AD" w:rsidRPr="00792789" w:rsidRDefault="004547AD" w:rsidP="004547AD">
      <w:pPr>
        <w:rPr>
          <w:bCs/>
        </w:rPr>
      </w:pPr>
    </w:p>
    <w:tbl>
      <w:tblPr>
        <w:tblW w:w="3690" w:type="dxa"/>
        <w:tblCellSpacing w:w="0" w:type="dxa"/>
        <w:tblCellMar>
          <w:top w:w="15" w:type="dxa"/>
          <w:left w:w="0" w:type="dxa"/>
          <w:bottom w:w="15" w:type="dxa"/>
          <w:right w:w="0" w:type="dxa"/>
        </w:tblCellMar>
        <w:tblLook w:val="04A0" w:firstRow="1" w:lastRow="0" w:firstColumn="1" w:lastColumn="0" w:noHBand="0" w:noVBand="1"/>
      </w:tblPr>
      <w:tblGrid>
        <w:gridCol w:w="2982"/>
        <w:gridCol w:w="286"/>
        <w:gridCol w:w="422"/>
      </w:tblGrid>
      <w:tr w:rsidR="004547AD" w:rsidRPr="00792789" w:rsidTr="00D35226">
        <w:trPr>
          <w:tblCellSpacing w:w="0" w:type="dxa"/>
        </w:trPr>
        <w:tc>
          <w:tcPr>
            <w:tcW w:w="2970" w:type="dxa"/>
          </w:tcPr>
          <w:p w:rsidR="004547AD" w:rsidRPr="00792789" w:rsidRDefault="004547AD" w:rsidP="00D35226">
            <w:r w:rsidRPr="00792789">
              <w:t> </w:t>
            </w:r>
          </w:p>
        </w:tc>
        <w:tc>
          <w:tcPr>
            <w:tcW w:w="285" w:type="dxa"/>
          </w:tcPr>
          <w:p w:rsidR="004547AD" w:rsidRPr="00792789" w:rsidRDefault="004547AD" w:rsidP="00D35226">
            <w:r w:rsidRPr="00792789">
              <w:t> </w:t>
            </w:r>
          </w:p>
        </w:tc>
        <w:tc>
          <w:tcPr>
            <w:tcW w:w="420" w:type="dxa"/>
          </w:tcPr>
          <w:p w:rsidR="004547AD" w:rsidRPr="00792789" w:rsidRDefault="004547AD" w:rsidP="00D35226">
            <w:r w:rsidRPr="00792789">
              <w:t> </w:t>
            </w:r>
          </w:p>
        </w:tc>
      </w:tr>
      <w:tr w:rsidR="004547AD" w:rsidRPr="00792789" w:rsidTr="00D35226">
        <w:trPr>
          <w:tblCellSpacing w:w="0" w:type="dxa"/>
        </w:trPr>
        <w:tc>
          <w:tcPr>
            <w:tcW w:w="2970" w:type="dxa"/>
            <w:tcBorders>
              <w:bottom w:val="single" w:sz="8" w:space="0" w:color="000000"/>
            </w:tcBorders>
            <w:vAlign w:val="center"/>
          </w:tcPr>
          <w:p w:rsidR="004547AD" w:rsidRPr="00792789" w:rsidRDefault="004547AD" w:rsidP="00D35226">
            <w:pPr>
              <w:jc w:val="center"/>
            </w:pPr>
            <w:r w:rsidRPr="00792789">
              <w:t>4,5 kr./</w:t>
            </w:r>
            <w:r w:rsidRPr="00792789">
              <w:rPr>
                <w:iCs/>
              </w:rPr>
              <w:t>GJ</w:t>
            </w:r>
          </w:p>
        </w:tc>
        <w:tc>
          <w:tcPr>
            <w:tcW w:w="285" w:type="dxa"/>
            <w:vMerge w:val="restart"/>
            <w:vAlign w:val="center"/>
          </w:tcPr>
          <w:p w:rsidR="004547AD" w:rsidRPr="00792789" w:rsidRDefault="004547AD" w:rsidP="00D35226">
            <w:pPr>
              <w:jc w:val="center"/>
            </w:pPr>
            <w:r w:rsidRPr="00792789">
              <w:t>*</w:t>
            </w:r>
          </w:p>
        </w:tc>
        <w:tc>
          <w:tcPr>
            <w:tcW w:w="420" w:type="dxa"/>
            <w:tcBorders>
              <w:bottom w:val="single" w:sz="8" w:space="0" w:color="000000"/>
            </w:tcBorders>
            <w:vAlign w:val="center"/>
          </w:tcPr>
          <w:p w:rsidR="004547AD" w:rsidRPr="00792789" w:rsidRDefault="004547AD" w:rsidP="00D35226">
            <w:pPr>
              <w:jc w:val="center"/>
            </w:pPr>
            <w:r w:rsidRPr="00792789">
              <w:t>1</w:t>
            </w:r>
          </w:p>
        </w:tc>
      </w:tr>
      <w:tr w:rsidR="004547AD" w:rsidRPr="00792789" w:rsidTr="00D35226">
        <w:trPr>
          <w:tblCellSpacing w:w="0" w:type="dxa"/>
        </w:trPr>
        <w:tc>
          <w:tcPr>
            <w:tcW w:w="2970" w:type="dxa"/>
            <w:tcBorders>
              <w:top w:val="single" w:sz="8" w:space="0" w:color="000000"/>
            </w:tcBorders>
            <w:vAlign w:val="center"/>
          </w:tcPr>
          <w:p w:rsidR="004547AD" w:rsidRPr="00792789" w:rsidRDefault="004547AD" w:rsidP="00D35226">
            <w:pPr>
              <w:jc w:val="center"/>
            </w:pPr>
            <w:r w:rsidRPr="00792789">
              <w:rPr>
                <w:iCs/>
              </w:rPr>
              <w:t>satsen efter</w:t>
            </w:r>
            <w:r w:rsidRPr="00792789">
              <w:t xml:space="preserve"> § 9, stk. 4, 2. pkt.</w:t>
            </w:r>
          </w:p>
        </w:tc>
        <w:tc>
          <w:tcPr>
            <w:tcW w:w="0" w:type="auto"/>
            <w:vMerge/>
            <w:vAlign w:val="center"/>
          </w:tcPr>
          <w:p w:rsidR="004547AD" w:rsidRPr="00792789" w:rsidRDefault="004547AD" w:rsidP="00D35226"/>
        </w:tc>
        <w:tc>
          <w:tcPr>
            <w:tcW w:w="420" w:type="dxa"/>
            <w:tcBorders>
              <w:top w:val="single" w:sz="8" w:space="0" w:color="000000"/>
            </w:tcBorders>
            <w:vAlign w:val="center"/>
          </w:tcPr>
          <w:p w:rsidR="004547AD" w:rsidRPr="00792789" w:rsidRDefault="004547AD" w:rsidP="00D35226">
            <w:pPr>
              <w:jc w:val="center"/>
            </w:pPr>
            <w:r w:rsidRPr="00792789">
              <w:t>1,2</w:t>
            </w:r>
          </w:p>
        </w:tc>
      </w:tr>
      <w:tr w:rsidR="004547AD" w:rsidRPr="00792789" w:rsidTr="00D35226">
        <w:trPr>
          <w:tblCellSpacing w:w="0" w:type="dxa"/>
        </w:trPr>
        <w:tc>
          <w:tcPr>
            <w:tcW w:w="2970" w:type="dxa"/>
          </w:tcPr>
          <w:p w:rsidR="004547AD" w:rsidRPr="00792789" w:rsidRDefault="004547AD" w:rsidP="00D35226">
            <w:r w:rsidRPr="00792789">
              <w:t> </w:t>
            </w:r>
          </w:p>
        </w:tc>
        <w:tc>
          <w:tcPr>
            <w:tcW w:w="285" w:type="dxa"/>
          </w:tcPr>
          <w:p w:rsidR="004547AD" w:rsidRPr="00792789" w:rsidRDefault="004547AD" w:rsidP="00D35226">
            <w:r w:rsidRPr="00792789">
              <w:t> </w:t>
            </w:r>
          </w:p>
        </w:tc>
        <w:tc>
          <w:tcPr>
            <w:tcW w:w="420" w:type="dxa"/>
          </w:tcPr>
          <w:p w:rsidR="004547AD" w:rsidRPr="00792789" w:rsidRDefault="004547AD" w:rsidP="00D35226">
            <w:r w:rsidRPr="00792789">
              <w:t> </w:t>
            </w:r>
          </w:p>
        </w:tc>
      </w:tr>
    </w:tbl>
    <w:p w:rsidR="004547AD" w:rsidRPr="00792789" w:rsidRDefault="004547AD" w:rsidP="004547AD">
      <w:pPr>
        <w:rPr>
          <w:bCs/>
        </w:rPr>
      </w:pPr>
      <w:r w:rsidRPr="00792789">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9"/>
        <w:gridCol w:w="3070"/>
        <w:gridCol w:w="3070"/>
      </w:tblGrid>
      <w:tr w:rsidR="004547AD" w:rsidRPr="00792789" w:rsidTr="00D35226">
        <w:tc>
          <w:tcPr>
            <w:tcW w:w="3069" w:type="dxa"/>
            <w:shd w:val="clear" w:color="auto" w:fill="auto"/>
          </w:tcPr>
          <w:p w:rsidR="004547AD" w:rsidRPr="00792789" w:rsidRDefault="004547AD" w:rsidP="00D35226">
            <w:pPr>
              <w:rPr>
                <w:bCs/>
              </w:rPr>
            </w:pPr>
          </w:p>
        </w:tc>
        <w:tc>
          <w:tcPr>
            <w:tcW w:w="3070" w:type="dxa"/>
            <w:shd w:val="clear" w:color="auto" w:fill="auto"/>
          </w:tcPr>
          <w:p w:rsidR="004547AD" w:rsidRPr="00792789" w:rsidRDefault="004547AD" w:rsidP="00D35226">
            <w:pPr>
              <w:rPr>
                <w:bCs/>
              </w:rPr>
            </w:pPr>
            <w:r w:rsidRPr="00792789">
              <w:rPr>
                <w:bCs/>
              </w:rPr>
              <w:t>Tilbagebetaling efter mineralolieafgiftslovens § 9, stk. 4, 2. pkt.</w:t>
            </w:r>
          </w:p>
        </w:tc>
        <w:tc>
          <w:tcPr>
            <w:tcW w:w="3070" w:type="dxa"/>
            <w:shd w:val="clear" w:color="auto" w:fill="auto"/>
          </w:tcPr>
          <w:p w:rsidR="004547AD" w:rsidRPr="00792789" w:rsidRDefault="004547AD" w:rsidP="00D35226">
            <w:pPr>
              <w:rPr>
                <w:bCs/>
              </w:rPr>
            </w:pPr>
            <w:r w:rsidRPr="00792789">
              <w:rPr>
                <w:bCs/>
              </w:rPr>
              <w:t>Beregnet procentsats</w:t>
            </w:r>
          </w:p>
        </w:tc>
      </w:tr>
      <w:tr w:rsidR="004547AD" w:rsidRPr="00792789" w:rsidTr="00D35226">
        <w:tc>
          <w:tcPr>
            <w:tcW w:w="3069" w:type="dxa"/>
            <w:shd w:val="clear" w:color="auto" w:fill="auto"/>
          </w:tcPr>
          <w:p w:rsidR="004547AD" w:rsidRPr="00792789" w:rsidRDefault="004547AD" w:rsidP="00D35226">
            <w:pPr>
              <w:rPr>
                <w:bCs/>
              </w:rPr>
            </w:pPr>
            <w:r w:rsidRPr="00792789">
              <w:rPr>
                <w:bCs/>
              </w:rPr>
              <w:t>2014</w:t>
            </w:r>
          </w:p>
        </w:tc>
        <w:tc>
          <w:tcPr>
            <w:tcW w:w="3070" w:type="dxa"/>
            <w:shd w:val="clear" w:color="auto" w:fill="auto"/>
          </w:tcPr>
          <w:p w:rsidR="004547AD" w:rsidRPr="00792789" w:rsidRDefault="004547AD" w:rsidP="00D35226">
            <w:pPr>
              <w:rPr>
                <w:bCs/>
              </w:rPr>
            </w:pPr>
            <w:r w:rsidRPr="00792789">
              <w:rPr>
                <w:bCs/>
              </w:rPr>
              <w:t>59,8 kr./GJ</w:t>
            </w:r>
          </w:p>
        </w:tc>
        <w:tc>
          <w:tcPr>
            <w:tcW w:w="3070" w:type="dxa"/>
            <w:shd w:val="clear" w:color="auto" w:fill="auto"/>
          </w:tcPr>
          <w:p w:rsidR="004547AD" w:rsidRPr="00792789" w:rsidRDefault="004547AD" w:rsidP="00D35226">
            <w:pPr>
              <w:rPr>
                <w:bCs/>
              </w:rPr>
            </w:pPr>
            <w:r w:rsidRPr="00792789">
              <w:rPr>
                <w:bCs/>
              </w:rPr>
              <w:t>6,27</w:t>
            </w:r>
          </w:p>
        </w:tc>
      </w:tr>
      <w:tr w:rsidR="004547AD" w:rsidRPr="00792789" w:rsidTr="00D35226">
        <w:tc>
          <w:tcPr>
            <w:tcW w:w="3069" w:type="dxa"/>
            <w:shd w:val="clear" w:color="auto" w:fill="auto"/>
          </w:tcPr>
          <w:p w:rsidR="004547AD" w:rsidRPr="00792789" w:rsidRDefault="004547AD" w:rsidP="00D35226">
            <w:pPr>
              <w:rPr>
                <w:bCs/>
              </w:rPr>
            </w:pPr>
            <w:r w:rsidRPr="00792789">
              <w:rPr>
                <w:bCs/>
              </w:rPr>
              <w:t>2015</w:t>
            </w:r>
          </w:p>
        </w:tc>
        <w:tc>
          <w:tcPr>
            <w:tcW w:w="3070" w:type="dxa"/>
            <w:shd w:val="clear" w:color="auto" w:fill="auto"/>
          </w:tcPr>
          <w:p w:rsidR="004547AD" w:rsidRPr="00792789" w:rsidRDefault="004547AD" w:rsidP="00D35226">
            <w:pPr>
              <w:rPr>
                <w:bCs/>
              </w:rPr>
            </w:pPr>
            <w:r w:rsidRPr="00792789">
              <w:rPr>
                <w:bCs/>
              </w:rPr>
              <w:t>60,9 kr./GJ</w:t>
            </w:r>
          </w:p>
        </w:tc>
        <w:tc>
          <w:tcPr>
            <w:tcW w:w="3070" w:type="dxa"/>
            <w:shd w:val="clear" w:color="auto" w:fill="auto"/>
          </w:tcPr>
          <w:p w:rsidR="004547AD" w:rsidRPr="00792789" w:rsidRDefault="004547AD" w:rsidP="00D35226">
            <w:pPr>
              <w:rPr>
                <w:bCs/>
              </w:rPr>
            </w:pPr>
            <w:r w:rsidRPr="00792789">
              <w:rPr>
                <w:bCs/>
              </w:rPr>
              <w:t>6,16</w:t>
            </w:r>
          </w:p>
        </w:tc>
      </w:tr>
    </w:tbl>
    <w:p w:rsidR="004547AD" w:rsidRPr="00792789" w:rsidRDefault="004547AD" w:rsidP="004547AD">
      <w:pPr>
        <w:rPr>
          <w:bCs/>
        </w:rPr>
      </w:pPr>
    </w:p>
    <w:p w:rsidR="004547AD" w:rsidRPr="00792789" w:rsidRDefault="004547AD" w:rsidP="004547AD">
      <w:pPr>
        <w:rPr>
          <w:bCs/>
        </w:rPr>
      </w:pPr>
    </w:p>
    <w:p w:rsidR="004547AD" w:rsidRPr="00792789" w:rsidRDefault="004547AD" w:rsidP="004547AD">
      <w:pPr>
        <w:rPr>
          <w:bCs/>
        </w:rPr>
      </w:pPr>
      <w:r w:rsidRPr="00792789">
        <w:rPr>
          <w:bCs/>
        </w:rPr>
        <w:t>I 2014 er energiafgiften 71,8 kr./GJ</w:t>
      </w:r>
      <w:r>
        <w:rPr>
          <w:bCs/>
        </w:rPr>
        <w:t>.</w:t>
      </w:r>
      <w:r w:rsidRPr="00792789">
        <w:rPr>
          <w:bCs/>
        </w:rPr>
        <w:t xml:space="preserve"> 6,27 pct. heraf er 4,50 kr./GJ. I 2015 er energiafgiften 73,1 kr./GJ. 6,16 pct. heraf er 4,50 kr./GJ.</w:t>
      </w:r>
    </w:p>
    <w:p w:rsidR="004547AD" w:rsidRPr="00792789" w:rsidRDefault="004547AD" w:rsidP="004547AD">
      <w:pPr>
        <w:rPr>
          <w:bCs/>
        </w:rPr>
      </w:pPr>
    </w:p>
    <w:p w:rsidR="004547AD" w:rsidRPr="00792789" w:rsidRDefault="004547AD" w:rsidP="004547AD">
      <w:pPr>
        <w:rPr>
          <w:bCs/>
        </w:rPr>
      </w:pPr>
      <w:r w:rsidRPr="00792789">
        <w:rPr>
          <w:bCs/>
        </w:rPr>
        <w:t>Fra 2016 indekseres satsen i lovens § 9, stk. 4</w:t>
      </w:r>
      <w:r w:rsidR="00487321">
        <w:rPr>
          <w:bCs/>
        </w:rPr>
        <w:t>,</w:t>
      </w:r>
      <w:r w:rsidRPr="00792789">
        <w:rPr>
          <w:bCs/>
        </w:rPr>
        <w:t xml:space="preserve"> efter § 32</w:t>
      </w:r>
      <w:r w:rsidR="00487321">
        <w:rPr>
          <w:bCs/>
        </w:rPr>
        <w:t xml:space="preserve"> </w:t>
      </w:r>
      <w:r w:rsidRPr="00792789">
        <w:rPr>
          <w:bCs/>
        </w:rPr>
        <w:t>a i mineralolieafgiftsloven.</w:t>
      </w:r>
    </w:p>
    <w:p w:rsidR="004547AD" w:rsidRPr="00792789" w:rsidRDefault="004547AD" w:rsidP="004547AD">
      <w:pPr>
        <w:rPr>
          <w:bCs/>
        </w:rPr>
      </w:pPr>
    </w:p>
    <w:p w:rsidR="004547AD" w:rsidRPr="00792789" w:rsidRDefault="004547AD" w:rsidP="004547AD">
      <w:pPr>
        <w:rPr>
          <w:bCs/>
        </w:rPr>
      </w:pPr>
      <w:r w:rsidRPr="00792789">
        <w:rPr>
          <w:bCs/>
        </w:rPr>
        <w:t>De årlige procentsatser vil hvert år blive offentliggjort på www.skat.dk.</w:t>
      </w:r>
    </w:p>
    <w:p w:rsidR="00B8643B" w:rsidRDefault="00B8643B" w:rsidP="00B8643B">
      <w:pPr>
        <w:rPr>
          <w:bCs/>
        </w:rPr>
      </w:pPr>
    </w:p>
    <w:p w:rsidR="004547AD" w:rsidRPr="00792789" w:rsidRDefault="004547AD" w:rsidP="004547AD">
      <w:pPr>
        <w:jc w:val="center"/>
        <w:rPr>
          <w:i/>
          <w:iCs/>
        </w:rPr>
      </w:pPr>
      <w:r w:rsidRPr="00792789">
        <w:rPr>
          <w:i/>
          <w:iCs/>
        </w:rPr>
        <w:t>T</w:t>
      </w:r>
      <w:r>
        <w:rPr>
          <w:i/>
          <w:iCs/>
        </w:rPr>
        <w:t>il § 7</w:t>
      </w:r>
    </w:p>
    <w:p w:rsidR="004547AD" w:rsidRPr="00792789" w:rsidRDefault="004547AD" w:rsidP="004547AD">
      <w:pPr>
        <w:rPr>
          <w:iCs/>
        </w:rPr>
      </w:pPr>
      <w:r w:rsidRPr="00792789">
        <w:rPr>
          <w:iCs/>
        </w:rPr>
        <w:t>Til nr. 1 og 2</w:t>
      </w:r>
    </w:p>
    <w:p w:rsidR="004547AD" w:rsidRPr="00792789" w:rsidRDefault="004547AD" w:rsidP="004547AD">
      <w:pPr>
        <w:rPr>
          <w:iCs/>
        </w:rPr>
      </w:pPr>
      <w:r w:rsidRPr="00792789">
        <w:rPr>
          <w:iCs/>
        </w:rPr>
        <w:t xml:space="preserve">Ved lov nr. 789 af 28. juni 2013, som er en del af </w:t>
      </w:r>
      <w:r w:rsidRPr="00792789">
        <w:rPr>
          <w:i/>
          <w:iCs/>
        </w:rPr>
        <w:t>Vækstplan</w:t>
      </w:r>
      <w:r w:rsidR="00756743">
        <w:rPr>
          <w:i/>
          <w:iCs/>
        </w:rPr>
        <w:t xml:space="preserve"> DK</w:t>
      </w:r>
      <w:r w:rsidRPr="00792789">
        <w:rPr>
          <w:iCs/>
        </w:rPr>
        <w:t xml:space="preserve">, blev den vægtbaserede emballageafgift afskaffet med virkning fra 1. januar 2015. </w:t>
      </w:r>
    </w:p>
    <w:p w:rsidR="004547AD" w:rsidRPr="00792789" w:rsidRDefault="004547AD" w:rsidP="004547AD">
      <w:pPr>
        <w:rPr>
          <w:iCs/>
        </w:rPr>
      </w:pPr>
    </w:p>
    <w:p w:rsidR="004547AD" w:rsidRPr="00792789" w:rsidRDefault="004547AD" w:rsidP="004547AD">
      <w:pPr>
        <w:rPr>
          <w:iCs/>
        </w:rPr>
      </w:pPr>
      <w:r w:rsidRPr="00792789">
        <w:rPr>
          <w:iCs/>
        </w:rPr>
        <w:t xml:space="preserve">Afskaffelsen af emballageafgiften havde til formål at reducere virksomhedernes produktionsomkostninger samt sikre betydelige lettelser af virksomhedernes administrative byrder. </w:t>
      </w:r>
    </w:p>
    <w:p w:rsidR="004547AD" w:rsidRPr="00792789" w:rsidRDefault="004547AD" w:rsidP="004547AD">
      <w:pPr>
        <w:rPr>
          <w:iCs/>
        </w:rPr>
      </w:pPr>
    </w:p>
    <w:p w:rsidR="004547AD" w:rsidRPr="00792789" w:rsidRDefault="004547AD" w:rsidP="004547AD">
      <w:pPr>
        <w:rPr>
          <w:iCs/>
        </w:rPr>
      </w:pPr>
      <w:r w:rsidRPr="00792789">
        <w:rPr>
          <w:iCs/>
        </w:rPr>
        <w:t xml:space="preserve">Det foreslås at fremrykke afskaffelsen af den vægtbaserede emballageafgift med virkning fra 1. januar 2014. </w:t>
      </w:r>
    </w:p>
    <w:p w:rsidR="004547AD" w:rsidRPr="00792789" w:rsidRDefault="004547AD" w:rsidP="004547AD">
      <w:pPr>
        <w:rPr>
          <w:iCs/>
        </w:rPr>
      </w:pPr>
    </w:p>
    <w:p w:rsidR="004547AD" w:rsidRPr="00792789" w:rsidRDefault="004547AD" w:rsidP="004547AD">
      <w:pPr>
        <w:rPr>
          <w:iCs/>
        </w:rPr>
      </w:pPr>
      <w:r w:rsidRPr="00792789">
        <w:rPr>
          <w:iCs/>
        </w:rPr>
        <w:t xml:space="preserve">Grundet den sene fremsættelse i 2013 når dette lovforslag ikke at blive vedtaget og stadfæstet inden den 1. januar 2014. Det foreslås derfor, at afskaffelsen af den vægtbaserede emballageafgift træder i kraft den 31. januar 2014, og samtidig at ændringerne får virkning fra 1. januar 2014. Ændringerne, der er begunstigende for virksomhederne, får således tilbagevirkende kraft. </w:t>
      </w:r>
    </w:p>
    <w:p w:rsidR="004547AD" w:rsidRPr="00792789" w:rsidRDefault="004547AD" w:rsidP="004547AD">
      <w:pPr>
        <w:rPr>
          <w:iCs/>
        </w:rPr>
      </w:pPr>
    </w:p>
    <w:p w:rsidR="004547AD" w:rsidRPr="00792789" w:rsidRDefault="004547AD" w:rsidP="004547AD">
      <w:pPr>
        <w:rPr>
          <w:iCs/>
        </w:rPr>
      </w:pPr>
      <w:r w:rsidRPr="00792789">
        <w:rPr>
          <w:iCs/>
        </w:rPr>
        <w:t xml:space="preserve">Når loven er trådt i kraft, betyder det, at virksomheder, der </w:t>
      </w:r>
      <w:r w:rsidR="007E49D8">
        <w:rPr>
          <w:iCs/>
        </w:rPr>
        <w:t>importerer eller påfylder</w:t>
      </w:r>
      <w:r w:rsidR="007E49D8" w:rsidRPr="00792789">
        <w:rPr>
          <w:iCs/>
        </w:rPr>
        <w:t xml:space="preserve"> </w:t>
      </w:r>
      <w:r w:rsidRPr="00792789">
        <w:rPr>
          <w:iCs/>
        </w:rPr>
        <w:t xml:space="preserve">emballager </w:t>
      </w:r>
      <w:r w:rsidR="007E49D8">
        <w:rPr>
          <w:iCs/>
        </w:rPr>
        <w:t xml:space="preserve">med </w:t>
      </w:r>
      <w:r w:rsidRPr="00792789">
        <w:rPr>
          <w:iCs/>
        </w:rPr>
        <w:t>de omfattede varegrupper, f.eks. forskellige mejeriprodukter, sennep, sæbe m.v.,</w:t>
      </w:r>
      <w:r w:rsidR="00487321" w:rsidRPr="00487321">
        <w:rPr>
          <w:iCs/>
        </w:rPr>
        <w:t xml:space="preserve"> </w:t>
      </w:r>
      <w:r w:rsidR="00487321" w:rsidRPr="00792789">
        <w:rPr>
          <w:iCs/>
        </w:rPr>
        <w:t>ikke</w:t>
      </w:r>
      <w:r w:rsidRPr="00792789">
        <w:rPr>
          <w:iCs/>
        </w:rPr>
        <w:t xml:space="preserve"> skal betale emballageafgift af de varer, som de sælger (udleverer) til detailhandlen m.v. fra 1. januar 2014. Virksomheder, der importerer emballager, som indeholder de pågældende varekategorier fra udlandet, </w:t>
      </w:r>
      <w:r w:rsidR="009D63D3">
        <w:rPr>
          <w:iCs/>
        </w:rPr>
        <w:t>skal</w:t>
      </w:r>
      <w:r w:rsidR="00487321" w:rsidRPr="00487321">
        <w:rPr>
          <w:iCs/>
        </w:rPr>
        <w:t xml:space="preserve"> </w:t>
      </w:r>
      <w:r w:rsidR="00487321" w:rsidRPr="00792789">
        <w:rPr>
          <w:iCs/>
        </w:rPr>
        <w:t>ikke</w:t>
      </w:r>
      <w:r w:rsidRPr="00792789">
        <w:rPr>
          <w:iCs/>
        </w:rPr>
        <w:t xml:space="preserve"> betale emballageafgift af de emballager, de modtager fra udlandet fra 1. januar 2014. </w:t>
      </w:r>
    </w:p>
    <w:p w:rsidR="004547AD" w:rsidRPr="00792789" w:rsidRDefault="004547AD" w:rsidP="004547AD">
      <w:pPr>
        <w:rPr>
          <w:iCs/>
        </w:rPr>
      </w:pPr>
    </w:p>
    <w:p w:rsidR="004547AD" w:rsidRPr="00792789" w:rsidRDefault="004547AD" w:rsidP="004547AD">
      <w:pPr>
        <w:rPr>
          <w:iCs/>
        </w:rPr>
      </w:pPr>
      <w:r w:rsidRPr="00792789">
        <w:rPr>
          <w:iCs/>
        </w:rPr>
        <w:t xml:space="preserve">Afgiftsperioden efter emballageafgiftslovens § 4, stk. 2, er måneden, dvs. i dette tilfælde januar måned 2014. Angivelse og indbetaling sker som alt overvejende hovedregel efter udløbet af hver afgiftsperiode. Virksomheder omfattet af disse regler vil således ikke efter lovens </w:t>
      </w:r>
      <w:r w:rsidR="00E4455A">
        <w:rPr>
          <w:iCs/>
        </w:rPr>
        <w:t>ikrafttrædelse</w:t>
      </w:r>
      <w:r w:rsidR="00487321">
        <w:rPr>
          <w:iCs/>
        </w:rPr>
        <w:t>, der forventes at blive ultimo januar 2014,</w:t>
      </w:r>
      <w:r w:rsidR="00EF710A">
        <w:rPr>
          <w:iCs/>
        </w:rPr>
        <w:t xml:space="preserve"> skulle angive og indbetale det afgiftspligtige beløb for januar 2014 til den sædvanlige frist, dvs. </w:t>
      </w:r>
      <w:r w:rsidRPr="00792789">
        <w:rPr>
          <w:iCs/>
        </w:rPr>
        <w:t xml:space="preserve"> februar 2014</w:t>
      </w:r>
      <w:r w:rsidR="00EF710A">
        <w:rPr>
          <w:iCs/>
        </w:rPr>
        <w:t xml:space="preserve">, idet de foreslåede ændringer får tilbagevirkende kraft </w:t>
      </w:r>
      <w:r w:rsidR="00CB6A95">
        <w:rPr>
          <w:iCs/>
        </w:rPr>
        <w:t xml:space="preserve">til </w:t>
      </w:r>
      <w:r w:rsidR="00EF710A">
        <w:rPr>
          <w:iCs/>
        </w:rPr>
        <w:t>1. januar 2014.</w:t>
      </w:r>
    </w:p>
    <w:p w:rsidR="004547AD" w:rsidRPr="00792789" w:rsidRDefault="004547AD" w:rsidP="004547AD">
      <w:pPr>
        <w:rPr>
          <w:iCs/>
        </w:rPr>
      </w:pPr>
    </w:p>
    <w:p w:rsidR="004547AD" w:rsidRPr="00792789" w:rsidRDefault="004547AD" w:rsidP="004547AD">
      <w:pPr>
        <w:rPr>
          <w:iCs/>
        </w:rPr>
      </w:pPr>
      <w:r w:rsidRPr="00792789">
        <w:rPr>
          <w:iCs/>
        </w:rPr>
        <w:t>I visse situationer vil angivelse og indbetaling af afgiften ske ved modtagelsen af varerne.  Såfremt modtagelsen og afregningen sker fra 1. januar 2014 og til 3</w:t>
      </w:r>
      <w:r w:rsidR="00EA6AAE">
        <w:rPr>
          <w:iCs/>
        </w:rPr>
        <w:t>0</w:t>
      </w:r>
      <w:r w:rsidRPr="00792789">
        <w:rPr>
          <w:iCs/>
        </w:rPr>
        <w:t>. januar 2014, hvor den</w:t>
      </w:r>
      <w:r w:rsidR="00B605CA">
        <w:rPr>
          <w:iCs/>
        </w:rPr>
        <w:t>ne</w:t>
      </w:r>
      <w:r w:rsidRPr="00792789">
        <w:rPr>
          <w:iCs/>
        </w:rPr>
        <w:t xml:space="preserve"> foreslåede lovændring træder i kraft, vil der </w:t>
      </w:r>
      <w:r w:rsidR="00B605CA">
        <w:rPr>
          <w:iCs/>
        </w:rPr>
        <w:t xml:space="preserve">efter lovens ikrafttræden </w:t>
      </w:r>
      <w:r w:rsidRPr="00792789">
        <w:rPr>
          <w:iCs/>
        </w:rPr>
        <w:t xml:space="preserve">ske modregning efter gældende regler herom, dvs. efter reglerne for en skattekonto. </w:t>
      </w:r>
      <w:r>
        <w:rPr>
          <w:iCs/>
        </w:rPr>
        <w:t xml:space="preserve">SKAT vil </w:t>
      </w:r>
      <w:r w:rsidR="00820842">
        <w:rPr>
          <w:iCs/>
        </w:rPr>
        <w:t xml:space="preserve">efter lovens ikrafttræden </w:t>
      </w:r>
      <w:r>
        <w:rPr>
          <w:iCs/>
        </w:rPr>
        <w:t>foretage en udsøgning af de relevante virksomheder</w:t>
      </w:r>
      <w:r w:rsidR="00820842">
        <w:rPr>
          <w:iCs/>
        </w:rPr>
        <w:t>, og sørge for en tilbagebetaling af afgiften</w:t>
      </w:r>
      <w:r>
        <w:rPr>
          <w:iCs/>
        </w:rPr>
        <w:t xml:space="preserve">. </w:t>
      </w:r>
      <w:r w:rsidRPr="00792789">
        <w:rPr>
          <w:iCs/>
        </w:rPr>
        <w:t>Dette drejer sig eksempelvis om virksomheder, der lejlighedsvist køber emballageafgiftspligtige varer fra udlandet uden afgift, og som ikke samtidig er registreret som oplagshaver eller varemodtager for punktafgiften.</w:t>
      </w:r>
      <w:r>
        <w:rPr>
          <w:iCs/>
        </w:rPr>
        <w:t xml:space="preserve"> </w:t>
      </w:r>
    </w:p>
    <w:p w:rsidR="004547AD" w:rsidRPr="00792789" w:rsidRDefault="004547AD" w:rsidP="004547AD">
      <w:pPr>
        <w:rPr>
          <w:iCs/>
        </w:rPr>
      </w:pPr>
    </w:p>
    <w:p w:rsidR="004547AD" w:rsidRPr="00792789" w:rsidRDefault="004547AD" w:rsidP="004547AD">
      <w:pPr>
        <w:rPr>
          <w:iCs/>
        </w:rPr>
      </w:pPr>
      <w:r w:rsidRPr="00792789">
        <w:rPr>
          <w:iCs/>
        </w:rPr>
        <w:t>Virksomhederne vil således allerede fra 2014 opnå en reduktion i produktionsomkostningerne samt administrative lettelser.</w:t>
      </w:r>
    </w:p>
    <w:p w:rsidR="004547AD" w:rsidRPr="00792789" w:rsidRDefault="004547AD" w:rsidP="004547AD">
      <w:pPr>
        <w:rPr>
          <w:iCs/>
        </w:rPr>
      </w:pPr>
    </w:p>
    <w:p w:rsidR="00B8643B" w:rsidRPr="003F7CA5" w:rsidRDefault="003F7CA5" w:rsidP="003F7CA5">
      <w:pPr>
        <w:jc w:val="center"/>
        <w:rPr>
          <w:bCs/>
          <w:i/>
        </w:rPr>
      </w:pPr>
      <w:r w:rsidRPr="003F7CA5">
        <w:rPr>
          <w:bCs/>
          <w:i/>
        </w:rPr>
        <w:t>Til § 8</w:t>
      </w:r>
    </w:p>
    <w:p w:rsidR="005813B7" w:rsidRDefault="00844CA9" w:rsidP="00376FD2">
      <w:pPr>
        <w:rPr>
          <w:bCs/>
        </w:rPr>
      </w:pPr>
      <w:r w:rsidRPr="00844CA9">
        <w:rPr>
          <w:bCs/>
        </w:rPr>
        <w:t>Til nr. 1</w:t>
      </w:r>
    </w:p>
    <w:p w:rsidR="00A603C9" w:rsidRDefault="00A603C9" w:rsidP="00376FD2">
      <w:pPr>
        <w:rPr>
          <w:bCs/>
        </w:rPr>
      </w:pPr>
      <w:r>
        <w:rPr>
          <w:bCs/>
        </w:rPr>
        <w:t>Det foreslås, at virkningstidspunktet fremrykkes fra indkomståret 2015 til indkomståret 2014 for de regler om at hæve den øvre grænse for skattekreditter for forskning- og udviklingsaktiviteter, som er indført ved § 1 i lov nr. 791 af 28. juni 2013 om ændring af ligningsloven og kildeskatteloven (Genindførelse og udvidelse af boligjobordningen og udvidelse af ordningen om skattekreditter for forsknings- og udviklingsaktiviteter).</w:t>
      </w:r>
    </w:p>
    <w:p w:rsidR="00A603C9" w:rsidRDefault="00A603C9" w:rsidP="00376FD2">
      <w:pPr>
        <w:rPr>
          <w:bCs/>
        </w:rPr>
      </w:pPr>
    </w:p>
    <w:p w:rsidR="00154EC4" w:rsidRDefault="00154EC4" w:rsidP="00376FD2">
      <w:pPr>
        <w:rPr>
          <w:bCs/>
        </w:rPr>
      </w:pPr>
      <w:r>
        <w:rPr>
          <w:bCs/>
        </w:rPr>
        <w:t>Disse regler findes i ligningslovens § 8 X, stk. 1, hvorefter den øvre grænse for årlige udbetalinger af skattekreditter til de berørte selskaber m.v. og personer, der driver selvstændig erhvervsvirksomhed i virksomhedsordningen,</w:t>
      </w:r>
      <w:r w:rsidR="009D63D3">
        <w:rPr>
          <w:bCs/>
        </w:rPr>
        <w:t xml:space="preserve"> </w:t>
      </w:r>
      <w:r>
        <w:rPr>
          <w:bCs/>
        </w:rPr>
        <w:t>er skatteværdien af underskud på 25 mio. kr. fra forsknings- og udviklingsaktiviteter.</w:t>
      </w:r>
    </w:p>
    <w:p w:rsidR="00154EC4" w:rsidRDefault="00154EC4" w:rsidP="00376FD2">
      <w:pPr>
        <w:rPr>
          <w:bCs/>
        </w:rPr>
      </w:pPr>
    </w:p>
    <w:p w:rsidR="005813B7" w:rsidRDefault="004B42B3" w:rsidP="00376FD2">
      <w:pPr>
        <w:rPr>
          <w:b/>
          <w:bCs/>
        </w:rPr>
      </w:pPr>
      <w:r>
        <w:rPr>
          <w:bCs/>
        </w:rPr>
        <w:t>Efter bestemmelsen skal procenten ved beregningen af skatteværdien af underskud, der berettiger til skattekreditter, med virkning fra indkomståret 2015 følge den gradvise nedsættelse af selskabsskatteprocenten, som er en del af Aftaler om Vækstplan DK. Det sker ved, at procenten ved beregningen af skatteværdien fastsættes med henvisning til procenten som nævnt i selskabsskattelovens § 17, stk. 1.</w:t>
      </w:r>
      <w:r w:rsidR="00255DF4">
        <w:rPr>
          <w:bCs/>
        </w:rPr>
        <w:t xml:space="preserve"> For indkomståret 2014 vil satsen dog fortsat være på 25 pct.</w:t>
      </w:r>
    </w:p>
    <w:p w:rsidR="00255DF4" w:rsidRDefault="00255DF4" w:rsidP="00376FD2">
      <w:pPr>
        <w:rPr>
          <w:b/>
          <w:bCs/>
        </w:rPr>
      </w:pPr>
    </w:p>
    <w:p w:rsidR="005813B7" w:rsidRPr="005813B7" w:rsidRDefault="005813B7" w:rsidP="005813B7">
      <w:pPr>
        <w:jc w:val="center"/>
        <w:rPr>
          <w:bCs/>
          <w:i/>
        </w:rPr>
      </w:pPr>
      <w:r w:rsidRPr="005813B7">
        <w:rPr>
          <w:bCs/>
          <w:i/>
        </w:rPr>
        <w:t xml:space="preserve">Til § </w:t>
      </w:r>
      <w:r w:rsidR="003F7CA5">
        <w:rPr>
          <w:bCs/>
          <w:i/>
        </w:rPr>
        <w:t>9</w:t>
      </w:r>
    </w:p>
    <w:p w:rsidR="005813B7" w:rsidRDefault="004A16DB" w:rsidP="004A16DB">
      <w:pPr>
        <w:rPr>
          <w:bCs/>
        </w:rPr>
      </w:pPr>
      <w:r w:rsidRPr="004A16DB">
        <w:rPr>
          <w:bCs/>
        </w:rPr>
        <w:t>Til nr. 1</w:t>
      </w:r>
    </w:p>
    <w:p w:rsidR="004A16DB" w:rsidRDefault="00861536" w:rsidP="004A16DB">
      <w:pPr>
        <w:rPr>
          <w:bCs/>
        </w:rPr>
      </w:pPr>
      <w:r>
        <w:rPr>
          <w:bCs/>
        </w:rPr>
        <w:t>Det foreslås, at virkningstidspunktet fremrykkes fra indkomståret 2015 til indkomståret 2014 for de regler om fradrag for udgifter til præmiebetalinger til syge- og arbejdsskadeforsikringer, som er indført ved</w:t>
      </w:r>
      <w:r w:rsidR="00A603C9">
        <w:rPr>
          <w:bCs/>
        </w:rPr>
        <w:t xml:space="preserve"> § 7 i</w:t>
      </w:r>
      <w:r>
        <w:rPr>
          <w:bCs/>
        </w:rPr>
        <w:t xml:space="preserve"> lov nr. 792 af 28. juni 2013 om ændring af selskabsskatteloven, lov om afgift af lønsum m.v., kulbrinteskatteloven og forskellige andre love (Aftaler om Vækstplan DK m.v.</w:t>
      </w:r>
      <w:r w:rsidR="00337258">
        <w:rPr>
          <w:bCs/>
        </w:rPr>
        <w:t xml:space="preserve"> – nedsættelse </w:t>
      </w:r>
      <w:r>
        <w:rPr>
          <w:bCs/>
        </w:rPr>
        <w:t xml:space="preserve">af skattesatsen for selskaber, forhøjelse af lønsumsafgiften for finansielle virksomheder og fastholdelse af selskabsskattesatsen for kulbrinteindkomst m.v.). </w:t>
      </w:r>
    </w:p>
    <w:p w:rsidR="004A16DB" w:rsidRDefault="004A16DB" w:rsidP="004A16DB">
      <w:pPr>
        <w:pStyle w:val="normalind"/>
        <w:spacing w:before="0" w:beforeAutospacing="0" w:after="0" w:afterAutospacing="0"/>
      </w:pPr>
    </w:p>
    <w:p w:rsidR="004A16DB" w:rsidRDefault="002B19D2" w:rsidP="004A16DB">
      <w:pPr>
        <w:pStyle w:val="normalind"/>
        <w:spacing w:before="0" w:beforeAutospacing="0" w:after="0" w:afterAutospacing="0"/>
      </w:pPr>
      <w:r>
        <w:t>D</w:t>
      </w:r>
      <w:r w:rsidR="004A16DB">
        <w:t xml:space="preserve">isse regler </w:t>
      </w:r>
      <w:r>
        <w:t>findes i ligningslovens</w:t>
      </w:r>
      <w:r w:rsidR="004A16DB">
        <w:t xml:space="preserve"> § 13 A</w:t>
      </w:r>
      <w:r>
        <w:t>, hvorefter der</w:t>
      </w:r>
      <w:r w:rsidR="00E46A8D">
        <w:t xml:space="preserve"> fremover</w:t>
      </w:r>
      <w:r>
        <w:t xml:space="preserve"> er fradragsret </w:t>
      </w:r>
      <w:r w:rsidR="004A16DB">
        <w:t>for selvstændig</w:t>
      </w:r>
      <w:r>
        <w:t>t erhvervsdrivendes</w:t>
      </w:r>
      <w:r w:rsidR="004A16DB">
        <w:t xml:space="preserve"> og medarbejdende ægtefællers præmiebetalinger til egne syge og arbejdsskadeforsikringer.</w:t>
      </w:r>
    </w:p>
    <w:p w:rsidR="004A16DB" w:rsidRDefault="004A16DB" w:rsidP="004A16DB">
      <w:pPr>
        <w:pStyle w:val="normalind"/>
        <w:spacing w:before="0" w:beforeAutospacing="0" w:after="0" w:afterAutospacing="0"/>
      </w:pPr>
    </w:p>
    <w:p w:rsidR="004A16DB" w:rsidRDefault="004A16DB" w:rsidP="004A16DB">
      <w:pPr>
        <w:pStyle w:val="normalind"/>
        <w:spacing w:before="0" w:beforeAutospacing="0" w:after="0" w:afterAutospacing="0"/>
      </w:pPr>
      <w:r>
        <w:t xml:space="preserve">Efter </w:t>
      </w:r>
      <w:r w:rsidR="002B19D2">
        <w:t>§ 13 A, stk. 1,</w:t>
      </w:r>
      <w:r>
        <w:t xml:space="preserve"> kan skattepligtige personer, der driver selvstændig erhvervsvirksomhed, ved opgørelsen af den skattepligtige indkomst fradrage udgifter til præmiebetalinger til syge- og arbejdsskadeforsikringer for sig selv og for en ægtefælle, som ikke i overvejende grad driver virksomheden, men som modtager en del af virksomhedens overskud (medarbejdende ægtefælle), jf. kildeskattelovens § 25 A, stk. 3.</w:t>
      </w:r>
    </w:p>
    <w:p w:rsidR="002B19D2" w:rsidRDefault="002B19D2" w:rsidP="004A16DB">
      <w:pPr>
        <w:pStyle w:val="normalind"/>
        <w:spacing w:before="0" w:beforeAutospacing="0" w:after="0" w:afterAutospacing="0"/>
      </w:pPr>
    </w:p>
    <w:p w:rsidR="004A16DB" w:rsidRDefault="004A16DB" w:rsidP="004A16DB">
      <w:pPr>
        <w:pStyle w:val="normalind"/>
        <w:spacing w:before="0" w:beforeAutospacing="0" w:after="0" w:afterAutospacing="0"/>
      </w:pPr>
      <w:r>
        <w:t>Ved en medarbejdende ægtefælle forstås således en medarbejdende ægtefælle i den forstand, som begrebet anvendes efter reglerne i kildeskattelovens § 25 A, stk. 3, om overførsel af virksomhedsoverskud mellem ægtefæller, der begge i væsentligt omfang har deltaget i driften af den ene ægtefælles eller begges erhvervsvirksomhed.</w:t>
      </w:r>
    </w:p>
    <w:p w:rsidR="002B19D2" w:rsidRDefault="002B19D2" w:rsidP="004A16DB">
      <w:pPr>
        <w:pStyle w:val="normalind"/>
        <w:spacing w:before="0" w:beforeAutospacing="0" w:after="0" w:afterAutospacing="0"/>
      </w:pPr>
    </w:p>
    <w:p w:rsidR="004A16DB" w:rsidRDefault="004A16DB" w:rsidP="004A16DB">
      <w:pPr>
        <w:pStyle w:val="normalind"/>
        <w:spacing w:before="0" w:beforeAutospacing="0" w:after="0" w:afterAutospacing="0"/>
      </w:pPr>
      <w:r>
        <w:t>Det er en betingelse for, at den selvstændige kan opnå fradragsret for præmiebetalingerne til den pågældende forsikring, at forsikringen er omfattet af lov om sygedagpenge eller lov om arbejdsskadesikring.</w:t>
      </w:r>
    </w:p>
    <w:p w:rsidR="002B19D2" w:rsidRDefault="002B19D2" w:rsidP="004A16DB">
      <w:pPr>
        <w:pStyle w:val="normalind"/>
        <w:spacing w:before="0" w:beforeAutospacing="0" w:after="0" w:afterAutospacing="0"/>
      </w:pPr>
    </w:p>
    <w:p w:rsidR="004A16DB" w:rsidRDefault="004A16DB" w:rsidP="004A16DB">
      <w:pPr>
        <w:pStyle w:val="normalind"/>
        <w:spacing w:before="0" w:beforeAutospacing="0" w:after="0" w:afterAutospacing="0"/>
      </w:pPr>
      <w:r>
        <w:t xml:space="preserve">Efter § 13 A, stk. 2, finder stk. 1 tilsvarende anvendelse, hvis en medarbejdende ægtefælle selv indbetaler præmierne til sine syge- og arbejdsskadeforsikringer. </w:t>
      </w:r>
      <w:r w:rsidR="00B64864">
        <w:t>E</w:t>
      </w:r>
      <w:r>
        <w:t>n medarbejdende ægtefælles udgifter til præmiebetalinger til de pågældende forsikringer</w:t>
      </w:r>
      <w:r w:rsidR="00B64864">
        <w:t xml:space="preserve"> kan</w:t>
      </w:r>
      <w:r>
        <w:t xml:space="preserve"> efter ægtefællernes valg </w:t>
      </w:r>
      <w:r w:rsidR="00B64864">
        <w:t>f</w:t>
      </w:r>
      <w:r>
        <w:t>radrages ved opgørelsen af den skattepligtige indkomst hos enten den selvstændigt erhvervsdrivende eller hos dennes medarbejdende ægtefælle.</w:t>
      </w:r>
    </w:p>
    <w:p w:rsidR="00B64864" w:rsidRDefault="00B64864" w:rsidP="004A16DB">
      <w:pPr>
        <w:pStyle w:val="normalind"/>
        <w:spacing w:before="0" w:beforeAutospacing="0" w:after="0" w:afterAutospacing="0"/>
      </w:pPr>
    </w:p>
    <w:p w:rsidR="00D8019A" w:rsidRPr="00D8019A" w:rsidRDefault="00D8019A" w:rsidP="00D8019A">
      <w:pPr>
        <w:jc w:val="center"/>
        <w:rPr>
          <w:bCs/>
          <w:i/>
        </w:rPr>
      </w:pPr>
      <w:r w:rsidRPr="00D8019A">
        <w:rPr>
          <w:bCs/>
          <w:i/>
        </w:rPr>
        <w:t xml:space="preserve">Til § </w:t>
      </w:r>
      <w:r w:rsidR="003F7CA5">
        <w:rPr>
          <w:bCs/>
          <w:i/>
        </w:rPr>
        <w:t>10</w:t>
      </w:r>
    </w:p>
    <w:p w:rsidR="00647140" w:rsidRPr="00792789" w:rsidRDefault="00647140" w:rsidP="00647140">
      <w:pPr>
        <w:rPr>
          <w:iCs/>
        </w:rPr>
      </w:pPr>
      <w:r>
        <w:rPr>
          <w:iCs/>
        </w:rPr>
        <w:t>Til nr. 1-3</w:t>
      </w:r>
    </w:p>
    <w:p w:rsidR="00647140" w:rsidRPr="00792789" w:rsidRDefault="00647140" w:rsidP="00647140">
      <w:pPr>
        <w:rPr>
          <w:iCs/>
        </w:rPr>
      </w:pPr>
      <w:r w:rsidRPr="00792789">
        <w:rPr>
          <w:iCs/>
        </w:rPr>
        <w:t xml:space="preserve">Ved lov nr. 903 af 4. juli 2013, som var en del af </w:t>
      </w:r>
      <w:r w:rsidRPr="00792789">
        <w:rPr>
          <w:i/>
          <w:iCs/>
        </w:rPr>
        <w:t>Vækstplan</w:t>
      </w:r>
      <w:r w:rsidR="00756743">
        <w:rPr>
          <w:i/>
          <w:iCs/>
        </w:rPr>
        <w:t xml:space="preserve"> DK</w:t>
      </w:r>
      <w:r w:rsidRPr="00792789">
        <w:rPr>
          <w:iCs/>
        </w:rPr>
        <w:t>, blev afgiftslempelserne på erhvervenes forbrug af energi til procesformål fremrykket i to omgange, henholdsvis  2014 og 2015.</w:t>
      </w:r>
    </w:p>
    <w:p w:rsidR="00647140" w:rsidRPr="00792789" w:rsidRDefault="00647140" w:rsidP="00647140">
      <w:pPr>
        <w:rPr>
          <w:iCs/>
        </w:rPr>
      </w:pPr>
    </w:p>
    <w:p w:rsidR="00647140" w:rsidRPr="00792789" w:rsidRDefault="00647140" w:rsidP="00647140">
      <w:pPr>
        <w:rPr>
          <w:iCs/>
        </w:rPr>
      </w:pPr>
      <w:r w:rsidRPr="00792789">
        <w:rPr>
          <w:iCs/>
        </w:rPr>
        <w:t>I dette forslag fremrykkes de samlede proceslempelser</w:t>
      </w:r>
      <w:r>
        <w:rPr>
          <w:iCs/>
        </w:rPr>
        <w:t xml:space="preserve"> til 2014, jf. lovforslagets § </w:t>
      </w:r>
      <w:r w:rsidR="00400118">
        <w:rPr>
          <w:iCs/>
        </w:rPr>
        <w:t>4</w:t>
      </w:r>
      <w:r>
        <w:rPr>
          <w:iCs/>
        </w:rPr>
        <w:t xml:space="preserve">, § </w:t>
      </w:r>
      <w:r w:rsidR="00400118">
        <w:rPr>
          <w:iCs/>
        </w:rPr>
        <w:t>5</w:t>
      </w:r>
      <w:r>
        <w:rPr>
          <w:iCs/>
        </w:rPr>
        <w:t xml:space="preserve"> og § </w:t>
      </w:r>
      <w:r w:rsidR="00400118">
        <w:rPr>
          <w:iCs/>
        </w:rPr>
        <w:t>6</w:t>
      </w:r>
      <w:r w:rsidRPr="00792789">
        <w:rPr>
          <w:iCs/>
        </w:rPr>
        <w:t>. Som en konsekvens heraf foreslås det at ophæve de tidligere vedtagne proceslempelser, jf. lov nr. 903 af 4. juli 2013, for 2015</w:t>
      </w:r>
      <w:r w:rsidR="002B1B59">
        <w:rPr>
          <w:iCs/>
        </w:rPr>
        <w:t>.</w:t>
      </w:r>
      <w:r w:rsidRPr="00792789">
        <w:rPr>
          <w:iCs/>
        </w:rPr>
        <w:t xml:space="preserve"> </w:t>
      </w:r>
    </w:p>
    <w:p w:rsidR="00647140" w:rsidRPr="00792789" w:rsidRDefault="00647140" w:rsidP="00647140">
      <w:pPr>
        <w:rPr>
          <w:iCs/>
        </w:rPr>
      </w:pPr>
    </w:p>
    <w:p w:rsidR="00767573" w:rsidRDefault="00647140" w:rsidP="00647140">
      <w:pPr>
        <w:rPr>
          <w:iCs/>
        </w:rPr>
      </w:pPr>
      <w:r w:rsidRPr="00792789">
        <w:rPr>
          <w:iCs/>
        </w:rPr>
        <w:t xml:space="preserve">Proceslempelserne for 2014, som </w:t>
      </w:r>
      <w:r w:rsidR="00B605CA">
        <w:rPr>
          <w:iCs/>
        </w:rPr>
        <w:t xml:space="preserve">blev </w:t>
      </w:r>
      <w:r w:rsidRPr="00792789">
        <w:rPr>
          <w:iCs/>
        </w:rPr>
        <w:t xml:space="preserve">vedtaget ved lov nr. 903 af 4. juli 2013, træder i kraft 1. januar 2014. Det vil sige, at fra 1. januar 2014 og indtil </w:t>
      </w:r>
      <w:r w:rsidR="00B605CA">
        <w:rPr>
          <w:iCs/>
        </w:rPr>
        <w:t>denne lovs</w:t>
      </w:r>
      <w:r w:rsidRPr="00792789">
        <w:rPr>
          <w:iCs/>
        </w:rPr>
        <w:t xml:space="preserve"> forventede ikrafttræden ultimo januar 2014, vil de allerede vedtagne proceslempelser være gældende.  Efter ikrafttrædelsen af </w:t>
      </w:r>
      <w:r w:rsidR="00B605CA">
        <w:rPr>
          <w:iCs/>
        </w:rPr>
        <w:t>denne lov</w:t>
      </w:r>
      <w:r w:rsidRPr="00792789">
        <w:rPr>
          <w:iCs/>
        </w:rPr>
        <w:t xml:space="preserve"> vil de fremrykkede proceslempelser </w:t>
      </w:r>
      <w:r w:rsidR="00B605CA">
        <w:rPr>
          <w:iCs/>
        </w:rPr>
        <w:t xml:space="preserve">have </w:t>
      </w:r>
      <w:r w:rsidRPr="00792789">
        <w:rPr>
          <w:iCs/>
        </w:rPr>
        <w:t>tilbagevirkende kraft fra 1. januar 2014.</w:t>
      </w:r>
    </w:p>
    <w:p w:rsidR="00767573" w:rsidRDefault="00767573" w:rsidP="00647140">
      <w:pPr>
        <w:rPr>
          <w:iCs/>
        </w:rPr>
      </w:pPr>
    </w:p>
    <w:p w:rsidR="00767573" w:rsidRDefault="00767573" w:rsidP="00647140">
      <w:pPr>
        <w:rPr>
          <w:iCs/>
        </w:rPr>
      </w:pPr>
      <w:r>
        <w:rPr>
          <w:iCs/>
        </w:rPr>
        <w:t>Til nr. 4</w:t>
      </w:r>
      <w:r w:rsidR="00D35226">
        <w:rPr>
          <w:iCs/>
        </w:rPr>
        <w:t xml:space="preserve"> og 9</w:t>
      </w:r>
    </w:p>
    <w:p w:rsidR="00D35226" w:rsidRDefault="00D35226" w:rsidP="00D35226">
      <w:pPr>
        <w:rPr>
          <w:b/>
          <w:bCs/>
        </w:rPr>
      </w:pPr>
      <w:r>
        <w:t>Af lovtekniske årsager foreslås det at ophæve de endnu ikke i krafttrådte regler om forhøjelse af grænsen for halvårlig afregning af moms i lov nr. 903 af 4. juli 2013 med henblik på at overføre reglerne til nærværende lovforslag og fremrykke ikrafttrædelsestidspunktet</w:t>
      </w:r>
      <w:r w:rsidR="00B605CA">
        <w:t xml:space="preserve"> for loven</w:t>
      </w:r>
      <w:r>
        <w:t xml:space="preserve">. </w:t>
      </w:r>
    </w:p>
    <w:p w:rsidR="00647140" w:rsidRPr="00792789" w:rsidRDefault="00647140" w:rsidP="00647140">
      <w:pPr>
        <w:rPr>
          <w:iCs/>
        </w:rPr>
      </w:pPr>
    </w:p>
    <w:p w:rsidR="00647140" w:rsidRPr="00792789" w:rsidRDefault="00647140" w:rsidP="00647140">
      <w:pPr>
        <w:rPr>
          <w:iCs/>
        </w:rPr>
      </w:pPr>
      <w:r w:rsidRPr="00792789">
        <w:rPr>
          <w:iCs/>
        </w:rPr>
        <w:t xml:space="preserve">Til nr. </w:t>
      </w:r>
      <w:r w:rsidR="00767573">
        <w:rPr>
          <w:iCs/>
        </w:rPr>
        <w:t>5</w:t>
      </w:r>
      <w:r>
        <w:rPr>
          <w:iCs/>
        </w:rPr>
        <w:t>-</w:t>
      </w:r>
      <w:r w:rsidR="00767573">
        <w:rPr>
          <w:iCs/>
        </w:rPr>
        <w:t>8</w:t>
      </w:r>
    </w:p>
    <w:p w:rsidR="00647140" w:rsidRPr="00792789" w:rsidRDefault="00647140" w:rsidP="00647140">
      <w:pPr>
        <w:rPr>
          <w:iCs/>
        </w:rPr>
      </w:pPr>
      <w:r w:rsidRPr="00792789">
        <w:rPr>
          <w:iCs/>
        </w:rPr>
        <w:t xml:space="preserve">Der er tale om konsekvensrettelser som følge af ophævelsen af de tidligere vedtagene proceslempelser for 2015. I dette lovforslag fremrykkes de samlede proceslempelser til 2014, jf. </w:t>
      </w:r>
      <w:r>
        <w:rPr>
          <w:iCs/>
        </w:rPr>
        <w:t>lovforslagets</w:t>
      </w:r>
      <w:r w:rsidR="004E3EC4">
        <w:rPr>
          <w:iCs/>
        </w:rPr>
        <w:t>§§ 4-6</w:t>
      </w:r>
      <w:r w:rsidRPr="00792789">
        <w:rPr>
          <w:iCs/>
        </w:rPr>
        <w:t>. Der he</w:t>
      </w:r>
      <w:r>
        <w:rPr>
          <w:iCs/>
        </w:rPr>
        <w:t xml:space="preserve">nvises til dette lovforslags § </w:t>
      </w:r>
      <w:r w:rsidR="00400118">
        <w:rPr>
          <w:iCs/>
        </w:rPr>
        <w:t>12</w:t>
      </w:r>
      <w:r w:rsidRPr="00792789">
        <w:rPr>
          <w:iCs/>
        </w:rPr>
        <w:t xml:space="preserve">, stk. </w:t>
      </w:r>
      <w:r w:rsidR="00400118">
        <w:rPr>
          <w:iCs/>
        </w:rPr>
        <w:t>4</w:t>
      </w:r>
      <w:r w:rsidRPr="00792789">
        <w:rPr>
          <w:iCs/>
        </w:rPr>
        <w:t xml:space="preserve"> og </w:t>
      </w:r>
      <w:r w:rsidR="00400118">
        <w:rPr>
          <w:iCs/>
        </w:rPr>
        <w:t>5</w:t>
      </w:r>
      <w:r w:rsidR="00B605CA">
        <w:rPr>
          <w:iCs/>
        </w:rPr>
        <w:t>,</w:t>
      </w:r>
      <w:r w:rsidRPr="00792789">
        <w:rPr>
          <w:iCs/>
        </w:rPr>
        <w:t xml:space="preserve"> vedrørende lignende overgangsbestemmelser. </w:t>
      </w:r>
    </w:p>
    <w:p w:rsidR="005813B7" w:rsidRDefault="005813B7" w:rsidP="00376FD2">
      <w:pPr>
        <w:rPr>
          <w:b/>
          <w:bCs/>
        </w:rPr>
      </w:pPr>
    </w:p>
    <w:p w:rsidR="00D8019A" w:rsidRPr="00D8019A" w:rsidRDefault="00D8019A" w:rsidP="00D8019A">
      <w:pPr>
        <w:jc w:val="center"/>
        <w:rPr>
          <w:bCs/>
          <w:i/>
        </w:rPr>
      </w:pPr>
      <w:r w:rsidRPr="00D8019A">
        <w:rPr>
          <w:bCs/>
          <w:i/>
        </w:rPr>
        <w:t xml:space="preserve">Til § </w:t>
      </w:r>
      <w:r w:rsidR="00D35226">
        <w:rPr>
          <w:bCs/>
          <w:i/>
        </w:rPr>
        <w:t>11</w:t>
      </w:r>
    </w:p>
    <w:p w:rsidR="00376FD2" w:rsidRDefault="00376FD2" w:rsidP="00376FD2">
      <w:r w:rsidRPr="00BC172D">
        <w:t>Til stk. 1</w:t>
      </w:r>
    </w:p>
    <w:p w:rsidR="00525854" w:rsidRDefault="005B7F5F" w:rsidP="00CC2448">
      <w:pPr>
        <w:jc w:val="left"/>
      </w:pPr>
      <w:r>
        <w:t>Det foreslås, at loven træder i kraft dagen efter bekendtgørelsen i Lovtidende, således at ikrafttrædelsestidspunktet ligger så tæt som muligt på de foreslåede fremrykninger af virkningstidspunkter til</w:t>
      </w:r>
      <w:r w:rsidR="00D35226">
        <w:t xml:space="preserve"> henholdsvis fra </w:t>
      </w:r>
      <w:r>
        <w:t>indkomståret 2014</w:t>
      </w:r>
      <w:r w:rsidR="00D35226">
        <w:t xml:space="preserve"> og fra 1. januar 2014</w:t>
      </w:r>
      <w:r>
        <w:t>.</w:t>
      </w:r>
    </w:p>
    <w:p w:rsidR="00525854" w:rsidRDefault="00525854" w:rsidP="00CC2448">
      <w:pPr>
        <w:jc w:val="left"/>
      </w:pPr>
    </w:p>
    <w:p w:rsidR="00525854" w:rsidRDefault="00525854" w:rsidP="00CC2448">
      <w:pPr>
        <w:jc w:val="left"/>
      </w:pPr>
      <w:r>
        <w:t>Bestemmelsen indebærer desuden, at ændringerne i ændringslovene efter lovens §§ 7-10 træder i kraft hurtigst muligt efter lovens stadfæstelse.</w:t>
      </w:r>
    </w:p>
    <w:p w:rsidR="00525854" w:rsidRDefault="00525854" w:rsidP="00CC2448">
      <w:pPr>
        <w:jc w:val="left"/>
      </w:pPr>
    </w:p>
    <w:p w:rsidR="00525854" w:rsidRDefault="00525854" w:rsidP="00CC2448">
      <w:pPr>
        <w:jc w:val="left"/>
      </w:pPr>
      <w:r>
        <w:t>Til stk. 2</w:t>
      </w:r>
    </w:p>
    <w:p w:rsidR="00A37879" w:rsidRPr="000E49FC" w:rsidRDefault="00A37879" w:rsidP="00A37879">
      <w:pPr>
        <w:ind w:right="1"/>
      </w:pPr>
      <w:r w:rsidRPr="000E49FC">
        <w:t>Det foreslås, at de for</w:t>
      </w:r>
      <w:r>
        <w:t>e</w:t>
      </w:r>
      <w:r w:rsidRPr="000E49FC">
        <w:t>slåede forhøjelse</w:t>
      </w:r>
      <w:r>
        <w:t>r</w:t>
      </w:r>
      <w:r w:rsidRPr="000E49FC">
        <w:t xml:space="preserve"> af </w:t>
      </w:r>
      <w:r>
        <w:t xml:space="preserve">det almindelige </w:t>
      </w:r>
      <w:r w:rsidRPr="000E49FC">
        <w:t>beskæftigelsesfradrag</w:t>
      </w:r>
      <w:r>
        <w:t xml:space="preserve"> og det ekstra beskæftigelsesfradrag for enlig</w:t>
      </w:r>
      <w:r w:rsidR="000B0A67">
        <w:t>e</w:t>
      </w:r>
      <w:r>
        <w:t xml:space="preserve"> forsørgere </w:t>
      </w:r>
      <w:r w:rsidRPr="000E49FC">
        <w:t>har virkning fra indkomståret 201</w:t>
      </w:r>
      <w:r>
        <w:t>4. Loven</w:t>
      </w:r>
      <w:r w:rsidRPr="007E3C7B">
        <w:t xml:space="preserve"> træder</w:t>
      </w:r>
      <w:r>
        <w:t xml:space="preserve"> således</w:t>
      </w:r>
      <w:r w:rsidRPr="007E3C7B">
        <w:t xml:space="preserve"> i kraft efter </w:t>
      </w:r>
      <w:r>
        <w:t xml:space="preserve">reglernes </w:t>
      </w:r>
      <w:r w:rsidRPr="007E3C7B">
        <w:t xml:space="preserve">virkningstidspunkt. Da der er tale om et forslag, som indfører højere fradrag, er lovforslagets tilbagevirkende kraft begunstigende for de omfattede personer.   </w:t>
      </w:r>
    </w:p>
    <w:p w:rsidR="00A37879" w:rsidRDefault="00A37879" w:rsidP="00CC2448">
      <w:pPr>
        <w:jc w:val="left"/>
      </w:pPr>
    </w:p>
    <w:p w:rsidR="00A37879" w:rsidRDefault="00A37879" w:rsidP="00CC2448">
      <w:pPr>
        <w:jc w:val="left"/>
      </w:pPr>
      <w:r>
        <w:t>Til stk. 3</w:t>
      </w:r>
    </w:p>
    <w:p w:rsidR="007568A8" w:rsidRDefault="007568A8" w:rsidP="007568A8">
      <w:r>
        <w:t>Det foreslås</w:t>
      </w:r>
      <w:r w:rsidR="000B0A67">
        <w:t>,</w:t>
      </w:r>
      <w:r>
        <w:t xml:space="preserve"> at reglerne om forhøjelse af grænsen for halvårlig afregning af moms skal have virkning for afgiftsperioder, der begynder 1. januar 2014 eller senere. Herved overgår de omfattede virksomheder fra kvartalsvis afregning af moms til halvårlig afregning af moms fra den 1. januar 2014. Det vil sige, at den sidste kvartalsvise afregning af moms for disse virksomheder er afregningen for oktober kvartal 2013, som skal angives og betales senest den 10. februar 2014. Den første gang de omfattede virksomheder skal afregne moms halvårligt er for 1. halvår 2014, hvor momsen skal angives og betales senest den 1. september 2014. </w:t>
      </w:r>
    </w:p>
    <w:p w:rsidR="007568A8" w:rsidRDefault="007568A8" w:rsidP="00CC2448">
      <w:pPr>
        <w:jc w:val="left"/>
      </w:pPr>
    </w:p>
    <w:p w:rsidR="00421944" w:rsidRDefault="00421944" w:rsidP="00421944">
      <w:pPr>
        <w:rPr>
          <w:bCs/>
        </w:rPr>
      </w:pPr>
      <w:r w:rsidRPr="009E5D88">
        <w:rPr>
          <w:bCs/>
        </w:rPr>
        <w:t>Det foreslås</w:t>
      </w:r>
      <w:r w:rsidR="004231C1">
        <w:rPr>
          <w:bCs/>
        </w:rPr>
        <w:t xml:space="preserve"> i </w:t>
      </w:r>
      <w:r w:rsidR="004231C1" w:rsidRPr="00674C8A">
        <w:rPr>
          <w:bCs/>
          <w:i/>
        </w:rPr>
        <w:t>stk. 4</w:t>
      </w:r>
      <w:r w:rsidRPr="009E5D88">
        <w:rPr>
          <w:bCs/>
        </w:rPr>
        <w:t>, at den nye sats for godtgørelse af elafgi</w:t>
      </w:r>
      <w:r w:rsidRPr="00603D58">
        <w:rPr>
          <w:bCs/>
        </w:rPr>
        <w:t xml:space="preserve">ft </w:t>
      </w:r>
      <w:r w:rsidR="00B67435" w:rsidRPr="00603D58">
        <w:rPr>
          <w:rFonts w:eastAsia="Times New Roman" w:cs="Times New Roman"/>
          <w:bCs/>
          <w:szCs w:val="24"/>
        </w:rPr>
        <w:t>ved brug af elektricitet i virksomheder til rumvarme m</w:t>
      </w:r>
      <w:r w:rsidR="00B605CA">
        <w:rPr>
          <w:rFonts w:eastAsia="Times New Roman" w:cs="Times New Roman"/>
          <w:bCs/>
          <w:szCs w:val="24"/>
        </w:rPr>
        <w:t>.</w:t>
      </w:r>
      <w:r w:rsidR="00B67435" w:rsidRPr="00603D58">
        <w:rPr>
          <w:rFonts w:eastAsia="Times New Roman" w:cs="Times New Roman"/>
          <w:bCs/>
          <w:szCs w:val="24"/>
        </w:rPr>
        <w:t xml:space="preserve">v. </w:t>
      </w:r>
      <w:r w:rsidRPr="00603D58">
        <w:rPr>
          <w:bCs/>
        </w:rPr>
        <w:t xml:space="preserve">får virkning fra 1. januar 2014. </w:t>
      </w:r>
      <w:r w:rsidRPr="00603D58">
        <w:rPr>
          <w:iCs/>
        </w:rPr>
        <w:t>Ændringen, der er begunstigende for virksomhederne, får således tilbagevirkende kraft.</w:t>
      </w:r>
    </w:p>
    <w:p w:rsidR="00421944" w:rsidRDefault="00421944" w:rsidP="00421944"/>
    <w:p w:rsidR="00421944" w:rsidRPr="00792789" w:rsidRDefault="00421944" w:rsidP="00421944">
      <w:pPr>
        <w:rPr>
          <w:iCs/>
        </w:rPr>
      </w:pPr>
      <w:r w:rsidRPr="00792789">
        <w:t>Det foreslås</w:t>
      </w:r>
      <w:r>
        <w:t xml:space="preserve"> endvidere</w:t>
      </w:r>
      <w:r w:rsidRPr="00792789">
        <w:t xml:space="preserve">, at fremrykningen af proceslempelserne, jf. forslagets </w:t>
      </w:r>
      <w:r>
        <w:t>§</w:t>
      </w:r>
      <w:r>
        <w:rPr>
          <w:iCs/>
        </w:rPr>
        <w:t>§ 4-6</w:t>
      </w:r>
      <w:r w:rsidR="00B605CA">
        <w:rPr>
          <w:iCs/>
        </w:rPr>
        <w:t>,</w:t>
      </w:r>
      <w:r w:rsidRPr="00792789">
        <w:rPr>
          <w:iCs/>
        </w:rPr>
        <w:t xml:space="preserve"> har virkning fra 1. januar 2014. Ændringerne, der er begunstigende for virksomhederne, får </w:t>
      </w:r>
      <w:r w:rsidR="004B284D">
        <w:rPr>
          <w:iCs/>
        </w:rPr>
        <w:t>ligeledes</w:t>
      </w:r>
      <w:r w:rsidR="004B284D" w:rsidRPr="00792789">
        <w:rPr>
          <w:iCs/>
        </w:rPr>
        <w:t xml:space="preserve"> </w:t>
      </w:r>
      <w:r w:rsidRPr="00792789">
        <w:rPr>
          <w:iCs/>
        </w:rPr>
        <w:t xml:space="preserve">tilbagevirkende kraft. </w:t>
      </w:r>
    </w:p>
    <w:p w:rsidR="00421944" w:rsidRPr="00792789" w:rsidRDefault="00421944" w:rsidP="00421944">
      <w:pPr>
        <w:rPr>
          <w:iCs/>
        </w:rPr>
      </w:pPr>
    </w:p>
    <w:p w:rsidR="00F36D2A" w:rsidRDefault="00421944" w:rsidP="00421944">
      <w:r w:rsidRPr="00792789">
        <w:rPr>
          <w:iCs/>
        </w:rPr>
        <w:t>Dvs. at virksomhederne ved beregning af godtgørelse af energi brugt i januar 2014 ikke skal modregne 9 pct. af den fulde afgift, men alene 4,5 kr./GJ, svarende til 6,27 pct. i 2014.</w:t>
      </w:r>
      <w:r w:rsidR="00F36D2A">
        <w:t xml:space="preserve"> </w:t>
      </w:r>
    </w:p>
    <w:p w:rsidR="007568A8" w:rsidRDefault="007568A8" w:rsidP="00CC2448">
      <w:pPr>
        <w:jc w:val="left"/>
      </w:pPr>
    </w:p>
    <w:p w:rsidR="00421944" w:rsidRPr="00421944" w:rsidRDefault="00421944" w:rsidP="00421944">
      <w:pPr>
        <w:jc w:val="center"/>
        <w:rPr>
          <w:i/>
        </w:rPr>
      </w:pPr>
      <w:r w:rsidRPr="00421944">
        <w:rPr>
          <w:i/>
        </w:rPr>
        <w:t>Til § 12</w:t>
      </w:r>
    </w:p>
    <w:p w:rsidR="00421944" w:rsidRDefault="00421944" w:rsidP="00CC2448">
      <w:pPr>
        <w:jc w:val="left"/>
      </w:pPr>
      <w:r>
        <w:t>Til stk. 1 og 2</w:t>
      </w:r>
    </w:p>
    <w:p w:rsidR="000A1675" w:rsidRDefault="000A1675" w:rsidP="00A37157">
      <w:pPr>
        <w:ind w:right="1"/>
      </w:pPr>
      <w:r w:rsidRPr="00AB2A51">
        <w:t>De foreslåede bestemmelser indebærer, at de økonomiske virkninger</w:t>
      </w:r>
      <w:r>
        <w:t xml:space="preserve"> for den personlige indkomstskat</w:t>
      </w:r>
      <w:r w:rsidRPr="00AB2A51">
        <w:t xml:space="preserve"> for kommunerne og folkekirken af lovforslaget for indkomståret 2014 neutraliseres for så vidt angår de kommuner, der for 2014 </w:t>
      </w:r>
      <w:r>
        <w:t xml:space="preserve">har </w:t>
      </w:r>
      <w:r w:rsidRPr="00AB2A51">
        <w:t>v</w:t>
      </w:r>
      <w:r>
        <w:t>algt</w:t>
      </w:r>
      <w:r w:rsidRPr="00AB2A51">
        <w:t xml:space="preserve"> at budgettere med deres eget skøn over udskrivningsgrundlaget for den personlige indkomstskat.</w:t>
      </w:r>
      <w:r>
        <w:t xml:space="preserve"> Det drejer sig om Århus og Vallensbæk kommuner. </w:t>
      </w:r>
    </w:p>
    <w:p w:rsidR="000A1675" w:rsidRDefault="000A1675" w:rsidP="00A37157">
      <w:pPr>
        <w:ind w:right="1"/>
      </w:pPr>
    </w:p>
    <w:p w:rsidR="000A1675" w:rsidRDefault="000A1675" w:rsidP="00A37157">
      <w:pPr>
        <w:ind w:right="1"/>
      </w:pPr>
      <w:r>
        <w:t>Neutraliseringen sker med baggrund i følgende passus i bloktilskudsaktstykket:</w:t>
      </w:r>
      <w:r w:rsidRPr="00636580">
        <w:rPr>
          <w:rFonts w:ascii="Times New Roman" w:hAnsi="Times New Roman" w:cs="Times New Roman"/>
          <w:szCs w:val="24"/>
          <w:lang w:eastAsia="en-US"/>
        </w:rPr>
        <w:t xml:space="preserve"> </w:t>
      </w:r>
      <w:r>
        <w:rPr>
          <w:rFonts w:ascii="Times New Roman" w:hAnsi="Times New Roman" w:cs="Times New Roman"/>
          <w:szCs w:val="24"/>
          <w:lang w:eastAsia="en-US"/>
        </w:rPr>
        <w:t>”</w:t>
      </w:r>
      <w:r w:rsidRPr="00636580">
        <w:t>Skønnet over udskrivningsgrundlaget i 2014 hviler i øvrigt på en forudsætning om i øvrigt uændret</w:t>
      </w:r>
      <w:r>
        <w:t xml:space="preserve"> </w:t>
      </w:r>
      <w:r w:rsidRPr="00636580">
        <w:t>lovgivning. Ved efterfølgende ændringer heri med virkning for 2014-grundlaget neutraliseres virkningerne</w:t>
      </w:r>
      <w:r>
        <w:t xml:space="preserve"> </w:t>
      </w:r>
      <w:r w:rsidRPr="00636580">
        <w:t>for de selvbudgetterende kommuner.</w:t>
      </w:r>
      <w:r>
        <w:t xml:space="preserve">” (Aktstykke 125, samlingen 2012/13, tiltrådt 28. juni 2013). </w:t>
      </w:r>
    </w:p>
    <w:p w:rsidR="000A1675" w:rsidRDefault="000A1675" w:rsidP="00A37157">
      <w:pPr>
        <w:ind w:right="1"/>
      </w:pPr>
    </w:p>
    <w:p w:rsidR="000A1675" w:rsidRDefault="000A1675" w:rsidP="00A37157">
      <w:pPr>
        <w:ind w:right="1"/>
      </w:pPr>
      <w:r w:rsidRPr="00AB2A51">
        <w:t xml:space="preserve">For </w:t>
      </w:r>
      <w:r>
        <w:t xml:space="preserve">de selvbudgetterende </w:t>
      </w:r>
      <w:r w:rsidRPr="00AB2A51">
        <w:t>kommuner vil efterreguleringen af indkomstskatten, herunder også kirkeskatten for 2014, som opgøres i 2016 og afregnes i 2017, blive korrigeret efter denne bestemmelse.</w:t>
      </w:r>
      <w:r>
        <w:t xml:space="preserve"> </w:t>
      </w:r>
    </w:p>
    <w:p w:rsidR="000A1675" w:rsidRPr="00AB2A51" w:rsidRDefault="000A1675" w:rsidP="00A37157">
      <w:pPr>
        <w:ind w:right="1"/>
      </w:pPr>
    </w:p>
    <w:p w:rsidR="000A1675" w:rsidRDefault="000A1675" w:rsidP="00A37157">
      <w:pPr>
        <w:ind w:right="1"/>
      </w:pPr>
      <w:r w:rsidRPr="00AB2A51">
        <w:t xml:space="preserve">Den foreslåede forhøjelse af </w:t>
      </w:r>
      <w:r>
        <w:t xml:space="preserve">det almindelige </w:t>
      </w:r>
      <w:r w:rsidRPr="00AB2A51">
        <w:t>beskæftigelsesfradrag</w:t>
      </w:r>
      <w:r>
        <w:t xml:space="preserve"> og det ekstra beskæftigelsesfradrag til enlige forsørgere skønnes i 2014 at </w:t>
      </w:r>
      <w:r w:rsidRPr="00AB2A51">
        <w:t>medføre et fald i udskrivningsgrundlaget på ca. 3</w:t>
      </w:r>
      <w:r>
        <w:t>.</w:t>
      </w:r>
      <w:r w:rsidRPr="00AB2A51">
        <w:t>380</w:t>
      </w:r>
      <w:r>
        <w:t xml:space="preserve"> mio</w:t>
      </w:r>
      <w:r w:rsidRPr="00AB2A51">
        <w:t>. kr. i forhold til det</w:t>
      </w:r>
      <w:r>
        <w:t xml:space="preserve"> </w:t>
      </w:r>
      <w:r w:rsidRPr="00AB2A51">
        <w:t xml:space="preserve">udmeldte statsgaranterede udskrivningsgrundlag </w:t>
      </w:r>
      <w:r>
        <w:t xml:space="preserve">til </w:t>
      </w:r>
      <w:r w:rsidRPr="00AB2A51">
        <w:t>kommunerne og folkekirken for 2014.</w:t>
      </w:r>
      <w:r>
        <w:t xml:space="preserve"> Korrektionen af efterreguleringen vil blive foretaget på grundlag af oplysninger i SKAT’s registre.</w:t>
      </w:r>
    </w:p>
    <w:p w:rsidR="000A1675" w:rsidRDefault="000A1675" w:rsidP="00A37157">
      <w:pPr>
        <w:ind w:right="1"/>
      </w:pPr>
    </w:p>
    <w:p w:rsidR="000A1675" w:rsidRPr="0034613C" w:rsidRDefault="000A1675" w:rsidP="00A37157">
      <w:pPr>
        <w:ind w:right="1"/>
      </w:pPr>
      <w:r>
        <w:t xml:space="preserve">Tilsvarende skønnes den fremrykkede ikrafttrædelse af fradraget for selvstændiges </w:t>
      </w:r>
      <w:r w:rsidRPr="0079124B">
        <w:t>præmiebetalinger til syge</w:t>
      </w:r>
      <w:r>
        <w:t xml:space="preserve"> </w:t>
      </w:r>
      <w:r w:rsidRPr="0079124B">
        <w:t>og</w:t>
      </w:r>
      <w:r>
        <w:t xml:space="preserve"> </w:t>
      </w:r>
      <w:r w:rsidRPr="0079124B">
        <w:t>arbejdsskadeforsikringer</w:t>
      </w:r>
      <w:r>
        <w:t xml:space="preserve"> til 2014 at reducere </w:t>
      </w:r>
      <w:r w:rsidRPr="00AB2A51">
        <w:t xml:space="preserve">udskrivningsgrundlaget </w:t>
      </w:r>
      <w:r>
        <w:t xml:space="preserve">med </w:t>
      </w:r>
      <w:r w:rsidRPr="00AB2A51">
        <w:t xml:space="preserve">ca. </w:t>
      </w:r>
      <w:r>
        <w:t>250 mio</w:t>
      </w:r>
      <w:r w:rsidRPr="00AB2A51">
        <w:t>. kr. i forhold til det</w:t>
      </w:r>
      <w:r>
        <w:t xml:space="preserve"> </w:t>
      </w:r>
      <w:r w:rsidRPr="00AB2A51">
        <w:t xml:space="preserve">udmeldte statsgaranterede udskrivningsgrundlag </w:t>
      </w:r>
      <w:r>
        <w:t xml:space="preserve">til </w:t>
      </w:r>
      <w:r w:rsidRPr="00AB2A51">
        <w:t>kommunerne og folkekirken for 2014.</w:t>
      </w:r>
      <w:r>
        <w:t xml:space="preserve"> </w:t>
      </w:r>
      <w:r w:rsidRPr="0034613C">
        <w:t xml:space="preserve">Det er ikke muligt at opgøre de økonomiske konsekvenser af </w:t>
      </w:r>
      <w:r>
        <w:t xml:space="preserve">den fremrykkede ikrafttrædelse af fradraget for selvstændiges </w:t>
      </w:r>
      <w:r w:rsidRPr="0079124B">
        <w:t>præmiebetalinger til syge</w:t>
      </w:r>
      <w:r>
        <w:t xml:space="preserve"> </w:t>
      </w:r>
      <w:r w:rsidRPr="0079124B">
        <w:t>og</w:t>
      </w:r>
      <w:r>
        <w:t xml:space="preserve"> </w:t>
      </w:r>
      <w:r w:rsidRPr="0079124B">
        <w:t>arbejdsskadeforsikringer</w:t>
      </w:r>
      <w:r w:rsidRPr="0034613C">
        <w:t xml:space="preserve"> for de enkelte kommuner. </w:t>
      </w:r>
      <w:r>
        <w:t>For dette element må</w:t>
      </w:r>
      <w:r w:rsidRPr="0034613C">
        <w:t xml:space="preserve"> korrektionen af efterreguleringen derfor opgøres som den enkelte kommunes andel af den skønnede nedsættelse på 250 mio. kr. af det kommunale udskrivningsgrundlag som følge af lovforslaget opgjort i forhold til kommunens andel af det samlede udskrivningsgrundlag for kommuneskat for 2014</w:t>
      </w:r>
      <w:r>
        <w:t>,</w:t>
      </w:r>
      <w:r w:rsidRPr="0034613C">
        <w:t xml:space="preserve"> beregnet på grundlag af de oplysninger, der foreligger pr. 1. maj 2016. Korrektionen for kirkeskat i den selvbudgetterende kommune beregnes på tilsvarende måde.</w:t>
      </w:r>
    </w:p>
    <w:p w:rsidR="00421944" w:rsidRDefault="00421944" w:rsidP="00A37157"/>
    <w:p w:rsidR="00421944" w:rsidRDefault="000A1675" w:rsidP="00A37157">
      <w:r>
        <w:t>Til stk. 3</w:t>
      </w:r>
    </w:p>
    <w:p w:rsidR="000A1675" w:rsidRDefault="000A1675" w:rsidP="00A37157">
      <w:pPr>
        <w:rPr>
          <w:iCs/>
        </w:rPr>
      </w:pPr>
      <w:r>
        <w:rPr>
          <w:iCs/>
        </w:rPr>
        <w:t xml:space="preserve">Virksomheder, der efter forslaget overgår fra kvartalsvis afregning til halvårlig afregning af moms, vil fra SKAT modtage en afgørelse om, at de med virkning for afgiftsperioder, der begynder 1. januar 2014, er overgået til halvårlig afregning af moms. Afgørelserne fra SKAT vil blive udsendt i perioden fra ikrafttrædelsen af lovforslaget og til medio februar 2014. </w:t>
      </w:r>
    </w:p>
    <w:p w:rsidR="000A1675" w:rsidRDefault="000A1675" w:rsidP="00A37157">
      <w:pPr>
        <w:rPr>
          <w:iCs/>
        </w:rPr>
      </w:pPr>
    </w:p>
    <w:p w:rsidR="000A1675" w:rsidRDefault="000A1675" w:rsidP="00A37157">
      <w:pPr>
        <w:rPr>
          <w:iCs/>
        </w:rPr>
      </w:pPr>
      <w:r>
        <w:rPr>
          <w:iCs/>
        </w:rPr>
        <w:t xml:space="preserve">Efter gældende regler kan en virksomhed, der omregistreres til en længere afgiftsperiode, anmode SKAT om at blive på den kortere afgiftsperiode. Det er en betingelse, at anmodningen er fremsat senest 1 måned før ændringen ønskes iværksat. Det er endvidere en betingelse, at virksomheden ikke kan anmode om ændring af afgiftsperioden inden for de følgende to år. Virksomheder, der omregistreres til en kortere afgiftsperiode som følge af faldende momspligtig leverance, modtager afgørelsen om omregistreringen i oktober og november i året før de nye afgiftsperioder skal anvendes. Virksomhederne, der ønsker at blive på den længere afgiftsperiode, skal således senest 1. december anmode SKAT herom. </w:t>
      </w:r>
    </w:p>
    <w:p w:rsidR="000A1675" w:rsidRDefault="000A1675" w:rsidP="00A37157">
      <w:pPr>
        <w:rPr>
          <w:iCs/>
        </w:rPr>
      </w:pPr>
    </w:p>
    <w:p w:rsidR="000A1675" w:rsidRDefault="000A1675" w:rsidP="00A37157">
      <w:pPr>
        <w:rPr>
          <w:iCs/>
        </w:rPr>
      </w:pPr>
      <w:r>
        <w:rPr>
          <w:iCs/>
        </w:rPr>
        <w:t>Lovforslaget forventes vedtaget ultimo januar 2014 og skal have tilbagevirkende kraft til perioder, der begynder 1. januar 2014. Med henblik på at give virksomhederne tid til at anmode om at blive på den kortere afgiftsperiode foreslås indsat en overgangsregel, hvorefter en anmodning om at blive på den kortere afgiftsperiode skal være fremsat senest 1. marts 2014 for at få virkning for afgiftsperioder, der begynder den 1. januar 2014. Hermed har virksomhederne mindst 14 dage til at anmode SKAT om at blive på den kortere afgiftsperiode. Et ønske om at blive på den kortere afgiftsperiode medfører jf. momslovens § 57, skt. 7, at virksomheden ikke kan anmode om ændring af afgiftsperioden inden for de følgende 2 år.</w:t>
      </w:r>
    </w:p>
    <w:p w:rsidR="000A1675" w:rsidRDefault="000A1675" w:rsidP="00A37157"/>
    <w:p w:rsidR="00374EB8" w:rsidRDefault="000A1675" w:rsidP="00A37157">
      <w:pPr>
        <w:rPr>
          <w:rFonts w:eastAsia="Times New Roman" w:cs="Times New Roman"/>
          <w:szCs w:val="24"/>
        </w:rPr>
      </w:pPr>
      <w:r>
        <w:rPr>
          <w:rFonts w:eastAsia="Times New Roman" w:cs="Times New Roman"/>
          <w:szCs w:val="24"/>
        </w:rPr>
        <w:t>Til stk. 4</w:t>
      </w:r>
    </w:p>
    <w:p w:rsidR="00404F0B" w:rsidRPr="00792789" w:rsidRDefault="00404F0B" w:rsidP="00A37157">
      <w:r w:rsidRPr="00792789">
        <w:t>Der foreslås en overgangsbestemmelse for løbende</w:t>
      </w:r>
      <w:r>
        <w:t xml:space="preserve"> leverancer, jf. forslagets §§ 4-6</w:t>
      </w:r>
      <w:r w:rsidRPr="00792789">
        <w:t>, hvor afregningsperioden påbegyndes inden 1. januar 2014 og afsluttes efter dette tidspunkt. Bestemmelserne vedrører ændringerne i energiafgifterne</w:t>
      </w:r>
      <w:r w:rsidR="00FE082F">
        <w:t xml:space="preserve">, og betyder, at loven finder anvendelse på </w:t>
      </w:r>
      <w:r w:rsidR="00FE082F" w:rsidRPr="00FE082F">
        <w:rPr>
          <w:rFonts w:eastAsia="Times New Roman" w:cs="Times New Roman"/>
          <w:iCs/>
          <w:szCs w:val="24"/>
        </w:rPr>
        <w:t>løbende leverancer på en så stor andel af leve</w:t>
      </w:r>
      <w:r w:rsidR="00FE082F">
        <w:rPr>
          <w:rFonts w:eastAsia="Times New Roman" w:cs="Times New Roman"/>
          <w:iCs/>
          <w:szCs w:val="24"/>
        </w:rPr>
        <w:t>rancerne, der er sket</w:t>
      </w:r>
      <w:r w:rsidR="00FE082F" w:rsidRPr="00FE082F">
        <w:rPr>
          <w:rFonts w:eastAsia="Times New Roman" w:cs="Times New Roman"/>
          <w:iCs/>
          <w:szCs w:val="24"/>
        </w:rPr>
        <w:t xml:space="preserve"> fra </w:t>
      </w:r>
      <w:r w:rsidR="00FE082F">
        <w:rPr>
          <w:rFonts w:eastAsia="Times New Roman" w:cs="Times New Roman"/>
          <w:iCs/>
          <w:szCs w:val="24"/>
        </w:rPr>
        <w:t>1. januar 2014</w:t>
      </w:r>
      <w:r w:rsidR="00FE082F" w:rsidRPr="00FE082F">
        <w:rPr>
          <w:rFonts w:eastAsia="Times New Roman" w:cs="Times New Roman"/>
          <w:iCs/>
          <w:szCs w:val="24"/>
        </w:rPr>
        <w:t xml:space="preserve"> og indtil afregningstidspunktet.</w:t>
      </w:r>
    </w:p>
    <w:p w:rsidR="000A1675" w:rsidRDefault="000A1675" w:rsidP="00A37157">
      <w:pPr>
        <w:rPr>
          <w:rFonts w:eastAsia="Times New Roman" w:cs="Times New Roman"/>
          <w:szCs w:val="24"/>
        </w:rPr>
      </w:pPr>
    </w:p>
    <w:p w:rsidR="000A1675" w:rsidRDefault="00404F0B" w:rsidP="00A37157">
      <w:pPr>
        <w:rPr>
          <w:rFonts w:eastAsia="Times New Roman" w:cs="Times New Roman"/>
          <w:szCs w:val="24"/>
        </w:rPr>
      </w:pPr>
      <w:r>
        <w:rPr>
          <w:rFonts w:eastAsia="Times New Roman" w:cs="Times New Roman"/>
          <w:szCs w:val="24"/>
        </w:rPr>
        <w:t>Til stk. 5</w:t>
      </w:r>
    </w:p>
    <w:p w:rsidR="00376FD2" w:rsidRPr="00BC172D" w:rsidRDefault="00603D58" w:rsidP="00674C8A">
      <w:r w:rsidRPr="00603D58">
        <w:t>De foreslåede ændringer vedrørende energiafgift finder anvendelse på energiafgiftspligtige varer, der fra 1. januar 2014 udleveres til forbrug fra registrerede virksomheder efter de relevante afgiftslove, forbruges af sådanne registrerede virksomheder, angives til fortoldning, modtages fra udlandet eller medtages fra udlandet.</w:t>
      </w:r>
      <w:r w:rsidR="00B07CF2">
        <w:t xml:space="preserve"> </w:t>
      </w:r>
      <w:r w:rsidR="00376FD2" w:rsidRPr="00BC172D">
        <w:tab/>
      </w:r>
      <w:r w:rsidR="00376FD2" w:rsidRPr="00BC172D">
        <w:tab/>
      </w:r>
    </w:p>
    <w:p w:rsidR="00376FD2" w:rsidRPr="00BC172D" w:rsidRDefault="00376FD2" w:rsidP="00376FD2">
      <w:pPr>
        <w:ind w:right="1"/>
      </w:pPr>
      <w:r w:rsidRPr="00BC172D">
        <w:rPr>
          <w:b/>
          <w:bCs/>
        </w:rPr>
        <w:br w:type="page"/>
      </w:r>
      <w:r w:rsidRPr="00BC172D" w:rsidDel="00CF4AB4">
        <w:rPr>
          <w:b/>
          <w:bCs/>
        </w:rPr>
        <w:t xml:space="preserve"> </w:t>
      </w:r>
    </w:p>
    <w:p w:rsidR="00376FD2" w:rsidRPr="00912739" w:rsidRDefault="00912739" w:rsidP="00376FD2">
      <w:pPr>
        <w:ind w:right="1"/>
        <w:rPr>
          <w:b/>
        </w:rPr>
      </w:pPr>
      <w:r>
        <w:tab/>
      </w:r>
      <w:r>
        <w:tab/>
      </w:r>
      <w:r>
        <w:tab/>
      </w:r>
      <w:r>
        <w:tab/>
      </w:r>
      <w:r>
        <w:tab/>
      </w:r>
      <w:r>
        <w:tab/>
      </w:r>
      <w:r>
        <w:tab/>
      </w:r>
      <w:r>
        <w:tab/>
      </w:r>
      <w:r>
        <w:tab/>
      </w:r>
      <w:r>
        <w:tab/>
      </w:r>
      <w:r>
        <w:tab/>
      </w:r>
      <w:r w:rsidRPr="00912739">
        <w:rPr>
          <w:b/>
        </w:rPr>
        <w:t>Bilag 2</w:t>
      </w:r>
    </w:p>
    <w:p w:rsidR="00912739" w:rsidRDefault="00912739" w:rsidP="00912739">
      <w:pPr>
        <w:ind w:left="720" w:firstLine="720"/>
        <w:rPr>
          <w:b/>
          <w:bCs/>
        </w:rPr>
      </w:pPr>
    </w:p>
    <w:p w:rsidR="00376FD2" w:rsidRPr="00BC172D" w:rsidRDefault="00912739" w:rsidP="00912739">
      <w:pPr>
        <w:ind w:left="1440" w:firstLine="720"/>
        <w:rPr>
          <w:b/>
          <w:bCs/>
        </w:rPr>
      </w:pPr>
      <w:r>
        <w:rPr>
          <w:b/>
          <w:bCs/>
        </w:rPr>
        <w:t>Lovforslaget sammenholdt med gældende lov</w:t>
      </w:r>
    </w:p>
    <w:p w:rsidR="00376FD2" w:rsidRPr="00BC172D" w:rsidRDefault="00376FD2" w:rsidP="00376FD2"/>
    <w:p w:rsidR="00873C61" w:rsidRPr="00912739" w:rsidRDefault="000747ED" w:rsidP="00376FD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4"/>
        <w:gridCol w:w="4605"/>
      </w:tblGrid>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b/>
                <w:szCs w:val="24"/>
              </w:rPr>
            </w:pPr>
            <w:r w:rsidRPr="00873C61">
              <w:rPr>
                <w:rFonts w:eastAsia="Times New Roman" w:cs="Times New Roman"/>
                <w:bCs/>
                <w:i/>
                <w:szCs w:val="24"/>
              </w:rPr>
              <w:t>Gældende formulering</w:t>
            </w:r>
          </w:p>
        </w:tc>
        <w:tc>
          <w:tcPr>
            <w:tcW w:w="4605"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bCs/>
                <w:i/>
                <w:szCs w:val="24"/>
              </w:rPr>
            </w:pPr>
            <w:r w:rsidRPr="00873C61">
              <w:rPr>
                <w:rFonts w:eastAsia="Times New Roman" w:cs="Times New Roman"/>
                <w:bCs/>
                <w:i/>
                <w:szCs w:val="24"/>
              </w:rPr>
              <w:t>Lovforslaget</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bCs/>
                <w:i/>
                <w:szCs w:val="24"/>
              </w:rPr>
            </w:pPr>
          </w:p>
        </w:tc>
        <w:tc>
          <w:tcPr>
            <w:tcW w:w="4605"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b/>
                <w:bCs/>
                <w:szCs w:val="24"/>
              </w:rPr>
            </w:pPr>
            <w:r w:rsidRPr="00873C61">
              <w:rPr>
                <w:rFonts w:eastAsia="Times New Roman" w:cs="Times New Roman"/>
                <w:b/>
                <w:bCs/>
                <w:szCs w:val="24"/>
              </w:rPr>
              <w:t xml:space="preserve">§ 1 </w:t>
            </w:r>
          </w:p>
          <w:p w:rsidR="00873C61" w:rsidRPr="00873C61" w:rsidRDefault="00873C61" w:rsidP="00873C61">
            <w:pPr>
              <w:widowControl w:val="0"/>
              <w:autoSpaceDE w:val="0"/>
              <w:autoSpaceDN w:val="0"/>
              <w:adjustRightInd w:val="0"/>
              <w:rPr>
                <w:rFonts w:eastAsia="Times New Roman" w:cs="Times New Roman"/>
                <w:bCs/>
                <w:i/>
                <w:szCs w:val="24"/>
              </w:rPr>
            </w:pPr>
            <w:r w:rsidRPr="00873C61">
              <w:rPr>
                <w:rFonts w:eastAsia="Times New Roman" w:cs="Times New Roman"/>
                <w:bCs/>
                <w:szCs w:val="24"/>
              </w:rPr>
              <w:t xml:space="preserve">            I ligningsloven, jf. lovbekendtgørelse nr. 405 af 22. april 2013, som ændret senest ved § 7 i lov nr. 792 af 28. juni 2013, foretages følgende ændringer:</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bCs/>
                <w:szCs w:val="24"/>
              </w:rPr>
            </w:pPr>
            <w:r w:rsidRPr="00873C61">
              <w:rPr>
                <w:rFonts w:eastAsia="Times New Roman" w:cs="Times New Roman"/>
                <w:b/>
                <w:bCs/>
                <w:szCs w:val="24"/>
              </w:rPr>
              <w:t>§ 9 J…</w:t>
            </w:r>
          </w:p>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Stk. 2. For indkomstårene 2010 og 2011 udgør procenten 4,25 og grundbeløbet 13.600 kr. (2010-niveau). For indkomståret 2012 udgør procenten 4,4 og grundbeløbet 14.100 kr. (2010-niveau). For indkomståret 2013 udgør procenten 6,95 og grundbeløbet 22.300 kr. (2010-niveau). For indkomståret 2014 udgør procenten 7,25 og grundbeløbet 23.300 kr. (2010-niveau). For indkomståret 2015 udgør procenten 7,8 og grundbeløbet 25.100 kr. (2010-niveau). For indkomståret 2016 udgør procenten 8,15 og grundbeløbet 26.100 kr. (2010-niveau). For indkomståret 2017 udgør procenten 8,6 og grundbeløbet 27.500 kr. (2010-niveau). For indkomståret 2018 udgør procenten 9,5 og grundbeløbet 30.400 kr. (2010-niveau). For indkomståret 2019 udgør procenten 10,1 og grundbeløbet 32.300 kr. (2010-niveau). For indkomståret 2020 udgør procenten 10,5 og grundbeløbet 33.500 kr. (2010-niveau). For indkomståret 2021 udgør procenten 10,6 og grundbeløbet 33.800 kr. (2010-niveau). For indkomståret 2022 og efterfølgende indkomstår udgør procenten 10,65 og grundbeløbet 34.100 kr. (2010-niveau). Grundbeløbene reguleres efter personskattelovens § 20.</w:t>
            </w:r>
          </w:p>
          <w:p w:rsidR="00873C61" w:rsidRPr="00873C61" w:rsidRDefault="00873C61" w:rsidP="00873C61">
            <w:pPr>
              <w:widowControl w:val="0"/>
              <w:autoSpaceDE w:val="0"/>
              <w:autoSpaceDN w:val="0"/>
              <w:adjustRightInd w:val="0"/>
              <w:jc w:val="left"/>
              <w:rPr>
                <w:rFonts w:eastAsia="Times New Roman" w:cs="Times New Roman"/>
                <w:bCs/>
                <w:szCs w:val="24"/>
              </w:rPr>
            </w:pPr>
          </w:p>
        </w:tc>
        <w:tc>
          <w:tcPr>
            <w:tcW w:w="4605"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
                <w:bCs/>
                <w:szCs w:val="24"/>
              </w:rPr>
              <w:t>1.</w:t>
            </w:r>
            <w:r w:rsidRPr="00873C61">
              <w:rPr>
                <w:rFonts w:eastAsia="Times New Roman" w:cs="Times New Roman"/>
                <w:bCs/>
                <w:szCs w:val="24"/>
              </w:rPr>
              <w:t xml:space="preserve"> </w:t>
            </w:r>
            <w:r w:rsidRPr="00873C61">
              <w:rPr>
                <w:rFonts w:eastAsia="Times New Roman" w:cs="Times New Roman"/>
                <w:bCs/>
                <w:i/>
                <w:szCs w:val="24"/>
              </w:rPr>
              <w:t>§ 9 J, stk. 2, 4.-7. pkt.,</w:t>
            </w:r>
            <w:r w:rsidRPr="00873C61">
              <w:rPr>
                <w:rFonts w:eastAsia="Times New Roman" w:cs="Times New Roman"/>
                <w:bCs/>
                <w:szCs w:val="24"/>
              </w:rPr>
              <w:t xml:space="preserve"> ophæves, og i stedet indsættes:</w:t>
            </w:r>
          </w:p>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 xml:space="preserve"> ”For indkomståret 2014 udgør procenten 7,65 og grundbeløbet 24.500 kr. (2010-niveau). For indkomståret 2015 udgør procenten 8,05 og grundbeløbet 25.900 kr. (2010-niveau). For indkomståret 2016 udgør procenten 8,3 og grundbeløbet 26.700 kr. (2010-niveau). For indkomståret 2017 udgør procenten 8,75 og grundbeløbet 28.000 kr. (2010-niveau).”</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i/>
                <w:szCs w:val="24"/>
              </w:rPr>
              <w:t>Stk. 4.</w:t>
            </w:r>
            <w:r w:rsidRPr="00873C61">
              <w:rPr>
                <w:rFonts w:eastAsia="Times New Roman" w:cs="Times New Roman"/>
                <w:bCs/>
                <w:szCs w:val="24"/>
              </w:rPr>
              <w:t xml:space="preserve"> For indkomståret 2014 udgør procenten 2,6 og grundbeløbet 8.400 kr. (2010-niveau). For indkomståret 2015 udgør procenten 5,4 og grundbeløbet 17.300 kr. (2010-niveau). For indkomståret 2016 udgør procenten 5,6 og grundbeløbet 17.900 kr. (2010-niveau). For indkomståret 2017 udgør procenten 5,75 og grundbeløbet 18.500 kr. (2010-niveau). For indkomståret 2018 udgør procenten 6,0 og grundbeløbet 19.300 kr. (2010-niveau). For indkomståret 2019 og efterfølgende indkomstår udgør procenten 6,25 og grundbeløbet 20.000 kr. (2010-niveau). Grundbeløbene reguleres efter personskattelovens § 20.</w:t>
            </w:r>
          </w:p>
          <w:p w:rsidR="00873C61" w:rsidRPr="00873C61" w:rsidRDefault="00873C61" w:rsidP="00873C61">
            <w:pPr>
              <w:widowControl w:val="0"/>
              <w:autoSpaceDE w:val="0"/>
              <w:autoSpaceDN w:val="0"/>
              <w:adjustRightInd w:val="0"/>
              <w:jc w:val="left"/>
              <w:rPr>
                <w:rFonts w:eastAsia="Times New Roman" w:cs="Times New Roman"/>
                <w:bCs/>
                <w:szCs w:val="24"/>
              </w:rPr>
            </w:pPr>
          </w:p>
        </w:tc>
        <w:tc>
          <w:tcPr>
            <w:tcW w:w="4605"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
                <w:bCs/>
                <w:szCs w:val="24"/>
              </w:rPr>
              <w:t>2.</w:t>
            </w:r>
            <w:r w:rsidRPr="00873C61">
              <w:rPr>
                <w:rFonts w:eastAsia="Times New Roman" w:cs="Times New Roman"/>
                <w:bCs/>
                <w:szCs w:val="24"/>
              </w:rPr>
              <w:t xml:space="preserve"> </w:t>
            </w:r>
            <w:r w:rsidRPr="00873C61">
              <w:rPr>
                <w:rFonts w:eastAsia="Times New Roman" w:cs="Times New Roman"/>
                <w:bCs/>
                <w:i/>
                <w:szCs w:val="24"/>
              </w:rPr>
              <w:t>§ 9 J, stk. 4, 1. og 2. pkt.,</w:t>
            </w:r>
            <w:r w:rsidRPr="00873C61">
              <w:rPr>
                <w:rFonts w:eastAsia="Times New Roman" w:cs="Times New Roman"/>
                <w:bCs/>
                <w:szCs w:val="24"/>
              </w:rPr>
              <w:t xml:space="preserve"> ophæves, og i stedet indsættes:</w:t>
            </w:r>
          </w:p>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”For indkomstårene 2014 og 2015 udgør procenten 5,4 og grundbeløbet 17.300 kr. (2010-niveau).”</w:t>
            </w:r>
          </w:p>
          <w:p w:rsidR="00873C61" w:rsidRPr="00873C61" w:rsidRDefault="00873C61" w:rsidP="00873C61">
            <w:pPr>
              <w:widowControl w:val="0"/>
              <w:autoSpaceDE w:val="0"/>
              <w:autoSpaceDN w:val="0"/>
              <w:adjustRightInd w:val="0"/>
              <w:jc w:val="left"/>
              <w:rPr>
                <w:rFonts w:eastAsia="Times New Roman" w:cs="Times New Roman"/>
                <w:bCs/>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bCs/>
                <w:i/>
                <w:szCs w:val="24"/>
              </w:rPr>
            </w:pPr>
          </w:p>
        </w:tc>
        <w:tc>
          <w:tcPr>
            <w:tcW w:w="4605"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bCs/>
                <w:i/>
                <w:szCs w:val="24"/>
              </w:rPr>
            </w:pPr>
            <w:r w:rsidRPr="00873C61">
              <w:rPr>
                <w:rFonts w:eastAsia="Times New Roman" w:cs="Times New Roman"/>
                <w:b/>
                <w:bCs/>
                <w:szCs w:val="24"/>
              </w:rPr>
              <w:t>§ 2</w:t>
            </w:r>
          </w:p>
          <w:p w:rsidR="00873C61" w:rsidRPr="00873C61" w:rsidRDefault="00873C61" w:rsidP="00873C61">
            <w:pPr>
              <w:widowControl w:val="0"/>
              <w:autoSpaceDE w:val="0"/>
              <w:autoSpaceDN w:val="0"/>
              <w:adjustRightInd w:val="0"/>
              <w:rPr>
                <w:rFonts w:eastAsia="Times New Roman" w:cs="Times New Roman"/>
                <w:bCs/>
                <w:szCs w:val="24"/>
              </w:rPr>
            </w:pPr>
            <w:r w:rsidRPr="00873C61">
              <w:rPr>
                <w:rFonts w:eastAsia="Times New Roman" w:cs="Times New Roman"/>
                <w:bCs/>
                <w:szCs w:val="24"/>
              </w:rPr>
              <w:t xml:space="preserve">       I momsloven, jf. lovbekendtgørelse nr. 106 af 23. januar 2013, som ændret ved § 7 i lov nr. 903 af 4. juli 2013, foretages følgende ændring:</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spacing w:line="276" w:lineRule="auto"/>
              <w:jc w:val="left"/>
              <w:rPr>
                <w:rFonts w:eastAsia="Times New Roman" w:cs="Times New Roman"/>
                <w:b/>
                <w:bCs/>
                <w:szCs w:val="24"/>
              </w:rPr>
            </w:pPr>
            <w:r w:rsidRPr="00873C61">
              <w:rPr>
                <w:rFonts w:eastAsia="Times New Roman" w:cs="Times New Roman"/>
                <w:b/>
                <w:bCs/>
                <w:szCs w:val="24"/>
              </w:rPr>
              <w:t>§ 57….</w:t>
            </w:r>
          </w:p>
          <w:p w:rsidR="00873C61" w:rsidRPr="00873C61" w:rsidRDefault="00873C61" w:rsidP="00873C61">
            <w:pPr>
              <w:widowControl w:val="0"/>
              <w:autoSpaceDE w:val="0"/>
              <w:autoSpaceDN w:val="0"/>
              <w:adjustRightInd w:val="0"/>
              <w:spacing w:line="276" w:lineRule="auto"/>
              <w:jc w:val="left"/>
              <w:rPr>
                <w:rFonts w:eastAsia="Times New Roman" w:cs="Times New Roman"/>
                <w:bCs/>
                <w:szCs w:val="24"/>
              </w:rPr>
            </w:pPr>
            <w:r w:rsidRPr="00873C61">
              <w:rPr>
                <w:rFonts w:eastAsia="Times New Roman" w:cs="Times New Roman"/>
                <w:bCs/>
                <w:i/>
                <w:szCs w:val="24"/>
              </w:rPr>
              <w:t xml:space="preserve">Stk. 3. </w:t>
            </w:r>
            <w:r w:rsidRPr="00873C61">
              <w:rPr>
                <w:rFonts w:eastAsia="Times New Roman" w:cs="Times New Roman"/>
                <w:bCs/>
                <w:szCs w:val="24"/>
              </w:rPr>
              <w:t xml:space="preserve">For virksomheder, hvis samlede afgiftspligtige leverancer overstiger 1 mio. kr. årligt, men udgør højst 15 mio. kr. årligt, er afgiftsperioden kvartalet. Virksomhedens angivelse efter stk. 1 skal foretages senest 1 måned og 10 dage efter afgiftsperiodens udløb. For april kvartal skal virksomhedernes angivelse efter stk. 1 dog foretages senest 1 måned og 17 dage efter afgiftsperiodens udløb. </w:t>
            </w:r>
          </w:p>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i/>
                <w:szCs w:val="24"/>
              </w:rPr>
              <w:t xml:space="preserve">Stk. 4. </w:t>
            </w:r>
            <w:r w:rsidRPr="00873C61">
              <w:rPr>
                <w:rFonts w:eastAsia="Times New Roman" w:cs="Times New Roman"/>
                <w:bCs/>
                <w:szCs w:val="24"/>
              </w:rPr>
              <w:t>For virksomheder, hvis samlede afgiftspligtige leverancer ikke overstiger 1 mio. kr. årligt, er afgiftsperioderne første og anden halvdel af kalenderåret. Virksomhedens angivelse efter stk. 1 skal foretages senest den 1. i den tredje måned efter afgiftsperiodens udløb.</w:t>
            </w:r>
          </w:p>
        </w:tc>
        <w:tc>
          <w:tcPr>
            <w:tcW w:w="4605"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
                <w:bCs/>
                <w:szCs w:val="24"/>
              </w:rPr>
              <w:t>1.</w:t>
            </w:r>
            <w:r w:rsidRPr="00873C61">
              <w:rPr>
                <w:rFonts w:eastAsia="Times New Roman" w:cs="Times New Roman"/>
                <w:bCs/>
                <w:szCs w:val="24"/>
              </w:rPr>
              <w:t xml:space="preserve"> I </w:t>
            </w:r>
            <w:r w:rsidRPr="00873C61">
              <w:rPr>
                <w:rFonts w:eastAsia="Times New Roman" w:cs="Times New Roman"/>
                <w:bCs/>
                <w:i/>
                <w:szCs w:val="24"/>
              </w:rPr>
              <w:t>§ 57, stk. 3, 1. pkt.,</w:t>
            </w:r>
            <w:r w:rsidRPr="00873C61">
              <w:rPr>
                <w:rFonts w:eastAsia="Times New Roman" w:cs="Times New Roman"/>
                <w:bCs/>
                <w:szCs w:val="24"/>
              </w:rPr>
              <w:t xml:space="preserve"> og </w:t>
            </w:r>
            <w:r w:rsidRPr="00873C61">
              <w:rPr>
                <w:rFonts w:eastAsia="Times New Roman" w:cs="Times New Roman"/>
                <w:bCs/>
                <w:i/>
                <w:szCs w:val="24"/>
              </w:rPr>
              <w:t>stk. 4, 1. pkt.,</w:t>
            </w:r>
            <w:r w:rsidRPr="00873C61">
              <w:rPr>
                <w:rFonts w:eastAsia="Times New Roman" w:cs="Times New Roman"/>
                <w:bCs/>
                <w:szCs w:val="24"/>
              </w:rPr>
              <w:t xml:space="preserve"> ændres ”1 mio. kr.” til ”5 mio. kr.”</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bCs/>
                <w:i/>
                <w:szCs w:val="24"/>
              </w:rPr>
            </w:pPr>
          </w:p>
        </w:tc>
        <w:tc>
          <w:tcPr>
            <w:tcW w:w="4605"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b/>
                <w:szCs w:val="24"/>
              </w:rPr>
            </w:pPr>
            <w:r w:rsidRPr="00873C61">
              <w:rPr>
                <w:rFonts w:eastAsia="Times New Roman" w:cs="Times New Roman"/>
                <w:b/>
                <w:szCs w:val="24"/>
              </w:rPr>
              <w:t>§ 3</w:t>
            </w:r>
          </w:p>
          <w:p w:rsidR="00873C61" w:rsidRPr="00873C61" w:rsidRDefault="00873C61" w:rsidP="00873C61">
            <w:pPr>
              <w:widowControl w:val="0"/>
              <w:autoSpaceDE w:val="0"/>
              <w:autoSpaceDN w:val="0"/>
              <w:adjustRightInd w:val="0"/>
              <w:ind w:firstLine="720"/>
              <w:rPr>
                <w:rFonts w:eastAsia="Times New Roman" w:cs="Times New Roman"/>
                <w:szCs w:val="24"/>
              </w:rPr>
            </w:pPr>
            <w:r w:rsidRPr="00873C61">
              <w:rPr>
                <w:rFonts w:eastAsia="Times New Roman" w:cs="Times New Roman"/>
                <w:szCs w:val="24"/>
              </w:rPr>
              <w:t>I lov om afgift af elektricitet, jf. lovbekendtgørelse nr. 310 af 1. april 2011, som ændret bl.a. ved § 1 i lov nr. 722 af 25. juni 2010, § 1 i lov nr. 625 af 14. juni 2011, § 2 i lov nr. 1395 af 23. december 2012, § 4 i lov nr. 789 af 28. juni 2013 og senest ved § 3 i lov nr. 903 af 4. juli 2013, foretages følgende ændring:</w:t>
            </w:r>
          </w:p>
          <w:p w:rsidR="00873C61" w:rsidRPr="00873C61" w:rsidRDefault="00873C61" w:rsidP="00873C61">
            <w:pPr>
              <w:widowControl w:val="0"/>
              <w:autoSpaceDE w:val="0"/>
              <w:autoSpaceDN w:val="0"/>
              <w:adjustRightInd w:val="0"/>
              <w:ind w:firstLine="720"/>
              <w:rPr>
                <w:rFonts w:eastAsia="Times New Roman" w:cs="Times New Roman"/>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bCs/>
                <w:i/>
                <w:szCs w:val="24"/>
              </w:rPr>
            </w:pPr>
            <w:r w:rsidRPr="00873C61">
              <w:rPr>
                <w:rFonts w:eastAsia="Times New Roman" w:cs="Times New Roman"/>
                <w:b/>
                <w:bCs/>
                <w:i/>
                <w:szCs w:val="24"/>
              </w:rPr>
              <w:t xml:space="preserve">§ 11… </w:t>
            </w:r>
          </w:p>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i/>
                <w:szCs w:val="24"/>
              </w:rPr>
              <w:t>Stk.3.</w:t>
            </w:r>
            <w:r w:rsidRPr="00873C61">
              <w:rPr>
                <w:rFonts w:eastAsia="Times New Roman" w:cs="Times New Roman"/>
                <w:bCs/>
                <w:szCs w:val="24"/>
              </w:rPr>
              <w:t xml:space="preserve"> Tilbagebetalingen kan ikke finde sted for afgiftspligtig elektricitet og varme, som forbruges i vandvarmere, varmepumper til opvarmning af brugsvand, elektriske radiatorer, strålevarmeanlæg, varmeblæsere, konvektionsovne, varmepumper og lignende anlæg, der anvendes til fremstilling af rumvarme, herunder varme, som leveres fra virksomheden. Undtaget er dog forbrug af elektricitet i rumvarmeaggregater, der midlertidigt placeres i et lokale for at dække et kortvarigt rumvarmebehov. Endvidere ydes der ikke tilbagebetaling af afgiften af elektricitet og varme, der direkte eller indirekte anvendes til fremstilling af kulde, som leveres fra virksomheden. Tilbagebetaling kan heller ikke finde sted for elektricitet og varme, der direkte eller indirekte anvendes til fremstilling af kulde, eller af kulde leveret til virksomheden til køling af rum, hvor kølingen sker af komfortmæssige hensyn. Tilbagebetaling kan heller ikke finde sted for elektricitet, der er medgået til fremstilling af varme, som er leveret til virksomheden, og som virksomheden forbruger som rumvarme eller varmt vand eller leverer til andre. Der ydes dog tilbagebetaling for afgiften af varme, der forbruges i lukkede anlæg til fremstilling eller forarbejdning af varer, og som indirekte bidrager til rumopvarmning, såfremt højst 10 pct. af den energi, der er forbrugt i anlægget, bidrager til rumopvarmning. For afgiftspligtig elektricitet til formål, som er nævnt i 1., 3. eller 4. pkt., ydes dog tilbagebetaling af afgift nævnt i § 6, stk. 2, med 42,9 øre pr. kWh (2015-niveau), herunder for ydelser omfattet af stk. 2. For modtagelse af leverancer, som er baseret på elektricitet, finder 7. pkt. ikke anvendelse. 7. pkt. finder heller ikke anvendelse for elforbrug, for hvilket der sker tilbagebetaling af afgift efter denne lovs øvrige regler. I perioden 2012-2014 ydes tilbagebetaling efter 7. pkt. med de satser, som fremgår af bilag 3 a. Satsen for tilbagebetaling, som er nævnt i 7. pkt., reguleres efter § 32 a i lov om energiafgift af mineralolieprodukter m.v.</w:t>
            </w:r>
          </w:p>
        </w:tc>
        <w:tc>
          <w:tcPr>
            <w:tcW w:w="4605"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b/>
                <w:szCs w:val="24"/>
              </w:rPr>
              <w:t>1.</w:t>
            </w:r>
            <w:r w:rsidRPr="00873C61">
              <w:rPr>
                <w:rFonts w:eastAsia="Times New Roman" w:cs="Times New Roman"/>
                <w:szCs w:val="24"/>
              </w:rPr>
              <w:t xml:space="preserve"> I </w:t>
            </w:r>
            <w:r w:rsidRPr="00873C61">
              <w:rPr>
                <w:rFonts w:eastAsia="Times New Roman" w:cs="Times New Roman"/>
                <w:i/>
                <w:szCs w:val="24"/>
              </w:rPr>
              <w:t>§ 11, stk. 3</w:t>
            </w:r>
            <w:r w:rsidRPr="00873C61">
              <w:rPr>
                <w:rFonts w:eastAsia="Times New Roman" w:cs="Times New Roman"/>
                <w:szCs w:val="24"/>
              </w:rPr>
              <w:t xml:space="preserve">, </w:t>
            </w:r>
            <w:r w:rsidRPr="00873C61">
              <w:rPr>
                <w:rFonts w:eastAsia="Times New Roman" w:cs="Times New Roman"/>
                <w:i/>
                <w:szCs w:val="24"/>
              </w:rPr>
              <w:t>7. pkt.,</w:t>
            </w:r>
            <w:r w:rsidRPr="00873C61">
              <w:rPr>
                <w:rFonts w:eastAsia="Times New Roman" w:cs="Times New Roman"/>
                <w:szCs w:val="24"/>
              </w:rPr>
              <w:t xml:space="preserve"> ændres ”42,9” til: ”42,8”.</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bCs/>
                <w:szCs w:val="24"/>
              </w:rPr>
            </w:pPr>
            <w:r w:rsidRPr="00873C61">
              <w:rPr>
                <w:rFonts w:eastAsia="Times New Roman" w:cs="Times New Roman"/>
                <w:b/>
                <w:bCs/>
                <w:szCs w:val="24"/>
              </w:rPr>
              <w:t xml:space="preserve">Bilag 3 a </w:t>
            </w:r>
          </w:p>
          <w:p w:rsidR="00873C61" w:rsidRPr="00873C61" w:rsidRDefault="00873C61" w:rsidP="00873C61">
            <w:pPr>
              <w:widowControl w:val="0"/>
              <w:autoSpaceDE w:val="0"/>
              <w:autoSpaceDN w:val="0"/>
              <w:adjustRightInd w:val="0"/>
              <w:jc w:val="left"/>
              <w:rPr>
                <w:rFonts w:eastAsia="Times New Roman" w:cs="Times New Roman"/>
                <w:bCs/>
                <w:szCs w:val="24"/>
              </w:rPr>
            </w:pPr>
          </w:p>
          <w:p w:rsidR="00873C61" w:rsidRPr="00873C61" w:rsidRDefault="00873C61" w:rsidP="00873C61">
            <w:pPr>
              <w:widowControl w:val="0"/>
              <w:autoSpaceDE w:val="0"/>
              <w:autoSpaceDN w:val="0"/>
              <w:adjustRightInd w:val="0"/>
              <w:jc w:val="left"/>
              <w:rPr>
                <w:rFonts w:eastAsia="Times New Roman" w:cs="Times New Roman"/>
                <w:bCs/>
                <w:szCs w:val="24"/>
              </w:rPr>
            </w:pPr>
          </w:p>
          <w:p w:rsidR="00873C61" w:rsidRPr="00873C61" w:rsidRDefault="00873C61" w:rsidP="00873C61">
            <w:pPr>
              <w:widowControl w:val="0"/>
              <w:autoSpaceDE w:val="0"/>
              <w:autoSpaceDN w:val="0"/>
              <w:adjustRightInd w:val="0"/>
              <w:jc w:val="left"/>
              <w:rPr>
                <w:rFonts w:eastAsia="Times New Roman" w:cs="Times New Roman"/>
                <w:b/>
                <w:bCs/>
                <w:szCs w:val="24"/>
              </w:rPr>
            </w:pPr>
            <w:r w:rsidRPr="00873C61">
              <w:rPr>
                <w:rFonts w:eastAsia="Times New Roman" w:cs="Times New Roman"/>
                <w:b/>
                <w:bCs/>
                <w:szCs w:val="24"/>
              </w:rPr>
              <w:t>Satser for elafgiftslovens § 11, stk.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770"/>
              <w:gridCol w:w="747"/>
              <w:gridCol w:w="747"/>
              <w:gridCol w:w="747"/>
            </w:tblGrid>
            <w:tr w:rsidR="00873C61" w:rsidRPr="00873C61" w:rsidTr="00123E0D">
              <w:tc>
                <w:tcPr>
                  <w:tcW w:w="87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p>
              </w:tc>
              <w:tc>
                <w:tcPr>
                  <w:tcW w:w="87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p>
              </w:tc>
              <w:tc>
                <w:tcPr>
                  <w:tcW w:w="875"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1. jan. -</w:t>
                  </w:r>
                </w:p>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 xml:space="preserve">31. dec. 2012  </w:t>
                  </w:r>
                </w:p>
              </w:tc>
              <w:tc>
                <w:tcPr>
                  <w:tcW w:w="875"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1. jan. -</w:t>
                  </w:r>
                </w:p>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 xml:space="preserve">31. dec. 2013  </w:t>
                  </w:r>
                </w:p>
              </w:tc>
              <w:tc>
                <w:tcPr>
                  <w:tcW w:w="875"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lang w:val="en-US"/>
                    </w:rPr>
                  </w:pPr>
                  <w:r w:rsidRPr="00873C61">
                    <w:rPr>
                      <w:rFonts w:eastAsia="Times New Roman" w:cs="Times New Roman"/>
                      <w:bCs/>
                      <w:szCs w:val="24"/>
                      <w:lang w:val="en-US"/>
                    </w:rPr>
                    <w:t>1. jan. -</w:t>
                  </w:r>
                </w:p>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 xml:space="preserve">31. dec. 2014  </w:t>
                  </w:r>
                </w:p>
                <w:p w:rsidR="00873C61" w:rsidRPr="00873C61" w:rsidRDefault="00873C61" w:rsidP="00873C61">
                  <w:pPr>
                    <w:widowControl w:val="0"/>
                    <w:autoSpaceDE w:val="0"/>
                    <w:autoSpaceDN w:val="0"/>
                    <w:adjustRightInd w:val="0"/>
                    <w:jc w:val="left"/>
                    <w:rPr>
                      <w:rFonts w:eastAsia="Times New Roman" w:cs="Times New Roman"/>
                      <w:bCs/>
                      <w:szCs w:val="24"/>
                    </w:rPr>
                  </w:pPr>
                </w:p>
              </w:tc>
            </w:tr>
            <w:tr w:rsidR="00873C61" w:rsidRPr="00873C61" w:rsidTr="00123E0D">
              <w:tc>
                <w:tcPr>
                  <w:tcW w:w="87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Tilbagebeta-ling</w:t>
                  </w:r>
                </w:p>
              </w:tc>
              <w:tc>
                <w:tcPr>
                  <w:tcW w:w="87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Øre/</w:t>
                  </w:r>
                </w:p>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kWh</w:t>
                  </w:r>
                </w:p>
              </w:tc>
              <w:tc>
                <w:tcPr>
                  <w:tcW w:w="875"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11,8</w:t>
                  </w:r>
                </w:p>
              </w:tc>
              <w:tc>
                <w:tcPr>
                  <w:tcW w:w="875"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41,3</w:t>
                  </w:r>
                </w:p>
              </w:tc>
              <w:tc>
                <w:tcPr>
                  <w:tcW w:w="875"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42,0</w:t>
                  </w:r>
                </w:p>
              </w:tc>
            </w:tr>
          </w:tbl>
          <w:p w:rsidR="00873C61" w:rsidRPr="00873C61" w:rsidRDefault="00873C61" w:rsidP="00873C61">
            <w:pPr>
              <w:widowControl w:val="0"/>
              <w:autoSpaceDE w:val="0"/>
              <w:autoSpaceDN w:val="0"/>
              <w:adjustRightInd w:val="0"/>
              <w:jc w:val="left"/>
              <w:rPr>
                <w:rFonts w:eastAsia="Times New Roman" w:cs="Times New Roman"/>
                <w:bCs/>
                <w:szCs w:val="24"/>
              </w:rPr>
            </w:pPr>
          </w:p>
          <w:p w:rsidR="00873C61" w:rsidRPr="00873C61" w:rsidRDefault="00873C61" w:rsidP="00873C61">
            <w:pPr>
              <w:widowControl w:val="0"/>
              <w:autoSpaceDE w:val="0"/>
              <w:autoSpaceDN w:val="0"/>
              <w:adjustRightInd w:val="0"/>
              <w:jc w:val="left"/>
              <w:rPr>
                <w:rFonts w:eastAsia="Times New Roman" w:cs="Times New Roman"/>
                <w:bCs/>
                <w:i/>
                <w:szCs w:val="24"/>
              </w:rPr>
            </w:pPr>
          </w:p>
        </w:tc>
        <w:tc>
          <w:tcPr>
            <w:tcW w:w="4605"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b/>
                <w:szCs w:val="24"/>
              </w:rPr>
              <w:t>2</w:t>
            </w:r>
            <w:r w:rsidRPr="00873C61">
              <w:rPr>
                <w:rFonts w:eastAsia="Times New Roman" w:cs="Times New Roman"/>
                <w:szCs w:val="24"/>
              </w:rPr>
              <w:t xml:space="preserve">. </w:t>
            </w:r>
            <w:r w:rsidRPr="00873C61">
              <w:rPr>
                <w:rFonts w:eastAsia="Times New Roman" w:cs="Times New Roman"/>
                <w:i/>
                <w:szCs w:val="24"/>
              </w:rPr>
              <w:t>Bilag 3 a</w:t>
            </w:r>
            <w:r w:rsidRPr="00873C61">
              <w:rPr>
                <w:rFonts w:eastAsia="Times New Roman" w:cs="Times New Roman"/>
                <w:szCs w:val="24"/>
              </w:rPr>
              <w:t xml:space="preserve"> affattes om bilag 2 til denne lov.</w:t>
            </w:r>
          </w:p>
          <w:p w:rsidR="00873C61" w:rsidRPr="00873C61" w:rsidRDefault="00873C61" w:rsidP="00873C61">
            <w:pPr>
              <w:widowControl w:val="0"/>
              <w:autoSpaceDE w:val="0"/>
              <w:autoSpaceDN w:val="0"/>
              <w:adjustRightInd w:val="0"/>
              <w:jc w:val="left"/>
              <w:rPr>
                <w:rFonts w:eastAsia="Times New Roman" w:cs="Times New Roman"/>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b/>
                <w:szCs w:val="24"/>
              </w:rPr>
              <w:t xml:space="preserve">Bilag 3 a </w:t>
            </w:r>
          </w:p>
          <w:p w:rsidR="00873C61" w:rsidRPr="00873C61" w:rsidRDefault="00873C61" w:rsidP="00873C61">
            <w:pPr>
              <w:widowControl w:val="0"/>
              <w:autoSpaceDE w:val="0"/>
              <w:autoSpaceDN w:val="0"/>
              <w:adjustRightInd w:val="0"/>
              <w:jc w:val="left"/>
              <w:rPr>
                <w:rFonts w:eastAsia="Times New Roman" w:cs="Times New Roman"/>
                <w:b/>
                <w:bCs/>
                <w:szCs w:val="24"/>
              </w:rPr>
            </w:pPr>
            <w:r w:rsidRPr="00873C61">
              <w:rPr>
                <w:rFonts w:eastAsia="Times New Roman" w:cs="Times New Roman"/>
                <w:b/>
                <w:bCs/>
                <w:szCs w:val="24"/>
              </w:rPr>
              <w:t>Satser for elafgiftslovens § 11, stk.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878"/>
              <w:gridCol w:w="713"/>
              <w:gridCol w:w="666"/>
              <w:gridCol w:w="666"/>
            </w:tblGrid>
            <w:tr w:rsidR="00873C61" w:rsidRPr="00873C61" w:rsidTr="00123E0D">
              <w:tc>
                <w:tcPr>
                  <w:tcW w:w="1492"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p>
              </w:tc>
              <w:tc>
                <w:tcPr>
                  <w:tcW w:w="949"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p>
              </w:tc>
              <w:tc>
                <w:tcPr>
                  <w:tcW w:w="732"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1. jan. -</w:t>
                  </w:r>
                </w:p>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 xml:space="preserve">31. dec. 2012  </w:t>
                  </w:r>
                </w:p>
              </w:tc>
              <w:tc>
                <w:tcPr>
                  <w:tcW w:w="622"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1. jan. -</w:t>
                  </w:r>
                </w:p>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 xml:space="preserve">31. dec. 2013  </w:t>
                  </w:r>
                </w:p>
              </w:tc>
              <w:tc>
                <w:tcPr>
                  <w:tcW w:w="622"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lang w:val="en-US"/>
                    </w:rPr>
                  </w:pPr>
                  <w:r w:rsidRPr="00873C61">
                    <w:rPr>
                      <w:rFonts w:eastAsia="Times New Roman" w:cs="Times New Roman"/>
                      <w:bCs/>
                      <w:szCs w:val="24"/>
                      <w:lang w:val="en-US"/>
                    </w:rPr>
                    <w:t>1. jan.-</w:t>
                  </w:r>
                </w:p>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 xml:space="preserve">31. dec. 2014  </w:t>
                  </w:r>
                </w:p>
                <w:p w:rsidR="00873C61" w:rsidRPr="00873C61" w:rsidRDefault="00873C61" w:rsidP="00873C61">
                  <w:pPr>
                    <w:widowControl w:val="0"/>
                    <w:autoSpaceDE w:val="0"/>
                    <w:autoSpaceDN w:val="0"/>
                    <w:adjustRightInd w:val="0"/>
                    <w:jc w:val="left"/>
                    <w:rPr>
                      <w:rFonts w:eastAsia="Times New Roman" w:cs="Times New Roman"/>
                      <w:bCs/>
                      <w:szCs w:val="24"/>
                    </w:rPr>
                  </w:pPr>
                </w:p>
              </w:tc>
            </w:tr>
            <w:tr w:rsidR="00873C61" w:rsidRPr="00873C61" w:rsidTr="00123E0D">
              <w:tc>
                <w:tcPr>
                  <w:tcW w:w="1492"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Tilbagebeta-ling</w:t>
                  </w:r>
                </w:p>
              </w:tc>
              <w:tc>
                <w:tcPr>
                  <w:tcW w:w="949"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Øre/</w:t>
                  </w:r>
                </w:p>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kWh</w:t>
                  </w:r>
                </w:p>
              </w:tc>
              <w:tc>
                <w:tcPr>
                  <w:tcW w:w="732"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11,8</w:t>
                  </w:r>
                </w:p>
              </w:tc>
              <w:tc>
                <w:tcPr>
                  <w:tcW w:w="622"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41,3</w:t>
                  </w:r>
                </w:p>
              </w:tc>
              <w:tc>
                <w:tcPr>
                  <w:tcW w:w="622"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Cs/>
                      <w:szCs w:val="24"/>
                    </w:rPr>
                  </w:pPr>
                  <w:r w:rsidRPr="00873C61">
                    <w:rPr>
                      <w:rFonts w:eastAsia="Times New Roman" w:cs="Times New Roman"/>
                      <w:bCs/>
                      <w:szCs w:val="24"/>
                    </w:rPr>
                    <w:t>42,1</w:t>
                  </w:r>
                </w:p>
              </w:tc>
            </w:tr>
          </w:tbl>
          <w:p w:rsidR="00873C61" w:rsidRPr="00873C61" w:rsidRDefault="00873C61" w:rsidP="00873C61">
            <w:pPr>
              <w:widowControl w:val="0"/>
              <w:autoSpaceDE w:val="0"/>
              <w:autoSpaceDN w:val="0"/>
              <w:adjustRightInd w:val="0"/>
              <w:jc w:val="center"/>
              <w:rPr>
                <w:rFonts w:eastAsia="Times New Roman" w:cs="Times New Roman"/>
                <w:bCs/>
                <w:i/>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szCs w:val="24"/>
              </w:rPr>
            </w:pPr>
            <w:r w:rsidRPr="00873C61">
              <w:rPr>
                <w:rFonts w:eastAsia="Times New Roman" w:cs="Times New Roman"/>
                <w:b/>
                <w:szCs w:val="24"/>
              </w:rPr>
              <w:t>§ 4</w:t>
            </w:r>
          </w:p>
          <w:p w:rsidR="00873C61" w:rsidRPr="00873C61" w:rsidRDefault="00873C61" w:rsidP="00873C61">
            <w:pPr>
              <w:widowControl w:val="0"/>
              <w:autoSpaceDE w:val="0"/>
              <w:autoSpaceDN w:val="0"/>
              <w:adjustRightInd w:val="0"/>
              <w:spacing w:line="288" w:lineRule="auto"/>
              <w:rPr>
                <w:rFonts w:eastAsia="Times New Roman" w:cs="Times New Roman"/>
                <w:szCs w:val="24"/>
              </w:rPr>
            </w:pPr>
          </w:p>
          <w:p w:rsidR="00873C61" w:rsidRPr="00873C61" w:rsidRDefault="00873C61" w:rsidP="00873C61">
            <w:pPr>
              <w:widowControl w:val="0"/>
              <w:autoSpaceDE w:val="0"/>
              <w:autoSpaceDN w:val="0"/>
              <w:adjustRightInd w:val="0"/>
              <w:spacing w:line="288" w:lineRule="auto"/>
              <w:ind w:firstLine="720"/>
              <w:rPr>
                <w:rFonts w:eastAsia="Times New Roman" w:cs="Times New Roman"/>
                <w:szCs w:val="24"/>
              </w:rPr>
            </w:pPr>
            <w:r w:rsidRPr="00873C61">
              <w:rPr>
                <w:rFonts w:eastAsia="Times New Roman" w:cs="Times New Roman"/>
                <w:szCs w:val="24"/>
              </w:rPr>
              <w:t>I lov om afgift af naturgas og bygas, jf. lovbekendtgørelse nr. 312 af 1. april 2011, som ændret bl.a. ved § 2 i lov nr. 625 af 14. juni 2011, § 2 i lov nr. 70 af 30. januar 2013 og senest ved § 4 i lov nr. 903 af 4. juli 2013, foretages følgende ændring:</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b/>
                <w:szCs w:val="24"/>
              </w:rPr>
              <w:t xml:space="preserve">§ 10 a. </w:t>
            </w:r>
            <w:r w:rsidRPr="00873C61">
              <w:rPr>
                <w:rFonts w:eastAsia="Times New Roman" w:cs="Times New Roman"/>
                <w:szCs w:val="24"/>
              </w:rPr>
              <w:t>Tilbagebetalingen af afgift efter § 10 nedsættes med 12,7 pct., jf. dog § 10 b, § 10 c og § 10 d. For perioden 2010-2012 nedsættes tilbagebetalingen af afgift efter § 10 som anført i bilag 6.</w:t>
            </w:r>
          </w:p>
        </w:tc>
        <w:tc>
          <w:tcPr>
            <w:tcW w:w="4605" w:type="dxa"/>
            <w:shd w:val="clear" w:color="auto" w:fill="auto"/>
          </w:tcPr>
          <w:p w:rsidR="00873C61" w:rsidRPr="00873C61" w:rsidRDefault="00873C61" w:rsidP="00873C61">
            <w:pPr>
              <w:widowControl w:val="0"/>
              <w:autoSpaceDE w:val="0"/>
              <w:autoSpaceDN w:val="0"/>
              <w:adjustRightInd w:val="0"/>
              <w:spacing w:line="288" w:lineRule="auto"/>
              <w:jc w:val="left"/>
              <w:rPr>
                <w:rFonts w:eastAsia="Times New Roman" w:cs="Times New Roman"/>
                <w:szCs w:val="24"/>
              </w:rPr>
            </w:pPr>
            <w:r w:rsidRPr="00873C61">
              <w:rPr>
                <w:rFonts w:eastAsia="Times New Roman" w:cs="Times New Roman"/>
                <w:b/>
                <w:szCs w:val="24"/>
              </w:rPr>
              <w:t>1.</w:t>
            </w:r>
            <w:r w:rsidRPr="00873C61">
              <w:rPr>
                <w:rFonts w:eastAsia="Times New Roman" w:cs="Times New Roman"/>
                <w:szCs w:val="24"/>
              </w:rPr>
              <w:t xml:space="preserve"> </w:t>
            </w:r>
            <w:r w:rsidRPr="00873C61">
              <w:rPr>
                <w:rFonts w:eastAsia="Times New Roman" w:cs="Times New Roman"/>
                <w:i/>
                <w:szCs w:val="24"/>
              </w:rPr>
              <w:t>§ 10 a</w:t>
            </w:r>
            <w:r w:rsidRPr="00873C61">
              <w:rPr>
                <w:rFonts w:eastAsia="Times New Roman" w:cs="Times New Roman"/>
                <w:szCs w:val="24"/>
              </w:rPr>
              <w:t xml:space="preserve"> affattes således:</w:t>
            </w:r>
          </w:p>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b/>
                <w:szCs w:val="24"/>
              </w:rPr>
              <w:t xml:space="preserve">”§ 10 a. </w:t>
            </w:r>
            <w:r w:rsidRPr="00873C61">
              <w:rPr>
                <w:rFonts w:eastAsia="Times New Roman" w:cs="Times New Roman"/>
                <w:szCs w:val="24"/>
              </w:rPr>
              <w:t>Tilbagebetalingen af afgift efter § 10 nedsættes med 4,5 kr./GJ, jf. dog §§ 10 b, 10 c og 10 d. Afgiftspligtige kan vælge, at tilbagebetalingen efter 1. pkt. også kan beregnes som en reduktion af afgiftsbetalingen med 4,5 kr./GJ delt med afgiftssatsen i § 8, stk. 4, 2. pkt., ganget med 1 over 1,2.”</w:t>
            </w:r>
          </w:p>
          <w:p w:rsidR="00873C61" w:rsidRPr="00873C61" w:rsidRDefault="00873C61" w:rsidP="00873C61">
            <w:pPr>
              <w:widowControl w:val="0"/>
              <w:autoSpaceDE w:val="0"/>
              <w:autoSpaceDN w:val="0"/>
              <w:adjustRightInd w:val="0"/>
              <w:jc w:val="left"/>
              <w:rPr>
                <w:rFonts w:eastAsia="Times New Roman" w:cs="Times New Roman"/>
                <w:b/>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szCs w:val="24"/>
              </w:rPr>
            </w:pPr>
            <w:r w:rsidRPr="00873C61">
              <w:rPr>
                <w:rFonts w:eastAsia="Times New Roman" w:cs="Times New Roman"/>
                <w:b/>
                <w:szCs w:val="24"/>
              </w:rPr>
              <w:t>§ 5</w:t>
            </w:r>
          </w:p>
          <w:p w:rsidR="00873C61" w:rsidRPr="00873C61" w:rsidRDefault="00873C61" w:rsidP="00873C61">
            <w:pPr>
              <w:widowControl w:val="0"/>
              <w:autoSpaceDE w:val="0"/>
              <w:autoSpaceDN w:val="0"/>
              <w:adjustRightInd w:val="0"/>
              <w:spacing w:line="288" w:lineRule="auto"/>
              <w:jc w:val="left"/>
              <w:rPr>
                <w:rFonts w:eastAsia="Times New Roman" w:cs="Times New Roman"/>
                <w:szCs w:val="24"/>
              </w:rPr>
            </w:pPr>
          </w:p>
          <w:p w:rsidR="00873C61" w:rsidRPr="00873C61" w:rsidRDefault="00873C61" w:rsidP="00873C61">
            <w:pPr>
              <w:spacing w:line="288" w:lineRule="auto"/>
              <w:ind w:firstLine="720"/>
              <w:rPr>
                <w:rFonts w:eastAsia="Garamond" w:cs="Times New Roman"/>
              </w:rPr>
            </w:pPr>
            <w:r w:rsidRPr="00873C61">
              <w:rPr>
                <w:rFonts w:eastAsia="Garamond" w:cs="Times New Roman"/>
              </w:rPr>
              <w:t>I lov om afgift af stenkul, brunkul og koks m.v., jf. lovbekendtgørelse nr. 1292 af 17. november 2010, som ændret bl.a. ved § 3 i lov nr. 625 af 14. juni 2011, § 3 i lov nr. 70 af 30. januar 2013 og senest ved § 5 i lov nr. 903 af 4. juli 2013, foretages følgende ændring:</w:t>
            </w:r>
          </w:p>
          <w:p w:rsidR="00873C61" w:rsidRPr="00873C61" w:rsidRDefault="00873C61" w:rsidP="00873C61">
            <w:pPr>
              <w:widowControl w:val="0"/>
              <w:autoSpaceDE w:val="0"/>
              <w:autoSpaceDN w:val="0"/>
              <w:adjustRightInd w:val="0"/>
              <w:spacing w:line="288" w:lineRule="auto"/>
              <w:jc w:val="center"/>
              <w:rPr>
                <w:rFonts w:eastAsia="Times New Roman" w:cs="Times New Roman"/>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b/>
                <w:szCs w:val="24"/>
              </w:rPr>
              <w:t xml:space="preserve">§ 8 a. </w:t>
            </w:r>
            <w:r w:rsidRPr="00873C61">
              <w:rPr>
                <w:rFonts w:eastAsia="Times New Roman" w:cs="Times New Roman"/>
                <w:szCs w:val="24"/>
              </w:rPr>
              <w:t>Tilbagebetalingen af afgift efter § 8 nedsættes med 12,7 pct., jf. dog § 8 b, § 8 c og § 8 d. For perioden 2010-2012 nedsættes tilbagebetalingen af afgift efter § 8 som anført i bilag 6.</w:t>
            </w:r>
          </w:p>
        </w:tc>
        <w:tc>
          <w:tcPr>
            <w:tcW w:w="4605" w:type="dxa"/>
            <w:shd w:val="clear" w:color="auto" w:fill="auto"/>
          </w:tcPr>
          <w:p w:rsidR="00873C61" w:rsidRPr="00873C61" w:rsidRDefault="00873C61" w:rsidP="00873C61">
            <w:pPr>
              <w:widowControl w:val="0"/>
              <w:autoSpaceDE w:val="0"/>
              <w:autoSpaceDN w:val="0"/>
              <w:adjustRightInd w:val="0"/>
              <w:spacing w:line="288" w:lineRule="auto"/>
              <w:jc w:val="left"/>
              <w:rPr>
                <w:rFonts w:eastAsia="Times New Roman" w:cs="Times New Roman"/>
                <w:szCs w:val="24"/>
              </w:rPr>
            </w:pPr>
            <w:r w:rsidRPr="00873C61">
              <w:rPr>
                <w:rFonts w:eastAsia="Times New Roman" w:cs="Times New Roman"/>
                <w:b/>
                <w:szCs w:val="24"/>
              </w:rPr>
              <w:t>1.</w:t>
            </w:r>
            <w:r w:rsidRPr="00873C61">
              <w:rPr>
                <w:rFonts w:eastAsia="Times New Roman" w:cs="Times New Roman"/>
                <w:szCs w:val="24"/>
              </w:rPr>
              <w:t xml:space="preserve"> </w:t>
            </w:r>
            <w:r w:rsidRPr="00873C61">
              <w:rPr>
                <w:rFonts w:eastAsia="Times New Roman" w:cs="Times New Roman"/>
                <w:i/>
                <w:szCs w:val="24"/>
              </w:rPr>
              <w:t>§ 8 a</w:t>
            </w:r>
            <w:r w:rsidRPr="00873C61">
              <w:rPr>
                <w:rFonts w:eastAsia="Times New Roman" w:cs="Times New Roman"/>
                <w:szCs w:val="24"/>
              </w:rPr>
              <w:t xml:space="preserve"> affattes således:</w:t>
            </w:r>
          </w:p>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szCs w:val="24"/>
              </w:rPr>
              <w:t>”</w:t>
            </w:r>
            <w:r w:rsidRPr="00873C61">
              <w:rPr>
                <w:rFonts w:eastAsia="Times New Roman" w:cs="Times New Roman"/>
                <w:b/>
                <w:szCs w:val="24"/>
              </w:rPr>
              <w:t xml:space="preserve">§ 8 a. </w:t>
            </w:r>
            <w:r w:rsidRPr="00873C61">
              <w:rPr>
                <w:rFonts w:eastAsia="Times New Roman" w:cs="Times New Roman"/>
                <w:szCs w:val="24"/>
              </w:rPr>
              <w:t>Tilbagebetalingen af afgift efter § 10 nedsættes med 4,5 kr./GJ, jf. dog §§ 10 b, 10 c og 10 d. Afgiftspligtige kan vælge, at tilbagebetalingen efter 1. pkt. også kan beregnes som en reduktion af afgiftsbetalingen med 4,5 kr./GJ delt med afgiftssatsen i § 8, stk. 4, 2. pkt., ganget med 1 over 1,2.”</w:t>
            </w:r>
          </w:p>
          <w:p w:rsidR="00873C61" w:rsidRPr="00873C61" w:rsidRDefault="00873C61" w:rsidP="00873C61">
            <w:pPr>
              <w:widowControl w:val="0"/>
              <w:autoSpaceDE w:val="0"/>
              <w:autoSpaceDN w:val="0"/>
              <w:adjustRightInd w:val="0"/>
              <w:jc w:val="left"/>
              <w:rPr>
                <w:rFonts w:eastAsia="Times New Roman" w:cs="Times New Roman"/>
                <w:b/>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szCs w:val="24"/>
              </w:rPr>
            </w:pPr>
            <w:r w:rsidRPr="00873C61">
              <w:rPr>
                <w:rFonts w:eastAsia="Times New Roman" w:cs="Times New Roman"/>
                <w:b/>
                <w:szCs w:val="24"/>
              </w:rPr>
              <w:t>§ 6</w:t>
            </w:r>
          </w:p>
          <w:p w:rsidR="00873C61" w:rsidRPr="00873C61" w:rsidRDefault="00873C61" w:rsidP="00873C61">
            <w:pPr>
              <w:widowControl w:val="0"/>
              <w:autoSpaceDE w:val="0"/>
              <w:autoSpaceDN w:val="0"/>
              <w:adjustRightInd w:val="0"/>
              <w:spacing w:line="288" w:lineRule="auto"/>
              <w:jc w:val="left"/>
              <w:rPr>
                <w:rFonts w:eastAsia="Times New Roman" w:cs="Times New Roman"/>
                <w:szCs w:val="24"/>
              </w:rPr>
            </w:pPr>
            <w:r w:rsidRPr="00873C61">
              <w:rPr>
                <w:rFonts w:eastAsia="Times New Roman" w:cs="Times New Roman"/>
                <w:szCs w:val="24"/>
              </w:rPr>
              <w:t>I lov om energiafgift af mineralolieprodukter m.v., jf. lovbekendtgørelse nr. 313 af 1. april 2011, som ændret bl.a. § 4 i lov nr. 625 af 14. juni 2011, § 4 i lov nr. 70 af 30. januar 2013 og s-nest ved § 6 i lov nr. 903 af 4. juli 2013, foretages følgende ændring:</w:t>
            </w:r>
          </w:p>
          <w:p w:rsidR="00873C61" w:rsidRPr="00873C61" w:rsidRDefault="00873C61" w:rsidP="00873C61">
            <w:pPr>
              <w:widowControl w:val="0"/>
              <w:autoSpaceDE w:val="0"/>
              <w:autoSpaceDN w:val="0"/>
              <w:adjustRightInd w:val="0"/>
              <w:spacing w:line="288" w:lineRule="auto"/>
              <w:jc w:val="left"/>
              <w:rPr>
                <w:rFonts w:eastAsia="Times New Roman" w:cs="Times New Roman"/>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p>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b/>
                <w:szCs w:val="24"/>
              </w:rPr>
              <w:t xml:space="preserve">§ 11 a. </w:t>
            </w:r>
            <w:r w:rsidRPr="00873C61">
              <w:rPr>
                <w:rFonts w:eastAsia="Times New Roman" w:cs="Times New Roman"/>
                <w:szCs w:val="24"/>
              </w:rPr>
              <w:t>Tilbagebetalingen af afgift efter § 8 nedsættes med 12,7 pct., jf. dog § 8 b, § 8 c og § 8 d. For perioden 2010-2012 nedsættes tilbagebetalingen af afgift efter § 8 som anført i bilag 6.</w:t>
            </w:r>
          </w:p>
        </w:tc>
        <w:tc>
          <w:tcPr>
            <w:tcW w:w="4605" w:type="dxa"/>
            <w:shd w:val="clear" w:color="auto" w:fill="auto"/>
          </w:tcPr>
          <w:p w:rsidR="00873C61" w:rsidRPr="00873C61" w:rsidRDefault="00873C61" w:rsidP="00873C61">
            <w:pPr>
              <w:widowControl w:val="0"/>
              <w:autoSpaceDE w:val="0"/>
              <w:autoSpaceDN w:val="0"/>
              <w:adjustRightInd w:val="0"/>
              <w:spacing w:line="288" w:lineRule="auto"/>
              <w:jc w:val="left"/>
              <w:rPr>
                <w:rFonts w:eastAsia="Times New Roman" w:cs="Times New Roman"/>
                <w:szCs w:val="24"/>
              </w:rPr>
            </w:pPr>
            <w:r w:rsidRPr="00873C61">
              <w:rPr>
                <w:rFonts w:eastAsia="Times New Roman" w:cs="Times New Roman"/>
                <w:b/>
                <w:szCs w:val="24"/>
              </w:rPr>
              <w:t>1.</w:t>
            </w:r>
            <w:r w:rsidRPr="00873C61">
              <w:rPr>
                <w:rFonts w:eastAsia="Times New Roman" w:cs="Times New Roman"/>
                <w:szCs w:val="24"/>
              </w:rPr>
              <w:t xml:space="preserve"> </w:t>
            </w:r>
            <w:r w:rsidRPr="00873C61">
              <w:rPr>
                <w:rFonts w:eastAsia="Times New Roman" w:cs="Times New Roman"/>
                <w:i/>
                <w:szCs w:val="24"/>
              </w:rPr>
              <w:t>§ 11 a</w:t>
            </w:r>
            <w:r w:rsidRPr="00873C61">
              <w:rPr>
                <w:rFonts w:eastAsia="Times New Roman" w:cs="Times New Roman"/>
                <w:szCs w:val="24"/>
              </w:rPr>
              <w:t xml:space="preserve"> affattes således:</w:t>
            </w:r>
          </w:p>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szCs w:val="24"/>
              </w:rPr>
              <w:t>”</w:t>
            </w:r>
            <w:r w:rsidRPr="00873C61">
              <w:rPr>
                <w:rFonts w:eastAsia="Times New Roman" w:cs="Times New Roman"/>
                <w:b/>
                <w:szCs w:val="24"/>
              </w:rPr>
              <w:t xml:space="preserve">§ 11 a. </w:t>
            </w:r>
            <w:r w:rsidRPr="00873C61">
              <w:rPr>
                <w:rFonts w:eastAsia="Times New Roman" w:cs="Times New Roman"/>
                <w:szCs w:val="24"/>
              </w:rPr>
              <w:t>Tilbagebetalingen af afgift efter § 10 nedsættes med 4,5 kr./GJ, jf. dog §§ 10 b, 10 c og 10 d. Afgiftspligtige kan vælge, at tilbagebetalingen efter 1. pkt. også kan beregnes som en reduktion af afgiftsbetalingen med 4,5 kr./GJ delt med afgiftssatsen i § 8, stk. 4, 2. pkt., ganget med 1 over 1,2.”</w:t>
            </w:r>
          </w:p>
          <w:p w:rsidR="00873C61" w:rsidRPr="00873C61" w:rsidRDefault="00873C61" w:rsidP="00873C61">
            <w:pPr>
              <w:widowControl w:val="0"/>
              <w:autoSpaceDE w:val="0"/>
              <w:autoSpaceDN w:val="0"/>
              <w:adjustRightInd w:val="0"/>
              <w:jc w:val="left"/>
              <w:rPr>
                <w:rFonts w:eastAsia="Times New Roman" w:cs="Times New Roman"/>
                <w:b/>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szCs w:val="24"/>
              </w:rPr>
            </w:pPr>
            <w:r w:rsidRPr="00873C61">
              <w:rPr>
                <w:rFonts w:eastAsia="Times New Roman" w:cs="Times New Roman"/>
                <w:b/>
                <w:szCs w:val="24"/>
              </w:rPr>
              <w:t>§ 7</w:t>
            </w:r>
          </w:p>
          <w:p w:rsidR="00873C61" w:rsidRPr="00873C61" w:rsidRDefault="00873C61" w:rsidP="00873C61">
            <w:pPr>
              <w:widowControl w:val="0"/>
              <w:autoSpaceDE w:val="0"/>
              <w:autoSpaceDN w:val="0"/>
              <w:adjustRightInd w:val="0"/>
              <w:spacing w:line="288" w:lineRule="auto"/>
              <w:ind w:firstLine="720"/>
              <w:jc w:val="left"/>
              <w:rPr>
                <w:rFonts w:eastAsia="Times New Roman" w:cs="Times New Roman"/>
                <w:szCs w:val="24"/>
              </w:rPr>
            </w:pPr>
          </w:p>
          <w:p w:rsidR="00873C61" w:rsidRPr="00873C61" w:rsidRDefault="00873C61" w:rsidP="00873C61">
            <w:pPr>
              <w:widowControl w:val="0"/>
              <w:autoSpaceDE w:val="0"/>
              <w:autoSpaceDN w:val="0"/>
              <w:adjustRightInd w:val="0"/>
              <w:spacing w:line="288" w:lineRule="auto"/>
              <w:jc w:val="left"/>
              <w:rPr>
                <w:rFonts w:eastAsia="Times New Roman" w:cs="Times New Roman"/>
                <w:szCs w:val="24"/>
              </w:rPr>
            </w:pPr>
            <w:r w:rsidRPr="00873C61">
              <w:rPr>
                <w:rFonts w:eastAsia="Times New Roman" w:cs="Times New Roman"/>
                <w:szCs w:val="24"/>
              </w:rPr>
              <w:t>I lov nr. 789 af 28. juni 2013 om ophævelse af lov om afgift af mineralvand m.v. og om ændring af øl- og vinafgiftsloven og forskellige andre love (Nedsættelse og senere ophævelse af sodavandsafgiften, nedsættelse af ølafgiften, afskaffelse af den vægtbaserede emballageafgift, øget momsfradrag på hotelovernatninger og midlertidig forhøjelse af reparationsgrænsen for totalskadede køretøjer m.v.) foretages følgende ændringer:</w:t>
            </w:r>
          </w:p>
          <w:p w:rsidR="00873C61" w:rsidRPr="00873C61" w:rsidRDefault="00873C61" w:rsidP="00873C61">
            <w:pPr>
              <w:widowControl w:val="0"/>
              <w:autoSpaceDE w:val="0"/>
              <w:autoSpaceDN w:val="0"/>
              <w:adjustRightInd w:val="0"/>
              <w:spacing w:line="288" w:lineRule="auto"/>
              <w:jc w:val="left"/>
              <w:rPr>
                <w:rFonts w:eastAsia="Times New Roman" w:cs="Times New Roman"/>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b/>
                <w:szCs w:val="24"/>
              </w:rPr>
              <w:t>§ 8.</w:t>
            </w:r>
          </w:p>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i/>
                <w:szCs w:val="24"/>
              </w:rPr>
              <w:t>Stk. 3.</w:t>
            </w:r>
            <w:r w:rsidRPr="00873C61">
              <w:rPr>
                <w:rFonts w:eastAsia="Times New Roman" w:cs="Times New Roman"/>
                <w:szCs w:val="24"/>
              </w:rPr>
              <w:t xml:space="preserve"> § 3 træder i kraft den 1. januar 2015.</w:t>
            </w:r>
          </w:p>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widowControl w:val="0"/>
              <w:autoSpaceDE w:val="0"/>
              <w:autoSpaceDN w:val="0"/>
              <w:adjustRightInd w:val="0"/>
              <w:spacing w:line="288" w:lineRule="auto"/>
              <w:jc w:val="left"/>
              <w:rPr>
                <w:rFonts w:eastAsia="Times New Roman" w:cs="Times New Roman"/>
                <w:i/>
                <w:szCs w:val="24"/>
              </w:rPr>
            </w:pPr>
            <w:r w:rsidRPr="00873C61">
              <w:rPr>
                <w:rFonts w:eastAsia="Times New Roman" w:cs="Times New Roman"/>
                <w:b/>
                <w:szCs w:val="24"/>
              </w:rPr>
              <w:t xml:space="preserve">1. </w:t>
            </w:r>
            <w:r w:rsidRPr="00873C61">
              <w:rPr>
                <w:rFonts w:eastAsia="Times New Roman" w:cs="Times New Roman"/>
                <w:szCs w:val="24"/>
              </w:rPr>
              <w:t xml:space="preserve">I </w:t>
            </w:r>
            <w:r w:rsidRPr="00873C61">
              <w:rPr>
                <w:rFonts w:eastAsia="Times New Roman" w:cs="Times New Roman"/>
                <w:i/>
                <w:szCs w:val="24"/>
              </w:rPr>
              <w:t xml:space="preserve">§ 8, stk. 3, </w:t>
            </w:r>
            <w:r w:rsidRPr="00873C61">
              <w:rPr>
                <w:rFonts w:eastAsia="Times New Roman" w:cs="Times New Roman"/>
                <w:szCs w:val="24"/>
              </w:rPr>
              <w:t>affattes således:</w:t>
            </w:r>
          </w:p>
          <w:p w:rsidR="00873C61" w:rsidRPr="00873C61" w:rsidRDefault="00873C61" w:rsidP="00873C61">
            <w:pPr>
              <w:widowControl w:val="0"/>
              <w:autoSpaceDE w:val="0"/>
              <w:autoSpaceDN w:val="0"/>
              <w:adjustRightInd w:val="0"/>
              <w:spacing w:line="288" w:lineRule="auto"/>
              <w:jc w:val="left"/>
              <w:rPr>
                <w:rFonts w:eastAsia="Times New Roman" w:cs="Times New Roman"/>
                <w:szCs w:val="24"/>
              </w:rPr>
            </w:pPr>
            <w:r w:rsidRPr="00873C61">
              <w:rPr>
                <w:rFonts w:eastAsia="Times New Roman" w:cs="Times New Roman"/>
                <w:szCs w:val="24"/>
              </w:rPr>
              <w:t>”</w:t>
            </w:r>
            <w:r w:rsidRPr="00873C61">
              <w:rPr>
                <w:rFonts w:eastAsia="Times New Roman" w:cs="Times New Roman"/>
                <w:i/>
                <w:szCs w:val="24"/>
              </w:rPr>
              <w:t>Stk. 3.</w:t>
            </w:r>
            <w:r w:rsidRPr="00873C61">
              <w:rPr>
                <w:rFonts w:eastAsia="Times New Roman" w:cs="Times New Roman"/>
                <w:szCs w:val="24"/>
              </w:rPr>
              <w:t xml:space="preserve"> § 3 træder i kraft den 31. januar 2014.”</w:t>
            </w:r>
          </w:p>
          <w:p w:rsidR="00873C61" w:rsidRPr="00873C61" w:rsidRDefault="00873C61" w:rsidP="00873C61">
            <w:pPr>
              <w:widowControl w:val="0"/>
              <w:autoSpaceDE w:val="0"/>
              <w:autoSpaceDN w:val="0"/>
              <w:adjustRightInd w:val="0"/>
              <w:spacing w:line="288" w:lineRule="auto"/>
              <w:jc w:val="left"/>
              <w:rPr>
                <w:rFonts w:eastAsia="Times New Roman" w:cs="Times New Roman"/>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i/>
                <w:szCs w:val="24"/>
              </w:rPr>
              <w:t>Stk. 5.</w:t>
            </w:r>
            <w:r w:rsidRPr="00873C61">
              <w:rPr>
                <w:rFonts w:eastAsia="Times New Roman" w:cs="Times New Roman"/>
                <w:szCs w:val="24"/>
              </w:rPr>
              <w:t xml:space="preserve"> § 3 har virkning for emballager, der er afgiftspligtige efter emballageafgiftslovens § 1, og som fra den 1. januar 2015 udleveres til forbrug fra registrerede virksomheder, angives til fortoldning eller importeres.</w:t>
            </w:r>
          </w:p>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b/>
                <w:szCs w:val="24"/>
              </w:rPr>
              <w:t xml:space="preserve">2. </w:t>
            </w:r>
            <w:r w:rsidRPr="00873C61">
              <w:rPr>
                <w:rFonts w:eastAsia="Times New Roman" w:cs="Times New Roman"/>
                <w:szCs w:val="24"/>
              </w:rPr>
              <w:t xml:space="preserve">I </w:t>
            </w:r>
            <w:r w:rsidRPr="00873C61">
              <w:rPr>
                <w:rFonts w:eastAsia="Times New Roman" w:cs="Times New Roman"/>
                <w:i/>
                <w:szCs w:val="24"/>
              </w:rPr>
              <w:t>§ 8, stk. 5,</w:t>
            </w:r>
            <w:r w:rsidRPr="00873C61">
              <w:rPr>
                <w:rFonts w:eastAsia="Times New Roman" w:cs="Times New Roman"/>
                <w:szCs w:val="24"/>
              </w:rPr>
              <w:t xml:space="preserve"> ændres ”2015” til: ”2014”.</w:t>
            </w:r>
          </w:p>
          <w:p w:rsidR="00873C61" w:rsidRPr="00873C61" w:rsidRDefault="00873C61" w:rsidP="00873C61">
            <w:pPr>
              <w:widowControl w:val="0"/>
              <w:autoSpaceDE w:val="0"/>
              <w:autoSpaceDN w:val="0"/>
              <w:adjustRightInd w:val="0"/>
              <w:jc w:val="left"/>
              <w:rPr>
                <w:rFonts w:eastAsia="Times New Roman" w:cs="Times New Roman"/>
                <w:b/>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tabs>
                <w:tab w:val="left" w:pos="360"/>
              </w:tabs>
              <w:spacing w:line="288" w:lineRule="auto"/>
              <w:jc w:val="center"/>
              <w:rPr>
                <w:rFonts w:eastAsia="Garamond" w:cs="Times New Roman"/>
                <w:b/>
                <w:bCs/>
              </w:rPr>
            </w:pPr>
            <w:r w:rsidRPr="00873C61">
              <w:rPr>
                <w:rFonts w:eastAsia="Garamond" w:cs="Times New Roman"/>
                <w:b/>
                <w:bCs/>
              </w:rPr>
              <w:t>§ 8</w:t>
            </w:r>
          </w:p>
          <w:p w:rsidR="00873C61" w:rsidRPr="00873C61" w:rsidRDefault="00873C61" w:rsidP="00873C61">
            <w:pPr>
              <w:spacing w:line="288" w:lineRule="auto"/>
              <w:ind w:firstLine="720"/>
              <w:rPr>
                <w:rFonts w:eastAsia="Garamond" w:cs="Times New Roman"/>
              </w:rPr>
            </w:pPr>
            <w:r w:rsidRPr="00873C61">
              <w:rPr>
                <w:rFonts w:eastAsia="Garamond" w:cs="Times New Roman"/>
              </w:rPr>
              <w:t>I lov nr. 791 af 28. juni 2013 om ændring af ligningsloven og kildeskatteloven (Genindførelse og udvidelse af boligjobordningen og udvidelse af ordningen om skattekreditter for forsknings- og udviklingsaktiviteter) foretages følgende ændring:</w:t>
            </w:r>
          </w:p>
          <w:p w:rsidR="00873C61" w:rsidRPr="00873C61" w:rsidRDefault="00873C61" w:rsidP="00873C61">
            <w:pPr>
              <w:widowControl w:val="0"/>
              <w:autoSpaceDE w:val="0"/>
              <w:autoSpaceDN w:val="0"/>
              <w:adjustRightInd w:val="0"/>
              <w:jc w:val="left"/>
              <w:rPr>
                <w:rFonts w:eastAsia="Times New Roman" w:cs="Times New Roman"/>
                <w:b/>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b/>
                <w:szCs w:val="24"/>
              </w:rPr>
              <w:t>§ 3.</w:t>
            </w:r>
          </w:p>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i/>
                <w:szCs w:val="24"/>
              </w:rPr>
              <w:t>Stk. 4.</w:t>
            </w:r>
            <w:r w:rsidRPr="00873C61">
              <w:rPr>
                <w:rFonts w:eastAsia="Times New Roman" w:cs="Times New Roman"/>
                <w:szCs w:val="24"/>
              </w:rPr>
              <w:t xml:space="preserve"> § 1, nr. 9-12, har virkning fra og med indkomståret 2015.</w:t>
            </w:r>
          </w:p>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spacing w:line="288" w:lineRule="auto"/>
              <w:rPr>
                <w:rFonts w:eastAsia="Garamond" w:cs="Times New Roman"/>
                <w:b/>
              </w:rPr>
            </w:pPr>
          </w:p>
          <w:p w:rsidR="00873C61" w:rsidRPr="00873C61" w:rsidRDefault="00873C61" w:rsidP="00873C61">
            <w:pPr>
              <w:spacing w:line="288" w:lineRule="auto"/>
              <w:rPr>
                <w:rFonts w:eastAsia="Garamond" w:cs="Times New Roman"/>
              </w:rPr>
            </w:pPr>
            <w:r w:rsidRPr="00873C61">
              <w:rPr>
                <w:rFonts w:eastAsia="Garamond" w:cs="Times New Roman"/>
                <w:b/>
              </w:rPr>
              <w:t xml:space="preserve">1. </w:t>
            </w:r>
            <w:r w:rsidRPr="00873C61">
              <w:rPr>
                <w:rFonts w:eastAsia="Garamond" w:cs="Times New Roman"/>
              </w:rPr>
              <w:t xml:space="preserve">I </w:t>
            </w:r>
            <w:r w:rsidRPr="00873C61">
              <w:rPr>
                <w:rFonts w:eastAsia="Garamond" w:cs="Times New Roman"/>
                <w:i/>
              </w:rPr>
              <w:t xml:space="preserve">§ 3, stk. 4, </w:t>
            </w:r>
            <w:r w:rsidRPr="00873C61">
              <w:rPr>
                <w:rFonts w:eastAsia="Garamond" w:cs="Times New Roman"/>
              </w:rPr>
              <w:t xml:space="preserve">ændres ”2015” til: ”2014”, og som 2. pkt. indsættes: ”Den i ligningslovens § 8 X, stk. 1, 2. pkt., nævnte skatteværdi beregnes med 25 pct. for indkomståret 2014.” </w:t>
            </w:r>
          </w:p>
          <w:p w:rsidR="00873C61" w:rsidRPr="00873C61" w:rsidRDefault="00873C61" w:rsidP="00873C61">
            <w:pPr>
              <w:widowControl w:val="0"/>
              <w:autoSpaceDE w:val="0"/>
              <w:autoSpaceDN w:val="0"/>
              <w:adjustRightInd w:val="0"/>
              <w:jc w:val="left"/>
              <w:rPr>
                <w:rFonts w:eastAsia="Times New Roman" w:cs="Times New Roman"/>
                <w:b/>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spacing w:line="288" w:lineRule="auto"/>
              <w:jc w:val="center"/>
              <w:rPr>
                <w:rFonts w:eastAsia="Garamond" w:cs="Times New Roman"/>
                <w:b/>
              </w:rPr>
            </w:pPr>
            <w:r w:rsidRPr="00873C61">
              <w:rPr>
                <w:rFonts w:eastAsia="Garamond" w:cs="Times New Roman"/>
                <w:b/>
              </w:rPr>
              <w:t>§ 9</w:t>
            </w:r>
          </w:p>
          <w:p w:rsidR="00873C61" w:rsidRPr="00873C61" w:rsidRDefault="00873C61" w:rsidP="00873C61">
            <w:pPr>
              <w:spacing w:line="288" w:lineRule="auto"/>
              <w:rPr>
                <w:rFonts w:eastAsia="Garamond" w:cs="Times New Roman"/>
                <w:b/>
              </w:rPr>
            </w:pPr>
          </w:p>
          <w:p w:rsidR="00873C61" w:rsidRPr="00873C61" w:rsidRDefault="00873C61" w:rsidP="00873C61">
            <w:pPr>
              <w:spacing w:line="288" w:lineRule="auto"/>
              <w:rPr>
                <w:rFonts w:eastAsia="Garamond" w:cs="Times New Roman"/>
              </w:rPr>
            </w:pPr>
            <w:r w:rsidRPr="00873C61">
              <w:rPr>
                <w:rFonts w:eastAsia="Garamond" w:cs="Times New Roman"/>
              </w:rPr>
              <w:t xml:space="preserve">            I lov nr. 792 af 28. juni 2013 om ændring af selskabsskatteloven, lov om afgift af lønsum m.v., kulbrinteskatteloven og forskellige andre love (Aftaler om Vækstplan DK m.v. – nedsættelse af skattesatsen for selskaber, forhøjelse af lønsumsafgiften for finansielle virksomheder og fastholdelse af selskabsskattesatsen for kulbrinteindkomst m.v.) foretages følgende ændring:  </w:t>
            </w:r>
          </w:p>
          <w:p w:rsidR="00873C61" w:rsidRPr="00873C61" w:rsidRDefault="00873C61" w:rsidP="00873C61">
            <w:pPr>
              <w:widowControl w:val="0"/>
              <w:autoSpaceDE w:val="0"/>
              <w:autoSpaceDN w:val="0"/>
              <w:adjustRightInd w:val="0"/>
              <w:jc w:val="left"/>
              <w:rPr>
                <w:rFonts w:eastAsia="Times New Roman" w:cs="Times New Roman"/>
                <w:b/>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b/>
                <w:szCs w:val="24"/>
              </w:rPr>
              <w:t xml:space="preserve">§ 12. </w:t>
            </w:r>
          </w:p>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i/>
                <w:szCs w:val="24"/>
              </w:rPr>
              <w:t>Stk. 5.</w:t>
            </w:r>
            <w:r w:rsidRPr="00873C61">
              <w:rPr>
                <w:rFonts w:eastAsia="Times New Roman" w:cs="Times New Roman"/>
                <w:szCs w:val="24"/>
              </w:rPr>
              <w:t xml:space="preserve"> § 7 har virkning fra og med indkomståret 2015.</w:t>
            </w:r>
          </w:p>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rPr>
                <w:rFonts w:eastAsia="Garamond" w:cs="Times New Roman"/>
                <w:b/>
              </w:rPr>
            </w:pPr>
          </w:p>
          <w:p w:rsidR="00873C61" w:rsidRPr="00873C61" w:rsidRDefault="00873C61" w:rsidP="00873C61">
            <w:pPr>
              <w:rPr>
                <w:rFonts w:eastAsia="Garamond" w:cs="Times New Roman"/>
                <w:i/>
                <w:iCs/>
                <w:sz w:val="28"/>
              </w:rPr>
            </w:pPr>
            <w:r w:rsidRPr="00873C61">
              <w:rPr>
                <w:rFonts w:eastAsia="Garamond" w:cs="Times New Roman"/>
                <w:b/>
              </w:rPr>
              <w:t xml:space="preserve">1. </w:t>
            </w:r>
            <w:r w:rsidRPr="00873C61">
              <w:rPr>
                <w:rFonts w:eastAsia="Garamond" w:cs="Times New Roman"/>
              </w:rPr>
              <w:t xml:space="preserve">I </w:t>
            </w:r>
            <w:r w:rsidRPr="00873C61">
              <w:rPr>
                <w:rFonts w:eastAsia="Garamond" w:cs="Times New Roman"/>
                <w:i/>
              </w:rPr>
              <w:t xml:space="preserve">§ 12, stk. 5, </w:t>
            </w:r>
            <w:r w:rsidRPr="00873C61">
              <w:rPr>
                <w:rFonts w:eastAsia="Garamond" w:cs="Times New Roman"/>
              </w:rPr>
              <w:t>ændres ”2015” til: ”2014”.</w:t>
            </w:r>
          </w:p>
          <w:p w:rsidR="00873C61" w:rsidRPr="00873C61" w:rsidRDefault="00873C61" w:rsidP="00873C61">
            <w:pPr>
              <w:widowControl w:val="0"/>
              <w:autoSpaceDE w:val="0"/>
              <w:autoSpaceDN w:val="0"/>
              <w:adjustRightInd w:val="0"/>
              <w:jc w:val="left"/>
              <w:rPr>
                <w:rFonts w:eastAsia="Times New Roman" w:cs="Times New Roman"/>
                <w:b/>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szCs w:val="24"/>
              </w:rPr>
            </w:pPr>
            <w:r w:rsidRPr="00873C61">
              <w:rPr>
                <w:rFonts w:eastAsia="Times New Roman" w:cs="Times New Roman"/>
                <w:b/>
                <w:szCs w:val="24"/>
              </w:rPr>
              <w:t>§ 10</w:t>
            </w:r>
          </w:p>
          <w:p w:rsidR="00873C61" w:rsidRPr="00873C61" w:rsidRDefault="00873C61" w:rsidP="00873C61">
            <w:pPr>
              <w:widowControl w:val="0"/>
              <w:autoSpaceDE w:val="0"/>
              <w:autoSpaceDN w:val="0"/>
              <w:adjustRightInd w:val="0"/>
              <w:spacing w:line="288" w:lineRule="auto"/>
              <w:ind w:firstLine="720"/>
              <w:jc w:val="left"/>
              <w:rPr>
                <w:rFonts w:eastAsia="Times New Roman" w:cs="Times New Roman"/>
                <w:szCs w:val="24"/>
              </w:rPr>
            </w:pPr>
          </w:p>
          <w:p w:rsidR="00873C61" w:rsidRPr="00873C61" w:rsidRDefault="00873C61" w:rsidP="00873C61">
            <w:pPr>
              <w:widowControl w:val="0"/>
              <w:autoSpaceDE w:val="0"/>
              <w:autoSpaceDN w:val="0"/>
              <w:adjustRightInd w:val="0"/>
              <w:spacing w:line="288" w:lineRule="auto"/>
              <w:ind w:firstLine="720"/>
              <w:jc w:val="left"/>
              <w:rPr>
                <w:rFonts w:eastAsia="Times New Roman" w:cs="Times New Roman"/>
                <w:szCs w:val="24"/>
              </w:rPr>
            </w:pPr>
            <w:r w:rsidRPr="00873C61">
              <w:rPr>
                <w:rFonts w:eastAsia="Times New Roman" w:cs="Times New Roman"/>
                <w:szCs w:val="24"/>
              </w:rPr>
              <w:t>I lov nr. 903 af 4. juli 2013 om ændring af affalds- og råstofafgiftsloven, lov om kuldioxidafgift af visse energiprodukter, lov om afgift af elektricitet, momsloven og forskellige andre love (Nedsættelse af afgifter på el til erhverv, bortfald af CO2-afgift af el for erhverv, nedsættelse af energiafgifter på brændsler til proces, ændret lagerprincip ved deponering af farligt affald, lempelse af momskredittider samt supplerende støtte til eksisterende industrielle kraft-varme-værker) foretages følgende ændringer:</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b/>
                <w:szCs w:val="24"/>
              </w:rPr>
              <w:t>§ 4.</w:t>
            </w:r>
          </w:p>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b/>
                <w:szCs w:val="24"/>
              </w:rPr>
              <w:t xml:space="preserve">2. </w:t>
            </w:r>
            <w:r w:rsidRPr="00873C61">
              <w:rPr>
                <w:rFonts w:eastAsia="Times New Roman" w:cs="Times New Roman"/>
                <w:i/>
                <w:szCs w:val="24"/>
              </w:rPr>
              <w:t>§ 10 a</w:t>
            </w:r>
            <w:r w:rsidRPr="00873C61">
              <w:rPr>
                <w:rFonts w:eastAsia="Times New Roman" w:cs="Times New Roman"/>
                <w:szCs w:val="24"/>
              </w:rPr>
              <w:t xml:space="preserve"> affattes således:</w:t>
            </w:r>
          </w:p>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szCs w:val="24"/>
              </w:rPr>
              <w:t>»</w:t>
            </w:r>
            <w:r w:rsidRPr="00873C61">
              <w:rPr>
                <w:rFonts w:eastAsia="Times New Roman" w:cs="Times New Roman"/>
                <w:b/>
                <w:szCs w:val="24"/>
              </w:rPr>
              <w:t xml:space="preserve">§ 10 a. </w:t>
            </w:r>
            <w:r w:rsidRPr="00873C61">
              <w:rPr>
                <w:rFonts w:eastAsia="Times New Roman" w:cs="Times New Roman"/>
                <w:szCs w:val="24"/>
              </w:rPr>
              <w:t>Tilbagebetalingen af afgift efter § 10 nedsættes med 4,5 kr./GJ, jf. dog § 10 b, § 10 c og § 10 d. Tilbagebetalingen efter 1. pkt. kan også beregnes som en reduktion af afgiftsbetalingen med 4,5 kr./GJ delt med afgiftssatsen i § 8, stk. 4, 2. pkt. ganget med 1 over 1,2.«</w:t>
            </w:r>
          </w:p>
        </w:tc>
        <w:tc>
          <w:tcPr>
            <w:tcW w:w="4605" w:type="dxa"/>
            <w:shd w:val="clear" w:color="auto" w:fill="auto"/>
          </w:tcPr>
          <w:p w:rsidR="00873C61" w:rsidRPr="00873C61" w:rsidRDefault="00873C61" w:rsidP="00873C61">
            <w:pPr>
              <w:widowControl w:val="0"/>
              <w:autoSpaceDE w:val="0"/>
              <w:autoSpaceDN w:val="0"/>
              <w:adjustRightInd w:val="0"/>
              <w:spacing w:line="288" w:lineRule="auto"/>
              <w:jc w:val="left"/>
              <w:rPr>
                <w:rFonts w:eastAsia="Times New Roman" w:cs="Times New Roman"/>
                <w:b/>
                <w:szCs w:val="24"/>
              </w:rPr>
            </w:pPr>
          </w:p>
          <w:p w:rsidR="00873C61" w:rsidRPr="00873C61" w:rsidRDefault="00873C61" w:rsidP="00873C61">
            <w:pPr>
              <w:widowControl w:val="0"/>
              <w:autoSpaceDE w:val="0"/>
              <w:autoSpaceDN w:val="0"/>
              <w:adjustRightInd w:val="0"/>
              <w:spacing w:line="288" w:lineRule="auto"/>
              <w:jc w:val="left"/>
              <w:rPr>
                <w:rFonts w:eastAsia="Times New Roman" w:cs="Times New Roman"/>
                <w:i/>
                <w:szCs w:val="24"/>
              </w:rPr>
            </w:pPr>
            <w:r w:rsidRPr="00873C61">
              <w:rPr>
                <w:rFonts w:eastAsia="Times New Roman" w:cs="Times New Roman"/>
                <w:b/>
                <w:szCs w:val="24"/>
              </w:rPr>
              <w:t xml:space="preserve">1. </w:t>
            </w:r>
            <w:r w:rsidRPr="00873C61">
              <w:rPr>
                <w:rFonts w:eastAsia="Times New Roman" w:cs="Times New Roman"/>
                <w:i/>
                <w:szCs w:val="24"/>
              </w:rPr>
              <w:t xml:space="preserve">§ 4, nr. 2, </w:t>
            </w:r>
            <w:r w:rsidRPr="00873C61">
              <w:rPr>
                <w:rFonts w:eastAsia="Times New Roman" w:cs="Times New Roman"/>
                <w:szCs w:val="24"/>
              </w:rPr>
              <w:t>ophæves.</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b/>
                <w:szCs w:val="24"/>
              </w:rPr>
              <w:t>§ 5.</w:t>
            </w:r>
          </w:p>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b/>
                <w:szCs w:val="24"/>
              </w:rPr>
              <w:t xml:space="preserve">2. </w:t>
            </w:r>
            <w:r w:rsidRPr="00873C61">
              <w:rPr>
                <w:rFonts w:eastAsia="Times New Roman" w:cs="Times New Roman"/>
                <w:i/>
                <w:szCs w:val="24"/>
              </w:rPr>
              <w:t>§ 8 a</w:t>
            </w:r>
            <w:r w:rsidRPr="00873C61">
              <w:rPr>
                <w:rFonts w:eastAsia="Times New Roman" w:cs="Times New Roman"/>
                <w:szCs w:val="24"/>
              </w:rPr>
              <w:t xml:space="preserve"> affattes således:</w:t>
            </w:r>
          </w:p>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szCs w:val="24"/>
              </w:rPr>
              <w:t>»</w:t>
            </w:r>
            <w:r w:rsidRPr="00873C61">
              <w:rPr>
                <w:rFonts w:eastAsia="Times New Roman" w:cs="Times New Roman"/>
                <w:b/>
                <w:szCs w:val="24"/>
              </w:rPr>
              <w:t xml:space="preserve">§ 8 a. </w:t>
            </w:r>
            <w:r w:rsidRPr="00873C61">
              <w:rPr>
                <w:rFonts w:eastAsia="Times New Roman" w:cs="Times New Roman"/>
                <w:szCs w:val="24"/>
              </w:rPr>
              <w:t>Tilbagebetalingen af afgift efter § 8 nedsættes med 4,5 kr./GJ, jf. dog § 8 b, § 8 c og § 8 d. Tilbagebetalingen efter 1. pkt. kan også beregnes som en reduktion af afgiftsbetalingen med 4,5 kr./GJ delt med afgiftssatsen i § 7, stk. 3, 2. pkt. ganget med 1 over 1,2.«</w:t>
            </w:r>
          </w:p>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widowControl w:val="0"/>
              <w:autoSpaceDE w:val="0"/>
              <w:autoSpaceDN w:val="0"/>
              <w:adjustRightInd w:val="0"/>
              <w:spacing w:line="288" w:lineRule="auto"/>
              <w:jc w:val="left"/>
              <w:rPr>
                <w:rFonts w:eastAsia="Times New Roman" w:cs="Times New Roman"/>
                <w:b/>
                <w:szCs w:val="24"/>
              </w:rPr>
            </w:pPr>
          </w:p>
          <w:p w:rsidR="00873C61" w:rsidRPr="00873C61" w:rsidRDefault="00873C61" w:rsidP="00873C61">
            <w:pPr>
              <w:widowControl w:val="0"/>
              <w:autoSpaceDE w:val="0"/>
              <w:autoSpaceDN w:val="0"/>
              <w:adjustRightInd w:val="0"/>
              <w:spacing w:line="288" w:lineRule="auto"/>
              <w:jc w:val="left"/>
              <w:rPr>
                <w:rFonts w:eastAsia="Times New Roman" w:cs="Times New Roman"/>
                <w:b/>
                <w:bCs/>
                <w:szCs w:val="24"/>
              </w:rPr>
            </w:pPr>
            <w:r w:rsidRPr="00873C61">
              <w:rPr>
                <w:rFonts w:eastAsia="Times New Roman" w:cs="Times New Roman"/>
                <w:b/>
                <w:szCs w:val="24"/>
              </w:rPr>
              <w:t xml:space="preserve">2. </w:t>
            </w:r>
            <w:r w:rsidRPr="00873C61">
              <w:rPr>
                <w:rFonts w:eastAsia="Times New Roman" w:cs="Times New Roman"/>
                <w:i/>
                <w:szCs w:val="24"/>
              </w:rPr>
              <w:t xml:space="preserve">§ 5, nr. 2, </w:t>
            </w:r>
            <w:r w:rsidRPr="00873C61">
              <w:rPr>
                <w:rFonts w:eastAsia="Times New Roman" w:cs="Times New Roman"/>
                <w:szCs w:val="24"/>
              </w:rPr>
              <w:t>ophæves</w:t>
            </w:r>
            <w:r w:rsidRPr="00873C61">
              <w:rPr>
                <w:rFonts w:eastAsia="Times New Roman" w:cs="Times New Roman"/>
                <w:i/>
                <w:szCs w:val="24"/>
              </w:rPr>
              <w:t>.</w:t>
            </w:r>
            <w:r w:rsidRPr="00873C61">
              <w:rPr>
                <w:rFonts w:eastAsia="Times New Roman" w:cs="Times New Roman"/>
                <w:b/>
                <w:bCs/>
                <w:szCs w:val="24"/>
              </w:rPr>
              <w:tab/>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b/>
                <w:szCs w:val="24"/>
              </w:rPr>
              <w:t>§ 6.</w:t>
            </w:r>
          </w:p>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b/>
                <w:szCs w:val="24"/>
              </w:rPr>
              <w:t>2.</w:t>
            </w:r>
            <w:r w:rsidRPr="00873C61">
              <w:rPr>
                <w:rFonts w:eastAsia="Times New Roman" w:cs="Times New Roman"/>
                <w:szCs w:val="24"/>
              </w:rPr>
              <w:t xml:space="preserve"> </w:t>
            </w:r>
            <w:r w:rsidRPr="00873C61">
              <w:rPr>
                <w:rFonts w:eastAsia="Times New Roman" w:cs="Times New Roman"/>
                <w:i/>
                <w:szCs w:val="24"/>
              </w:rPr>
              <w:t>§ 11 a</w:t>
            </w:r>
            <w:r w:rsidRPr="00873C61">
              <w:rPr>
                <w:rFonts w:eastAsia="Times New Roman" w:cs="Times New Roman"/>
                <w:szCs w:val="24"/>
              </w:rPr>
              <w:t xml:space="preserve"> affattes således:</w:t>
            </w:r>
          </w:p>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szCs w:val="24"/>
              </w:rPr>
              <w:t>»</w:t>
            </w:r>
            <w:r w:rsidRPr="00873C61">
              <w:rPr>
                <w:rFonts w:eastAsia="Times New Roman" w:cs="Times New Roman"/>
                <w:b/>
                <w:szCs w:val="24"/>
              </w:rPr>
              <w:t xml:space="preserve">§ 11 a. </w:t>
            </w:r>
            <w:r w:rsidRPr="00873C61">
              <w:rPr>
                <w:rFonts w:eastAsia="Times New Roman" w:cs="Times New Roman"/>
                <w:szCs w:val="24"/>
              </w:rPr>
              <w:t>Tilbagebetalingen af afgifter efter § 11 nedsættes med 4,5 kr./GJ, jf. dog § 11 b, § 11 c og § 11 d. Tilbagebetalingen efter 1. pkt. kan også beregnes som en reduktion af afgiftsbetalingen med 4,5 kr./GJ delt med afgiftssatsen i § 9, stk. 4, 2. pkt. ganget med 1 over 1,2.«</w:t>
            </w:r>
          </w:p>
        </w:tc>
        <w:tc>
          <w:tcPr>
            <w:tcW w:w="4605" w:type="dxa"/>
            <w:shd w:val="clear" w:color="auto" w:fill="auto"/>
          </w:tcPr>
          <w:p w:rsidR="00873C61" w:rsidRPr="00873C61" w:rsidRDefault="00873C61" w:rsidP="00873C61">
            <w:pPr>
              <w:widowControl w:val="0"/>
              <w:autoSpaceDE w:val="0"/>
              <w:autoSpaceDN w:val="0"/>
              <w:adjustRightInd w:val="0"/>
              <w:spacing w:line="288" w:lineRule="auto"/>
              <w:jc w:val="left"/>
              <w:rPr>
                <w:rFonts w:eastAsia="Times New Roman" w:cs="Times New Roman"/>
                <w:b/>
                <w:bCs/>
                <w:szCs w:val="24"/>
              </w:rPr>
            </w:pPr>
          </w:p>
          <w:p w:rsidR="00873C61" w:rsidRPr="00873C61" w:rsidRDefault="00873C61" w:rsidP="00873C61">
            <w:pPr>
              <w:widowControl w:val="0"/>
              <w:autoSpaceDE w:val="0"/>
              <w:autoSpaceDN w:val="0"/>
              <w:adjustRightInd w:val="0"/>
              <w:spacing w:line="288" w:lineRule="auto"/>
              <w:jc w:val="left"/>
              <w:rPr>
                <w:rFonts w:eastAsia="Times New Roman" w:cs="Times New Roman"/>
                <w:bCs/>
                <w:szCs w:val="24"/>
              </w:rPr>
            </w:pPr>
            <w:r w:rsidRPr="00873C61">
              <w:rPr>
                <w:rFonts w:eastAsia="Times New Roman" w:cs="Times New Roman"/>
                <w:b/>
                <w:bCs/>
                <w:szCs w:val="24"/>
              </w:rPr>
              <w:t xml:space="preserve">3. </w:t>
            </w:r>
            <w:r w:rsidRPr="00873C61">
              <w:rPr>
                <w:rFonts w:eastAsia="Times New Roman" w:cs="Times New Roman"/>
                <w:bCs/>
                <w:i/>
                <w:szCs w:val="24"/>
              </w:rPr>
              <w:t>§ 6, nr. 2,</w:t>
            </w:r>
            <w:r w:rsidRPr="00873C61">
              <w:rPr>
                <w:rFonts w:eastAsia="Times New Roman" w:cs="Times New Roman"/>
                <w:bCs/>
                <w:szCs w:val="24"/>
              </w:rPr>
              <w:t xml:space="preserve"> ophæves.</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spacing w:line="276" w:lineRule="auto"/>
              <w:rPr>
                <w:rFonts w:ascii="Times New Roman" w:eastAsia="Times New Roman" w:hAnsi="Times New Roman" w:cs="Times New Roman"/>
                <w:b/>
                <w:bCs/>
                <w:szCs w:val="24"/>
              </w:rPr>
            </w:pPr>
            <w:r w:rsidRPr="00873C61">
              <w:rPr>
                <w:rFonts w:ascii="Times New Roman" w:eastAsia="Times New Roman" w:hAnsi="Times New Roman" w:cs="Times New Roman"/>
                <w:b/>
                <w:bCs/>
                <w:szCs w:val="24"/>
              </w:rPr>
              <w:t>§ 7.</w:t>
            </w:r>
          </w:p>
          <w:p w:rsidR="00873C61" w:rsidRPr="00873C61" w:rsidRDefault="00873C61" w:rsidP="00873C61">
            <w:pPr>
              <w:widowControl w:val="0"/>
              <w:autoSpaceDE w:val="0"/>
              <w:autoSpaceDN w:val="0"/>
              <w:adjustRightInd w:val="0"/>
              <w:spacing w:line="276" w:lineRule="auto"/>
              <w:rPr>
                <w:rFonts w:ascii="Times New Roman" w:eastAsia="Times New Roman" w:hAnsi="Times New Roman" w:cs="Times New Roman"/>
                <w:bCs/>
                <w:szCs w:val="24"/>
              </w:rPr>
            </w:pPr>
            <w:r w:rsidRPr="00873C61">
              <w:rPr>
                <w:rFonts w:ascii="Times New Roman" w:eastAsia="Times New Roman" w:hAnsi="Times New Roman" w:cs="Times New Roman"/>
                <w:b/>
                <w:bCs/>
                <w:szCs w:val="24"/>
              </w:rPr>
              <w:t>4.</w:t>
            </w:r>
            <w:r w:rsidRPr="00873C61">
              <w:rPr>
                <w:rFonts w:ascii="Times New Roman" w:eastAsia="Times New Roman" w:hAnsi="Times New Roman" w:cs="Times New Roman"/>
                <w:bCs/>
                <w:szCs w:val="24"/>
              </w:rPr>
              <w:t xml:space="preserve"> I </w:t>
            </w:r>
            <w:r w:rsidRPr="00873C61">
              <w:rPr>
                <w:rFonts w:ascii="Times New Roman" w:eastAsia="Times New Roman" w:hAnsi="Times New Roman" w:cs="Times New Roman"/>
                <w:bCs/>
                <w:i/>
                <w:szCs w:val="24"/>
              </w:rPr>
              <w:t xml:space="preserve">§ 57, stk. 3 og 4, </w:t>
            </w:r>
            <w:r w:rsidRPr="00873C61">
              <w:rPr>
                <w:rFonts w:ascii="Times New Roman" w:eastAsia="Times New Roman" w:hAnsi="Times New Roman" w:cs="Times New Roman"/>
                <w:bCs/>
                <w:szCs w:val="24"/>
              </w:rPr>
              <w:t>ændres ”1 mio. kr.” til: ”5 mio. kr.”</w:t>
            </w:r>
          </w:p>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spacing w:line="288" w:lineRule="auto"/>
              <w:rPr>
                <w:rFonts w:eastAsia="Garamond" w:cs="Times New Roman"/>
                <w:b/>
              </w:rPr>
            </w:pPr>
          </w:p>
          <w:p w:rsidR="00873C61" w:rsidRPr="00873C61" w:rsidRDefault="00873C61" w:rsidP="00873C61">
            <w:pPr>
              <w:spacing w:line="288" w:lineRule="auto"/>
              <w:rPr>
                <w:rFonts w:eastAsia="Garamond" w:cs="Times New Roman"/>
              </w:rPr>
            </w:pPr>
            <w:r w:rsidRPr="00873C61">
              <w:rPr>
                <w:rFonts w:eastAsia="Garamond" w:cs="Times New Roman"/>
                <w:b/>
              </w:rPr>
              <w:t xml:space="preserve">4. </w:t>
            </w:r>
            <w:r w:rsidRPr="00873C61">
              <w:rPr>
                <w:rFonts w:eastAsia="Garamond" w:cs="Times New Roman"/>
                <w:i/>
              </w:rPr>
              <w:t xml:space="preserve">§ 7, nr. 4, </w:t>
            </w:r>
            <w:r w:rsidRPr="00873C61">
              <w:rPr>
                <w:rFonts w:eastAsia="Garamond" w:cs="Times New Roman"/>
              </w:rPr>
              <w:t>ophæves.</w:t>
            </w:r>
          </w:p>
          <w:p w:rsidR="00873C61" w:rsidRPr="00873C61" w:rsidRDefault="00873C61" w:rsidP="00873C61">
            <w:pPr>
              <w:widowControl w:val="0"/>
              <w:autoSpaceDE w:val="0"/>
              <w:autoSpaceDN w:val="0"/>
              <w:adjustRightInd w:val="0"/>
              <w:spacing w:line="288" w:lineRule="auto"/>
              <w:jc w:val="left"/>
              <w:rPr>
                <w:rFonts w:eastAsia="Times New Roman" w:cs="Times New Roman"/>
                <w:b/>
                <w:bCs/>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b/>
                <w:szCs w:val="24"/>
              </w:rPr>
              <w:t>§ 13.</w:t>
            </w:r>
          </w:p>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i/>
                <w:szCs w:val="24"/>
              </w:rPr>
              <w:t>Stk. 1.</w:t>
            </w:r>
            <w:r w:rsidRPr="00873C61">
              <w:rPr>
                <w:rFonts w:eastAsia="Times New Roman" w:cs="Times New Roman"/>
                <w:szCs w:val="24"/>
              </w:rPr>
              <w:t xml:space="preserve"> Loven træder i kraft den 1. januar 2014, jf. dog stk. 2, 8, 9 og 10.</w:t>
            </w:r>
          </w:p>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widowControl w:val="0"/>
              <w:autoSpaceDE w:val="0"/>
              <w:autoSpaceDN w:val="0"/>
              <w:adjustRightInd w:val="0"/>
              <w:spacing w:line="288" w:lineRule="auto"/>
              <w:jc w:val="left"/>
              <w:rPr>
                <w:rFonts w:eastAsia="Times New Roman" w:cs="Times New Roman"/>
                <w:b/>
                <w:bCs/>
                <w:szCs w:val="24"/>
              </w:rPr>
            </w:pPr>
          </w:p>
          <w:p w:rsidR="00873C61" w:rsidRPr="00873C61" w:rsidRDefault="00873C61" w:rsidP="00873C61">
            <w:pPr>
              <w:widowControl w:val="0"/>
              <w:autoSpaceDE w:val="0"/>
              <w:autoSpaceDN w:val="0"/>
              <w:adjustRightInd w:val="0"/>
              <w:spacing w:line="288" w:lineRule="auto"/>
              <w:jc w:val="left"/>
              <w:rPr>
                <w:rFonts w:eastAsia="Times New Roman" w:cs="Times New Roman"/>
                <w:bCs/>
                <w:szCs w:val="24"/>
              </w:rPr>
            </w:pPr>
            <w:r w:rsidRPr="00873C61">
              <w:rPr>
                <w:rFonts w:eastAsia="Times New Roman" w:cs="Times New Roman"/>
                <w:b/>
                <w:bCs/>
                <w:szCs w:val="24"/>
              </w:rPr>
              <w:t>5.</w:t>
            </w:r>
            <w:r w:rsidRPr="00873C61">
              <w:rPr>
                <w:rFonts w:eastAsia="Times New Roman" w:cs="Times New Roman"/>
                <w:bCs/>
                <w:szCs w:val="24"/>
              </w:rPr>
              <w:t xml:space="preserve"> I </w:t>
            </w:r>
            <w:r w:rsidRPr="00873C61">
              <w:rPr>
                <w:rFonts w:eastAsia="Times New Roman" w:cs="Times New Roman"/>
                <w:bCs/>
                <w:i/>
                <w:szCs w:val="24"/>
              </w:rPr>
              <w:t>§ 13, stk. 1,</w:t>
            </w:r>
            <w:r w:rsidRPr="00873C61">
              <w:rPr>
                <w:rFonts w:eastAsia="Times New Roman" w:cs="Times New Roman"/>
                <w:bCs/>
                <w:szCs w:val="24"/>
              </w:rPr>
              <w:t xml:space="preserve"> ændres ”, jf. dog stk. 2, 8, 9 og 10” til: ”, jf. dog stk. 2, 6, 7 og 8”.</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i/>
                <w:szCs w:val="24"/>
              </w:rPr>
              <w:t>Stk. 2.</w:t>
            </w:r>
            <w:r w:rsidRPr="00873C61">
              <w:rPr>
                <w:rFonts w:eastAsia="Times New Roman" w:cs="Times New Roman"/>
                <w:szCs w:val="24"/>
              </w:rPr>
              <w:t xml:space="preserve"> § 4, nr. 2 og 3, § 5, nr. 2 og 3 og § 6, nr. 2 og 3 træder i kraft den 1. januar 2015.</w:t>
            </w:r>
          </w:p>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widowControl w:val="0"/>
              <w:autoSpaceDE w:val="0"/>
              <w:autoSpaceDN w:val="0"/>
              <w:adjustRightInd w:val="0"/>
              <w:spacing w:line="288" w:lineRule="auto"/>
              <w:jc w:val="left"/>
              <w:rPr>
                <w:rFonts w:eastAsia="Times New Roman" w:cs="Times New Roman"/>
                <w:bCs/>
                <w:szCs w:val="24"/>
              </w:rPr>
            </w:pPr>
            <w:r w:rsidRPr="00873C61">
              <w:rPr>
                <w:rFonts w:eastAsia="Times New Roman" w:cs="Times New Roman"/>
                <w:b/>
                <w:bCs/>
                <w:szCs w:val="24"/>
              </w:rPr>
              <w:t>6.</w:t>
            </w:r>
            <w:r w:rsidRPr="00873C61">
              <w:rPr>
                <w:rFonts w:eastAsia="Times New Roman" w:cs="Times New Roman"/>
                <w:bCs/>
                <w:szCs w:val="24"/>
              </w:rPr>
              <w:t xml:space="preserve"> I </w:t>
            </w:r>
            <w:r w:rsidRPr="00873C61">
              <w:rPr>
                <w:rFonts w:eastAsia="Times New Roman" w:cs="Times New Roman"/>
                <w:bCs/>
                <w:i/>
                <w:szCs w:val="24"/>
              </w:rPr>
              <w:t>§ 13, stk. 2,</w:t>
            </w:r>
            <w:r w:rsidRPr="00873C61">
              <w:rPr>
                <w:rFonts w:eastAsia="Times New Roman" w:cs="Times New Roman"/>
                <w:bCs/>
                <w:szCs w:val="24"/>
              </w:rPr>
              <w:t xml:space="preserve"> ændres ”§ 4, nr. 2 og 3, § 5, nr. 2 og 3, og § 6, nr. 2 og 3” til: ”§ 4, nr. 3, § 5, nr. 3, og § 6, nr. 3”.</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szCs w:val="24"/>
              </w:rPr>
            </w:pPr>
            <w:r w:rsidRPr="00873C61">
              <w:rPr>
                <w:rFonts w:eastAsia="Times New Roman" w:cs="Times New Roman"/>
                <w:i/>
                <w:szCs w:val="24"/>
              </w:rPr>
              <w:t>Stk. 4.</w:t>
            </w:r>
            <w:r w:rsidRPr="00873C61">
              <w:rPr>
                <w:rFonts w:eastAsia="Times New Roman" w:cs="Times New Roman"/>
                <w:szCs w:val="24"/>
              </w:rPr>
              <w:t xml:space="preserve"> For løbende leverancer omfattet af lovens § 4, nr. 2, § 5, nr. 2 og § 6, nr. 2, for hvilke afregningsperioden påbegyndes inden den 1. januar 2015 og afsluttes efter dette tidspunkt, beregnes afgiften af så stor en del af leverancen, som tidsrummet fra lovens ikrafttræden til afregningsperiodens afslutning udgør i forhold til den samlede afregningsperiode.</w:t>
            </w:r>
          </w:p>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widowControl w:val="0"/>
              <w:autoSpaceDE w:val="0"/>
              <w:autoSpaceDN w:val="0"/>
              <w:adjustRightInd w:val="0"/>
              <w:spacing w:line="288" w:lineRule="auto"/>
              <w:jc w:val="left"/>
              <w:rPr>
                <w:rFonts w:eastAsia="Times New Roman" w:cs="Times New Roman"/>
                <w:bCs/>
                <w:szCs w:val="24"/>
              </w:rPr>
            </w:pPr>
            <w:r w:rsidRPr="00873C61">
              <w:rPr>
                <w:rFonts w:eastAsia="Times New Roman" w:cs="Times New Roman"/>
                <w:b/>
                <w:bCs/>
                <w:szCs w:val="24"/>
              </w:rPr>
              <w:t>7.</w:t>
            </w:r>
            <w:r w:rsidRPr="00873C61">
              <w:rPr>
                <w:rFonts w:eastAsia="Times New Roman" w:cs="Times New Roman"/>
                <w:bCs/>
                <w:szCs w:val="24"/>
              </w:rPr>
              <w:t xml:space="preserve"> </w:t>
            </w:r>
            <w:r w:rsidRPr="00873C61">
              <w:rPr>
                <w:rFonts w:eastAsia="Times New Roman" w:cs="Times New Roman"/>
                <w:bCs/>
                <w:i/>
                <w:szCs w:val="24"/>
              </w:rPr>
              <w:t>§ 13, stk. 4,</w:t>
            </w:r>
            <w:r w:rsidRPr="00873C61">
              <w:rPr>
                <w:rFonts w:eastAsia="Times New Roman" w:cs="Times New Roman"/>
                <w:bCs/>
                <w:szCs w:val="24"/>
              </w:rPr>
              <w:t xml:space="preserve"> ophæves. </w:t>
            </w:r>
          </w:p>
          <w:p w:rsidR="00873C61" w:rsidRPr="00873C61" w:rsidRDefault="00873C61" w:rsidP="00873C61">
            <w:pPr>
              <w:widowControl w:val="0"/>
              <w:autoSpaceDE w:val="0"/>
              <w:autoSpaceDN w:val="0"/>
              <w:adjustRightInd w:val="0"/>
              <w:spacing w:line="288" w:lineRule="auto"/>
              <w:jc w:val="left"/>
              <w:rPr>
                <w:rFonts w:eastAsia="Times New Roman" w:cs="Times New Roman"/>
                <w:bCs/>
                <w:szCs w:val="24"/>
              </w:rPr>
            </w:pPr>
            <w:r w:rsidRPr="00873C61">
              <w:rPr>
                <w:rFonts w:eastAsia="Times New Roman" w:cs="Times New Roman"/>
                <w:bCs/>
                <w:szCs w:val="24"/>
              </w:rPr>
              <w:t xml:space="preserve">Stk. 5 og 6 bliver herefter stk. 4 og 5. </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r w:rsidRPr="00873C61">
              <w:rPr>
                <w:rFonts w:eastAsia="Times New Roman" w:cs="Times New Roman"/>
                <w:i/>
                <w:szCs w:val="24"/>
              </w:rPr>
              <w:t>Stk. 6.</w:t>
            </w:r>
            <w:r w:rsidRPr="00873C61">
              <w:rPr>
                <w:rFonts w:eastAsia="Times New Roman" w:cs="Times New Roman"/>
                <w:szCs w:val="24"/>
              </w:rPr>
              <w:t xml:space="preserve"> § 4, nr. 2, § 5, nr. 2 og § 6, nr. 2 finder anvendelse for energiafgiftspligtige varer, der fra og med den 1. januar 2015</w:t>
            </w:r>
            <w:r w:rsidRPr="00873C61">
              <w:rPr>
                <w:rFonts w:eastAsia="Times New Roman" w:cs="Times New Roman"/>
                <w:b/>
                <w:szCs w:val="24"/>
              </w:rPr>
              <w:t xml:space="preserve"> </w:t>
            </w:r>
            <w:r w:rsidRPr="00873C61">
              <w:rPr>
                <w:rFonts w:eastAsia="Times New Roman" w:cs="Times New Roman"/>
                <w:szCs w:val="24"/>
              </w:rPr>
              <w:t>udleveres til forbrug fra registrerede virksomheder, forbruges af registrerede virksomheder, angives til fortoldning, modtages fra udlandet eller medtages fra udlandet.</w:t>
            </w:r>
          </w:p>
        </w:tc>
        <w:tc>
          <w:tcPr>
            <w:tcW w:w="4605" w:type="dxa"/>
            <w:shd w:val="clear" w:color="auto" w:fill="auto"/>
          </w:tcPr>
          <w:p w:rsidR="00873C61" w:rsidRPr="00873C61" w:rsidRDefault="00873C61" w:rsidP="00873C61">
            <w:pPr>
              <w:widowControl w:val="0"/>
              <w:autoSpaceDE w:val="0"/>
              <w:autoSpaceDN w:val="0"/>
              <w:adjustRightInd w:val="0"/>
              <w:spacing w:line="288" w:lineRule="auto"/>
              <w:jc w:val="left"/>
              <w:rPr>
                <w:rFonts w:eastAsia="Times New Roman" w:cs="Times New Roman"/>
                <w:bCs/>
                <w:szCs w:val="24"/>
              </w:rPr>
            </w:pPr>
            <w:r w:rsidRPr="00873C61">
              <w:rPr>
                <w:rFonts w:eastAsia="Times New Roman" w:cs="Times New Roman"/>
                <w:b/>
                <w:bCs/>
                <w:szCs w:val="24"/>
              </w:rPr>
              <w:t>8.</w:t>
            </w:r>
            <w:r w:rsidRPr="00873C61">
              <w:rPr>
                <w:rFonts w:eastAsia="Times New Roman" w:cs="Times New Roman"/>
                <w:bCs/>
                <w:szCs w:val="24"/>
              </w:rPr>
              <w:t xml:space="preserve"> </w:t>
            </w:r>
            <w:r w:rsidRPr="00873C61">
              <w:rPr>
                <w:rFonts w:eastAsia="Times New Roman" w:cs="Times New Roman"/>
                <w:bCs/>
                <w:i/>
                <w:szCs w:val="24"/>
              </w:rPr>
              <w:t>§ 13, stk. 6,</w:t>
            </w:r>
            <w:r w:rsidRPr="00873C61">
              <w:rPr>
                <w:rFonts w:eastAsia="Times New Roman" w:cs="Times New Roman"/>
                <w:bCs/>
                <w:szCs w:val="24"/>
              </w:rPr>
              <w:t xml:space="preserve"> der bliver stk. 5, ophæves. </w:t>
            </w:r>
          </w:p>
          <w:p w:rsidR="00873C61" w:rsidRPr="00873C61" w:rsidRDefault="00873C61" w:rsidP="00873C61">
            <w:pPr>
              <w:widowControl w:val="0"/>
              <w:autoSpaceDE w:val="0"/>
              <w:autoSpaceDN w:val="0"/>
              <w:adjustRightInd w:val="0"/>
              <w:spacing w:line="288" w:lineRule="auto"/>
              <w:jc w:val="left"/>
              <w:rPr>
                <w:rFonts w:eastAsia="Times New Roman" w:cs="Times New Roman"/>
                <w:szCs w:val="24"/>
              </w:rPr>
            </w:pPr>
            <w:r w:rsidRPr="00873C61">
              <w:rPr>
                <w:rFonts w:eastAsia="Times New Roman" w:cs="Times New Roman"/>
                <w:bCs/>
                <w:szCs w:val="24"/>
              </w:rPr>
              <w:t>Stk. 7-10 bliver herefter stk. 5-8.</w:t>
            </w: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i/>
                <w:szCs w:val="24"/>
              </w:rPr>
            </w:pPr>
            <w:r w:rsidRPr="00873C61">
              <w:rPr>
                <w:rFonts w:eastAsia="Times New Roman" w:cs="Times New Roman"/>
                <w:i/>
                <w:szCs w:val="24"/>
              </w:rPr>
              <w:t xml:space="preserve">Stk. 7. </w:t>
            </w:r>
            <w:r w:rsidRPr="00873C61">
              <w:rPr>
                <w:rFonts w:eastAsia="Times New Roman" w:cs="Times New Roman"/>
                <w:szCs w:val="24"/>
              </w:rPr>
              <w:t>§ 7, nr. 2 og 3, har virkning for afgiftsperioder, som begynder den 1. januar 2014 eller senere. § 7, nr. 4, har virkning for afgiftsperioder, som begynder den 1. januar 2015 eller senere.</w:t>
            </w:r>
          </w:p>
        </w:tc>
        <w:tc>
          <w:tcPr>
            <w:tcW w:w="4605" w:type="dxa"/>
            <w:shd w:val="clear" w:color="auto" w:fill="auto"/>
          </w:tcPr>
          <w:p w:rsidR="00873C61" w:rsidRPr="00873C61" w:rsidRDefault="00873C61" w:rsidP="00873C61">
            <w:pPr>
              <w:spacing w:line="288" w:lineRule="auto"/>
              <w:rPr>
                <w:rFonts w:eastAsia="Garamond" w:cs="Times New Roman"/>
                <w:b/>
              </w:rPr>
            </w:pPr>
            <w:r w:rsidRPr="00873C61">
              <w:rPr>
                <w:rFonts w:eastAsia="Garamond" w:cs="Times New Roman"/>
                <w:b/>
              </w:rPr>
              <w:t xml:space="preserve">9. </w:t>
            </w:r>
            <w:r w:rsidRPr="00873C61">
              <w:rPr>
                <w:rFonts w:eastAsia="Garamond" w:cs="Times New Roman"/>
              </w:rPr>
              <w:t xml:space="preserve">I </w:t>
            </w:r>
            <w:r w:rsidRPr="00873C61">
              <w:rPr>
                <w:rFonts w:eastAsia="Garamond" w:cs="Times New Roman"/>
                <w:i/>
              </w:rPr>
              <w:t>§ 13, stk. 7,</w:t>
            </w:r>
            <w:r w:rsidRPr="00873C61">
              <w:rPr>
                <w:rFonts w:eastAsia="Garamond" w:cs="Times New Roman"/>
              </w:rPr>
              <w:t xml:space="preserve"> der bliver stk. 5, ophæves </w:t>
            </w:r>
            <w:r w:rsidRPr="00873C61">
              <w:rPr>
                <w:rFonts w:eastAsia="Garamond" w:cs="Times New Roman"/>
                <w:i/>
              </w:rPr>
              <w:t>2. pkt.</w:t>
            </w:r>
          </w:p>
          <w:p w:rsidR="00873C61" w:rsidRPr="00873C61" w:rsidRDefault="00873C61" w:rsidP="00873C61">
            <w:pPr>
              <w:widowControl w:val="0"/>
              <w:autoSpaceDE w:val="0"/>
              <w:autoSpaceDN w:val="0"/>
              <w:adjustRightInd w:val="0"/>
              <w:spacing w:line="288" w:lineRule="auto"/>
              <w:jc w:val="left"/>
              <w:rPr>
                <w:rFonts w:eastAsia="Times New Roman" w:cs="Times New Roman"/>
                <w:b/>
                <w:bCs/>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widowControl w:val="0"/>
              <w:autoSpaceDE w:val="0"/>
              <w:autoSpaceDN w:val="0"/>
              <w:adjustRightInd w:val="0"/>
              <w:jc w:val="center"/>
              <w:rPr>
                <w:rFonts w:eastAsia="Times New Roman" w:cs="Times New Roman"/>
                <w:b/>
                <w:iCs/>
                <w:szCs w:val="24"/>
              </w:rPr>
            </w:pPr>
            <w:r w:rsidRPr="00873C61">
              <w:rPr>
                <w:rFonts w:eastAsia="Times New Roman" w:cs="Times New Roman"/>
                <w:b/>
                <w:iCs/>
                <w:szCs w:val="24"/>
              </w:rPr>
              <w:t>§ 11</w:t>
            </w:r>
          </w:p>
          <w:p w:rsidR="00873C61" w:rsidRPr="00873C61" w:rsidRDefault="00873C61" w:rsidP="00873C61">
            <w:pPr>
              <w:widowControl w:val="0"/>
              <w:autoSpaceDE w:val="0"/>
              <w:autoSpaceDN w:val="0"/>
              <w:adjustRightInd w:val="0"/>
              <w:jc w:val="left"/>
              <w:rPr>
                <w:rFonts w:eastAsia="Times New Roman" w:cs="Times New Roman"/>
                <w:i/>
                <w:iCs/>
                <w:szCs w:val="24"/>
              </w:rPr>
            </w:pPr>
          </w:p>
          <w:p w:rsidR="00873C61" w:rsidRPr="00873C61" w:rsidRDefault="00873C61" w:rsidP="00873C61">
            <w:pPr>
              <w:rPr>
                <w:rFonts w:eastAsia="Garamond" w:cs="Times New Roman"/>
                <w:iCs/>
              </w:rPr>
            </w:pPr>
            <w:r w:rsidRPr="00873C61">
              <w:rPr>
                <w:rFonts w:eastAsia="Garamond" w:cs="Times New Roman"/>
                <w:i/>
                <w:iCs/>
              </w:rPr>
              <w:t xml:space="preserve">Stk. 1. </w:t>
            </w:r>
            <w:r w:rsidRPr="00873C61">
              <w:rPr>
                <w:rFonts w:eastAsia="Garamond" w:cs="Times New Roman"/>
                <w:iCs/>
              </w:rPr>
              <w:t>Loven træder i kraft dagen efter bekendtgørelsen i Lovtidende.</w:t>
            </w:r>
          </w:p>
          <w:p w:rsidR="00873C61" w:rsidRPr="00873C61" w:rsidRDefault="00873C61" w:rsidP="00873C61">
            <w:pPr>
              <w:rPr>
                <w:rFonts w:eastAsia="Garamond" w:cs="Times New Roman"/>
                <w:iCs/>
              </w:rPr>
            </w:pPr>
            <w:r w:rsidRPr="00873C61">
              <w:rPr>
                <w:rFonts w:eastAsia="Garamond" w:cs="Times New Roman"/>
                <w:i/>
                <w:iCs/>
              </w:rPr>
              <w:t>Stk. 2.</w:t>
            </w:r>
            <w:r w:rsidRPr="00873C61">
              <w:rPr>
                <w:rFonts w:eastAsia="Garamond" w:cs="Times New Roman"/>
                <w:iCs/>
              </w:rPr>
              <w:t xml:space="preserve"> § 1 har virkning fra indkomståret 2014.</w:t>
            </w:r>
          </w:p>
          <w:p w:rsidR="00873C61" w:rsidRPr="00873C61" w:rsidRDefault="00873C61" w:rsidP="00873C61">
            <w:pPr>
              <w:rPr>
                <w:rFonts w:eastAsia="Garamond" w:cs="Times New Roman"/>
                <w:iCs/>
              </w:rPr>
            </w:pPr>
            <w:r w:rsidRPr="00873C61">
              <w:rPr>
                <w:rFonts w:eastAsia="Garamond" w:cs="Times New Roman"/>
                <w:i/>
                <w:iCs/>
              </w:rPr>
              <w:t>Stk. 3.</w:t>
            </w:r>
            <w:r w:rsidRPr="00873C61">
              <w:rPr>
                <w:rFonts w:eastAsia="Garamond" w:cs="Times New Roman"/>
                <w:iCs/>
              </w:rPr>
              <w:t xml:space="preserve"> § 2 har virkning for afgiftsperioder, som begynder 1. januar 2014 eller senere.</w:t>
            </w:r>
          </w:p>
          <w:p w:rsidR="00873C61" w:rsidRPr="00873C61" w:rsidRDefault="00873C61" w:rsidP="00873C61">
            <w:pPr>
              <w:rPr>
                <w:rFonts w:eastAsia="Garamond" w:cs="Times New Roman"/>
                <w:iCs/>
              </w:rPr>
            </w:pPr>
            <w:r w:rsidRPr="00873C61">
              <w:rPr>
                <w:rFonts w:eastAsia="Garamond" w:cs="Times New Roman"/>
                <w:i/>
                <w:iCs/>
              </w:rPr>
              <w:t>Stk. 4.</w:t>
            </w:r>
            <w:r w:rsidRPr="00873C61">
              <w:rPr>
                <w:rFonts w:eastAsia="Garamond" w:cs="Times New Roman"/>
                <w:iCs/>
              </w:rPr>
              <w:t xml:space="preserve"> §§ 3-6 har virkning fra 1. januar 2014.</w:t>
            </w:r>
          </w:p>
          <w:p w:rsidR="00873C61" w:rsidRPr="00873C61" w:rsidRDefault="00873C61" w:rsidP="00873C61">
            <w:pPr>
              <w:widowControl w:val="0"/>
              <w:autoSpaceDE w:val="0"/>
              <w:autoSpaceDN w:val="0"/>
              <w:adjustRightInd w:val="0"/>
              <w:jc w:val="left"/>
              <w:rPr>
                <w:rFonts w:eastAsia="Times New Roman" w:cs="Times New Roman"/>
                <w:iCs/>
                <w:szCs w:val="24"/>
              </w:rPr>
            </w:pPr>
          </w:p>
        </w:tc>
      </w:tr>
      <w:tr w:rsidR="00873C61" w:rsidRPr="00873C61" w:rsidTr="00123E0D">
        <w:tc>
          <w:tcPr>
            <w:tcW w:w="4604" w:type="dxa"/>
            <w:shd w:val="clear" w:color="auto" w:fill="auto"/>
          </w:tcPr>
          <w:p w:rsidR="00873C61" w:rsidRPr="00873C61" w:rsidRDefault="00873C61" w:rsidP="00873C61">
            <w:pPr>
              <w:widowControl w:val="0"/>
              <w:autoSpaceDE w:val="0"/>
              <w:autoSpaceDN w:val="0"/>
              <w:adjustRightInd w:val="0"/>
              <w:jc w:val="left"/>
              <w:rPr>
                <w:rFonts w:eastAsia="Times New Roman" w:cs="Times New Roman"/>
                <w:b/>
                <w:szCs w:val="24"/>
              </w:rPr>
            </w:pPr>
          </w:p>
        </w:tc>
        <w:tc>
          <w:tcPr>
            <w:tcW w:w="4605" w:type="dxa"/>
            <w:shd w:val="clear" w:color="auto" w:fill="auto"/>
          </w:tcPr>
          <w:p w:rsidR="00873C61" w:rsidRPr="00873C61" w:rsidRDefault="00873C61" w:rsidP="00873C61">
            <w:pPr>
              <w:jc w:val="center"/>
              <w:rPr>
                <w:rFonts w:eastAsia="Garamond" w:cs="Times New Roman"/>
                <w:b/>
                <w:iCs/>
              </w:rPr>
            </w:pPr>
            <w:r w:rsidRPr="00873C61">
              <w:rPr>
                <w:rFonts w:eastAsia="Garamond" w:cs="Times New Roman"/>
                <w:b/>
                <w:iCs/>
              </w:rPr>
              <w:t>§ 12</w:t>
            </w:r>
          </w:p>
          <w:p w:rsidR="00873C61" w:rsidRPr="00873C61" w:rsidRDefault="00873C61" w:rsidP="00873C61">
            <w:pPr>
              <w:rPr>
                <w:rFonts w:eastAsia="Garamond" w:cs="Times New Roman"/>
                <w:iCs/>
              </w:rPr>
            </w:pPr>
          </w:p>
          <w:p w:rsidR="00873C61" w:rsidRPr="00873C61" w:rsidRDefault="00873C61" w:rsidP="00873C61">
            <w:pPr>
              <w:rPr>
                <w:rFonts w:eastAsia="Garamond" w:cs="Times New Roman"/>
                <w:iCs/>
              </w:rPr>
            </w:pPr>
            <w:r w:rsidRPr="00873C61">
              <w:rPr>
                <w:rFonts w:eastAsia="Garamond" w:cs="Times New Roman"/>
                <w:i/>
                <w:iCs/>
              </w:rPr>
              <w:t>Stk. 1.</w:t>
            </w:r>
            <w:r w:rsidRPr="00873C61">
              <w:rPr>
                <w:rFonts w:eastAsia="Garamond" w:cs="Times New Roman"/>
                <w:iCs/>
              </w:rPr>
              <w:t xml:space="preserve"> Ved opgørelsen af en kommunes slutskat og kirkeskat for indkomståret 2014 efter § 16 i lov om kommunal indkomstskat korrigeres den opgjorte slutskat for den beregnede virkning af de ændringer i udskrivningsgrundlaget for kommuneskat og kirkeskat for 2014, der følger af ændringerne i ligningslovens § 9 J, stk. 2 og 4, i denne lovs § 1, nr. 1 og 2, samt den fremrykkede ikrafttræden af ligningslovens § 13 A i denne lovs § 9, nr. 1.</w:t>
            </w:r>
          </w:p>
          <w:p w:rsidR="00873C61" w:rsidRPr="00873C61" w:rsidRDefault="00873C61" w:rsidP="00873C61">
            <w:pPr>
              <w:rPr>
                <w:rFonts w:eastAsia="Garamond" w:cs="Times New Roman"/>
                <w:iCs/>
              </w:rPr>
            </w:pPr>
            <w:r w:rsidRPr="00873C61">
              <w:rPr>
                <w:rFonts w:eastAsia="Garamond" w:cs="Times New Roman"/>
                <w:i/>
                <w:iCs/>
              </w:rPr>
              <w:t>Stk. 2.</w:t>
            </w:r>
            <w:r w:rsidRPr="00873C61">
              <w:rPr>
                <w:rFonts w:eastAsia="Garamond" w:cs="Times New Roman"/>
                <w:iCs/>
              </w:rPr>
              <w:t xml:space="preserve"> Den beregnede korrektion af kommunens slutskat og kirkeskat efter stk. 1 fastsættes af økonomi- og indenrigsministeren på grundlag af de oplysninger vedrørende indkomståret 2014, der foreligger pr. 1. maj 2016.</w:t>
            </w:r>
          </w:p>
          <w:p w:rsidR="00873C61" w:rsidRPr="00873C61" w:rsidRDefault="00873C61" w:rsidP="00873C61">
            <w:pPr>
              <w:rPr>
                <w:rFonts w:eastAsia="Garamond" w:cs="Times New Roman"/>
                <w:iCs/>
              </w:rPr>
            </w:pPr>
            <w:r w:rsidRPr="00873C61">
              <w:rPr>
                <w:rFonts w:eastAsia="Garamond" w:cs="Times New Roman"/>
                <w:i/>
                <w:iCs/>
              </w:rPr>
              <w:t>Stk. 3.</w:t>
            </w:r>
            <w:r w:rsidRPr="00873C61">
              <w:rPr>
                <w:rFonts w:eastAsia="Garamond" w:cs="Times New Roman"/>
                <w:iCs/>
              </w:rPr>
              <w:t xml:space="preserve"> Virksomheder, der får omlagt afgiftsperioder efter lovens § 2, nr. 1, kan senest 1. marts 2014 anmode told- og skatteforvaltningen om ændring af afgiftsperioden.</w:t>
            </w:r>
          </w:p>
          <w:p w:rsidR="00873C61" w:rsidRPr="00873C61" w:rsidRDefault="00873C61" w:rsidP="00873C61">
            <w:pPr>
              <w:rPr>
                <w:rFonts w:eastAsia="Garamond" w:cs="Times New Roman"/>
                <w:iCs/>
              </w:rPr>
            </w:pPr>
            <w:r w:rsidRPr="00873C61">
              <w:rPr>
                <w:rFonts w:eastAsia="Garamond" w:cs="Times New Roman"/>
                <w:i/>
                <w:iCs/>
              </w:rPr>
              <w:t>Stk. 4.</w:t>
            </w:r>
            <w:r w:rsidRPr="00873C61">
              <w:rPr>
                <w:rFonts w:eastAsia="Garamond" w:cs="Times New Roman"/>
                <w:iCs/>
              </w:rPr>
              <w:t xml:space="preserve"> For løbende leverancer omfattet af lovens § 4, nr. 1, § 5, nr. 1, og § 6, nr. 1, for hvilke afregningsperioden påbegyndes inden 1. januar 2014 og afsluttes efter dette tidspunkt, beregnes afgiften af så stor en del af leverancen, som i tidsrummet fra 1. januar 2014 til afregningsperiodens afslutning </w:t>
            </w:r>
            <w:r w:rsidR="00C93CF6">
              <w:rPr>
                <w:rFonts w:eastAsia="Garamond" w:cs="Times New Roman"/>
                <w:iCs/>
              </w:rPr>
              <w:t xml:space="preserve">er leveret </w:t>
            </w:r>
            <w:r w:rsidRPr="00873C61">
              <w:rPr>
                <w:rFonts w:eastAsia="Garamond" w:cs="Times New Roman"/>
                <w:iCs/>
              </w:rPr>
              <w:t>i forhold til den samlede afregningsperiode.</w:t>
            </w:r>
          </w:p>
          <w:p w:rsidR="00873C61" w:rsidRPr="00873C61" w:rsidRDefault="00873C61" w:rsidP="00873C61">
            <w:pPr>
              <w:rPr>
                <w:rFonts w:eastAsia="Garamond" w:cs="Times New Roman"/>
                <w:i/>
                <w:iCs/>
              </w:rPr>
            </w:pPr>
            <w:r w:rsidRPr="00873C61">
              <w:rPr>
                <w:rFonts w:eastAsia="Garamond" w:cs="Times New Roman"/>
                <w:i/>
                <w:iCs/>
              </w:rPr>
              <w:t>Stk. 5.</w:t>
            </w:r>
            <w:r w:rsidRPr="00873C61">
              <w:rPr>
                <w:rFonts w:eastAsia="Garamond" w:cs="Times New Roman"/>
                <w:iCs/>
              </w:rPr>
              <w:t xml:space="preserve"> § 4, nr. 1, § 5, nr. 1, og § 6, nr. 1, har virkning for energiafgiftspligtige varer, der fra 1. januar 2014 udleveres til forbrug fra registrerede virksomheder, forbruges af registrerede virksomheder, angives til fortoldning, modtages fra udlandet eller medtages fra udlandet.</w:t>
            </w:r>
          </w:p>
          <w:p w:rsidR="00873C61" w:rsidRPr="00873C61" w:rsidRDefault="00873C61" w:rsidP="00873C61">
            <w:pPr>
              <w:rPr>
                <w:rFonts w:eastAsia="Times New Roman" w:cs="Times New Roman"/>
                <w:b/>
                <w:iCs/>
                <w:szCs w:val="24"/>
              </w:rPr>
            </w:pPr>
          </w:p>
        </w:tc>
      </w:tr>
    </w:tbl>
    <w:p w:rsidR="00912739" w:rsidRPr="00912739" w:rsidRDefault="00912739" w:rsidP="00376FD2"/>
    <w:sectPr w:rsidR="00912739" w:rsidRPr="00912739" w:rsidSect="007D36B1">
      <w:headerReference w:type="default" r:id="rId9"/>
      <w:endnotePr>
        <w:numFmt w:val="decimal"/>
      </w:endnotePr>
      <w:pgSz w:w="11905" w:h="16837"/>
      <w:pgMar w:top="1418" w:right="1418" w:bottom="1418" w:left="1418" w:header="1418" w:footer="1418" w:gutter="0"/>
      <w:paperSrc w:first="256" w:other="256"/>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F12" w:rsidRPr="008C7957" w:rsidRDefault="00E02F12">
      <w:pPr>
        <w:rPr>
          <w:sz w:val="16"/>
        </w:rPr>
      </w:pPr>
      <w:r>
        <w:separator/>
      </w:r>
    </w:p>
  </w:endnote>
  <w:endnote w:type="continuationSeparator" w:id="0">
    <w:p w:rsidR="00E02F12" w:rsidRPr="008C7957" w:rsidRDefault="00E02F1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F12" w:rsidRPr="008C7957" w:rsidRDefault="00E02F12">
      <w:pPr>
        <w:rPr>
          <w:sz w:val="16"/>
        </w:rPr>
      </w:pPr>
      <w:r>
        <w:separator/>
      </w:r>
    </w:p>
  </w:footnote>
  <w:footnote w:type="continuationSeparator" w:id="0">
    <w:p w:rsidR="00E02F12" w:rsidRPr="008C7957" w:rsidRDefault="00E02F1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12" w:rsidRDefault="00E02F12">
    <w:pPr>
      <w:pStyle w:val="Sidehoved"/>
      <w:jc w:val="center"/>
      <w:rPr>
        <w:rStyle w:val="Sidetal"/>
      </w:rPr>
    </w:pPr>
    <w:r>
      <w:t xml:space="preserve">- </w:t>
    </w:r>
    <w:r>
      <w:rPr>
        <w:rStyle w:val="Sidetal"/>
      </w:rPr>
      <w:fldChar w:fldCharType="begin"/>
    </w:r>
    <w:r>
      <w:rPr>
        <w:rStyle w:val="Sidetal"/>
      </w:rPr>
      <w:instrText xml:space="preserve"> PAGE </w:instrText>
    </w:r>
    <w:r>
      <w:rPr>
        <w:rStyle w:val="Sidetal"/>
      </w:rPr>
      <w:fldChar w:fldCharType="separate"/>
    </w:r>
    <w:r w:rsidR="003249E4">
      <w:rPr>
        <w:rStyle w:val="Sidetal"/>
        <w:noProof/>
      </w:rPr>
      <w:t>2</w:t>
    </w:r>
    <w:r>
      <w:rPr>
        <w:rStyle w:val="Sidetal"/>
      </w:rPr>
      <w:fldChar w:fldCharType="end"/>
    </w:r>
    <w:r>
      <w:rPr>
        <w:rStyle w:val="Sidetal"/>
      </w:rPr>
      <w:t xml:space="preserve"> -</w:t>
    </w:r>
  </w:p>
  <w:p w:rsidR="00E02F12" w:rsidRDefault="00E02F12">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7D62"/>
    <w:multiLevelType w:val="hybridMultilevel"/>
    <w:tmpl w:val="662ADA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739519C"/>
    <w:multiLevelType w:val="hybridMultilevel"/>
    <w:tmpl w:val="3D344D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D3B1D02"/>
    <w:multiLevelType w:val="hybridMultilevel"/>
    <w:tmpl w:val="001A4C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598B65AD"/>
    <w:multiLevelType w:val="hybridMultilevel"/>
    <w:tmpl w:val="633685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32415"/>
    <w:multiLevelType w:val="multilevel"/>
    <w:tmpl w:val="5EA8BEFC"/>
    <w:lvl w:ilvl="0">
      <w:start w:val="1"/>
      <w:numFmt w:val="decimal"/>
      <w:lvlText w:val="%1."/>
      <w:lvlJc w:val="left"/>
      <w:pPr>
        <w:ind w:left="360"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nsid w:val="60625C6E"/>
    <w:multiLevelType w:val="hybridMultilevel"/>
    <w:tmpl w:val="208E586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6160609D"/>
    <w:multiLevelType w:val="hybridMultilevel"/>
    <w:tmpl w:val="E7121C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2E537EA"/>
    <w:multiLevelType w:val="hybridMultilevel"/>
    <w:tmpl w:val="73EC8B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6371C4B"/>
    <w:multiLevelType w:val="hybridMultilevel"/>
    <w:tmpl w:val="8ED2B2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729B6337"/>
    <w:multiLevelType w:val="multilevel"/>
    <w:tmpl w:val="A404C91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75EF238A"/>
    <w:multiLevelType w:val="hybridMultilevel"/>
    <w:tmpl w:val="75E2C3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6166AC9"/>
    <w:multiLevelType w:val="hybridMultilevel"/>
    <w:tmpl w:val="0A360FFC"/>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0"/>
  </w:num>
  <w:num w:numId="2">
    <w:abstractNumId w:val="8"/>
  </w:num>
  <w:num w:numId="3">
    <w:abstractNumId w:val="5"/>
  </w:num>
  <w:num w:numId="4">
    <w:abstractNumId w:val="3"/>
  </w:num>
  <w:num w:numId="5">
    <w:abstractNumId w:val="6"/>
  </w:num>
  <w:num w:numId="6">
    <w:abstractNumId w:val="1"/>
  </w:num>
  <w:num w:numId="7">
    <w:abstractNumId w:val="9"/>
  </w:num>
  <w:num w:numId="8">
    <w:abstractNumId w:val="2"/>
  </w:num>
  <w:num w:numId="9">
    <w:abstractNumId w:val="0"/>
  </w:num>
  <w:num w:numId="10">
    <w:abstractNumId w:val="7"/>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F60"/>
    <w:rsid w:val="00001728"/>
    <w:rsid w:val="00002413"/>
    <w:rsid w:val="00006431"/>
    <w:rsid w:val="000076C5"/>
    <w:rsid w:val="0001672F"/>
    <w:rsid w:val="00023D5F"/>
    <w:rsid w:val="00032DFC"/>
    <w:rsid w:val="0003563F"/>
    <w:rsid w:val="00035E7E"/>
    <w:rsid w:val="000367C5"/>
    <w:rsid w:val="00036B8A"/>
    <w:rsid w:val="00037A44"/>
    <w:rsid w:val="0004084D"/>
    <w:rsid w:val="00051C0E"/>
    <w:rsid w:val="00055E47"/>
    <w:rsid w:val="0006236D"/>
    <w:rsid w:val="0006355E"/>
    <w:rsid w:val="00065A5E"/>
    <w:rsid w:val="00074709"/>
    <w:rsid w:val="000747ED"/>
    <w:rsid w:val="00075B86"/>
    <w:rsid w:val="0008118F"/>
    <w:rsid w:val="00095148"/>
    <w:rsid w:val="00095E8B"/>
    <w:rsid w:val="000A1675"/>
    <w:rsid w:val="000A6D03"/>
    <w:rsid w:val="000B0A67"/>
    <w:rsid w:val="000B6ABB"/>
    <w:rsid w:val="000C2D8E"/>
    <w:rsid w:val="000E74C4"/>
    <w:rsid w:val="000F4C1E"/>
    <w:rsid w:val="00105E9E"/>
    <w:rsid w:val="00112780"/>
    <w:rsid w:val="00113E0B"/>
    <w:rsid w:val="0011654E"/>
    <w:rsid w:val="00123E0D"/>
    <w:rsid w:val="00127BE1"/>
    <w:rsid w:val="001325BD"/>
    <w:rsid w:val="001377D5"/>
    <w:rsid w:val="00145D6D"/>
    <w:rsid w:val="0015075E"/>
    <w:rsid w:val="00154EC4"/>
    <w:rsid w:val="00161136"/>
    <w:rsid w:val="00166A2A"/>
    <w:rsid w:val="00174EB4"/>
    <w:rsid w:val="0017647C"/>
    <w:rsid w:val="001B28F1"/>
    <w:rsid w:val="001B4CDD"/>
    <w:rsid w:val="001B78AD"/>
    <w:rsid w:val="001D09CE"/>
    <w:rsid w:val="001D694D"/>
    <w:rsid w:val="001D76A9"/>
    <w:rsid w:val="001F1626"/>
    <w:rsid w:val="001F1EF7"/>
    <w:rsid w:val="001F4C19"/>
    <w:rsid w:val="001F5E11"/>
    <w:rsid w:val="001F6A43"/>
    <w:rsid w:val="001F6AD1"/>
    <w:rsid w:val="0020540B"/>
    <w:rsid w:val="00207D0A"/>
    <w:rsid w:val="0022054D"/>
    <w:rsid w:val="0023387A"/>
    <w:rsid w:val="00241D25"/>
    <w:rsid w:val="00244696"/>
    <w:rsid w:val="00247067"/>
    <w:rsid w:val="00250D22"/>
    <w:rsid w:val="00251616"/>
    <w:rsid w:val="00255DF4"/>
    <w:rsid w:val="0026436E"/>
    <w:rsid w:val="00264887"/>
    <w:rsid w:val="00267B52"/>
    <w:rsid w:val="00280A32"/>
    <w:rsid w:val="00284966"/>
    <w:rsid w:val="002918CF"/>
    <w:rsid w:val="002A1DD3"/>
    <w:rsid w:val="002A31CF"/>
    <w:rsid w:val="002A4817"/>
    <w:rsid w:val="002B19D2"/>
    <w:rsid w:val="002B1B59"/>
    <w:rsid w:val="002B2A42"/>
    <w:rsid w:val="002B3B41"/>
    <w:rsid w:val="002B562F"/>
    <w:rsid w:val="002C3098"/>
    <w:rsid w:val="002D0BE3"/>
    <w:rsid w:val="002E2401"/>
    <w:rsid w:val="002E4A2D"/>
    <w:rsid w:val="002F1E0F"/>
    <w:rsid w:val="003249E4"/>
    <w:rsid w:val="00333CD5"/>
    <w:rsid w:val="003357D1"/>
    <w:rsid w:val="00336A54"/>
    <w:rsid w:val="00337258"/>
    <w:rsid w:val="00340BDD"/>
    <w:rsid w:val="00350361"/>
    <w:rsid w:val="00374EB8"/>
    <w:rsid w:val="003753F3"/>
    <w:rsid w:val="00376142"/>
    <w:rsid w:val="003764A2"/>
    <w:rsid w:val="00376FD2"/>
    <w:rsid w:val="00380A89"/>
    <w:rsid w:val="003838D4"/>
    <w:rsid w:val="003936E5"/>
    <w:rsid w:val="003B0025"/>
    <w:rsid w:val="003B28FF"/>
    <w:rsid w:val="003B36D7"/>
    <w:rsid w:val="003B67AE"/>
    <w:rsid w:val="003C3931"/>
    <w:rsid w:val="003D0D7D"/>
    <w:rsid w:val="003D2EB3"/>
    <w:rsid w:val="003E0737"/>
    <w:rsid w:val="003F3624"/>
    <w:rsid w:val="003F614C"/>
    <w:rsid w:val="003F7CA5"/>
    <w:rsid w:val="00400118"/>
    <w:rsid w:val="00404F0B"/>
    <w:rsid w:val="0040654C"/>
    <w:rsid w:val="004165AB"/>
    <w:rsid w:val="00416A88"/>
    <w:rsid w:val="00417EB1"/>
    <w:rsid w:val="00421944"/>
    <w:rsid w:val="004231C1"/>
    <w:rsid w:val="00425087"/>
    <w:rsid w:val="0042747F"/>
    <w:rsid w:val="00437358"/>
    <w:rsid w:val="004434F3"/>
    <w:rsid w:val="004435B6"/>
    <w:rsid w:val="004547AD"/>
    <w:rsid w:val="004563E3"/>
    <w:rsid w:val="00460FC4"/>
    <w:rsid w:val="0046657E"/>
    <w:rsid w:val="00466B48"/>
    <w:rsid w:val="00476DEF"/>
    <w:rsid w:val="00480776"/>
    <w:rsid w:val="0048242E"/>
    <w:rsid w:val="004854C3"/>
    <w:rsid w:val="00486EC8"/>
    <w:rsid w:val="00487321"/>
    <w:rsid w:val="00493ECB"/>
    <w:rsid w:val="004A16DB"/>
    <w:rsid w:val="004A4116"/>
    <w:rsid w:val="004B284D"/>
    <w:rsid w:val="004B42B3"/>
    <w:rsid w:val="004B653A"/>
    <w:rsid w:val="004D010A"/>
    <w:rsid w:val="004D15B2"/>
    <w:rsid w:val="004D31B0"/>
    <w:rsid w:val="004D6AA5"/>
    <w:rsid w:val="004D6C29"/>
    <w:rsid w:val="004D6DC2"/>
    <w:rsid w:val="004D6F66"/>
    <w:rsid w:val="004E3108"/>
    <w:rsid w:val="004E3EC4"/>
    <w:rsid w:val="005045DD"/>
    <w:rsid w:val="00504B18"/>
    <w:rsid w:val="00511125"/>
    <w:rsid w:val="00517119"/>
    <w:rsid w:val="00525854"/>
    <w:rsid w:val="00526869"/>
    <w:rsid w:val="00565BDA"/>
    <w:rsid w:val="00574AEF"/>
    <w:rsid w:val="005813B7"/>
    <w:rsid w:val="00583767"/>
    <w:rsid w:val="00591A0D"/>
    <w:rsid w:val="005B34D0"/>
    <w:rsid w:val="005B7F5F"/>
    <w:rsid w:val="005C29C9"/>
    <w:rsid w:val="005C6BE0"/>
    <w:rsid w:val="005D1699"/>
    <w:rsid w:val="005E79AA"/>
    <w:rsid w:val="005F4A1C"/>
    <w:rsid w:val="00602738"/>
    <w:rsid w:val="00603D58"/>
    <w:rsid w:val="00605E9E"/>
    <w:rsid w:val="00623980"/>
    <w:rsid w:val="00626F60"/>
    <w:rsid w:val="00627E1D"/>
    <w:rsid w:val="00632741"/>
    <w:rsid w:val="006346D5"/>
    <w:rsid w:val="00641ACA"/>
    <w:rsid w:val="00644F20"/>
    <w:rsid w:val="00647140"/>
    <w:rsid w:val="006475AD"/>
    <w:rsid w:val="00652B6A"/>
    <w:rsid w:val="00660E8E"/>
    <w:rsid w:val="00664AE0"/>
    <w:rsid w:val="0067404B"/>
    <w:rsid w:val="00674C8A"/>
    <w:rsid w:val="00682164"/>
    <w:rsid w:val="006925A1"/>
    <w:rsid w:val="00693689"/>
    <w:rsid w:val="006B11DB"/>
    <w:rsid w:val="006B2766"/>
    <w:rsid w:val="006D134C"/>
    <w:rsid w:val="006D5EB5"/>
    <w:rsid w:val="006E18F2"/>
    <w:rsid w:val="006E3E6B"/>
    <w:rsid w:val="00715E31"/>
    <w:rsid w:val="00745F4C"/>
    <w:rsid w:val="00753503"/>
    <w:rsid w:val="00756743"/>
    <w:rsid w:val="007568A8"/>
    <w:rsid w:val="007569ED"/>
    <w:rsid w:val="0076628E"/>
    <w:rsid w:val="00767573"/>
    <w:rsid w:val="00772A9E"/>
    <w:rsid w:val="00781129"/>
    <w:rsid w:val="007819A5"/>
    <w:rsid w:val="00786195"/>
    <w:rsid w:val="007867C1"/>
    <w:rsid w:val="007A19FD"/>
    <w:rsid w:val="007A767F"/>
    <w:rsid w:val="007B34EC"/>
    <w:rsid w:val="007C22AA"/>
    <w:rsid w:val="007C609B"/>
    <w:rsid w:val="007D2B03"/>
    <w:rsid w:val="007D36B1"/>
    <w:rsid w:val="007D4137"/>
    <w:rsid w:val="007D5C39"/>
    <w:rsid w:val="007E49D8"/>
    <w:rsid w:val="00820842"/>
    <w:rsid w:val="008223AC"/>
    <w:rsid w:val="008275FD"/>
    <w:rsid w:val="00832EC3"/>
    <w:rsid w:val="008371A4"/>
    <w:rsid w:val="0084316E"/>
    <w:rsid w:val="00844CA9"/>
    <w:rsid w:val="00856521"/>
    <w:rsid w:val="00861536"/>
    <w:rsid w:val="00863CEF"/>
    <w:rsid w:val="008677D7"/>
    <w:rsid w:val="00872C5E"/>
    <w:rsid w:val="00873C61"/>
    <w:rsid w:val="00877D0C"/>
    <w:rsid w:val="00885FA8"/>
    <w:rsid w:val="008941E7"/>
    <w:rsid w:val="008B0622"/>
    <w:rsid w:val="008B0BAA"/>
    <w:rsid w:val="008B49B2"/>
    <w:rsid w:val="008B7EA3"/>
    <w:rsid w:val="008E321A"/>
    <w:rsid w:val="008F54EC"/>
    <w:rsid w:val="00911025"/>
    <w:rsid w:val="00912739"/>
    <w:rsid w:val="009258DD"/>
    <w:rsid w:val="009338F4"/>
    <w:rsid w:val="009400D6"/>
    <w:rsid w:val="0096003E"/>
    <w:rsid w:val="00960D2C"/>
    <w:rsid w:val="009623BE"/>
    <w:rsid w:val="00976D3E"/>
    <w:rsid w:val="00994723"/>
    <w:rsid w:val="009A56BA"/>
    <w:rsid w:val="009C0BA7"/>
    <w:rsid w:val="009C2B18"/>
    <w:rsid w:val="009C5EA6"/>
    <w:rsid w:val="009D1EDF"/>
    <w:rsid w:val="009D3D2A"/>
    <w:rsid w:val="009D4AF3"/>
    <w:rsid w:val="009D63D3"/>
    <w:rsid w:val="009E02C5"/>
    <w:rsid w:val="009E1BF7"/>
    <w:rsid w:val="009E5760"/>
    <w:rsid w:val="009E7874"/>
    <w:rsid w:val="009F5C48"/>
    <w:rsid w:val="009F65F3"/>
    <w:rsid w:val="00A00226"/>
    <w:rsid w:val="00A13E6A"/>
    <w:rsid w:val="00A37157"/>
    <w:rsid w:val="00A37262"/>
    <w:rsid w:val="00A37879"/>
    <w:rsid w:val="00A37F1E"/>
    <w:rsid w:val="00A40DC4"/>
    <w:rsid w:val="00A40F42"/>
    <w:rsid w:val="00A46B56"/>
    <w:rsid w:val="00A51566"/>
    <w:rsid w:val="00A5172E"/>
    <w:rsid w:val="00A553F5"/>
    <w:rsid w:val="00A57F85"/>
    <w:rsid w:val="00A603C9"/>
    <w:rsid w:val="00A604F3"/>
    <w:rsid w:val="00A67186"/>
    <w:rsid w:val="00A7075C"/>
    <w:rsid w:val="00A755F2"/>
    <w:rsid w:val="00A9167F"/>
    <w:rsid w:val="00A962EC"/>
    <w:rsid w:val="00AA0D69"/>
    <w:rsid w:val="00AA1F55"/>
    <w:rsid w:val="00AA342D"/>
    <w:rsid w:val="00AA444A"/>
    <w:rsid w:val="00AB5890"/>
    <w:rsid w:val="00AB6AEC"/>
    <w:rsid w:val="00AC09CD"/>
    <w:rsid w:val="00AC1F42"/>
    <w:rsid w:val="00AC7FC5"/>
    <w:rsid w:val="00AD67D7"/>
    <w:rsid w:val="00AD7FAF"/>
    <w:rsid w:val="00AE33F0"/>
    <w:rsid w:val="00AF173C"/>
    <w:rsid w:val="00AF7BB2"/>
    <w:rsid w:val="00B00B78"/>
    <w:rsid w:val="00B01075"/>
    <w:rsid w:val="00B07925"/>
    <w:rsid w:val="00B07CF2"/>
    <w:rsid w:val="00B12303"/>
    <w:rsid w:val="00B133FE"/>
    <w:rsid w:val="00B16E24"/>
    <w:rsid w:val="00B205E3"/>
    <w:rsid w:val="00B2109F"/>
    <w:rsid w:val="00B21D5C"/>
    <w:rsid w:val="00B22446"/>
    <w:rsid w:val="00B415C3"/>
    <w:rsid w:val="00B44EAB"/>
    <w:rsid w:val="00B5608F"/>
    <w:rsid w:val="00B605CA"/>
    <w:rsid w:val="00B64864"/>
    <w:rsid w:val="00B67435"/>
    <w:rsid w:val="00B82915"/>
    <w:rsid w:val="00B8643B"/>
    <w:rsid w:val="00B928AD"/>
    <w:rsid w:val="00BB031E"/>
    <w:rsid w:val="00BB0D44"/>
    <w:rsid w:val="00BC172D"/>
    <w:rsid w:val="00BC315D"/>
    <w:rsid w:val="00BE06F5"/>
    <w:rsid w:val="00BF6AF4"/>
    <w:rsid w:val="00C066FF"/>
    <w:rsid w:val="00C1516C"/>
    <w:rsid w:val="00C2158A"/>
    <w:rsid w:val="00C26142"/>
    <w:rsid w:val="00C31688"/>
    <w:rsid w:val="00C33C18"/>
    <w:rsid w:val="00C35C39"/>
    <w:rsid w:val="00C51246"/>
    <w:rsid w:val="00C559C3"/>
    <w:rsid w:val="00C7016D"/>
    <w:rsid w:val="00C725E0"/>
    <w:rsid w:val="00C73124"/>
    <w:rsid w:val="00C7599B"/>
    <w:rsid w:val="00C809D6"/>
    <w:rsid w:val="00C80AD6"/>
    <w:rsid w:val="00C93CF6"/>
    <w:rsid w:val="00C94459"/>
    <w:rsid w:val="00C97100"/>
    <w:rsid w:val="00CA3E47"/>
    <w:rsid w:val="00CA45D2"/>
    <w:rsid w:val="00CA5C89"/>
    <w:rsid w:val="00CB6A95"/>
    <w:rsid w:val="00CC2448"/>
    <w:rsid w:val="00CD1A05"/>
    <w:rsid w:val="00CD1B90"/>
    <w:rsid w:val="00CD6F9A"/>
    <w:rsid w:val="00CF2C97"/>
    <w:rsid w:val="00CF669F"/>
    <w:rsid w:val="00D0091B"/>
    <w:rsid w:val="00D048A3"/>
    <w:rsid w:val="00D150CF"/>
    <w:rsid w:val="00D16F10"/>
    <w:rsid w:val="00D30F5F"/>
    <w:rsid w:val="00D35226"/>
    <w:rsid w:val="00D37749"/>
    <w:rsid w:val="00D37896"/>
    <w:rsid w:val="00D40D09"/>
    <w:rsid w:val="00D41816"/>
    <w:rsid w:val="00D52C94"/>
    <w:rsid w:val="00D57935"/>
    <w:rsid w:val="00D65F58"/>
    <w:rsid w:val="00D71FF2"/>
    <w:rsid w:val="00D8019A"/>
    <w:rsid w:val="00DA4F0C"/>
    <w:rsid w:val="00DA61E6"/>
    <w:rsid w:val="00DB13B2"/>
    <w:rsid w:val="00DB1B75"/>
    <w:rsid w:val="00DB4C29"/>
    <w:rsid w:val="00DD01E0"/>
    <w:rsid w:val="00DD4E34"/>
    <w:rsid w:val="00DD5423"/>
    <w:rsid w:val="00DD775A"/>
    <w:rsid w:val="00DE22D7"/>
    <w:rsid w:val="00DF4416"/>
    <w:rsid w:val="00DF55B7"/>
    <w:rsid w:val="00DF6A74"/>
    <w:rsid w:val="00E02F12"/>
    <w:rsid w:val="00E200FC"/>
    <w:rsid w:val="00E244D2"/>
    <w:rsid w:val="00E3141D"/>
    <w:rsid w:val="00E320C7"/>
    <w:rsid w:val="00E3479C"/>
    <w:rsid w:val="00E372F3"/>
    <w:rsid w:val="00E404F8"/>
    <w:rsid w:val="00E4272F"/>
    <w:rsid w:val="00E43967"/>
    <w:rsid w:val="00E4455A"/>
    <w:rsid w:val="00E46A8D"/>
    <w:rsid w:val="00E51C0A"/>
    <w:rsid w:val="00E60445"/>
    <w:rsid w:val="00E71E21"/>
    <w:rsid w:val="00E77249"/>
    <w:rsid w:val="00E8256E"/>
    <w:rsid w:val="00E843DE"/>
    <w:rsid w:val="00EA4CDD"/>
    <w:rsid w:val="00EA553F"/>
    <w:rsid w:val="00EA6AAE"/>
    <w:rsid w:val="00EB3CFA"/>
    <w:rsid w:val="00EB4D27"/>
    <w:rsid w:val="00EB7FF8"/>
    <w:rsid w:val="00EC1195"/>
    <w:rsid w:val="00EC1F4C"/>
    <w:rsid w:val="00ED4737"/>
    <w:rsid w:val="00EF19E3"/>
    <w:rsid w:val="00EF710A"/>
    <w:rsid w:val="00F01A57"/>
    <w:rsid w:val="00F1092D"/>
    <w:rsid w:val="00F12A26"/>
    <w:rsid w:val="00F25125"/>
    <w:rsid w:val="00F2569C"/>
    <w:rsid w:val="00F26B03"/>
    <w:rsid w:val="00F315EE"/>
    <w:rsid w:val="00F36D2A"/>
    <w:rsid w:val="00F46B6C"/>
    <w:rsid w:val="00F470A4"/>
    <w:rsid w:val="00F47258"/>
    <w:rsid w:val="00F52A1B"/>
    <w:rsid w:val="00F77941"/>
    <w:rsid w:val="00F8271D"/>
    <w:rsid w:val="00F92F44"/>
    <w:rsid w:val="00FA668F"/>
    <w:rsid w:val="00FA68FC"/>
    <w:rsid w:val="00FB1AF5"/>
    <w:rsid w:val="00FE0369"/>
    <w:rsid w:val="00FE082F"/>
    <w:rsid w:val="00FE0D8F"/>
    <w:rsid w:val="00FE0E14"/>
    <w:rsid w:val="00FE397C"/>
    <w:rsid w:val="00FE54A2"/>
    <w:rsid w:val="00FE614D"/>
    <w:rsid w:val="00FF02AE"/>
    <w:rsid w:val="00FF4F2D"/>
    <w:rsid w:val="00FF707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da-DK"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7358"/>
    <w:pPr>
      <w:spacing w:line="240" w:lineRule="auto"/>
      <w:jc w:val="both"/>
    </w:pPr>
    <w:rPr>
      <w:rFonts w:ascii="Garamond" w:hAnsi="Garamond"/>
      <w:sz w:val="24"/>
    </w:rPr>
  </w:style>
  <w:style w:type="paragraph" w:styleId="Overskrift1">
    <w:name w:val="heading 1"/>
    <w:basedOn w:val="Normal"/>
    <w:next w:val="Normal"/>
    <w:link w:val="Overskrift1Tegn"/>
    <w:qFormat/>
    <w:rsid w:val="00437358"/>
    <w:pPr>
      <w:keepLines/>
      <w:spacing w:line="360" w:lineRule="exact"/>
      <w:outlineLvl w:val="0"/>
    </w:pPr>
    <w:rPr>
      <w:rFonts w:ascii="Calibri" w:eastAsia="Times New Roman" w:hAnsi="Calibri" w:cs="Arial"/>
      <w:bCs/>
      <w:sz w:val="32"/>
      <w:szCs w:val="32"/>
    </w:rPr>
  </w:style>
  <w:style w:type="paragraph" w:styleId="Overskrift2">
    <w:name w:val="heading 2"/>
    <w:basedOn w:val="Normal"/>
    <w:next w:val="Normal"/>
    <w:link w:val="Overskrift2Tegn"/>
    <w:qFormat/>
    <w:rsid w:val="00437358"/>
    <w:pPr>
      <w:keepLines/>
      <w:suppressAutoHyphens/>
      <w:spacing w:line="288" w:lineRule="exact"/>
      <w:outlineLvl w:val="1"/>
    </w:pPr>
    <w:rPr>
      <w:rFonts w:ascii="Calibri" w:eastAsia="Arial Unicode MS" w:hAnsi="Calibri" w:cs="Arial"/>
      <w:bCs/>
      <w:iCs/>
      <w:sz w:val="26"/>
      <w:szCs w:val="28"/>
    </w:rPr>
  </w:style>
  <w:style w:type="paragraph" w:styleId="Overskrift3">
    <w:name w:val="heading 3"/>
    <w:basedOn w:val="Normal"/>
    <w:next w:val="Normal"/>
    <w:link w:val="Overskrift3Tegn"/>
    <w:qFormat/>
    <w:rsid w:val="00437358"/>
    <w:pPr>
      <w:keepNext/>
      <w:spacing w:before="240" w:after="60" w:line="288" w:lineRule="exact"/>
      <w:outlineLvl w:val="2"/>
    </w:pPr>
    <w:rPr>
      <w:rFonts w:ascii="Calibri" w:eastAsia="Times New Roman" w:hAnsi="Calibri" w:cs="Arial"/>
      <w:bCs/>
      <w:sz w:val="22"/>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Fodnotehenvisning">
    <w:name w:val="footnote reference"/>
    <w:semiHidden/>
    <w:rsid w:val="007D36B1"/>
  </w:style>
  <w:style w:type="paragraph" w:styleId="Sidehoved">
    <w:name w:val="header"/>
    <w:basedOn w:val="Normal"/>
    <w:link w:val="SidehovedTegn"/>
    <w:rsid w:val="007D36B1"/>
    <w:pPr>
      <w:tabs>
        <w:tab w:val="center" w:pos="4819"/>
        <w:tab w:val="right" w:pos="9638"/>
      </w:tabs>
    </w:pPr>
  </w:style>
  <w:style w:type="paragraph" w:styleId="Sidefod">
    <w:name w:val="footer"/>
    <w:basedOn w:val="Normal"/>
    <w:rsid w:val="007D36B1"/>
    <w:pPr>
      <w:tabs>
        <w:tab w:val="center" w:pos="4819"/>
        <w:tab w:val="right" w:pos="9638"/>
      </w:tabs>
    </w:pPr>
  </w:style>
  <w:style w:type="character" w:styleId="Sidetal">
    <w:name w:val="page number"/>
    <w:basedOn w:val="Standardskrifttypeiafsnit"/>
    <w:rsid w:val="007D36B1"/>
  </w:style>
  <w:style w:type="paragraph" w:styleId="Fodnotetekst">
    <w:name w:val="footnote text"/>
    <w:basedOn w:val="Normal"/>
    <w:link w:val="FodnotetekstTegn"/>
    <w:rsid w:val="00376FD2"/>
    <w:rPr>
      <w:szCs w:val="20"/>
    </w:rPr>
  </w:style>
  <w:style w:type="character" w:customStyle="1" w:styleId="FodnotetekstTegn">
    <w:name w:val="Fodnotetekst Tegn"/>
    <w:basedOn w:val="Standardskrifttypeiafsnit"/>
    <w:link w:val="Fodnotetekst"/>
    <w:rsid w:val="00376FD2"/>
  </w:style>
  <w:style w:type="character" w:styleId="Hyperlink">
    <w:name w:val="Hyperlink"/>
    <w:rsid w:val="000747ED"/>
    <w:rPr>
      <w:color w:val="0000FF"/>
      <w:u w:val="single"/>
    </w:rPr>
  </w:style>
  <w:style w:type="paragraph" w:styleId="Markeringsbobletekst">
    <w:name w:val="Balloon Text"/>
    <w:basedOn w:val="Normal"/>
    <w:link w:val="MarkeringsbobletekstTegn"/>
    <w:rsid w:val="00A962EC"/>
    <w:rPr>
      <w:rFonts w:ascii="Tahoma" w:hAnsi="Tahoma" w:cs="Tahoma"/>
      <w:sz w:val="16"/>
      <w:szCs w:val="16"/>
    </w:rPr>
  </w:style>
  <w:style w:type="character" w:customStyle="1" w:styleId="MarkeringsbobletekstTegn">
    <w:name w:val="Markeringsbobletekst Tegn"/>
    <w:link w:val="Markeringsbobletekst"/>
    <w:rsid w:val="00A962EC"/>
    <w:rPr>
      <w:rFonts w:ascii="Tahoma" w:hAnsi="Tahoma" w:cs="Tahoma"/>
      <w:sz w:val="16"/>
      <w:szCs w:val="16"/>
    </w:rPr>
  </w:style>
  <w:style w:type="character" w:customStyle="1" w:styleId="max1">
    <w:name w:val="max1"/>
    <w:rsid w:val="009D4AF3"/>
    <w:rPr>
      <w:b/>
      <w:bCs/>
    </w:rPr>
  </w:style>
  <w:style w:type="paragraph" w:customStyle="1" w:styleId="tekst">
    <w:name w:val="tekst"/>
    <w:basedOn w:val="Normal"/>
    <w:rsid w:val="00CA5C89"/>
    <w:pPr>
      <w:spacing w:before="100" w:beforeAutospacing="1" w:after="100" w:afterAutospacing="1"/>
    </w:pPr>
  </w:style>
  <w:style w:type="paragraph" w:customStyle="1" w:styleId="normalind">
    <w:name w:val="normalind"/>
    <w:basedOn w:val="Normal"/>
    <w:rsid w:val="00DE22D7"/>
    <w:pPr>
      <w:spacing w:before="100" w:beforeAutospacing="1" w:after="100" w:afterAutospacing="1"/>
    </w:pPr>
  </w:style>
  <w:style w:type="paragraph" w:customStyle="1" w:styleId="overskriftstekst3">
    <w:name w:val="overskriftstekst3"/>
    <w:basedOn w:val="Normal"/>
    <w:rsid w:val="003B36D7"/>
    <w:pPr>
      <w:spacing w:before="100" w:beforeAutospacing="1" w:after="100" w:afterAutospacing="1"/>
    </w:pPr>
  </w:style>
  <w:style w:type="character" w:customStyle="1" w:styleId="italic">
    <w:name w:val="italic"/>
    <w:rsid w:val="003B36D7"/>
  </w:style>
  <w:style w:type="character" w:customStyle="1" w:styleId="Overskrift1Tegn">
    <w:name w:val="Overskrift 1 Tegn"/>
    <w:link w:val="Overskrift1"/>
    <w:rsid w:val="00437358"/>
    <w:rPr>
      <w:rFonts w:ascii="Calibri" w:eastAsia="Times New Roman" w:hAnsi="Calibri" w:cs="Arial"/>
      <w:bCs/>
      <w:sz w:val="32"/>
      <w:szCs w:val="32"/>
    </w:rPr>
  </w:style>
  <w:style w:type="character" w:customStyle="1" w:styleId="Overskrift2Tegn">
    <w:name w:val="Overskrift 2 Tegn"/>
    <w:link w:val="Overskrift2"/>
    <w:rsid w:val="00437358"/>
    <w:rPr>
      <w:rFonts w:ascii="Calibri" w:eastAsia="Arial Unicode MS" w:hAnsi="Calibri" w:cs="Arial"/>
      <w:bCs/>
      <w:iCs/>
      <w:sz w:val="26"/>
      <w:szCs w:val="28"/>
    </w:rPr>
  </w:style>
  <w:style w:type="character" w:customStyle="1" w:styleId="Overskrift3Tegn">
    <w:name w:val="Overskrift 3 Tegn"/>
    <w:link w:val="Overskrift3"/>
    <w:rsid w:val="00437358"/>
    <w:rPr>
      <w:rFonts w:ascii="Calibri" w:eastAsia="Times New Roman" w:hAnsi="Calibri" w:cs="Arial"/>
      <w:bCs/>
      <w:szCs w:val="26"/>
    </w:rPr>
  </w:style>
  <w:style w:type="table" w:styleId="Tabel-Gitter">
    <w:name w:val="Table Grid"/>
    <w:basedOn w:val="Tabel-Normal"/>
    <w:rsid w:val="003D2E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Gitter8">
    <w:name w:val="Table Grid 8"/>
    <w:basedOn w:val="Tabel-Normal"/>
    <w:rsid w:val="003D2EB3"/>
    <w:pPr>
      <w:spacing w:line="24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Listeafsnit">
    <w:name w:val="List Paragraph"/>
    <w:basedOn w:val="Normal"/>
    <w:uiPriority w:val="34"/>
    <w:qFormat/>
    <w:rsid w:val="00C2158A"/>
    <w:pPr>
      <w:ind w:left="720"/>
      <w:contextualSpacing/>
    </w:pPr>
  </w:style>
  <w:style w:type="character" w:customStyle="1" w:styleId="kursiv">
    <w:name w:val="kursiv"/>
    <w:rsid w:val="00C2158A"/>
    <w:rPr>
      <w:i/>
      <w:iCs/>
    </w:rPr>
  </w:style>
  <w:style w:type="paragraph" w:customStyle="1" w:styleId="Normal-Tabelkolonneoverskrift">
    <w:name w:val="Normal - Tabel kolonne overskrift"/>
    <w:basedOn w:val="Normal"/>
    <w:uiPriority w:val="99"/>
    <w:rsid w:val="007569ED"/>
    <w:pPr>
      <w:tabs>
        <w:tab w:val="left" w:pos="340"/>
      </w:tabs>
      <w:spacing w:line="150" w:lineRule="atLeast"/>
      <w:ind w:right="57"/>
      <w:jc w:val="right"/>
    </w:pPr>
    <w:rPr>
      <w:rFonts w:ascii="Arial" w:eastAsia="Times New Roman" w:hAnsi="Arial" w:cs="Times New Roman"/>
      <w:b/>
      <w:sz w:val="14"/>
      <w:szCs w:val="24"/>
      <w:lang w:eastAsia="en-US"/>
    </w:rPr>
  </w:style>
  <w:style w:type="paragraph" w:customStyle="1" w:styleId="Normal-Tabeltal">
    <w:name w:val="Normal - Tabel tal"/>
    <w:basedOn w:val="Normal"/>
    <w:uiPriority w:val="99"/>
    <w:rsid w:val="007569ED"/>
    <w:pPr>
      <w:tabs>
        <w:tab w:val="left" w:pos="340"/>
      </w:tabs>
      <w:spacing w:line="150" w:lineRule="atLeast"/>
      <w:ind w:left="57" w:right="57"/>
      <w:jc w:val="right"/>
    </w:pPr>
    <w:rPr>
      <w:rFonts w:ascii="Arial" w:eastAsia="Times New Roman" w:hAnsi="Arial" w:cs="Times New Roman"/>
      <w:sz w:val="14"/>
      <w:szCs w:val="24"/>
      <w:lang w:eastAsia="en-US"/>
    </w:rPr>
  </w:style>
  <w:style w:type="character" w:customStyle="1" w:styleId="SidehovedTegn">
    <w:name w:val="Sidehoved Tegn"/>
    <w:link w:val="Sidehoved"/>
    <w:rsid w:val="004165AB"/>
    <w:rPr>
      <w:rFonts w:ascii="Garamond" w:hAnsi="Garamond"/>
      <w:sz w:val="24"/>
    </w:rPr>
  </w:style>
  <w:style w:type="character" w:styleId="Kommentarhenvisning">
    <w:name w:val="annotation reference"/>
    <w:basedOn w:val="Standardskrifttypeiafsnit"/>
    <w:rsid w:val="002A4817"/>
    <w:rPr>
      <w:sz w:val="16"/>
      <w:szCs w:val="16"/>
    </w:rPr>
  </w:style>
  <w:style w:type="paragraph" w:styleId="Kommentartekst">
    <w:name w:val="annotation text"/>
    <w:basedOn w:val="Normal"/>
    <w:link w:val="KommentartekstTegn"/>
    <w:rsid w:val="002A4817"/>
    <w:rPr>
      <w:sz w:val="20"/>
      <w:szCs w:val="20"/>
    </w:rPr>
  </w:style>
  <w:style w:type="character" w:customStyle="1" w:styleId="KommentartekstTegn">
    <w:name w:val="Kommentartekst Tegn"/>
    <w:basedOn w:val="Standardskrifttypeiafsnit"/>
    <w:link w:val="Kommentartekst"/>
    <w:rsid w:val="002A4817"/>
    <w:rPr>
      <w:rFonts w:ascii="Garamond" w:hAnsi="Garamond"/>
      <w:sz w:val="20"/>
      <w:szCs w:val="20"/>
    </w:rPr>
  </w:style>
  <w:style w:type="paragraph" w:styleId="Kommentaremne">
    <w:name w:val="annotation subject"/>
    <w:basedOn w:val="Kommentartekst"/>
    <w:next w:val="Kommentartekst"/>
    <w:link w:val="KommentaremneTegn"/>
    <w:rsid w:val="002A4817"/>
    <w:rPr>
      <w:b/>
      <w:bCs/>
    </w:rPr>
  </w:style>
  <w:style w:type="character" w:customStyle="1" w:styleId="KommentaremneTegn">
    <w:name w:val="Kommentaremne Tegn"/>
    <w:basedOn w:val="KommentartekstTegn"/>
    <w:link w:val="Kommentaremne"/>
    <w:rsid w:val="002A4817"/>
    <w:rPr>
      <w:rFonts w:ascii="Garamond" w:hAnsi="Garamond"/>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1215">
      <w:bodyDiv w:val="1"/>
      <w:marLeft w:val="0"/>
      <w:marRight w:val="0"/>
      <w:marTop w:val="0"/>
      <w:marBottom w:val="0"/>
      <w:divBdr>
        <w:top w:val="none" w:sz="0" w:space="0" w:color="auto"/>
        <w:left w:val="none" w:sz="0" w:space="0" w:color="auto"/>
        <w:bottom w:val="none" w:sz="0" w:space="0" w:color="auto"/>
        <w:right w:val="none" w:sz="0" w:space="0" w:color="auto"/>
      </w:divBdr>
    </w:div>
    <w:div w:id="89281320">
      <w:bodyDiv w:val="1"/>
      <w:marLeft w:val="0"/>
      <w:marRight w:val="0"/>
      <w:marTop w:val="0"/>
      <w:marBottom w:val="0"/>
      <w:divBdr>
        <w:top w:val="none" w:sz="0" w:space="0" w:color="auto"/>
        <w:left w:val="none" w:sz="0" w:space="0" w:color="auto"/>
        <w:bottom w:val="none" w:sz="0" w:space="0" w:color="auto"/>
        <w:right w:val="none" w:sz="0" w:space="0" w:color="auto"/>
      </w:divBdr>
    </w:div>
    <w:div w:id="675309347">
      <w:bodyDiv w:val="1"/>
      <w:marLeft w:val="0"/>
      <w:marRight w:val="0"/>
      <w:marTop w:val="0"/>
      <w:marBottom w:val="0"/>
      <w:divBdr>
        <w:top w:val="none" w:sz="0" w:space="0" w:color="auto"/>
        <w:left w:val="none" w:sz="0" w:space="0" w:color="auto"/>
        <w:bottom w:val="none" w:sz="0" w:space="0" w:color="auto"/>
        <w:right w:val="none" w:sz="0" w:space="0" w:color="auto"/>
      </w:divBdr>
    </w:div>
    <w:div w:id="690034507">
      <w:bodyDiv w:val="1"/>
      <w:marLeft w:val="0"/>
      <w:marRight w:val="0"/>
      <w:marTop w:val="0"/>
      <w:marBottom w:val="0"/>
      <w:divBdr>
        <w:top w:val="none" w:sz="0" w:space="0" w:color="auto"/>
        <w:left w:val="none" w:sz="0" w:space="0" w:color="auto"/>
        <w:bottom w:val="none" w:sz="0" w:space="0" w:color="auto"/>
        <w:right w:val="none" w:sz="0" w:space="0" w:color="auto"/>
      </w:divBdr>
    </w:div>
    <w:div w:id="1069428639">
      <w:bodyDiv w:val="1"/>
      <w:marLeft w:val="0"/>
      <w:marRight w:val="0"/>
      <w:marTop w:val="0"/>
      <w:marBottom w:val="0"/>
      <w:divBdr>
        <w:top w:val="none" w:sz="0" w:space="0" w:color="auto"/>
        <w:left w:val="none" w:sz="0" w:space="0" w:color="auto"/>
        <w:bottom w:val="none" w:sz="0" w:space="0" w:color="auto"/>
        <w:right w:val="none" w:sz="0" w:space="0" w:color="auto"/>
      </w:divBdr>
    </w:div>
    <w:div w:id="1207330387">
      <w:bodyDiv w:val="1"/>
      <w:marLeft w:val="0"/>
      <w:marRight w:val="0"/>
      <w:marTop w:val="0"/>
      <w:marBottom w:val="0"/>
      <w:divBdr>
        <w:top w:val="none" w:sz="0" w:space="0" w:color="auto"/>
        <w:left w:val="none" w:sz="0" w:space="0" w:color="auto"/>
        <w:bottom w:val="none" w:sz="0" w:space="0" w:color="auto"/>
        <w:right w:val="none" w:sz="0" w:space="0" w:color="auto"/>
      </w:divBdr>
    </w:div>
    <w:div w:id="1849320437">
      <w:bodyDiv w:val="1"/>
      <w:marLeft w:val="0"/>
      <w:marRight w:val="0"/>
      <w:marTop w:val="0"/>
      <w:marBottom w:val="0"/>
      <w:divBdr>
        <w:top w:val="none" w:sz="0" w:space="0" w:color="auto"/>
        <w:left w:val="none" w:sz="0" w:space="0" w:color="auto"/>
        <w:bottom w:val="none" w:sz="0" w:space="0" w:color="auto"/>
        <w:right w:val="none" w:sz="0" w:space="0" w:color="auto"/>
      </w:divBdr>
    </w:div>
    <w:div w:id="185827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Skrivebord\tmp\%5bCaptia%5d%20Love%20Lov.dot" TargetMode="External"/></Relationships>
</file>

<file path=word/theme/theme1.xml><?xml version="1.0" encoding="utf-8"?>
<a:theme xmlns:a="http://schemas.openxmlformats.org/drawingml/2006/main" name="skm">
  <a:themeElements>
    <a:clrScheme name="Skm">
      <a:dk1>
        <a:srgbClr val="000000"/>
      </a:dk1>
      <a:lt1>
        <a:srgbClr val="FFFFFF"/>
      </a:lt1>
      <a:dk2>
        <a:srgbClr val="57788E"/>
      </a:dk2>
      <a:lt2>
        <a:srgbClr val="C0C0C0"/>
      </a:lt2>
      <a:accent1>
        <a:srgbClr val="000D2F"/>
      </a:accent1>
      <a:accent2>
        <a:srgbClr val="57788E"/>
      </a:accent2>
      <a:accent3>
        <a:srgbClr val="88A7B7"/>
      </a:accent3>
      <a:accent4>
        <a:srgbClr val="BBCFD5"/>
      </a:accent4>
      <a:accent5>
        <a:srgbClr val="99252C"/>
      </a:accent5>
      <a:accent6>
        <a:srgbClr val="777777"/>
      </a:accent6>
      <a:hlink>
        <a:srgbClr val="0000FF"/>
      </a:hlink>
      <a:folHlink>
        <a:srgbClr val="800080"/>
      </a:folHlink>
    </a:clrScheme>
    <a:fontScheme name="Skm">
      <a:majorFont>
        <a:latin typeface="Calibri"/>
        <a:ea typeface=""/>
        <a:cs typeface=""/>
      </a:majorFont>
      <a:minorFont>
        <a:latin typeface="Garamond"/>
        <a:ea typeface=""/>
        <a:cs typeface=""/>
      </a:minorFont>
    </a:fontScheme>
    <a:fmtScheme name="Horis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9D51-532F-4179-8E73-BC22EF91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[Captia] Love Lov</Template>
  <TotalTime>0</TotalTime>
  <Pages>3</Pages>
  <Words>14530</Words>
  <Characters>88635</Characters>
  <Application>Microsoft Office Word</Application>
  <DocSecurity>4</DocSecurity>
  <Lines>738</Lines>
  <Paragraphs>205</Paragraphs>
  <ScaleCrop>false</ScaleCrop>
  <HeadingPairs>
    <vt:vector size="2" baseType="variant">
      <vt:variant>
        <vt:lpstr>Titel</vt:lpstr>
      </vt:variant>
      <vt:variant>
        <vt:i4>1</vt:i4>
      </vt:variant>
    </vt:vector>
  </HeadingPairs>
  <TitlesOfParts>
    <vt:vector size="1" baseType="lpstr">
      <vt:lpstr>SkatteministerietJ</vt:lpstr>
    </vt:vector>
  </TitlesOfParts>
  <Company>Skatteministeriet</Company>
  <LinksUpToDate>false</LinksUpToDate>
  <CharactersWithSpaces>102960</CharactersWithSpaces>
  <SharedDoc>false</SharedDoc>
  <HLinks>
    <vt:vector size="6" baseType="variant">
      <vt:variant>
        <vt:i4>2883591</vt:i4>
      </vt:variant>
      <vt:variant>
        <vt:i4>4</vt:i4>
      </vt:variant>
      <vt:variant>
        <vt:i4>0</vt:i4>
      </vt:variant>
      <vt:variant>
        <vt:i4>5</vt:i4>
      </vt:variant>
      <vt:variant>
        <vt:lpwstr>http://www.ft.dk/RIpdf/samling/20111/lovforslag/L24/20111_L24_som_fremsat.pdf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SkatteministerietJ</dc:title>
  <dc:creator>Peter Bak</dc:creator>
  <cp:lastModifiedBy>Susanne Poulsen</cp:lastModifiedBy>
  <cp:revision>2</cp:revision>
  <cp:lastPrinted>2013-12-06T11:39:00Z</cp:lastPrinted>
  <dcterms:created xsi:type="dcterms:W3CDTF">2013-12-09T10:35:00Z</dcterms:created>
  <dcterms:modified xsi:type="dcterms:W3CDTF">2013-12-09T10:35:00Z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C:\Users\w17741\AppData\Local\Temp\Scanjour\Captia\SJ20131206154336468 [DOR29438921].DOCX</vt:lpwstr>
  </property>
  <property fmtid="{D5CDD505-2E9C-101B-9397-08002B2CF9AE}" pid="3" name="title">
    <vt:lpwstr>Forslag om fremrykning af skatte- og afgiftslempelser (DOR29438921)</vt:lpwstr>
  </property>
  <property fmtid="{D5CDD505-2E9C-101B-9397-08002B2CF9AE}" pid="4" name="command">
    <vt:lpwstr/>
  </property>
</Properties>
</file>