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58" w:rsidRPr="00624D3D" w:rsidRDefault="00284E58" w:rsidP="00284E58">
      <w:pPr>
        <w:rPr>
          <w:b/>
        </w:rPr>
      </w:pPr>
      <w:r w:rsidRPr="00624D3D">
        <w:rPr>
          <w:b/>
        </w:rPr>
        <w:t>Høringsnotat</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1C0552" w:rsidP="00A46851">
            <w:pPr>
              <w:spacing w:line="220" w:lineRule="exact"/>
              <w:rPr>
                <w:sz w:val="16"/>
                <w:szCs w:val="16"/>
              </w:rPr>
            </w:pPr>
            <w:r>
              <w:rPr>
                <w:sz w:val="16"/>
                <w:szCs w:val="16"/>
              </w:rPr>
              <w:t>Center for energiadministration</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7D7207" w:rsidP="00A46851">
            <w:pPr>
              <w:spacing w:line="220" w:lineRule="exact"/>
              <w:rPr>
                <w:sz w:val="16"/>
                <w:szCs w:val="16"/>
              </w:rPr>
            </w:pPr>
            <w:r>
              <w:rPr>
                <w:sz w:val="16"/>
                <w:szCs w:val="16"/>
              </w:rPr>
              <w:t>10. december</w:t>
            </w:r>
            <w:r w:rsidR="00624D3D" w:rsidRPr="007D7207">
              <w:rPr>
                <w:sz w:val="16"/>
                <w:szCs w:val="16"/>
              </w:rPr>
              <w:t xml:space="preserve"> 2019</w:t>
            </w:r>
            <w:r w:rsidR="00A53C43">
              <w:rPr>
                <w:sz w:val="16"/>
                <w:szCs w:val="16"/>
              </w:rPr>
              <w:fldChar w:fldCharType="begin"/>
            </w:r>
            <w:r w:rsidR="00A53C43">
              <w:rPr>
                <w:sz w:val="16"/>
                <w:szCs w:val="16"/>
              </w:rPr>
              <w:instrText xml:space="preserve"> CREATEDATE  \@ "d. MMMM yyyy"  \* MERGEFORMAT </w:instrText>
            </w:r>
            <w:r w:rsidR="00A53C43">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1C0552">
              <w:rPr>
                <w:sz w:val="16"/>
                <w:szCs w:val="16"/>
              </w:rPr>
              <w:t>2019-</w:t>
            </w:r>
            <w:r w:rsidR="00B659F0">
              <w:rPr>
                <w:sz w:val="16"/>
                <w:szCs w:val="16"/>
              </w:rPr>
              <w:t>96889</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proofErr w:type="spellStart"/>
            <w:r w:rsidR="00284E58">
              <w:rPr>
                <w:sz w:val="16"/>
                <w:szCs w:val="16"/>
              </w:rPr>
              <w:t>sbr</w:t>
            </w:r>
            <w:proofErr w:type="spellEnd"/>
          </w:p>
        </w:tc>
      </w:tr>
    </w:tbl>
    <w:p w:rsidR="008F2666" w:rsidRDefault="008F2666" w:rsidP="00923F35">
      <w:pPr>
        <w:spacing w:after="700"/>
      </w:pPr>
    </w:p>
    <w:p w:rsidR="00284E58" w:rsidRDefault="00284E58" w:rsidP="00284E58">
      <w:pPr>
        <w:rPr>
          <w:b/>
        </w:rPr>
      </w:pPr>
      <w:r w:rsidRPr="00C1214B">
        <w:rPr>
          <w:b/>
        </w:rPr>
        <w:t xml:space="preserve">Høringsnotat vedrørende </w:t>
      </w:r>
      <w:r>
        <w:rPr>
          <w:b/>
        </w:rPr>
        <w:t>b</w:t>
      </w:r>
      <w:r w:rsidRPr="00DA3ADB">
        <w:rPr>
          <w:b/>
        </w:rPr>
        <w:t>ekendtgørelse om gebyr for ydelser efter lov om CO</w:t>
      </w:r>
      <w:r w:rsidRPr="00DA3ADB">
        <w:rPr>
          <w:b/>
          <w:vertAlign w:val="subscript"/>
        </w:rPr>
        <w:t>2</w:t>
      </w:r>
      <w:r w:rsidRPr="00DA3ADB">
        <w:rPr>
          <w:b/>
        </w:rPr>
        <w:t>-kvoter</w:t>
      </w:r>
      <w:r>
        <w:rPr>
          <w:b/>
        </w:rPr>
        <w:t xml:space="preserve"> </w:t>
      </w:r>
    </w:p>
    <w:p w:rsidR="00284E58" w:rsidRDefault="00284E58" w:rsidP="00284E58">
      <w:pPr>
        <w:rPr>
          <w:b/>
        </w:rPr>
      </w:pPr>
    </w:p>
    <w:p w:rsidR="00284E58" w:rsidRDefault="00284E58" w:rsidP="00A74D57">
      <w:pPr>
        <w:jc w:val="both"/>
      </w:pPr>
      <w:r>
        <w:t xml:space="preserve">Energistyrelsen har den </w:t>
      </w:r>
      <w:r w:rsidR="00B659F0">
        <w:t>25. november</w:t>
      </w:r>
      <w:r w:rsidR="001C0552">
        <w:t xml:space="preserve"> 2019</w:t>
      </w:r>
      <w:r>
        <w:t xml:space="preserve"> sendt udkast til bekendtgørelse </w:t>
      </w:r>
      <w:r w:rsidRPr="00834E8E">
        <w:t>om gebyr for ydelser efter lov om CO</w:t>
      </w:r>
      <w:r w:rsidRPr="00834E8E">
        <w:rPr>
          <w:vertAlign w:val="subscript"/>
        </w:rPr>
        <w:t>2</w:t>
      </w:r>
      <w:r w:rsidRPr="00834E8E">
        <w:t xml:space="preserve">-kvoter </w:t>
      </w:r>
      <w:r>
        <w:t xml:space="preserve">i høring hos de i bilag 1 nævnte høringsparter. Udkast til bekendtgørelse har også været offentliggjort på Høringsportalen. </w:t>
      </w:r>
    </w:p>
    <w:p w:rsidR="00284E58" w:rsidRDefault="00284E58" w:rsidP="00A74D57">
      <w:pPr>
        <w:jc w:val="both"/>
      </w:pPr>
    </w:p>
    <w:p w:rsidR="00284E58" w:rsidRDefault="00284E58" w:rsidP="00A74D57">
      <w:pPr>
        <w:jc w:val="both"/>
      </w:pPr>
      <w:r>
        <w:t xml:space="preserve">Høringsfristen udløb den </w:t>
      </w:r>
      <w:r w:rsidR="00B659F0">
        <w:t>9. december</w:t>
      </w:r>
      <w:r w:rsidR="001C0552">
        <w:t xml:space="preserve"> 2019</w:t>
      </w:r>
      <w:r>
        <w:t xml:space="preserve">. </w:t>
      </w:r>
    </w:p>
    <w:p w:rsidR="00284E58" w:rsidRDefault="00284E58" w:rsidP="00A74D57">
      <w:pPr>
        <w:jc w:val="both"/>
      </w:pPr>
    </w:p>
    <w:p w:rsidR="00284E58" w:rsidRDefault="00284E58" w:rsidP="00A74D57">
      <w:pPr>
        <w:jc w:val="both"/>
      </w:pPr>
      <w:r>
        <w:t xml:space="preserve">Der er modtaget </w:t>
      </w:r>
      <w:r w:rsidRPr="00925AD5">
        <w:t xml:space="preserve">i alt </w:t>
      </w:r>
      <w:r w:rsidR="00B043A7">
        <w:t>4</w:t>
      </w:r>
      <w:r w:rsidR="007956B8">
        <w:t xml:space="preserve"> </w:t>
      </w:r>
      <w:r>
        <w:t>høringssvar.</w:t>
      </w:r>
    </w:p>
    <w:p w:rsidR="00A74D57" w:rsidRPr="004D4CBE" w:rsidRDefault="00A74D57" w:rsidP="00253934">
      <w:pPr>
        <w:jc w:val="both"/>
        <w:rPr>
          <w:rFonts w:ascii="Verdana" w:hAnsi="Verdana" w:cs="Georgia"/>
          <w:bCs/>
          <w:szCs w:val="20"/>
        </w:rPr>
      </w:pPr>
    </w:p>
    <w:p w:rsidR="00B659F0" w:rsidRDefault="00B659F0" w:rsidP="00253934">
      <w:pPr>
        <w:pStyle w:val="Default"/>
        <w:jc w:val="both"/>
        <w:rPr>
          <w:rFonts w:cstheme="minorBidi"/>
          <w:color w:val="auto"/>
          <w:sz w:val="20"/>
        </w:rPr>
      </w:pPr>
      <w:r w:rsidRPr="00B659F0">
        <w:rPr>
          <w:rFonts w:cstheme="minorBidi"/>
          <w:b/>
          <w:color w:val="auto"/>
          <w:sz w:val="20"/>
          <w:szCs w:val="22"/>
        </w:rPr>
        <w:t>Asfaltindustrien</w:t>
      </w:r>
      <w:r w:rsidRPr="00B659F0">
        <w:rPr>
          <w:rFonts w:cstheme="minorBidi"/>
          <w:color w:val="auto"/>
          <w:sz w:val="20"/>
          <w:szCs w:val="22"/>
        </w:rPr>
        <w:t xml:space="preserve"> finder</w:t>
      </w:r>
      <w:r w:rsidR="00A74D57">
        <w:rPr>
          <w:rFonts w:cstheme="minorBidi"/>
          <w:color w:val="auto"/>
          <w:sz w:val="20"/>
          <w:szCs w:val="22"/>
        </w:rPr>
        <w:t xml:space="preserve"> </w:t>
      </w:r>
      <w:r w:rsidR="00813494">
        <w:rPr>
          <w:rFonts w:cstheme="minorBidi"/>
          <w:color w:val="auto"/>
          <w:sz w:val="20"/>
          <w:szCs w:val="22"/>
        </w:rPr>
        <w:t>som ved indførelsen af den nuværende gebyrmodel i 2015</w:t>
      </w:r>
      <w:r w:rsidRPr="00B659F0">
        <w:rPr>
          <w:rFonts w:cstheme="minorBidi"/>
          <w:color w:val="auto"/>
          <w:sz w:val="20"/>
          <w:szCs w:val="22"/>
        </w:rPr>
        <w:t xml:space="preserve">, </w:t>
      </w:r>
      <w:r w:rsidRPr="00B659F0">
        <w:rPr>
          <w:rFonts w:cstheme="minorBidi"/>
          <w:color w:val="auto"/>
          <w:sz w:val="20"/>
        </w:rPr>
        <w:t>at gebyrsatsen</w:t>
      </w:r>
      <w:r w:rsidR="00813494">
        <w:rPr>
          <w:rFonts w:cstheme="minorBidi"/>
          <w:color w:val="auto"/>
          <w:sz w:val="20"/>
        </w:rPr>
        <w:t xml:space="preserve"> </w:t>
      </w:r>
      <w:r w:rsidRPr="00B659F0">
        <w:rPr>
          <w:rFonts w:cstheme="minorBidi"/>
          <w:color w:val="auto"/>
          <w:sz w:val="20"/>
        </w:rPr>
        <w:t xml:space="preserve">grundlæggende ikke er fastsat retfærdigt i forhold til de forskellige kategorier. Forskellen i gebyret bør i højere grad afspejle forskellen i størrelsen af udledningen. </w:t>
      </w:r>
    </w:p>
    <w:p w:rsidR="00A74D57" w:rsidRPr="00B659F0" w:rsidRDefault="00A74D57" w:rsidP="00253934">
      <w:pPr>
        <w:pStyle w:val="Default"/>
        <w:spacing w:line="280" w:lineRule="atLeast"/>
        <w:jc w:val="both"/>
        <w:rPr>
          <w:rFonts w:cstheme="minorBidi"/>
          <w:color w:val="auto"/>
          <w:sz w:val="20"/>
        </w:rPr>
      </w:pPr>
    </w:p>
    <w:p w:rsidR="00B659F0" w:rsidRDefault="00B659F0" w:rsidP="00253934">
      <w:pPr>
        <w:jc w:val="both"/>
        <w:rPr>
          <w:szCs w:val="24"/>
        </w:rPr>
      </w:pPr>
      <w:r w:rsidRPr="00A74D57">
        <w:rPr>
          <w:szCs w:val="24"/>
        </w:rPr>
        <w:t>Asfaltvirksomhederne ligger alle i den laveste udledningskategori, og de finder det således ikke rimeligt, at andre kan udlede mere end 20 gange mere CO</w:t>
      </w:r>
      <w:r w:rsidRPr="00813494">
        <w:rPr>
          <w:szCs w:val="24"/>
          <w:vertAlign w:val="subscript"/>
        </w:rPr>
        <w:t>2</w:t>
      </w:r>
      <w:r w:rsidRPr="00A74D57">
        <w:rPr>
          <w:szCs w:val="24"/>
        </w:rPr>
        <w:t>, men kun skal betale 3 gange så meget i gebyr.</w:t>
      </w:r>
    </w:p>
    <w:p w:rsidR="00A74D57" w:rsidRPr="00A74D57" w:rsidRDefault="00A74D57" w:rsidP="00253934">
      <w:pPr>
        <w:jc w:val="both"/>
        <w:rPr>
          <w:szCs w:val="24"/>
        </w:rPr>
      </w:pPr>
    </w:p>
    <w:p w:rsidR="00B659F0" w:rsidRDefault="00B659F0" w:rsidP="00253934">
      <w:pPr>
        <w:jc w:val="both"/>
        <w:rPr>
          <w:i/>
          <w:szCs w:val="24"/>
        </w:rPr>
      </w:pPr>
      <w:r w:rsidRPr="00A74D57">
        <w:rPr>
          <w:i/>
          <w:szCs w:val="24"/>
        </w:rPr>
        <w:t>Energistyrelsen vurderer</w:t>
      </w:r>
      <w:r w:rsidR="00A74D57">
        <w:rPr>
          <w:i/>
          <w:szCs w:val="24"/>
        </w:rPr>
        <w:t xml:space="preserve"> fortsat</w:t>
      </w:r>
      <w:r w:rsidRPr="00A74D57">
        <w:rPr>
          <w:i/>
          <w:szCs w:val="24"/>
        </w:rPr>
        <w:t xml:space="preserve">, at </w:t>
      </w:r>
      <w:r w:rsidR="00A74D57">
        <w:rPr>
          <w:i/>
          <w:szCs w:val="24"/>
        </w:rPr>
        <w:t xml:space="preserve">den nuværende </w:t>
      </w:r>
      <w:r w:rsidRPr="00A74D57">
        <w:rPr>
          <w:i/>
          <w:szCs w:val="24"/>
        </w:rPr>
        <w:t>gebyr</w:t>
      </w:r>
      <w:r w:rsidR="00E011FD">
        <w:rPr>
          <w:i/>
          <w:szCs w:val="24"/>
        </w:rPr>
        <w:t xml:space="preserve">model, der blev indført i 2015, </w:t>
      </w:r>
      <w:r w:rsidRPr="00A74D57">
        <w:rPr>
          <w:i/>
          <w:szCs w:val="24"/>
        </w:rPr>
        <w:t xml:space="preserve">er mere rimelig end det tidligere flade gebyr, idet gebyrerne bedre modsvarer den faktiske administrationsbyrde. Administrationsbyrden øges med kravene, som øges med udledningen, dog ikke lineært. </w:t>
      </w:r>
    </w:p>
    <w:p w:rsidR="00813494" w:rsidRPr="00A74D57" w:rsidRDefault="00813494" w:rsidP="00253934">
      <w:pPr>
        <w:jc w:val="both"/>
        <w:rPr>
          <w:i/>
          <w:szCs w:val="24"/>
        </w:rPr>
      </w:pPr>
    </w:p>
    <w:p w:rsidR="00A400FA" w:rsidRDefault="00813494" w:rsidP="00253934">
      <w:pPr>
        <w:jc w:val="both"/>
        <w:rPr>
          <w:szCs w:val="24"/>
        </w:rPr>
      </w:pPr>
      <w:r w:rsidRPr="00813494">
        <w:rPr>
          <w:b/>
        </w:rPr>
        <w:t>Erhvervsflyvningens Sammenslutning (ES)</w:t>
      </w:r>
      <w:r>
        <w:rPr>
          <w:b/>
        </w:rPr>
        <w:t xml:space="preserve"> </w:t>
      </w:r>
      <w:r w:rsidR="00A400FA">
        <w:rPr>
          <w:szCs w:val="24"/>
        </w:rPr>
        <w:t>kan ikke acceptere,</w:t>
      </w:r>
      <w:r w:rsidRPr="00813494">
        <w:rPr>
          <w:szCs w:val="24"/>
        </w:rPr>
        <w:t xml:space="preserve"> at </w:t>
      </w:r>
      <w:r w:rsidR="00A400FA">
        <w:rPr>
          <w:szCs w:val="24"/>
        </w:rPr>
        <w:t>g</w:t>
      </w:r>
      <w:r w:rsidRPr="00813494">
        <w:rPr>
          <w:szCs w:val="24"/>
        </w:rPr>
        <w:t>ebyr</w:t>
      </w:r>
      <w:r w:rsidR="00A400FA">
        <w:rPr>
          <w:szCs w:val="24"/>
        </w:rPr>
        <w:softHyphen/>
      </w:r>
      <w:r w:rsidRPr="00813494">
        <w:rPr>
          <w:szCs w:val="24"/>
        </w:rPr>
        <w:t>satserne for luftfartsoperatører stiger med 25%.</w:t>
      </w:r>
    </w:p>
    <w:p w:rsidR="00813494" w:rsidRPr="00813494" w:rsidRDefault="00813494" w:rsidP="00253934">
      <w:pPr>
        <w:jc w:val="both"/>
        <w:rPr>
          <w:szCs w:val="24"/>
        </w:rPr>
      </w:pPr>
      <w:r w:rsidRPr="00813494">
        <w:rPr>
          <w:szCs w:val="24"/>
        </w:rPr>
        <w:t xml:space="preserve"> </w:t>
      </w:r>
    </w:p>
    <w:p w:rsidR="00813494" w:rsidRDefault="00813494" w:rsidP="00253934">
      <w:pPr>
        <w:jc w:val="both"/>
        <w:rPr>
          <w:sz w:val="22"/>
        </w:rPr>
      </w:pPr>
      <w:r w:rsidRPr="00813494">
        <w:rPr>
          <w:szCs w:val="24"/>
        </w:rPr>
        <w:t xml:space="preserve">ES </w:t>
      </w:r>
      <w:r w:rsidR="00A400FA">
        <w:rPr>
          <w:szCs w:val="24"/>
        </w:rPr>
        <w:t>anfører, at d</w:t>
      </w:r>
      <w:r w:rsidRPr="00813494">
        <w:rPr>
          <w:szCs w:val="24"/>
        </w:rPr>
        <w:t xml:space="preserve">er må være en mere konkret argumentation end blot </w:t>
      </w:r>
      <w:r w:rsidR="00A400FA" w:rsidRPr="00813494">
        <w:rPr>
          <w:szCs w:val="24"/>
        </w:rPr>
        <w:t xml:space="preserve">”forventet underskud i 2019” og at det ”tilstræbes at opnå økonomisk </w:t>
      </w:r>
      <w:r w:rsidR="00A400FA">
        <w:rPr>
          <w:szCs w:val="24"/>
        </w:rPr>
        <w:t>b</w:t>
      </w:r>
      <w:r w:rsidR="00A400FA" w:rsidRPr="00813494">
        <w:rPr>
          <w:szCs w:val="24"/>
        </w:rPr>
        <w:t>alance</w:t>
      </w:r>
      <w:r w:rsidR="00A400FA">
        <w:rPr>
          <w:szCs w:val="24"/>
        </w:rPr>
        <w:t>”, som nævnt i høringsbrevet</w:t>
      </w:r>
      <w:r w:rsidR="00A400FA" w:rsidRPr="00813494">
        <w:rPr>
          <w:szCs w:val="24"/>
        </w:rPr>
        <w:t>. </w:t>
      </w:r>
    </w:p>
    <w:p w:rsidR="001C0552" w:rsidRDefault="001C0552" w:rsidP="00B659F0">
      <w:pPr>
        <w:pStyle w:val="Default"/>
        <w:jc w:val="both"/>
        <w:rPr>
          <w:rFonts w:cstheme="minorBidi"/>
          <w:b/>
          <w:color w:val="auto"/>
          <w:sz w:val="20"/>
          <w:szCs w:val="22"/>
        </w:rPr>
      </w:pPr>
    </w:p>
    <w:p w:rsidR="006F1BA8" w:rsidRDefault="00326B80" w:rsidP="006F1BA8">
      <w:pPr>
        <w:jc w:val="both"/>
        <w:rPr>
          <w:i/>
        </w:rPr>
      </w:pPr>
      <w:r w:rsidRPr="00F94029">
        <w:rPr>
          <w:i/>
        </w:rPr>
        <w:t xml:space="preserve">Energistyrelsen følger </w:t>
      </w:r>
      <w:r w:rsidR="006F1BA8" w:rsidRPr="00F94029">
        <w:rPr>
          <w:i/>
        </w:rPr>
        <w:t>Finansministeriets budgetvejledning</w:t>
      </w:r>
      <w:r w:rsidR="00C5005D">
        <w:rPr>
          <w:i/>
        </w:rPr>
        <w:t>, pkt. 2.3.1.</w:t>
      </w:r>
      <w:r w:rsidRPr="00F94029">
        <w:rPr>
          <w:i/>
        </w:rPr>
        <w:t>, hvorefter</w:t>
      </w:r>
      <w:r w:rsidR="006F1BA8" w:rsidRPr="00F94029">
        <w:rPr>
          <w:i/>
        </w:rPr>
        <w:t xml:space="preserve"> </w:t>
      </w:r>
      <w:r w:rsidRPr="00F94029">
        <w:rPr>
          <w:i/>
        </w:rPr>
        <w:t xml:space="preserve">der </w:t>
      </w:r>
      <w:r w:rsidR="006F1BA8" w:rsidRPr="00F94029">
        <w:rPr>
          <w:i/>
        </w:rPr>
        <w:t xml:space="preserve">skal opnås fuld dækning for de omkostninger, der er forbundet med det pågældende gebyrbelagte område, således at der tilstræbes balance over en løbende 4-årig periode fra og med regnskabsåret. Mindst en gang årligt vurderes det, om gebyrsatsen </w:t>
      </w:r>
      <w:r w:rsidR="00F94029" w:rsidRPr="00F94029">
        <w:rPr>
          <w:i/>
        </w:rPr>
        <w:t xml:space="preserve">skal </w:t>
      </w:r>
      <w:r w:rsidR="006F1BA8" w:rsidRPr="00F94029">
        <w:rPr>
          <w:i/>
        </w:rPr>
        <w:t>justeres for at sikre balance. </w:t>
      </w:r>
      <w:r w:rsidRPr="00F94029">
        <w:rPr>
          <w:i/>
        </w:rPr>
        <w:t>Gebyrsatserne har i de seneste 2 år været nedjusteret</w:t>
      </w:r>
      <w:r w:rsidR="003B65EE">
        <w:rPr>
          <w:i/>
        </w:rPr>
        <w:t xml:space="preserve">, men for meget, idet der forventes </w:t>
      </w:r>
      <w:r w:rsidR="00685369">
        <w:rPr>
          <w:i/>
        </w:rPr>
        <w:t>underskud</w:t>
      </w:r>
      <w:r w:rsidR="003B65EE">
        <w:rPr>
          <w:i/>
        </w:rPr>
        <w:t xml:space="preserve"> på ordningen i 2019. </w:t>
      </w:r>
      <w:r w:rsidR="00685369">
        <w:rPr>
          <w:i/>
        </w:rPr>
        <w:lastRenderedPageBreak/>
        <w:t>For rette op på dette og sikre, at omkostninger og indtægter balancerer, har det været nødvendigt at opjustere gebyrsatserne.</w:t>
      </w:r>
    </w:p>
    <w:p w:rsidR="00253934" w:rsidRDefault="00253934" w:rsidP="006F1BA8">
      <w:pPr>
        <w:jc w:val="both"/>
        <w:rPr>
          <w:i/>
        </w:rPr>
      </w:pPr>
    </w:p>
    <w:p w:rsidR="00253934" w:rsidRDefault="00253934" w:rsidP="00253934">
      <w:pPr>
        <w:jc w:val="both"/>
      </w:pPr>
      <w:r w:rsidRPr="00253934">
        <w:rPr>
          <w:b/>
        </w:rPr>
        <w:t>Bryggeriforeningen</w:t>
      </w:r>
      <w:r>
        <w:t xml:space="preserve"> beklager, at Energistyrelsen foreslår at hæve gebyrerne med 25 %. </w:t>
      </w:r>
    </w:p>
    <w:p w:rsidR="00253934" w:rsidRDefault="00253934" w:rsidP="00253934">
      <w:pPr>
        <w:jc w:val="both"/>
      </w:pPr>
    </w:p>
    <w:p w:rsidR="00253934" w:rsidRDefault="00253934" w:rsidP="00253934">
      <w:pPr>
        <w:jc w:val="both"/>
        <w:rPr>
          <w:rFonts w:ascii="Calibri" w:hAnsi="Calibri"/>
        </w:rPr>
      </w:pPr>
      <w:r>
        <w:t>Det er imidlertid Bryggeriforeningens indtryk, at styrelsen er opmærksom og hjælpsom over for de virksomheder, der søger styrelsens assistance, og at de foreslåede gebyrforhøjelser afspejler de stigende omkostninger, der skyldes øgede administrative opgaver, der pålægges både styrelsen og de virksomheder, der omfattes af kvoteordningen.</w:t>
      </w:r>
    </w:p>
    <w:p w:rsidR="00253934" w:rsidRDefault="00253934" w:rsidP="00253934">
      <w:pPr>
        <w:jc w:val="both"/>
      </w:pPr>
    </w:p>
    <w:p w:rsidR="00253934" w:rsidRDefault="00253934" w:rsidP="00253934">
      <w:pPr>
        <w:jc w:val="both"/>
      </w:pPr>
      <w:r>
        <w:t>Derfor må antallet og omfanget af administrative opgaver ved kvoteordningen begrænses.</w:t>
      </w:r>
    </w:p>
    <w:p w:rsidR="00253934" w:rsidRDefault="00253934" w:rsidP="00253934">
      <w:pPr>
        <w:jc w:val="both"/>
      </w:pPr>
    </w:p>
    <w:p w:rsidR="00253934" w:rsidRDefault="005563EB" w:rsidP="006F1BA8">
      <w:pPr>
        <w:jc w:val="both"/>
        <w:rPr>
          <w:i/>
        </w:rPr>
      </w:pPr>
      <w:r>
        <w:rPr>
          <w:i/>
        </w:rPr>
        <w:t xml:space="preserve">Energistyrelsen </w:t>
      </w:r>
      <w:r w:rsidR="007D7207">
        <w:rPr>
          <w:i/>
        </w:rPr>
        <w:t xml:space="preserve">takker for de pæne ord. Det kan </w:t>
      </w:r>
      <w:bookmarkStart w:id="0" w:name="_GoBack"/>
      <w:bookmarkEnd w:id="0"/>
      <w:r w:rsidR="007D7207">
        <w:rPr>
          <w:i/>
        </w:rPr>
        <w:t xml:space="preserve">oplyses, at styrelsen </w:t>
      </w:r>
      <w:r>
        <w:rPr>
          <w:i/>
        </w:rPr>
        <w:t>arbejder på</w:t>
      </w:r>
      <w:r w:rsidR="007E7229">
        <w:rPr>
          <w:i/>
        </w:rPr>
        <w:t>,</w:t>
      </w:r>
      <w:r>
        <w:rPr>
          <w:i/>
        </w:rPr>
        <w:t xml:space="preserve"> ved videreudvikling og vedligeholdelse af </w:t>
      </w:r>
      <w:proofErr w:type="spellStart"/>
      <w:r>
        <w:rPr>
          <w:i/>
        </w:rPr>
        <w:t>EnergidataOnline</w:t>
      </w:r>
      <w:proofErr w:type="spellEnd"/>
      <w:r>
        <w:rPr>
          <w:i/>
        </w:rPr>
        <w:t xml:space="preserve"> </w:t>
      </w:r>
      <w:r w:rsidR="007E7229">
        <w:rPr>
          <w:i/>
        </w:rPr>
        <w:t>(</w:t>
      </w:r>
      <w:r w:rsidR="00456E05" w:rsidRPr="00456E05">
        <w:rPr>
          <w:i/>
        </w:rPr>
        <w:t>EDO</w:t>
      </w:r>
      <w:r w:rsidR="007E7229">
        <w:rPr>
          <w:i/>
        </w:rPr>
        <w:t>)</w:t>
      </w:r>
      <w:r w:rsidR="00456E05" w:rsidRPr="00456E05">
        <w:rPr>
          <w:i/>
        </w:rPr>
        <w:t xml:space="preserve">, at </w:t>
      </w:r>
      <w:r w:rsidR="007E7229">
        <w:rPr>
          <w:i/>
        </w:rPr>
        <w:t>lette</w:t>
      </w:r>
      <w:r w:rsidR="007E7229" w:rsidRPr="00456E05">
        <w:rPr>
          <w:i/>
        </w:rPr>
        <w:t xml:space="preserve"> </w:t>
      </w:r>
      <w:r w:rsidR="007D7207">
        <w:rPr>
          <w:i/>
        </w:rPr>
        <w:t xml:space="preserve">både </w:t>
      </w:r>
      <w:r w:rsidR="00456E05" w:rsidRPr="00456E05">
        <w:rPr>
          <w:i/>
        </w:rPr>
        <w:t xml:space="preserve">virksomhedernes </w:t>
      </w:r>
      <w:r w:rsidR="007D7207">
        <w:rPr>
          <w:i/>
        </w:rPr>
        <w:t xml:space="preserve">og styrelsens </w:t>
      </w:r>
      <w:r w:rsidR="00456E05" w:rsidRPr="00456E05">
        <w:rPr>
          <w:i/>
        </w:rPr>
        <w:t>administrative byrder i ordningen</w:t>
      </w:r>
      <w:r w:rsidR="007E7229">
        <w:rPr>
          <w:i/>
        </w:rPr>
        <w:t>.</w:t>
      </w:r>
    </w:p>
    <w:p w:rsidR="00B043A7" w:rsidRDefault="00B043A7" w:rsidP="006F1BA8">
      <w:pPr>
        <w:jc w:val="both"/>
        <w:rPr>
          <w:i/>
        </w:rPr>
      </w:pPr>
    </w:p>
    <w:p w:rsidR="00B043A7" w:rsidRPr="00B043A7" w:rsidRDefault="00B043A7" w:rsidP="00B043A7">
      <w:pPr>
        <w:spacing w:line="240" w:lineRule="auto"/>
        <w:jc w:val="both"/>
      </w:pPr>
      <w:r w:rsidRPr="00B043A7">
        <w:rPr>
          <w:b/>
        </w:rPr>
        <w:t>Drivkraft Danmark</w:t>
      </w:r>
      <w:r w:rsidRPr="00B043A7">
        <w:t xml:space="preserve"> kan støtte de foreslåede ændringer af bekendtgørelse om gebyr for ydelser efter lov om CO2-kvoter</w:t>
      </w:r>
      <w:r>
        <w:t>.</w:t>
      </w:r>
    </w:p>
    <w:p w:rsidR="00B043A7" w:rsidRDefault="00B043A7" w:rsidP="006F1BA8">
      <w:pPr>
        <w:jc w:val="both"/>
        <w:rPr>
          <w:i/>
        </w:rPr>
      </w:pPr>
    </w:p>
    <w:p w:rsidR="007E7229" w:rsidRPr="00456E05" w:rsidRDefault="007E7229" w:rsidP="006F1BA8">
      <w:pPr>
        <w:jc w:val="both"/>
        <w:rPr>
          <w:i/>
        </w:rPr>
      </w:pPr>
    </w:p>
    <w:p w:rsidR="001C0552" w:rsidRDefault="001C0552" w:rsidP="001C0552">
      <w:pPr>
        <w:jc w:val="center"/>
      </w:pPr>
      <w:r>
        <w:t>-/-</w:t>
      </w:r>
    </w:p>
    <w:p w:rsidR="009962D2" w:rsidRDefault="009962D2">
      <w:pPr>
        <w:spacing w:after="200" w:line="276" w:lineRule="auto"/>
      </w:pPr>
      <w:r>
        <w:br w:type="page"/>
      </w:r>
    </w:p>
    <w:p w:rsidR="001C0552" w:rsidRDefault="001C0552" w:rsidP="001C0552">
      <w:pPr>
        <w:jc w:val="center"/>
      </w:pPr>
    </w:p>
    <w:p w:rsidR="001C0552" w:rsidRDefault="001C0552" w:rsidP="001C0552"/>
    <w:p w:rsidR="001C0552" w:rsidRDefault="001C0552" w:rsidP="001C0552">
      <w:pPr>
        <w:rPr>
          <w:b/>
        </w:rPr>
      </w:pPr>
      <w:r>
        <w:rPr>
          <w:b/>
        </w:rPr>
        <w:t>Bilag 1</w:t>
      </w:r>
    </w:p>
    <w:p w:rsidR="001C0552" w:rsidRDefault="001C0552" w:rsidP="001C0552">
      <w:pPr>
        <w:rPr>
          <w:b/>
        </w:rPr>
      </w:pPr>
    </w:p>
    <w:p w:rsidR="00AB1BE9" w:rsidRDefault="00AB1BE9" w:rsidP="00AB1BE9">
      <w:r>
        <w:t>Asfaltindustrien</w:t>
      </w:r>
    </w:p>
    <w:p w:rsidR="00AB1BE9" w:rsidRDefault="00AB1BE9" w:rsidP="00AB1BE9">
      <w:r>
        <w:t>Brancheforeningen Dansk Luftfart</w:t>
      </w:r>
    </w:p>
    <w:p w:rsidR="00AB1BE9" w:rsidRDefault="00AB1BE9" w:rsidP="00AB1BE9">
      <w:r>
        <w:t>Brancheforeningen for Biogas</w:t>
      </w:r>
    </w:p>
    <w:p w:rsidR="00AB1BE9" w:rsidRDefault="00AB1BE9" w:rsidP="00AB1BE9">
      <w:r>
        <w:t>Brancheforeningen for Decentral Kraftvarme</w:t>
      </w:r>
    </w:p>
    <w:p w:rsidR="00AB1BE9" w:rsidRDefault="00AB1BE9" w:rsidP="00AB1BE9">
      <w:r>
        <w:t>Bryggeriforeningen</w:t>
      </w:r>
    </w:p>
    <w:p w:rsidR="00AB1BE9" w:rsidRDefault="00AB1BE9" w:rsidP="00AB1BE9">
      <w:r>
        <w:t>Dansk Byggeri</w:t>
      </w:r>
    </w:p>
    <w:p w:rsidR="00AB1BE9" w:rsidRDefault="00AB1BE9" w:rsidP="00AB1BE9">
      <w:r>
        <w:t>Dansk Affaldsforening</w:t>
      </w:r>
    </w:p>
    <w:p w:rsidR="00AB1BE9" w:rsidRDefault="00AB1BE9" w:rsidP="00AB1BE9">
      <w:r>
        <w:t>Dansk Energi</w:t>
      </w:r>
    </w:p>
    <w:p w:rsidR="00AB1BE9" w:rsidRDefault="00AB1BE9" w:rsidP="00AB1BE9">
      <w:r>
        <w:t>Dansk Erhverv</w:t>
      </w:r>
    </w:p>
    <w:p w:rsidR="00AB1BE9" w:rsidRDefault="00AB1BE9" w:rsidP="00AB1BE9">
      <w:r>
        <w:t>Dansk Fjernvarme</w:t>
      </w:r>
    </w:p>
    <w:p w:rsidR="00AB1BE9" w:rsidRDefault="00AB1BE9" w:rsidP="00AB1BE9">
      <w:r>
        <w:t>Dansk Gartneri</w:t>
      </w:r>
    </w:p>
    <w:p w:rsidR="00AB1BE9" w:rsidRDefault="00AB1BE9" w:rsidP="00AB1BE9">
      <w:r>
        <w:t>Dansk Industri (DI)</w:t>
      </w:r>
    </w:p>
    <w:p w:rsidR="00AB1BE9" w:rsidRDefault="00AB1BE9" w:rsidP="00AB1BE9">
      <w:r>
        <w:t>Danske Energiforbrugere</w:t>
      </w:r>
    </w:p>
    <w:p w:rsidR="00AB1BE9" w:rsidRDefault="00AB1BE9" w:rsidP="00AB1BE9">
      <w:r>
        <w:t>Danske Regioner</w:t>
      </w:r>
    </w:p>
    <w:p w:rsidR="00AB1BE9" w:rsidRDefault="00AB1BE9" w:rsidP="00AB1BE9">
      <w:r>
        <w:t>Danske Tegl</w:t>
      </w:r>
    </w:p>
    <w:p w:rsidR="00AB1BE9" w:rsidRDefault="00AB1BE9" w:rsidP="00AB1BE9">
      <w:r>
        <w:t>De Frie Energiselskaber</w:t>
      </w:r>
    </w:p>
    <w:p w:rsidR="00AB1BE9" w:rsidRDefault="00AB1BE9" w:rsidP="00AB1BE9">
      <w:r>
        <w:t>Den Danske Akkrediteringsfond (DANAK)</w:t>
      </w:r>
    </w:p>
    <w:p w:rsidR="00AB1BE9" w:rsidRDefault="00AB1BE9" w:rsidP="00AB1BE9">
      <w:r>
        <w:t>Drivkraft Danmark</w:t>
      </w:r>
    </w:p>
    <w:p w:rsidR="00AB1BE9" w:rsidRDefault="00AB1BE9" w:rsidP="00AB1BE9">
      <w:r>
        <w:t>Energiforbrugeren</w:t>
      </w:r>
    </w:p>
    <w:p w:rsidR="00AB1BE9" w:rsidRDefault="00AB1BE9" w:rsidP="00AB1BE9">
      <w:r>
        <w:t>Energiforum Danmark</w:t>
      </w:r>
    </w:p>
    <w:p w:rsidR="00AB1BE9" w:rsidRDefault="00AB1BE9" w:rsidP="00AB1BE9">
      <w:r>
        <w:t>Erhvervsflyvningens Sammenslutning (ES-DAA)</w:t>
      </w:r>
    </w:p>
    <w:p w:rsidR="00AB1BE9" w:rsidRDefault="00AB1BE9" w:rsidP="00AB1BE9">
      <w:r>
        <w:t>Forbrugerrådet Tænk</w:t>
      </w:r>
    </w:p>
    <w:p w:rsidR="00AB1BE9" w:rsidRDefault="00AB1BE9" w:rsidP="00AB1BE9">
      <w:r>
        <w:t>Foreningen Biogasbranchen</w:t>
      </w:r>
    </w:p>
    <w:p w:rsidR="00AB1BE9" w:rsidRDefault="00AB1BE9" w:rsidP="00AB1BE9">
      <w:r>
        <w:t>Foreningen Danske Kraftvarmeværker</w:t>
      </w:r>
    </w:p>
    <w:p w:rsidR="00AB1BE9" w:rsidRDefault="00AB1BE9" w:rsidP="00AB1BE9">
      <w:r>
        <w:t>Foreningen for Slutbrugere af Energi</w:t>
      </w:r>
    </w:p>
    <w:p w:rsidR="00AB1BE9" w:rsidRDefault="00AB1BE9" w:rsidP="00AB1BE9">
      <w:r>
        <w:t>FSR - danske revisorer</w:t>
      </w:r>
    </w:p>
    <w:p w:rsidR="00AB1BE9" w:rsidRDefault="00AB1BE9" w:rsidP="00AB1BE9">
      <w:r>
        <w:t>Kommunernes Landsforening</w:t>
      </w:r>
    </w:p>
    <w:p w:rsidR="00AB1BE9" w:rsidRDefault="00AB1BE9" w:rsidP="00AB1BE9">
      <w:r>
        <w:t>Landbrug &amp; Fødevarer</w:t>
      </w:r>
    </w:p>
    <w:p w:rsidR="00E409E0" w:rsidRDefault="00E409E0" w:rsidP="00AB1BE9">
      <w:r>
        <w:t xml:space="preserve">Marine </w:t>
      </w:r>
      <w:proofErr w:type="spellStart"/>
      <w:r>
        <w:t>Ingredients</w:t>
      </w:r>
      <w:proofErr w:type="spellEnd"/>
      <w:r>
        <w:t xml:space="preserve"> Denmark</w:t>
      </w:r>
    </w:p>
    <w:p w:rsidR="00AB1BE9" w:rsidRDefault="00AB1BE9" w:rsidP="00AB1BE9">
      <w:r>
        <w:t>Olie Gas Danmark</w:t>
      </w:r>
    </w:p>
    <w:p w:rsidR="00AB1BE9" w:rsidRDefault="00AB1BE9" w:rsidP="00AB1BE9">
      <w:r>
        <w:t>Offshoreenergy.dk</w:t>
      </w:r>
    </w:p>
    <w:p w:rsidR="00AB1BE9" w:rsidRDefault="00AB1BE9" w:rsidP="00AB1BE9">
      <w:r>
        <w:t>Plastindustrien</w:t>
      </w:r>
    </w:p>
    <w:p w:rsidR="00AB1BE9" w:rsidRDefault="00AB1BE9" w:rsidP="00AB1BE9">
      <w:r>
        <w:t>Synergi</w:t>
      </w:r>
    </w:p>
    <w:p w:rsidR="00AB1BE9" w:rsidRDefault="00AB1BE9" w:rsidP="00AB1BE9">
      <w:r>
        <w:t>Vedvarende Energi</w:t>
      </w:r>
    </w:p>
    <w:p w:rsidR="001C0552" w:rsidRDefault="001C0552" w:rsidP="00AB1BE9"/>
    <w:sectPr w:rsidR="001C0552" w:rsidSect="00EB7382">
      <w:headerReference w:type="default" r:id="rId6"/>
      <w:footerReference w:type="default" r:id="rId7"/>
      <w:headerReference w:type="first" r:id="rId8"/>
      <w:footerReference w:type="first" r:id="rId9"/>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58" w:rsidRDefault="00284E58" w:rsidP="008969C1">
      <w:pPr>
        <w:spacing w:line="240" w:lineRule="auto"/>
      </w:pPr>
      <w:r>
        <w:separator/>
      </w:r>
    </w:p>
  </w:endnote>
  <w:endnote w:type="continuationSeparator" w:id="0">
    <w:p w:rsidR="00284E58" w:rsidRDefault="00284E58"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7D7207">
      <w:rPr>
        <w:noProof/>
      </w:rPr>
      <w:t>3</w:t>
    </w:r>
    <w:r w:rsidRPr="00DE15CF">
      <w:fldChar w:fldCharType="end"/>
    </w:r>
    <w:r w:rsidRPr="00DE15CF">
      <w:t>/</w:t>
    </w:r>
    <w:fldSimple w:instr=" NUMPAGES ">
      <w:r w:rsidR="007D720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E011FD" w:rsidRPr="00F273E6" w:rsidRDefault="00E011FD" w:rsidP="00E011FD">
                          <w:pPr>
                            <w:spacing w:line="192" w:lineRule="atLeast"/>
                            <w:rPr>
                              <w:sz w:val="16"/>
                              <w:szCs w:val="16"/>
                            </w:rPr>
                          </w:pPr>
                          <w:r>
                            <w:rPr>
                              <w:sz w:val="16"/>
                              <w:szCs w:val="16"/>
                            </w:rPr>
                            <w:t>Carsten Niebuhrs Gade 43</w:t>
                          </w:r>
                        </w:p>
                        <w:p w:rsidR="00E011FD" w:rsidRDefault="00E011FD" w:rsidP="00E011FD">
                          <w:pPr>
                            <w:spacing w:line="192" w:lineRule="atLeast"/>
                            <w:rPr>
                              <w:sz w:val="16"/>
                              <w:szCs w:val="16"/>
                            </w:rPr>
                          </w:pPr>
                          <w:r>
                            <w:rPr>
                              <w:sz w:val="16"/>
                              <w:szCs w:val="16"/>
                            </w:rPr>
                            <w:t>1577 København V</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047B"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E011FD" w:rsidRPr="00F273E6" w:rsidRDefault="00E011FD" w:rsidP="00E011FD">
                    <w:pPr>
                      <w:spacing w:line="192" w:lineRule="atLeast"/>
                      <w:rPr>
                        <w:sz w:val="16"/>
                        <w:szCs w:val="16"/>
                      </w:rPr>
                    </w:pPr>
                    <w:r>
                      <w:rPr>
                        <w:sz w:val="16"/>
                        <w:szCs w:val="16"/>
                      </w:rPr>
                      <w:t>Carsten Niebuhrs Gade 43</w:t>
                    </w:r>
                  </w:p>
                  <w:p w:rsidR="00E011FD" w:rsidRDefault="00E011FD" w:rsidP="00E011FD">
                    <w:pPr>
                      <w:spacing w:line="192" w:lineRule="atLeast"/>
                      <w:rPr>
                        <w:sz w:val="16"/>
                        <w:szCs w:val="16"/>
                      </w:rPr>
                    </w:pPr>
                    <w:r>
                      <w:rPr>
                        <w:sz w:val="16"/>
                        <w:szCs w:val="16"/>
                      </w:rPr>
                      <w:t>1577 København V</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7D7207">
      <w:rPr>
        <w:noProof/>
      </w:rPr>
      <w:t>1</w:t>
    </w:r>
    <w:r w:rsidR="008969C1" w:rsidRPr="00DE15CF">
      <w:fldChar w:fldCharType="end"/>
    </w:r>
    <w:r w:rsidR="008969C1" w:rsidRPr="00DE15CF">
      <w:t>/</w:t>
    </w:r>
    <w:fldSimple w:instr=" NUMPAGES ">
      <w:r w:rsidR="007D720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58" w:rsidRDefault="00284E58" w:rsidP="008969C1">
      <w:pPr>
        <w:spacing w:line="240" w:lineRule="auto"/>
      </w:pPr>
      <w:r>
        <w:separator/>
      </w:r>
    </w:p>
  </w:footnote>
  <w:footnote w:type="continuationSeparator" w:id="0">
    <w:p w:rsidR="00284E58" w:rsidRDefault="00284E58"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815500">
    <w:pPr>
      <w:pStyle w:val="Sidehoved"/>
    </w:pPr>
    <w:r>
      <w:rPr>
        <w:noProof/>
        <w:lang w:eastAsia="da-DK"/>
      </w:rPr>
      <w:drawing>
        <wp:anchor distT="0" distB="0" distL="114300" distR="114300" simplePos="0" relativeHeight="251673600" behindDoc="0" locked="0" layoutInCell="1" allowOverlap="1" wp14:anchorId="5BEE1405" wp14:editId="5782D8EF">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366EC9">
    <w:pPr>
      <w:pStyle w:val="Sidehoved"/>
    </w:pPr>
    <w:r>
      <w:rPr>
        <w:noProof/>
        <w:lang w:eastAsia="da-DK"/>
      </w:rPr>
      <w:drawing>
        <wp:anchor distT="0" distB="0" distL="114300" distR="114300" simplePos="0" relativeHeight="251671552" behindDoc="0" locked="0" layoutInCell="1" allowOverlap="1" wp14:anchorId="484DADCE" wp14:editId="6711810A">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58"/>
    <w:rsid w:val="00022817"/>
    <w:rsid w:val="000260EC"/>
    <w:rsid w:val="00036061"/>
    <w:rsid w:val="00065C74"/>
    <w:rsid w:val="00086163"/>
    <w:rsid w:val="000A1810"/>
    <w:rsid w:val="00100AFC"/>
    <w:rsid w:val="00140C61"/>
    <w:rsid w:val="00164F2B"/>
    <w:rsid w:val="00187F07"/>
    <w:rsid w:val="001C0552"/>
    <w:rsid w:val="00217088"/>
    <w:rsid w:val="00253934"/>
    <w:rsid w:val="002611C9"/>
    <w:rsid w:val="0027768F"/>
    <w:rsid w:val="00284E58"/>
    <w:rsid w:val="002861AB"/>
    <w:rsid w:val="0030285E"/>
    <w:rsid w:val="00326B80"/>
    <w:rsid w:val="0034007A"/>
    <w:rsid w:val="003466EA"/>
    <w:rsid w:val="00347BCC"/>
    <w:rsid w:val="00352DBE"/>
    <w:rsid w:val="0036650F"/>
    <w:rsid w:val="00366EC9"/>
    <w:rsid w:val="003675A2"/>
    <w:rsid w:val="003B31EC"/>
    <w:rsid w:val="003B4578"/>
    <w:rsid w:val="003B5DBB"/>
    <w:rsid w:val="003B65EE"/>
    <w:rsid w:val="003E30EF"/>
    <w:rsid w:val="00404A1B"/>
    <w:rsid w:val="004129C4"/>
    <w:rsid w:val="00456E05"/>
    <w:rsid w:val="00465B7C"/>
    <w:rsid w:val="004704DA"/>
    <w:rsid w:val="004D7609"/>
    <w:rsid w:val="00527652"/>
    <w:rsid w:val="005563EB"/>
    <w:rsid w:val="006202F5"/>
    <w:rsid w:val="00624D3D"/>
    <w:rsid w:val="006803EB"/>
    <w:rsid w:val="00685369"/>
    <w:rsid w:val="006B1888"/>
    <w:rsid w:val="006D6210"/>
    <w:rsid w:val="006E691D"/>
    <w:rsid w:val="006F1BA8"/>
    <w:rsid w:val="0070259E"/>
    <w:rsid w:val="00753BED"/>
    <w:rsid w:val="007636C2"/>
    <w:rsid w:val="007956B8"/>
    <w:rsid w:val="007B71D0"/>
    <w:rsid w:val="007D27EB"/>
    <w:rsid w:val="007D7207"/>
    <w:rsid w:val="007E7229"/>
    <w:rsid w:val="00800E2B"/>
    <w:rsid w:val="00802C9E"/>
    <w:rsid w:val="00813494"/>
    <w:rsid w:val="00815500"/>
    <w:rsid w:val="008176EC"/>
    <w:rsid w:val="008954C7"/>
    <w:rsid w:val="008969C1"/>
    <w:rsid w:val="008F2666"/>
    <w:rsid w:val="00902B41"/>
    <w:rsid w:val="00923F35"/>
    <w:rsid w:val="00964682"/>
    <w:rsid w:val="009962D2"/>
    <w:rsid w:val="00A04870"/>
    <w:rsid w:val="00A400FA"/>
    <w:rsid w:val="00A46851"/>
    <w:rsid w:val="00A53C43"/>
    <w:rsid w:val="00A74D57"/>
    <w:rsid w:val="00A9284C"/>
    <w:rsid w:val="00A973C6"/>
    <w:rsid w:val="00AB1BE9"/>
    <w:rsid w:val="00AB4885"/>
    <w:rsid w:val="00AC60EA"/>
    <w:rsid w:val="00AC61DD"/>
    <w:rsid w:val="00B043A7"/>
    <w:rsid w:val="00B1566A"/>
    <w:rsid w:val="00B536E9"/>
    <w:rsid w:val="00B659F0"/>
    <w:rsid w:val="00BA0FCB"/>
    <w:rsid w:val="00BD2772"/>
    <w:rsid w:val="00C5005D"/>
    <w:rsid w:val="00C63C0B"/>
    <w:rsid w:val="00C651CC"/>
    <w:rsid w:val="00CB3A7C"/>
    <w:rsid w:val="00D1257F"/>
    <w:rsid w:val="00D12E7B"/>
    <w:rsid w:val="00D21F5A"/>
    <w:rsid w:val="00D357CF"/>
    <w:rsid w:val="00D83097"/>
    <w:rsid w:val="00D93380"/>
    <w:rsid w:val="00DA7419"/>
    <w:rsid w:val="00DD1186"/>
    <w:rsid w:val="00DE15CF"/>
    <w:rsid w:val="00E011FD"/>
    <w:rsid w:val="00E323F5"/>
    <w:rsid w:val="00E409E0"/>
    <w:rsid w:val="00E452E8"/>
    <w:rsid w:val="00EB7382"/>
    <w:rsid w:val="00ED066E"/>
    <w:rsid w:val="00F273E6"/>
    <w:rsid w:val="00F62229"/>
    <w:rsid w:val="00F714AB"/>
    <w:rsid w:val="00F94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47481F2"/>
  <w15:docId w15:val="{AD1E703F-145C-4DFB-B364-7048AA6D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Default">
    <w:name w:val="Default"/>
    <w:rsid w:val="003B45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3891">
      <w:bodyDiv w:val="1"/>
      <w:marLeft w:val="0"/>
      <w:marRight w:val="0"/>
      <w:marTop w:val="0"/>
      <w:marBottom w:val="0"/>
      <w:divBdr>
        <w:top w:val="none" w:sz="0" w:space="0" w:color="auto"/>
        <w:left w:val="none" w:sz="0" w:space="0" w:color="auto"/>
        <w:bottom w:val="none" w:sz="0" w:space="0" w:color="auto"/>
        <w:right w:val="none" w:sz="0" w:space="0" w:color="auto"/>
      </w:divBdr>
    </w:div>
    <w:div w:id="840047094">
      <w:bodyDiv w:val="1"/>
      <w:marLeft w:val="0"/>
      <w:marRight w:val="0"/>
      <w:marTop w:val="0"/>
      <w:marBottom w:val="0"/>
      <w:divBdr>
        <w:top w:val="none" w:sz="0" w:space="0" w:color="auto"/>
        <w:left w:val="none" w:sz="0" w:space="0" w:color="auto"/>
        <w:bottom w:val="none" w:sz="0" w:space="0" w:color="auto"/>
        <w:right w:val="none" w:sz="0" w:space="0" w:color="auto"/>
      </w:divBdr>
    </w:div>
    <w:div w:id="18787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Brevlinje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EFKM_Brevlinje_ENS_vDK_01.dotx</Template>
  <TotalTime>181</TotalTime>
  <Pages>3</Pages>
  <Words>546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Brask</dc:creator>
  <cp:lastModifiedBy>Susanne Brask</cp:lastModifiedBy>
  <cp:revision>7</cp:revision>
  <dcterms:created xsi:type="dcterms:W3CDTF">2019-12-04T13:57:00Z</dcterms:created>
  <dcterms:modified xsi:type="dcterms:W3CDTF">2019-12-10T07:02:00Z</dcterms:modified>
</cp:coreProperties>
</file>