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6AC" w:rsidRPr="002D3E1C" w:rsidRDefault="00D54552" w:rsidP="00677F30">
      <w:pPr>
        <w:pStyle w:val="Listeafsnit"/>
        <w:spacing w:before="100" w:beforeAutospacing="1" w:after="100" w:afterAutospacing="1" w:line="240" w:lineRule="auto"/>
        <w:ind w:left="360"/>
        <w:outlineLvl w:val="0"/>
        <w:rPr>
          <w:rFonts w:ascii="Times New Roman" w:eastAsia="Times New Roman" w:hAnsi="Times New Roman" w:cs="Times New Roman"/>
          <w:b/>
          <w:bCs/>
          <w:kern w:val="36"/>
          <w:sz w:val="44"/>
          <w:szCs w:val="48"/>
          <w:lang w:eastAsia="da-DK"/>
        </w:rPr>
      </w:pPr>
      <w:r>
        <w:rPr>
          <w:rFonts w:ascii="Times New Roman" w:eastAsia="Times New Roman" w:hAnsi="Times New Roman" w:cs="Times New Roman"/>
          <w:b/>
          <w:bCs/>
          <w:kern w:val="36"/>
          <w:sz w:val="44"/>
          <w:szCs w:val="48"/>
          <w:lang w:eastAsia="da-DK"/>
        </w:rPr>
        <w:t xml:space="preserve">Vejledning om Lægemiddelstyrelsens kriterier for </w:t>
      </w:r>
      <w:r w:rsidR="00FE06AC" w:rsidRPr="002D3E1C">
        <w:rPr>
          <w:rFonts w:ascii="Times New Roman" w:eastAsia="Times New Roman" w:hAnsi="Times New Roman" w:cs="Times New Roman"/>
          <w:b/>
          <w:bCs/>
          <w:kern w:val="36"/>
          <w:sz w:val="44"/>
          <w:szCs w:val="48"/>
          <w:lang w:eastAsia="da-DK"/>
        </w:rPr>
        <w:t>generisk substitution</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Når en virksomhed søge</w:t>
      </w:r>
      <w:r w:rsidR="006A1B33">
        <w:rPr>
          <w:rFonts w:ascii="Times New Roman" w:eastAsia="Times New Roman" w:hAnsi="Times New Roman" w:cs="Times New Roman"/>
          <w:sz w:val="24"/>
          <w:szCs w:val="24"/>
          <w:lang w:eastAsia="da-DK"/>
        </w:rPr>
        <w:t>r</w:t>
      </w:r>
      <w:r w:rsidRPr="00C11B02">
        <w:rPr>
          <w:rFonts w:ascii="Times New Roman" w:eastAsia="Times New Roman" w:hAnsi="Times New Roman" w:cs="Times New Roman"/>
          <w:sz w:val="24"/>
          <w:szCs w:val="24"/>
          <w:lang w:eastAsia="da-DK"/>
        </w:rPr>
        <w:t xml:space="preserve"> om markedsføringstilladelse til et generisk lægemiddel, stiller </w:t>
      </w:r>
      <w:r w:rsidR="006A1B33">
        <w:rPr>
          <w:rFonts w:ascii="Times New Roman" w:eastAsia="Times New Roman" w:hAnsi="Times New Roman" w:cs="Times New Roman"/>
          <w:sz w:val="24"/>
          <w:szCs w:val="24"/>
          <w:lang w:eastAsia="da-DK"/>
        </w:rPr>
        <w:t xml:space="preserve">Lægemiddelstyrelsen </w:t>
      </w:r>
      <w:r w:rsidRPr="00C11B02">
        <w:rPr>
          <w:rFonts w:ascii="Times New Roman" w:eastAsia="Times New Roman" w:hAnsi="Times New Roman" w:cs="Times New Roman"/>
          <w:sz w:val="24"/>
          <w:szCs w:val="24"/>
          <w:lang w:eastAsia="da-DK"/>
        </w:rPr>
        <w:t xml:space="preserve">en række krav til resultaterne af de bioækvivalensundersøgelser, som virksomhederne har sendt. </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Kravene gælder både, når det drejer sig om godkendelse af generiske lægemidler og efterfølgende mærkning med henblik på generisk substitution på det danske marked. Desuden er der nogle generelle kriterier for mærkning af generika med henblik på substitution – uanset om disse er godkendt med henvisning til bioækvivalens eller terapeutisk ækvivalens. </w:t>
      </w:r>
    </w:p>
    <w:p w:rsidR="00FE06AC" w:rsidRPr="00C11B02" w:rsidRDefault="00FE06AC" w:rsidP="00FE06AC">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C11B02">
        <w:rPr>
          <w:rFonts w:ascii="Times New Roman" w:eastAsia="Times New Roman" w:hAnsi="Times New Roman" w:cs="Times New Roman"/>
          <w:b/>
          <w:bCs/>
          <w:sz w:val="27"/>
          <w:szCs w:val="27"/>
          <w:lang w:eastAsia="da-DK"/>
        </w:rPr>
        <w:t xml:space="preserve">Krav til resultater af bioækvivalensundersøgelser - acceptgrænser </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90%-</w:t>
      </w:r>
      <w:proofErr w:type="spellStart"/>
      <w:r w:rsidRPr="00C11B02">
        <w:rPr>
          <w:rFonts w:ascii="Times New Roman" w:eastAsia="Times New Roman" w:hAnsi="Times New Roman" w:cs="Times New Roman"/>
          <w:sz w:val="24"/>
          <w:szCs w:val="24"/>
          <w:lang w:eastAsia="da-DK"/>
        </w:rPr>
        <w:t>konfidensintervallet</w:t>
      </w:r>
      <w:proofErr w:type="spellEnd"/>
      <w:r w:rsidRPr="00C11B02">
        <w:rPr>
          <w:rFonts w:ascii="Times New Roman" w:eastAsia="Times New Roman" w:hAnsi="Times New Roman" w:cs="Times New Roman"/>
          <w:sz w:val="24"/>
          <w:szCs w:val="24"/>
          <w:lang w:eastAsia="da-DK"/>
        </w:rPr>
        <w:t xml:space="preserve"> i bioækvivalensundersøgelser for ratio test versus reference for hhv. AUC og </w:t>
      </w:r>
      <w:proofErr w:type="spellStart"/>
      <w:r w:rsidRPr="00C11B02">
        <w:rPr>
          <w:rFonts w:ascii="Times New Roman" w:eastAsia="Times New Roman" w:hAnsi="Times New Roman" w:cs="Times New Roman"/>
          <w:sz w:val="24"/>
          <w:szCs w:val="24"/>
          <w:lang w:eastAsia="da-DK"/>
        </w:rPr>
        <w:t>Cmax</w:t>
      </w:r>
      <w:proofErr w:type="spellEnd"/>
      <w:r w:rsidRPr="00C11B02">
        <w:rPr>
          <w:rFonts w:ascii="Times New Roman" w:eastAsia="Times New Roman" w:hAnsi="Times New Roman" w:cs="Times New Roman"/>
          <w:sz w:val="24"/>
          <w:szCs w:val="24"/>
          <w:lang w:eastAsia="da-DK"/>
        </w:rPr>
        <w:t xml:space="preserve"> skal almindeligvis ligge inden for 80,00-125,00%, men </w:t>
      </w:r>
      <w:r>
        <w:rPr>
          <w:rFonts w:ascii="Times New Roman" w:eastAsia="Times New Roman" w:hAnsi="Times New Roman" w:cs="Times New Roman"/>
          <w:sz w:val="24"/>
          <w:szCs w:val="24"/>
          <w:lang w:eastAsia="da-DK"/>
        </w:rPr>
        <w:t xml:space="preserve">i særlige tilfælde, fx </w:t>
      </w:r>
      <w:r w:rsidRPr="00C11B02">
        <w:rPr>
          <w:rFonts w:ascii="Times New Roman" w:eastAsia="Times New Roman" w:hAnsi="Times New Roman" w:cs="Times New Roman"/>
          <w:sz w:val="24"/>
          <w:szCs w:val="24"/>
          <w:lang w:eastAsia="da-DK"/>
        </w:rPr>
        <w:t>for substanser med smalt terapeutisk indeks</w:t>
      </w:r>
      <w:r>
        <w:rPr>
          <w:rFonts w:ascii="Times New Roman" w:eastAsia="Times New Roman" w:hAnsi="Times New Roman" w:cs="Times New Roman"/>
          <w:sz w:val="24"/>
          <w:szCs w:val="24"/>
          <w:lang w:eastAsia="da-DK"/>
        </w:rPr>
        <w:t>,</w:t>
      </w:r>
      <w:r w:rsidRPr="00C11B02">
        <w:rPr>
          <w:rFonts w:ascii="Times New Roman" w:eastAsia="Times New Roman" w:hAnsi="Times New Roman" w:cs="Times New Roman"/>
          <w:sz w:val="24"/>
          <w:szCs w:val="24"/>
          <w:lang w:eastAsia="da-DK"/>
        </w:rPr>
        <w:t xml:space="preserve"> kan dette interval indsnævres</w:t>
      </w:r>
      <w:r>
        <w:rPr>
          <w:rFonts w:ascii="Times New Roman" w:eastAsia="Times New Roman" w:hAnsi="Times New Roman" w:cs="Times New Roman"/>
          <w:sz w:val="24"/>
          <w:szCs w:val="24"/>
          <w:lang w:eastAsia="da-DK"/>
        </w:rPr>
        <w:t xml:space="preserve"> til 90,00-111,11%</w:t>
      </w:r>
      <w:r w:rsidRPr="00C11B02">
        <w:rPr>
          <w:rFonts w:ascii="Times New Roman" w:eastAsia="Times New Roman" w:hAnsi="Times New Roman" w:cs="Times New Roman"/>
          <w:sz w:val="24"/>
          <w:szCs w:val="24"/>
          <w:lang w:eastAsia="da-DK"/>
        </w:rPr>
        <w:t>.</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Det fremgår af Guideline on the </w:t>
      </w:r>
      <w:proofErr w:type="spellStart"/>
      <w:r w:rsidRPr="00C11B02">
        <w:rPr>
          <w:rFonts w:ascii="Times New Roman" w:eastAsia="Times New Roman" w:hAnsi="Times New Roman" w:cs="Times New Roman"/>
          <w:sz w:val="24"/>
          <w:szCs w:val="24"/>
          <w:lang w:eastAsia="da-DK"/>
        </w:rPr>
        <w:t>Investigation</w:t>
      </w:r>
      <w:proofErr w:type="spellEnd"/>
      <w:r w:rsidRPr="00C11B02">
        <w:rPr>
          <w:rFonts w:ascii="Times New Roman" w:eastAsia="Times New Roman" w:hAnsi="Times New Roman" w:cs="Times New Roman"/>
          <w:sz w:val="24"/>
          <w:szCs w:val="24"/>
          <w:lang w:eastAsia="da-DK"/>
        </w:rPr>
        <w:t xml:space="preserve"> of </w:t>
      </w:r>
      <w:proofErr w:type="spellStart"/>
      <w:r w:rsidRPr="00C11B02">
        <w:rPr>
          <w:rFonts w:ascii="Times New Roman" w:eastAsia="Times New Roman" w:hAnsi="Times New Roman" w:cs="Times New Roman"/>
          <w:sz w:val="24"/>
          <w:szCs w:val="24"/>
          <w:lang w:eastAsia="da-DK"/>
        </w:rPr>
        <w:t>Bioequivalence</w:t>
      </w:r>
      <w:proofErr w:type="spellEnd"/>
      <w:r w:rsidRPr="00C11B02">
        <w:rPr>
          <w:rFonts w:ascii="Times New Roman" w:eastAsia="Times New Roman" w:hAnsi="Times New Roman" w:cs="Times New Roman"/>
          <w:sz w:val="24"/>
          <w:szCs w:val="24"/>
          <w:lang w:eastAsia="da-DK"/>
        </w:rPr>
        <w:t xml:space="preserve"> (CPMP/QWP/EWP/1401/98 Rev. 1/ </w:t>
      </w:r>
      <w:proofErr w:type="spellStart"/>
      <w:r w:rsidRPr="00C11B02">
        <w:rPr>
          <w:rFonts w:ascii="Times New Roman" w:eastAsia="Times New Roman" w:hAnsi="Times New Roman" w:cs="Times New Roman"/>
          <w:sz w:val="24"/>
          <w:szCs w:val="24"/>
          <w:lang w:eastAsia="da-DK"/>
        </w:rPr>
        <w:t>Corr</w:t>
      </w:r>
      <w:proofErr w:type="spellEnd"/>
      <w:r w:rsidRPr="00C11B02">
        <w:rPr>
          <w:rFonts w:ascii="Times New Roman" w:eastAsia="Times New Roman" w:hAnsi="Times New Roman" w:cs="Times New Roman"/>
          <w:sz w:val="24"/>
          <w:szCs w:val="24"/>
          <w:lang w:eastAsia="da-DK"/>
        </w:rPr>
        <w:t xml:space="preserve">), som danner grundlag for godkendelse af generika med henvisning til bioækvivalens over for eksempelvis 'Brand </w:t>
      </w:r>
      <w:proofErr w:type="spellStart"/>
      <w:r w:rsidRPr="00C11B02">
        <w:rPr>
          <w:rFonts w:ascii="Times New Roman" w:eastAsia="Times New Roman" w:hAnsi="Times New Roman" w:cs="Times New Roman"/>
          <w:sz w:val="24"/>
          <w:szCs w:val="24"/>
          <w:lang w:eastAsia="da-DK"/>
        </w:rPr>
        <w:t>Leader</w:t>
      </w:r>
      <w:proofErr w:type="spellEnd"/>
      <w:r w:rsidRPr="00C11B02">
        <w:rPr>
          <w:rFonts w:ascii="Times New Roman" w:eastAsia="Times New Roman" w:hAnsi="Times New Roman" w:cs="Times New Roman"/>
          <w:sz w:val="24"/>
          <w:szCs w:val="24"/>
          <w:lang w:eastAsia="da-DK"/>
        </w:rPr>
        <w:t xml:space="preserve">'. </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For en række substanser eller terapeutiske grupper har Lægemiddelstyrelsen vurderet, at der muligvis kan opstå terapeutiske problemer ved substitution mellem præparaterne. Derfor har Lægemiddelstyrelsen indsnævret grænserne for, hvornår disse lægemidler kan mærkes med henblik på automatisk substitution, eller for nogle lægemidlers vedkommende helt ophævet generisk substitution, se venligst tabel 1.</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Listen afspejler den nuværende situation, og der kan opstå behov for justeringer i forbindelse med fremtidige, konkrete sager.</w:t>
      </w:r>
    </w:p>
    <w:p w:rsidR="00FE06AC" w:rsidRPr="00C11B02" w:rsidRDefault="00FE06AC" w:rsidP="00FE06AC">
      <w:pPr>
        <w:spacing w:after="0" w:line="240" w:lineRule="auto"/>
        <w:rPr>
          <w:rFonts w:ascii="Times New Roman" w:eastAsia="Times New Roman" w:hAnsi="Times New Roman" w:cs="Times New Roman"/>
          <w:sz w:val="24"/>
          <w:szCs w:val="24"/>
          <w:lang w:eastAsia="da-DK"/>
        </w:rPr>
      </w:pPr>
    </w:p>
    <w:p w:rsidR="00FE06AC" w:rsidRDefault="00FE06AC" w:rsidP="00FE06AC">
      <w:pPr>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br w:type="page"/>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b/>
          <w:bCs/>
          <w:sz w:val="24"/>
          <w:szCs w:val="24"/>
          <w:lang w:eastAsia="da-DK"/>
        </w:rPr>
        <w:t>Tabel 1: Acceptgrænser for generisk substitution</w:t>
      </w:r>
      <w:r w:rsidRPr="00C11B02">
        <w:rPr>
          <w:rFonts w:ascii="Times New Roman" w:eastAsia="Times New Roman" w:hAnsi="Times New Roman" w:cs="Times New Roman"/>
          <w:sz w:val="24"/>
          <w:szCs w:val="24"/>
          <w:lang w:eastAsia="da-DK"/>
        </w:rPr>
        <w:t xml:space="preserve"> </w:t>
      </w:r>
    </w:p>
    <w:tbl>
      <w:tblPr>
        <w:tblStyle w:val="Tabel-Gitter"/>
        <w:tblW w:w="0" w:type="auto"/>
        <w:tblLook w:val="04A0" w:firstRow="1" w:lastRow="0" w:firstColumn="1" w:lastColumn="0" w:noHBand="0" w:noVBand="1"/>
      </w:tblPr>
      <w:tblGrid>
        <w:gridCol w:w="2962"/>
        <w:gridCol w:w="1290"/>
        <w:gridCol w:w="3682"/>
      </w:tblGrid>
      <w:tr w:rsidR="00FE06AC" w:rsidRPr="00C11B02" w:rsidTr="00D06DBE">
        <w:tc>
          <w:tcPr>
            <w:tcW w:w="0" w:type="auto"/>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r w:rsidRPr="00C11B02">
              <w:rPr>
                <w:rFonts w:ascii="Times New Roman" w:eastAsia="Times New Roman" w:hAnsi="Times New Roman" w:cs="Times New Roman"/>
                <w:b/>
                <w:bCs/>
                <w:sz w:val="24"/>
                <w:szCs w:val="24"/>
                <w:lang w:eastAsia="da-DK"/>
              </w:rPr>
              <w:t xml:space="preserve">Stof </w:t>
            </w:r>
          </w:p>
        </w:tc>
        <w:tc>
          <w:tcPr>
            <w:tcW w:w="0" w:type="auto"/>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b/>
                <w:bCs/>
                <w:sz w:val="24"/>
                <w:szCs w:val="24"/>
                <w:lang w:eastAsia="da-DK"/>
              </w:rPr>
              <w:t>ATC</w:t>
            </w:r>
          </w:p>
        </w:tc>
        <w:tc>
          <w:tcPr>
            <w:tcW w:w="0" w:type="auto"/>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b/>
                <w:bCs/>
                <w:sz w:val="24"/>
                <w:szCs w:val="24"/>
                <w:lang w:eastAsia="da-DK"/>
              </w:rPr>
              <w:t xml:space="preserve">Acceptgrænser for AUC og </w:t>
            </w:r>
            <w:proofErr w:type="spellStart"/>
            <w:r w:rsidRPr="00C11B02">
              <w:rPr>
                <w:rFonts w:ascii="Times New Roman" w:eastAsia="Times New Roman" w:hAnsi="Times New Roman" w:cs="Times New Roman"/>
                <w:b/>
                <w:bCs/>
                <w:sz w:val="24"/>
                <w:szCs w:val="24"/>
                <w:lang w:eastAsia="da-DK"/>
              </w:rPr>
              <w:t>Cmax</w:t>
            </w:r>
            <w:proofErr w:type="spellEnd"/>
          </w:p>
        </w:tc>
      </w:tr>
      <w:tr w:rsidR="00FE06AC" w:rsidRPr="00C11B02" w:rsidTr="00D06DBE">
        <w:tc>
          <w:tcPr>
            <w:tcW w:w="0" w:type="auto"/>
            <w:vAlign w:val="center"/>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proofErr w:type="spellStart"/>
            <w:r w:rsidRPr="00C11B02">
              <w:rPr>
                <w:rFonts w:ascii="Times New Roman" w:eastAsia="Times New Roman" w:hAnsi="Times New Roman" w:cs="Times New Roman"/>
                <w:sz w:val="24"/>
                <w:szCs w:val="24"/>
                <w:lang w:eastAsia="da-DK"/>
              </w:rPr>
              <w:t>Aminophylline</w:t>
            </w:r>
            <w:proofErr w:type="spellEnd"/>
            <w:r w:rsidRPr="00C11B02">
              <w:rPr>
                <w:rFonts w:ascii="Times New Roman" w:eastAsia="Times New Roman" w:hAnsi="Times New Roman" w:cs="Times New Roman"/>
                <w:sz w:val="24"/>
                <w:szCs w:val="24"/>
                <w:lang w:eastAsia="da-DK"/>
              </w:rPr>
              <w:t>/</w:t>
            </w:r>
            <w:proofErr w:type="spellStart"/>
            <w:r w:rsidRPr="00C11B02">
              <w:rPr>
                <w:rFonts w:ascii="Times New Roman" w:eastAsia="Times New Roman" w:hAnsi="Times New Roman" w:cs="Times New Roman"/>
                <w:sz w:val="24"/>
                <w:szCs w:val="24"/>
                <w:lang w:eastAsia="da-DK"/>
              </w:rPr>
              <w:t>Theofyllin</w:t>
            </w:r>
            <w:proofErr w:type="spellEnd"/>
            <w:r w:rsidRPr="00C11B02">
              <w:rPr>
                <w:rFonts w:ascii="Times New Roman" w:eastAsia="Times New Roman" w:hAnsi="Times New Roman" w:cs="Times New Roman"/>
                <w:sz w:val="24"/>
                <w:szCs w:val="24"/>
                <w:lang w:eastAsia="da-DK"/>
              </w:rPr>
              <w:t xml:space="preserve"> </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R03DA05 </w:t>
            </w:r>
            <w:r w:rsidRPr="00C11B02">
              <w:rPr>
                <w:rFonts w:ascii="Times New Roman" w:eastAsia="Times New Roman" w:hAnsi="Times New Roman" w:cs="Times New Roman"/>
                <w:sz w:val="24"/>
                <w:szCs w:val="24"/>
                <w:lang w:eastAsia="da-DK"/>
              </w:rPr>
              <w:br/>
              <w:t xml:space="preserve">R03DA04 </w:t>
            </w:r>
            <w:r w:rsidRPr="00C11B02">
              <w:rPr>
                <w:rFonts w:ascii="Times New Roman" w:eastAsia="Times New Roman" w:hAnsi="Times New Roman" w:cs="Times New Roman"/>
                <w:sz w:val="24"/>
                <w:szCs w:val="24"/>
                <w:lang w:eastAsia="da-DK"/>
              </w:rPr>
              <w:br/>
              <w:t xml:space="preserve">R03DB04 </w:t>
            </w:r>
            <w:r w:rsidRPr="00C11B02">
              <w:rPr>
                <w:rFonts w:ascii="Times New Roman" w:eastAsia="Times New Roman" w:hAnsi="Times New Roman" w:cs="Times New Roman"/>
                <w:sz w:val="24"/>
                <w:szCs w:val="24"/>
                <w:lang w:eastAsia="da-DK"/>
              </w:rPr>
              <w:br/>
              <w:t xml:space="preserve">R03DA54 </w:t>
            </w:r>
            <w:r w:rsidRPr="00C11B02">
              <w:rPr>
                <w:rFonts w:ascii="Times New Roman" w:eastAsia="Times New Roman" w:hAnsi="Times New Roman" w:cs="Times New Roman"/>
                <w:sz w:val="24"/>
                <w:szCs w:val="24"/>
                <w:lang w:eastAsia="da-DK"/>
              </w:rPr>
              <w:br/>
              <w:t>R03DA74</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90,00-111,11%</w:t>
            </w:r>
          </w:p>
        </w:tc>
      </w:tr>
      <w:tr w:rsidR="00FE06AC" w:rsidRPr="00C11B02" w:rsidTr="00D06DBE">
        <w:tc>
          <w:tcPr>
            <w:tcW w:w="0" w:type="auto"/>
            <w:vAlign w:val="center"/>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proofErr w:type="spellStart"/>
            <w:r w:rsidRPr="00C11B02">
              <w:rPr>
                <w:rFonts w:ascii="Times New Roman" w:eastAsia="Times New Roman" w:hAnsi="Times New Roman" w:cs="Times New Roman"/>
                <w:sz w:val="24"/>
                <w:szCs w:val="24"/>
                <w:lang w:eastAsia="da-DK"/>
              </w:rPr>
              <w:t>Lithium</w:t>
            </w:r>
            <w:proofErr w:type="spellEnd"/>
            <w:r w:rsidRPr="00C11B02">
              <w:rPr>
                <w:rFonts w:ascii="Times New Roman" w:eastAsia="Times New Roman" w:hAnsi="Times New Roman" w:cs="Times New Roman"/>
                <w:sz w:val="24"/>
                <w:szCs w:val="24"/>
                <w:lang w:eastAsia="da-DK"/>
              </w:rPr>
              <w:t xml:space="preserve"> </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N05AN01</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90,00-111,11%</w:t>
            </w:r>
          </w:p>
        </w:tc>
      </w:tr>
      <w:tr w:rsidR="00FE06AC" w:rsidRPr="00C11B02" w:rsidTr="00D06DBE">
        <w:tc>
          <w:tcPr>
            <w:tcW w:w="0" w:type="auto"/>
            <w:vAlign w:val="center"/>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proofErr w:type="spellStart"/>
            <w:r w:rsidRPr="00C11B02">
              <w:rPr>
                <w:rFonts w:ascii="Times New Roman" w:eastAsia="Times New Roman" w:hAnsi="Times New Roman" w:cs="Times New Roman"/>
                <w:sz w:val="24"/>
                <w:szCs w:val="24"/>
                <w:lang w:eastAsia="da-DK"/>
              </w:rPr>
              <w:t>Thyroxin</w:t>
            </w:r>
            <w:proofErr w:type="spellEnd"/>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H03AA</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Kan ikke substitueres</w:t>
            </w:r>
          </w:p>
        </w:tc>
      </w:tr>
      <w:tr w:rsidR="00FE06AC" w:rsidRPr="00C11B02" w:rsidTr="00D06DBE">
        <w:tc>
          <w:tcPr>
            <w:tcW w:w="0" w:type="auto"/>
            <w:vAlign w:val="center"/>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Vitamin K-antagonister </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B01AA</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br/>
              <w:t>Kan ikke substitueres</w:t>
            </w:r>
          </w:p>
        </w:tc>
      </w:tr>
      <w:tr w:rsidR="00FE06AC" w:rsidRPr="00C11B02" w:rsidTr="00D06DBE">
        <w:tc>
          <w:tcPr>
            <w:tcW w:w="0" w:type="auto"/>
            <w:vAlign w:val="center"/>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p>
        </w:tc>
        <w:tc>
          <w:tcPr>
            <w:tcW w:w="0" w:type="auto"/>
            <w:vAlign w:val="center"/>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p>
        </w:tc>
        <w:tc>
          <w:tcPr>
            <w:tcW w:w="0" w:type="auto"/>
            <w:vAlign w:val="center"/>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p>
        </w:tc>
      </w:tr>
      <w:tr w:rsidR="00FE06AC" w:rsidRPr="00C11B02" w:rsidTr="00D06DBE">
        <w:tc>
          <w:tcPr>
            <w:tcW w:w="0" w:type="auto"/>
            <w:vAlign w:val="center"/>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proofErr w:type="spellStart"/>
            <w:r>
              <w:rPr>
                <w:rFonts w:ascii="Times New Roman" w:eastAsia="Times New Roman" w:hAnsi="Times New Roman" w:cs="Times New Roman"/>
                <w:sz w:val="24"/>
                <w:szCs w:val="24"/>
                <w:lang w:eastAsia="da-DK"/>
              </w:rPr>
              <w:t>Phenytoin</w:t>
            </w:r>
            <w:proofErr w:type="spellEnd"/>
            <w:r>
              <w:rPr>
                <w:rFonts w:ascii="Times New Roman" w:eastAsia="Times New Roman" w:hAnsi="Times New Roman" w:cs="Times New Roman"/>
                <w:sz w:val="24"/>
                <w:szCs w:val="24"/>
                <w:lang w:eastAsia="da-DK"/>
              </w:rPr>
              <w:br/>
            </w:r>
            <w:proofErr w:type="spellStart"/>
            <w:r>
              <w:rPr>
                <w:rFonts w:ascii="Times New Roman" w:eastAsia="Times New Roman" w:hAnsi="Times New Roman" w:cs="Times New Roman"/>
                <w:sz w:val="24"/>
                <w:szCs w:val="24"/>
                <w:lang w:eastAsia="da-DK"/>
              </w:rPr>
              <w:t>Carbamazepin</w:t>
            </w:r>
            <w:proofErr w:type="spellEnd"/>
            <w:r>
              <w:rPr>
                <w:rFonts w:ascii="Times New Roman" w:eastAsia="Times New Roman" w:hAnsi="Times New Roman" w:cs="Times New Roman"/>
                <w:sz w:val="24"/>
                <w:szCs w:val="24"/>
                <w:lang w:eastAsia="da-DK"/>
              </w:rPr>
              <w:br/>
            </w:r>
            <w:proofErr w:type="spellStart"/>
            <w:r>
              <w:rPr>
                <w:rFonts w:ascii="Times New Roman" w:eastAsia="Times New Roman" w:hAnsi="Times New Roman" w:cs="Times New Roman"/>
                <w:sz w:val="24"/>
                <w:szCs w:val="24"/>
                <w:lang w:eastAsia="da-DK"/>
              </w:rPr>
              <w:t>Valproat</w:t>
            </w:r>
            <w:proofErr w:type="spellEnd"/>
            <w:r>
              <w:rPr>
                <w:rFonts w:ascii="Times New Roman" w:eastAsia="Times New Roman" w:hAnsi="Times New Roman" w:cs="Times New Roman"/>
                <w:sz w:val="24"/>
                <w:szCs w:val="24"/>
                <w:lang w:eastAsia="da-DK"/>
              </w:rPr>
              <w:br/>
              <w:t xml:space="preserve">Andre </w:t>
            </w:r>
            <w:proofErr w:type="spellStart"/>
            <w:r>
              <w:rPr>
                <w:rFonts w:ascii="Times New Roman" w:eastAsia="Times New Roman" w:hAnsi="Times New Roman" w:cs="Times New Roman"/>
                <w:sz w:val="24"/>
                <w:szCs w:val="24"/>
                <w:lang w:eastAsia="da-DK"/>
              </w:rPr>
              <w:t>antiepileptika</w:t>
            </w:r>
            <w:proofErr w:type="spellEnd"/>
          </w:p>
        </w:tc>
        <w:tc>
          <w:tcPr>
            <w:tcW w:w="0" w:type="auto"/>
            <w:vAlign w:val="center"/>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D80705">
              <w:rPr>
                <w:rFonts w:ascii="Times New Roman" w:eastAsia="Times New Roman" w:hAnsi="Times New Roman" w:cs="Times New Roman"/>
                <w:sz w:val="24"/>
                <w:szCs w:val="24"/>
                <w:lang w:eastAsia="da-DK"/>
              </w:rPr>
              <w:t>N03AB02</w:t>
            </w:r>
            <w:r>
              <w:rPr>
                <w:rFonts w:ascii="Times New Roman" w:eastAsia="Times New Roman" w:hAnsi="Times New Roman" w:cs="Times New Roman"/>
                <w:sz w:val="24"/>
                <w:szCs w:val="24"/>
                <w:lang w:eastAsia="da-DK"/>
              </w:rPr>
              <w:br/>
            </w:r>
            <w:r w:rsidRPr="00D80705">
              <w:rPr>
                <w:rFonts w:ascii="Times New Roman" w:eastAsia="Times New Roman" w:hAnsi="Times New Roman" w:cs="Times New Roman"/>
                <w:sz w:val="24"/>
                <w:szCs w:val="24"/>
                <w:lang w:eastAsia="da-DK"/>
              </w:rPr>
              <w:t>N03AF01</w:t>
            </w:r>
            <w:r>
              <w:rPr>
                <w:rFonts w:ascii="Times New Roman" w:eastAsia="Times New Roman" w:hAnsi="Times New Roman" w:cs="Times New Roman"/>
                <w:sz w:val="24"/>
                <w:szCs w:val="24"/>
                <w:lang w:eastAsia="da-DK"/>
              </w:rPr>
              <w:br/>
            </w:r>
            <w:r w:rsidRPr="00474E61">
              <w:rPr>
                <w:rFonts w:ascii="Times New Roman" w:eastAsia="Times New Roman" w:hAnsi="Times New Roman" w:cs="Times New Roman"/>
                <w:sz w:val="24"/>
                <w:szCs w:val="24"/>
                <w:lang w:eastAsia="da-DK"/>
              </w:rPr>
              <w:t>N03AG01</w:t>
            </w:r>
            <w:r>
              <w:rPr>
                <w:rFonts w:ascii="Times New Roman" w:eastAsia="Times New Roman" w:hAnsi="Times New Roman" w:cs="Times New Roman"/>
                <w:sz w:val="24"/>
                <w:szCs w:val="24"/>
                <w:lang w:eastAsia="da-DK"/>
              </w:rPr>
              <w:br/>
              <w:t>Andre N03</w:t>
            </w:r>
          </w:p>
        </w:tc>
        <w:tc>
          <w:tcPr>
            <w:tcW w:w="0" w:type="auto"/>
            <w:vAlign w:val="center"/>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Kan ikke substitueres</w:t>
            </w:r>
            <w:r>
              <w:rPr>
                <w:rFonts w:ascii="Times New Roman" w:eastAsia="Times New Roman" w:hAnsi="Times New Roman" w:cs="Times New Roman"/>
                <w:sz w:val="24"/>
                <w:szCs w:val="24"/>
                <w:lang w:eastAsia="da-DK"/>
              </w:rPr>
              <w:br/>
              <w:t>Kan ikke substitueres</w:t>
            </w:r>
            <w:r>
              <w:rPr>
                <w:rFonts w:ascii="Times New Roman" w:eastAsia="Times New Roman" w:hAnsi="Times New Roman" w:cs="Times New Roman"/>
                <w:sz w:val="24"/>
                <w:szCs w:val="24"/>
                <w:lang w:eastAsia="da-DK"/>
              </w:rPr>
              <w:br/>
              <w:t>Kan ikke substitueres</w:t>
            </w:r>
            <w:r>
              <w:rPr>
                <w:rFonts w:ascii="Times New Roman" w:eastAsia="Times New Roman" w:hAnsi="Times New Roman" w:cs="Times New Roman"/>
                <w:sz w:val="24"/>
                <w:szCs w:val="24"/>
                <w:lang w:eastAsia="da-DK"/>
              </w:rPr>
              <w:br/>
              <w:t>90,00-111,11%</w:t>
            </w:r>
          </w:p>
        </w:tc>
      </w:tr>
      <w:tr w:rsidR="00FE06AC" w:rsidRPr="00C11B02" w:rsidTr="00D06DBE">
        <w:tc>
          <w:tcPr>
            <w:tcW w:w="0" w:type="auto"/>
            <w:vAlign w:val="center"/>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Visse </w:t>
            </w:r>
            <w:proofErr w:type="spellStart"/>
            <w:r w:rsidRPr="00C11B02">
              <w:rPr>
                <w:rFonts w:ascii="Times New Roman" w:eastAsia="Times New Roman" w:hAnsi="Times New Roman" w:cs="Times New Roman"/>
                <w:sz w:val="24"/>
                <w:szCs w:val="24"/>
                <w:lang w:eastAsia="da-DK"/>
              </w:rPr>
              <w:t>immunsuppre</w:t>
            </w:r>
            <w:r>
              <w:rPr>
                <w:rFonts w:ascii="Times New Roman" w:eastAsia="Times New Roman" w:hAnsi="Times New Roman" w:cs="Times New Roman"/>
                <w:sz w:val="24"/>
                <w:szCs w:val="24"/>
                <w:lang w:eastAsia="da-DK"/>
              </w:rPr>
              <w:t>s</w:t>
            </w:r>
            <w:r w:rsidRPr="00C11B02">
              <w:rPr>
                <w:rFonts w:ascii="Times New Roman" w:eastAsia="Times New Roman" w:hAnsi="Times New Roman" w:cs="Times New Roman"/>
                <w:sz w:val="24"/>
                <w:szCs w:val="24"/>
                <w:lang w:eastAsia="da-DK"/>
              </w:rPr>
              <w:t>siva</w:t>
            </w:r>
            <w:proofErr w:type="spellEnd"/>
            <w:r w:rsidRPr="00C11B02">
              <w:rPr>
                <w:rFonts w:ascii="Times New Roman" w:eastAsia="Times New Roman" w:hAnsi="Times New Roman" w:cs="Times New Roman"/>
                <w:sz w:val="24"/>
                <w:szCs w:val="24"/>
                <w:lang w:eastAsia="da-DK"/>
              </w:rPr>
              <w:t xml:space="preserve">: </w:t>
            </w:r>
            <w:r>
              <w:rPr>
                <w:rFonts w:ascii="Times New Roman" w:eastAsia="Times New Roman" w:hAnsi="Times New Roman" w:cs="Times New Roman"/>
                <w:sz w:val="24"/>
                <w:szCs w:val="24"/>
                <w:lang w:eastAsia="da-DK"/>
              </w:rPr>
              <w:br/>
            </w:r>
            <w:proofErr w:type="spellStart"/>
            <w:r>
              <w:rPr>
                <w:rFonts w:ascii="Times New Roman" w:eastAsia="Times New Roman" w:hAnsi="Times New Roman" w:cs="Times New Roman"/>
                <w:sz w:val="24"/>
                <w:szCs w:val="24"/>
                <w:lang w:eastAsia="da-DK"/>
              </w:rPr>
              <w:t>Ciclosporin</w:t>
            </w:r>
            <w:proofErr w:type="spellEnd"/>
            <w:r>
              <w:rPr>
                <w:rFonts w:ascii="Times New Roman" w:eastAsia="Times New Roman" w:hAnsi="Times New Roman" w:cs="Times New Roman"/>
                <w:sz w:val="24"/>
                <w:szCs w:val="24"/>
                <w:lang w:eastAsia="da-DK"/>
              </w:rPr>
              <w:br/>
            </w:r>
            <w:proofErr w:type="spellStart"/>
            <w:r w:rsidRPr="00C11B02">
              <w:rPr>
                <w:rFonts w:ascii="Times New Roman" w:eastAsia="Times New Roman" w:hAnsi="Times New Roman" w:cs="Times New Roman"/>
                <w:sz w:val="24"/>
                <w:szCs w:val="24"/>
                <w:lang w:eastAsia="da-DK"/>
              </w:rPr>
              <w:t>Tacrolimus</w:t>
            </w:r>
            <w:proofErr w:type="spellEnd"/>
            <w:r w:rsidRPr="00C11B02">
              <w:rPr>
                <w:rFonts w:ascii="Times New Roman" w:eastAsia="Times New Roman" w:hAnsi="Times New Roman" w:cs="Times New Roman"/>
                <w:sz w:val="24"/>
                <w:szCs w:val="24"/>
                <w:lang w:eastAsia="da-DK"/>
              </w:rPr>
              <w:t xml:space="preserve"> </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br/>
            </w:r>
            <w:r w:rsidRPr="00C11B02">
              <w:rPr>
                <w:rFonts w:ascii="Times New Roman" w:eastAsia="Times New Roman" w:hAnsi="Times New Roman" w:cs="Times New Roman"/>
                <w:sz w:val="24"/>
                <w:szCs w:val="24"/>
                <w:lang w:eastAsia="da-DK"/>
              </w:rPr>
              <w:t>L04AD01</w:t>
            </w:r>
            <w:r>
              <w:rPr>
                <w:rFonts w:ascii="Times New Roman" w:eastAsia="Times New Roman" w:hAnsi="Times New Roman" w:cs="Times New Roman"/>
                <w:sz w:val="24"/>
                <w:szCs w:val="24"/>
                <w:lang w:eastAsia="da-DK"/>
              </w:rPr>
              <w:br/>
            </w:r>
            <w:r w:rsidRPr="00C11B02">
              <w:rPr>
                <w:rFonts w:ascii="Times New Roman" w:eastAsia="Times New Roman" w:hAnsi="Times New Roman" w:cs="Times New Roman"/>
                <w:sz w:val="24"/>
                <w:szCs w:val="24"/>
                <w:lang w:eastAsia="da-DK"/>
              </w:rPr>
              <w:t>L04AD02</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Kan ikke substitueres</w:t>
            </w:r>
          </w:p>
        </w:tc>
      </w:tr>
      <w:tr w:rsidR="00FE06AC" w:rsidRPr="00C11B02" w:rsidTr="00D06DBE">
        <w:tc>
          <w:tcPr>
            <w:tcW w:w="0" w:type="auto"/>
            <w:vAlign w:val="center"/>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proofErr w:type="spellStart"/>
            <w:r w:rsidRPr="00C11B02">
              <w:rPr>
                <w:rFonts w:ascii="Times New Roman" w:eastAsia="Times New Roman" w:hAnsi="Times New Roman" w:cs="Times New Roman"/>
                <w:sz w:val="24"/>
                <w:szCs w:val="24"/>
                <w:lang w:eastAsia="da-DK"/>
              </w:rPr>
              <w:t>Antiarrytmika</w:t>
            </w:r>
            <w:proofErr w:type="spellEnd"/>
            <w:r w:rsidRPr="00C11B02">
              <w:rPr>
                <w:rFonts w:ascii="Times New Roman" w:eastAsia="Times New Roman" w:hAnsi="Times New Roman" w:cs="Times New Roman"/>
                <w:sz w:val="24"/>
                <w:szCs w:val="24"/>
                <w:lang w:eastAsia="da-DK"/>
              </w:rPr>
              <w:t xml:space="preserve"> </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C01B</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90,00-111,11%</w:t>
            </w:r>
          </w:p>
        </w:tc>
      </w:tr>
      <w:tr w:rsidR="00FE06AC" w:rsidRPr="00C11B02" w:rsidTr="00D06DBE">
        <w:tc>
          <w:tcPr>
            <w:tcW w:w="0" w:type="auto"/>
            <w:vAlign w:val="center"/>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Centralt virkende </w:t>
            </w:r>
            <w:proofErr w:type="spellStart"/>
            <w:r w:rsidRPr="00C11B02">
              <w:rPr>
                <w:rFonts w:ascii="Times New Roman" w:eastAsia="Times New Roman" w:hAnsi="Times New Roman" w:cs="Times New Roman"/>
                <w:sz w:val="24"/>
                <w:szCs w:val="24"/>
                <w:lang w:eastAsia="da-DK"/>
              </w:rPr>
              <w:t>anorektika</w:t>
            </w:r>
            <w:proofErr w:type="spellEnd"/>
            <w:r w:rsidRPr="00C11B02">
              <w:rPr>
                <w:rFonts w:ascii="Times New Roman" w:eastAsia="Times New Roman" w:hAnsi="Times New Roman" w:cs="Times New Roman"/>
                <w:sz w:val="24"/>
                <w:szCs w:val="24"/>
                <w:lang w:eastAsia="da-DK"/>
              </w:rPr>
              <w:t xml:space="preserve"> </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A08AA</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90,00-111,11%</w:t>
            </w:r>
          </w:p>
        </w:tc>
      </w:tr>
      <w:tr w:rsidR="00FE06AC" w:rsidRPr="00C11B02" w:rsidTr="00D06DBE">
        <w:tc>
          <w:tcPr>
            <w:tcW w:w="0" w:type="auto"/>
            <w:vAlign w:val="center"/>
            <w:hideMark/>
          </w:tcPr>
          <w:p w:rsidR="00FE06AC" w:rsidRPr="00C11B02" w:rsidRDefault="00FE06AC" w:rsidP="00D06DBE">
            <w:pPr>
              <w:spacing w:before="100" w:beforeAutospacing="1" w:after="100" w:afterAutospacing="1"/>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Tricykliske </w:t>
            </w:r>
            <w:proofErr w:type="spellStart"/>
            <w:r w:rsidRPr="00C11B02">
              <w:rPr>
                <w:rFonts w:ascii="Times New Roman" w:eastAsia="Times New Roman" w:hAnsi="Times New Roman" w:cs="Times New Roman"/>
                <w:sz w:val="24"/>
                <w:szCs w:val="24"/>
                <w:lang w:eastAsia="da-DK"/>
              </w:rPr>
              <w:t>antidepressiva</w:t>
            </w:r>
            <w:proofErr w:type="spellEnd"/>
            <w:r w:rsidRPr="00C11B02">
              <w:rPr>
                <w:rFonts w:ascii="Times New Roman" w:eastAsia="Times New Roman" w:hAnsi="Times New Roman" w:cs="Times New Roman"/>
                <w:sz w:val="24"/>
                <w:szCs w:val="24"/>
                <w:lang w:eastAsia="da-DK"/>
              </w:rPr>
              <w:t xml:space="preserve"> </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N06AA</w:t>
            </w:r>
          </w:p>
        </w:tc>
        <w:tc>
          <w:tcPr>
            <w:tcW w:w="0" w:type="auto"/>
            <w:vAlign w:val="center"/>
            <w:hideMark/>
          </w:tcPr>
          <w:p w:rsidR="00FE06AC" w:rsidRPr="00C11B02" w:rsidRDefault="00FE06AC" w:rsidP="00D06DBE">
            <w:pPr>
              <w:spacing w:before="100" w:beforeAutospacing="1" w:after="100" w:afterAutospacing="1"/>
              <w:jc w:val="cente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90,00-111,11%</w:t>
            </w:r>
          </w:p>
        </w:tc>
      </w:tr>
    </w:tbl>
    <w:p w:rsidR="00FE06AC" w:rsidRDefault="00FE06AC" w:rsidP="00FE06AC">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p>
    <w:p w:rsidR="00FE06AC" w:rsidRPr="00C11B02" w:rsidRDefault="00FE06AC" w:rsidP="00FE06AC">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C11B02">
        <w:rPr>
          <w:rFonts w:ascii="Times New Roman" w:eastAsia="Times New Roman" w:hAnsi="Times New Roman" w:cs="Times New Roman"/>
          <w:b/>
          <w:bCs/>
          <w:sz w:val="27"/>
          <w:szCs w:val="27"/>
          <w:lang w:eastAsia="da-DK"/>
        </w:rPr>
        <w:t>Kriterier for mærkning af generika henblik på substitution</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Substitution kan foretages mellem synonyme lægemidler med samme styrke og sædvanligvis samme lægemiddelform (se dog undtagelser nedenfor), og hvor der er påvist direkte terapeutisk ækvivalens eller bioækvivalens. Alle lægemiddelgrupper og -stoffer er omfattet af substitutionsordningen. </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Der substitueres mellem tabletter og kapsler med systemisk virkning og umiddelbar udløsning, forskellige salte af aktivt stof, selvom der kan være forskel på de godkendte indikationer. Cremer, salver og lignende substitueres kun indbyrdes, hvis sammensætningen er ens (inkl. parfume og konserveringsmiddel). </w:t>
      </w: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Lægemiddelstyrelsen tillader ikke generisk substitution for præparater, hvor automatisk substitution kan medføre risiko for forkert anvendelse eller andre problemer, der vil kunne påvirke patienternes </w:t>
      </w:r>
      <w:proofErr w:type="spellStart"/>
      <w:r w:rsidRPr="00C11B02">
        <w:rPr>
          <w:rFonts w:ascii="Times New Roman" w:eastAsia="Times New Roman" w:hAnsi="Times New Roman" w:cs="Times New Roman"/>
          <w:sz w:val="24"/>
          <w:szCs w:val="24"/>
          <w:lang w:eastAsia="da-DK"/>
        </w:rPr>
        <w:t>compliance</w:t>
      </w:r>
      <w:proofErr w:type="spellEnd"/>
      <w:r w:rsidRPr="00C11B02">
        <w:rPr>
          <w:rFonts w:ascii="Times New Roman" w:eastAsia="Times New Roman" w:hAnsi="Times New Roman" w:cs="Times New Roman"/>
          <w:sz w:val="24"/>
          <w:szCs w:val="24"/>
          <w:lang w:eastAsia="da-DK"/>
        </w:rPr>
        <w:t>. Eksempler på sådanne situationer findes i tabel 2 nedenfor.</w:t>
      </w:r>
    </w:p>
    <w:p w:rsidR="00FE06AC" w:rsidRDefault="00FE06AC" w:rsidP="00FE06AC">
      <w:pPr>
        <w:rPr>
          <w:rFonts w:ascii="Times New Roman" w:eastAsia="Times New Roman" w:hAnsi="Times New Roman" w:cs="Times New Roman"/>
          <w:b/>
          <w:bCs/>
          <w:sz w:val="24"/>
          <w:szCs w:val="24"/>
          <w:lang w:eastAsia="da-DK"/>
        </w:rPr>
      </w:pPr>
    </w:p>
    <w:p w:rsidR="00FE06AC" w:rsidRPr="00C11B02" w:rsidRDefault="00FE06AC" w:rsidP="00FE06AC">
      <w:pPr>
        <w:spacing w:before="100" w:beforeAutospacing="1" w:after="100" w:afterAutospacing="1" w:line="240" w:lineRule="auto"/>
        <w:rPr>
          <w:rFonts w:ascii="Times New Roman" w:eastAsia="Times New Roman" w:hAnsi="Times New Roman" w:cs="Times New Roman"/>
          <w:sz w:val="24"/>
          <w:szCs w:val="24"/>
          <w:lang w:eastAsia="da-DK"/>
        </w:rPr>
      </w:pPr>
      <w:r w:rsidRPr="00C11B02">
        <w:rPr>
          <w:rFonts w:ascii="Times New Roman" w:eastAsia="Times New Roman" w:hAnsi="Times New Roman" w:cs="Times New Roman"/>
          <w:b/>
          <w:bCs/>
          <w:sz w:val="24"/>
          <w:szCs w:val="24"/>
          <w:lang w:eastAsia="da-DK"/>
        </w:rPr>
        <w:t xml:space="preserve">Tabel 2: Situationer med stor risiko for </w:t>
      </w:r>
      <w:proofErr w:type="spellStart"/>
      <w:r w:rsidRPr="00C11B02">
        <w:rPr>
          <w:rFonts w:ascii="Times New Roman" w:eastAsia="Times New Roman" w:hAnsi="Times New Roman" w:cs="Times New Roman"/>
          <w:b/>
          <w:bCs/>
          <w:sz w:val="24"/>
          <w:szCs w:val="24"/>
          <w:lang w:eastAsia="da-DK"/>
        </w:rPr>
        <w:t>compliance</w:t>
      </w:r>
      <w:proofErr w:type="spellEnd"/>
      <w:r w:rsidRPr="00C11B02">
        <w:rPr>
          <w:rFonts w:ascii="Times New Roman" w:eastAsia="Times New Roman" w:hAnsi="Times New Roman" w:cs="Times New Roman"/>
          <w:b/>
          <w:bCs/>
          <w:sz w:val="24"/>
          <w:szCs w:val="24"/>
          <w:lang w:eastAsia="da-DK"/>
        </w:rPr>
        <w:t xml:space="preserve"> problemer</w:t>
      </w:r>
      <w:r w:rsidRPr="00C11B02">
        <w:rPr>
          <w:rFonts w:ascii="Times New Roman" w:eastAsia="Times New Roman" w:hAnsi="Times New Roman" w:cs="Times New Roman"/>
          <w:sz w:val="24"/>
          <w:szCs w:val="24"/>
          <w:lang w:eastAsia="da-DK"/>
        </w:rPr>
        <w:t xml:space="preserve"> </w:t>
      </w:r>
    </w:p>
    <w:tbl>
      <w:tblPr>
        <w:tblStyle w:val="Tabel-Gitter"/>
        <w:tblW w:w="0" w:type="auto"/>
        <w:tblLook w:val="04A0" w:firstRow="1" w:lastRow="0" w:firstColumn="1" w:lastColumn="0" w:noHBand="0" w:noVBand="1"/>
      </w:tblPr>
      <w:tblGrid>
        <w:gridCol w:w="5019"/>
        <w:gridCol w:w="4609"/>
      </w:tblGrid>
      <w:tr w:rsidR="00FE06AC" w:rsidRPr="00C11B02" w:rsidTr="00D06DBE">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Depotpræparater</w:t>
            </w:r>
          </w:p>
        </w:tc>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Substitueres kun, hvis samme doseringsinterval anført i </w:t>
            </w:r>
            <w:proofErr w:type="spellStart"/>
            <w:r w:rsidRPr="00C11B02">
              <w:rPr>
                <w:rFonts w:ascii="Times New Roman" w:eastAsia="Times New Roman" w:hAnsi="Times New Roman" w:cs="Times New Roman"/>
                <w:sz w:val="24"/>
                <w:szCs w:val="24"/>
                <w:lang w:eastAsia="da-DK"/>
              </w:rPr>
              <w:t>S</w:t>
            </w:r>
            <w:r>
              <w:rPr>
                <w:rFonts w:ascii="Times New Roman" w:eastAsia="Times New Roman" w:hAnsi="Times New Roman" w:cs="Times New Roman"/>
                <w:sz w:val="24"/>
                <w:szCs w:val="24"/>
                <w:lang w:eastAsia="da-DK"/>
              </w:rPr>
              <w:t>m</w:t>
            </w:r>
            <w:r w:rsidRPr="00C11B02">
              <w:rPr>
                <w:rFonts w:ascii="Times New Roman" w:eastAsia="Times New Roman" w:hAnsi="Times New Roman" w:cs="Times New Roman"/>
                <w:sz w:val="24"/>
                <w:szCs w:val="24"/>
                <w:lang w:eastAsia="da-DK"/>
              </w:rPr>
              <w:t>PC'et</w:t>
            </w:r>
            <w:proofErr w:type="spellEnd"/>
          </w:p>
        </w:tc>
      </w:tr>
      <w:tr w:rsidR="00FE06AC" w:rsidRPr="00C11B02" w:rsidTr="00D06DBE">
        <w:tc>
          <w:tcPr>
            <w:tcW w:w="0" w:type="auto"/>
            <w:hideMark/>
          </w:tcPr>
          <w:p w:rsidR="00FE06AC" w:rsidRPr="00C11B02" w:rsidRDefault="00FE06AC" w:rsidP="00D06DBE">
            <w:pPr>
              <w:rPr>
                <w:rFonts w:ascii="Times New Roman" w:eastAsia="Times New Roman" w:hAnsi="Times New Roman" w:cs="Times New Roman"/>
                <w:sz w:val="24"/>
                <w:szCs w:val="24"/>
                <w:lang w:eastAsia="da-DK"/>
              </w:rPr>
            </w:pPr>
            <w:proofErr w:type="spellStart"/>
            <w:r w:rsidRPr="00C11B02">
              <w:rPr>
                <w:rFonts w:ascii="Times New Roman" w:eastAsia="Times New Roman" w:hAnsi="Times New Roman" w:cs="Times New Roman"/>
                <w:sz w:val="24"/>
                <w:szCs w:val="24"/>
                <w:lang w:eastAsia="da-DK"/>
              </w:rPr>
              <w:t>Endosis</w:t>
            </w:r>
            <w:proofErr w:type="spellEnd"/>
            <w:r w:rsidRPr="00C11B02">
              <w:rPr>
                <w:rFonts w:ascii="Times New Roman" w:eastAsia="Times New Roman" w:hAnsi="Times New Roman" w:cs="Times New Roman"/>
                <w:sz w:val="24"/>
                <w:szCs w:val="24"/>
                <w:lang w:eastAsia="da-DK"/>
              </w:rPr>
              <w:t xml:space="preserve">- kontra flerdosisbeholder </w:t>
            </w:r>
          </w:p>
        </w:tc>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Substitueres ikke </w:t>
            </w:r>
          </w:p>
        </w:tc>
      </w:tr>
      <w:tr w:rsidR="00FE06AC" w:rsidRPr="00C11B02" w:rsidTr="00D06DBE">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Forskellig styrkeangivelse </w:t>
            </w:r>
          </w:p>
        </w:tc>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Substitueres ikke </w:t>
            </w:r>
          </w:p>
        </w:tc>
      </w:tr>
      <w:tr w:rsidR="00FE06AC" w:rsidRPr="00C11B02" w:rsidTr="00D06DBE">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Forskelligt indtagelsestidspunkt, fx i forbindelse med føde </w:t>
            </w:r>
          </w:p>
        </w:tc>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Substitueres ikke </w:t>
            </w:r>
          </w:p>
        </w:tc>
      </w:tr>
      <w:tr w:rsidR="00FE06AC" w:rsidRPr="00C11B02" w:rsidTr="00D06DBE">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Præparater, der kræver færdigtilberedning af patienten </w:t>
            </w:r>
          </w:p>
        </w:tc>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Substitueres kun, hvis samme færdigtilberedning skal anvendes </w:t>
            </w:r>
          </w:p>
        </w:tc>
      </w:tr>
      <w:tr w:rsidR="00FE06AC" w:rsidRPr="00C11B02" w:rsidTr="00D06DBE">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Tabletter/kapsler til at opløse, bruse, tygge, smelte, eller til anvendelse i mundhulen m.m. </w:t>
            </w:r>
          </w:p>
        </w:tc>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Substitueres som hovedregel ikke indbyrdes med mindre særlige forhold taler herfor </w:t>
            </w:r>
          </w:p>
        </w:tc>
      </w:tr>
      <w:tr w:rsidR="00FE06AC" w:rsidRPr="00C11B02" w:rsidTr="00D06DBE">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Næsespray, inhalationspræparater, øjendråber m.m. </w:t>
            </w:r>
          </w:p>
        </w:tc>
        <w:tc>
          <w:tcPr>
            <w:tcW w:w="0" w:type="auto"/>
            <w:hideMark/>
          </w:tcPr>
          <w:p w:rsidR="00FE06AC" w:rsidRPr="00C11B02" w:rsidRDefault="00FE06AC" w:rsidP="00D06DBE">
            <w:pPr>
              <w:rPr>
                <w:rFonts w:ascii="Times New Roman" w:eastAsia="Times New Roman" w:hAnsi="Times New Roman" w:cs="Times New Roman"/>
                <w:sz w:val="24"/>
                <w:szCs w:val="24"/>
                <w:lang w:eastAsia="da-DK"/>
              </w:rPr>
            </w:pPr>
            <w:r w:rsidRPr="00C11B02">
              <w:rPr>
                <w:rFonts w:ascii="Times New Roman" w:eastAsia="Times New Roman" w:hAnsi="Times New Roman" w:cs="Times New Roman"/>
                <w:sz w:val="24"/>
                <w:szCs w:val="24"/>
                <w:lang w:eastAsia="da-DK"/>
              </w:rPr>
              <w:t xml:space="preserve">Kan alene substitueres, hvis der er tale om samme </w:t>
            </w:r>
            <w:proofErr w:type="spellStart"/>
            <w:r w:rsidRPr="00C11B02">
              <w:rPr>
                <w:rFonts w:ascii="Times New Roman" w:eastAsia="Times New Roman" w:hAnsi="Times New Roman" w:cs="Times New Roman"/>
                <w:sz w:val="24"/>
                <w:szCs w:val="24"/>
                <w:lang w:eastAsia="da-DK"/>
              </w:rPr>
              <w:t>device</w:t>
            </w:r>
            <w:proofErr w:type="spellEnd"/>
            <w:r w:rsidRPr="00C11B02">
              <w:rPr>
                <w:rFonts w:ascii="Times New Roman" w:eastAsia="Times New Roman" w:hAnsi="Times New Roman" w:cs="Times New Roman"/>
                <w:sz w:val="24"/>
                <w:szCs w:val="24"/>
                <w:lang w:eastAsia="da-DK"/>
              </w:rPr>
              <w:t xml:space="preserve"> til administration. </w:t>
            </w:r>
          </w:p>
        </w:tc>
      </w:tr>
    </w:tbl>
    <w:p w:rsidR="00FE06AC" w:rsidRDefault="00FE06AC" w:rsidP="00FE06AC">
      <w:pPr>
        <w:spacing w:after="0" w:line="240" w:lineRule="auto"/>
      </w:pPr>
    </w:p>
    <w:p w:rsidR="00FE06AC" w:rsidRDefault="00FE06AC" w:rsidP="00FE06AC"/>
    <w:p w:rsidR="00A8344A" w:rsidRDefault="00A8344A"/>
    <w:sectPr w:rsidR="00A8344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37125"/>
    <w:multiLevelType w:val="hybridMultilevel"/>
    <w:tmpl w:val="F42020AE"/>
    <w:lvl w:ilvl="0" w:tplc="B6D6DB84">
      <w:start w:val="1"/>
      <w:numFmt w:val="decimal"/>
      <w:lvlText w:val="%1."/>
      <w:lvlJc w:val="left"/>
      <w:pPr>
        <w:ind w:left="360" w:hanging="360"/>
      </w:pPr>
      <w:rPr>
        <w:rFonts w:ascii="Verdana" w:hAnsi="Verdana" w:hint="default"/>
        <w:b w:val="0"/>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AC"/>
    <w:rsid w:val="000144A2"/>
    <w:rsid w:val="00677F30"/>
    <w:rsid w:val="006A1B33"/>
    <w:rsid w:val="007536C6"/>
    <w:rsid w:val="008D4AAA"/>
    <w:rsid w:val="00A8344A"/>
    <w:rsid w:val="00BC6CF2"/>
    <w:rsid w:val="00C83E2A"/>
    <w:rsid w:val="00D54552"/>
    <w:rsid w:val="00F17857"/>
    <w:rsid w:val="00F94F8E"/>
    <w:rsid w:val="00FE0056"/>
    <w:rsid w:val="00FE06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ECAF3-A752-4DBB-B6FE-04DF9784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6A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E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E06AC"/>
    <w:pPr>
      <w:ind w:left="720"/>
      <w:contextualSpacing/>
    </w:pPr>
  </w:style>
  <w:style w:type="paragraph" w:styleId="Markeringsbobletekst">
    <w:name w:val="Balloon Text"/>
    <w:basedOn w:val="Normal"/>
    <w:link w:val="MarkeringsbobletekstTegn"/>
    <w:uiPriority w:val="99"/>
    <w:semiHidden/>
    <w:unhideWhenUsed/>
    <w:rsid w:val="00FE06A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E06AC"/>
    <w:rPr>
      <w:rFonts w:ascii="Segoe UI" w:hAnsi="Segoe UI" w:cs="Segoe UI"/>
      <w:sz w:val="18"/>
      <w:szCs w:val="18"/>
    </w:rPr>
  </w:style>
  <w:style w:type="character" w:styleId="Hyperlink">
    <w:name w:val="Hyperlink"/>
    <w:basedOn w:val="Standardskrifttypeiafsnit"/>
    <w:uiPriority w:val="99"/>
    <w:unhideWhenUsed/>
    <w:rsid w:val="00C83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579</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Sundhedsstyrelsen</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KOHLI - 9336</dc:creator>
  <cp:keywords/>
  <dc:description/>
  <cp:lastModifiedBy>SAMEER KOHLI - 9336</cp:lastModifiedBy>
  <cp:revision>3</cp:revision>
  <dcterms:created xsi:type="dcterms:W3CDTF">2016-01-05T10:24:00Z</dcterms:created>
  <dcterms:modified xsi:type="dcterms:W3CDTF">2016-01-05T10:25:00Z</dcterms:modified>
</cp:coreProperties>
</file>