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93" w:rsidRPr="00D57B5F" w:rsidRDefault="00DA0F93"/>
    <w:tbl>
      <w:tblPr>
        <w:tblStyle w:val="Tabel-Gitter"/>
        <w:tblW w:w="6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64"/>
      </w:tblGrid>
      <w:tr w:rsidR="00D65E69" w:rsidRPr="00D57B5F" w:rsidTr="005C20F5">
        <w:trPr>
          <w:cantSplit/>
          <w:trHeight w:val="1565"/>
        </w:trPr>
        <w:tc>
          <w:tcPr>
            <w:tcW w:w="6964" w:type="dxa"/>
          </w:tcPr>
          <w:p w:rsidR="0077532B" w:rsidRPr="00D57B5F" w:rsidRDefault="0077532B" w:rsidP="008D1674">
            <w:pPr>
              <w:tabs>
                <w:tab w:val="left" w:pos="6511"/>
              </w:tabs>
              <w:rPr>
                <w:rFonts w:cs="Arial"/>
              </w:rPr>
            </w:pPr>
            <w:bookmarkStart w:id="0" w:name="AdresseET"/>
            <w:bookmarkStart w:id="1" w:name="AdresseTRE"/>
            <w:bookmarkStart w:id="2" w:name="Postnr"/>
            <w:bookmarkStart w:id="3" w:name="By"/>
            <w:bookmarkStart w:id="4" w:name="Land"/>
            <w:bookmarkEnd w:id="0"/>
            <w:bookmarkEnd w:id="1"/>
            <w:bookmarkEnd w:id="2"/>
            <w:bookmarkEnd w:id="3"/>
            <w:bookmarkEnd w:id="4"/>
          </w:p>
        </w:tc>
      </w:tr>
    </w:tbl>
    <w:p w:rsidR="00581599" w:rsidRPr="0086277B" w:rsidRDefault="00581599" w:rsidP="00581599">
      <w:pPr>
        <w:pStyle w:val="Default"/>
        <w:rPr>
          <w:rFonts w:asciiTheme="minorHAnsi" w:hAnsiTheme="minorHAnsi"/>
          <w:sz w:val="20"/>
          <w:szCs w:val="20"/>
        </w:rPr>
      </w:pPr>
    </w:p>
    <w:p w:rsidR="00D57B5F" w:rsidRPr="0086277B" w:rsidRDefault="000B7331" w:rsidP="00581599">
      <w:pPr>
        <w:pStyle w:val="Default"/>
        <w:rPr>
          <w:rFonts w:asciiTheme="minorHAnsi" w:hAnsiTheme="minorHAnsi"/>
          <w:b/>
          <w:bCs/>
          <w:sz w:val="20"/>
          <w:szCs w:val="20"/>
        </w:rPr>
      </w:pPr>
      <w:r>
        <w:rPr>
          <w:rFonts w:asciiTheme="minorHAnsi" w:hAnsiTheme="minorHAnsi"/>
          <w:b/>
          <w:bCs/>
          <w:sz w:val="20"/>
          <w:szCs w:val="20"/>
        </w:rPr>
        <w:t xml:space="preserve">Afgørelse om </w:t>
      </w:r>
      <w:r w:rsidR="008407B6" w:rsidRPr="0086277B">
        <w:rPr>
          <w:rFonts w:asciiTheme="minorHAnsi" w:hAnsiTheme="minorHAnsi"/>
          <w:b/>
          <w:bCs/>
          <w:sz w:val="20"/>
          <w:szCs w:val="20"/>
        </w:rPr>
        <w:t>s</w:t>
      </w:r>
      <w:r w:rsidR="00581599" w:rsidRPr="0086277B">
        <w:rPr>
          <w:rFonts w:asciiTheme="minorHAnsi" w:hAnsiTheme="minorHAnsi"/>
          <w:b/>
          <w:bCs/>
          <w:sz w:val="20"/>
          <w:szCs w:val="20"/>
        </w:rPr>
        <w:t xml:space="preserve">creening for miljøvurdering i forbindelse med </w:t>
      </w:r>
      <w:r w:rsidR="00086954" w:rsidRPr="0086277B">
        <w:rPr>
          <w:rFonts w:asciiTheme="minorHAnsi" w:hAnsiTheme="minorHAnsi"/>
          <w:b/>
          <w:bCs/>
          <w:sz w:val="20"/>
          <w:szCs w:val="20"/>
        </w:rPr>
        <w:t>ændring af råstofbekendtgørelsen</w:t>
      </w:r>
      <w:r w:rsidR="00537DDB" w:rsidRPr="0086277B">
        <w:rPr>
          <w:rStyle w:val="Fodnotehenvisning"/>
          <w:rFonts w:asciiTheme="minorHAnsi" w:hAnsiTheme="minorHAnsi"/>
          <w:b/>
          <w:bCs/>
          <w:sz w:val="20"/>
          <w:szCs w:val="20"/>
        </w:rPr>
        <w:footnoteReference w:id="1"/>
      </w:r>
      <w:r w:rsidR="00086954" w:rsidRPr="0086277B">
        <w:rPr>
          <w:rFonts w:asciiTheme="minorHAnsi" w:hAnsiTheme="minorHAnsi"/>
          <w:b/>
          <w:bCs/>
          <w:sz w:val="20"/>
          <w:szCs w:val="20"/>
        </w:rPr>
        <w:t xml:space="preserve"> </w:t>
      </w:r>
    </w:p>
    <w:p w:rsidR="00D57B5F" w:rsidRDefault="00D57B5F" w:rsidP="00581599">
      <w:pPr>
        <w:pStyle w:val="Default"/>
        <w:rPr>
          <w:rFonts w:asciiTheme="minorHAnsi" w:hAnsiTheme="minorHAnsi"/>
          <w:b/>
          <w:bCs/>
          <w:sz w:val="20"/>
          <w:szCs w:val="20"/>
        </w:rPr>
      </w:pPr>
    </w:p>
    <w:p w:rsidR="000B7331" w:rsidRPr="000B7331" w:rsidRDefault="000B7331" w:rsidP="00581599">
      <w:pPr>
        <w:pStyle w:val="Default"/>
        <w:rPr>
          <w:rFonts w:asciiTheme="minorHAnsi" w:hAnsiTheme="minorHAnsi"/>
          <w:bCs/>
          <w:sz w:val="20"/>
          <w:szCs w:val="20"/>
        </w:rPr>
      </w:pPr>
      <w:r>
        <w:rPr>
          <w:rFonts w:asciiTheme="minorHAnsi" w:hAnsiTheme="minorHAnsi"/>
          <w:bCs/>
          <w:sz w:val="20"/>
          <w:szCs w:val="20"/>
        </w:rPr>
        <w:t xml:space="preserve">Miljø- og fødevareministeriet sendte den 15. november 2015 udkast til screening for miljøvurdering i forbindelse med ændring af råstofbekendtgørelsen i høring </w:t>
      </w:r>
      <w:r w:rsidRPr="00D57B5F">
        <w:rPr>
          <w:rFonts w:asciiTheme="minorHAnsi" w:hAnsiTheme="minorHAnsi"/>
          <w:sz w:val="20"/>
          <w:szCs w:val="20"/>
        </w:rPr>
        <w:t>efter miljøvurderingslovens</w:t>
      </w:r>
      <w:r w:rsidRPr="0086277B">
        <w:rPr>
          <w:rStyle w:val="Fodnotehenvisning"/>
          <w:rFonts w:asciiTheme="minorHAnsi" w:hAnsiTheme="minorHAnsi"/>
          <w:sz w:val="20"/>
          <w:szCs w:val="20"/>
        </w:rPr>
        <w:footnoteReference w:id="2"/>
      </w:r>
      <w:r w:rsidRPr="0086277B">
        <w:rPr>
          <w:rFonts w:asciiTheme="minorHAnsi" w:hAnsiTheme="minorHAnsi" w:cs="Arial"/>
          <w:sz w:val="20"/>
          <w:szCs w:val="20"/>
        </w:rPr>
        <w:t xml:space="preserve"> </w:t>
      </w:r>
      <w:r w:rsidRPr="00D57B5F">
        <w:rPr>
          <w:rFonts w:asciiTheme="minorHAnsi" w:hAnsiTheme="minorHAnsi"/>
          <w:sz w:val="20"/>
          <w:szCs w:val="20"/>
        </w:rPr>
        <w:t>§ 32, stk. 1, nr. 1</w:t>
      </w:r>
      <w:r>
        <w:rPr>
          <w:rFonts w:asciiTheme="minorHAnsi" w:hAnsiTheme="minorHAnsi"/>
          <w:sz w:val="20"/>
          <w:szCs w:val="20"/>
        </w:rPr>
        <w:t>.</w:t>
      </w:r>
    </w:p>
    <w:p w:rsidR="000B7331" w:rsidRDefault="000B7331" w:rsidP="00581599">
      <w:pPr>
        <w:pStyle w:val="Default"/>
        <w:rPr>
          <w:rFonts w:asciiTheme="minorHAnsi" w:hAnsiTheme="minorHAnsi"/>
          <w:bCs/>
          <w:sz w:val="20"/>
          <w:szCs w:val="20"/>
        </w:rPr>
      </w:pPr>
    </w:p>
    <w:p w:rsidR="000B7331" w:rsidRDefault="000B7331" w:rsidP="00581599">
      <w:pPr>
        <w:pStyle w:val="Default"/>
        <w:rPr>
          <w:rFonts w:asciiTheme="minorHAnsi" w:hAnsiTheme="minorHAnsi"/>
          <w:bCs/>
          <w:sz w:val="20"/>
          <w:szCs w:val="20"/>
        </w:rPr>
      </w:pPr>
      <w:r>
        <w:rPr>
          <w:rFonts w:asciiTheme="minorHAnsi" w:hAnsiTheme="minorHAnsi"/>
          <w:bCs/>
          <w:sz w:val="20"/>
          <w:szCs w:val="20"/>
        </w:rPr>
        <w:t>Der er i denne sammenhæng foretaget en høring af følgende berørte myndigheder:</w:t>
      </w:r>
    </w:p>
    <w:p w:rsidR="000B7331" w:rsidRDefault="000B7331" w:rsidP="000B7331">
      <w:pPr>
        <w:pStyle w:val="Default"/>
        <w:numPr>
          <w:ilvl w:val="0"/>
          <w:numId w:val="15"/>
        </w:numPr>
        <w:rPr>
          <w:rFonts w:asciiTheme="minorHAnsi" w:hAnsiTheme="minorHAnsi"/>
          <w:bCs/>
          <w:sz w:val="20"/>
          <w:szCs w:val="20"/>
        </w:rPr>
      </w:pPr>
      <w:r>
        <w:rPr>
          <w:rFonts w:asciiTheme="minorHAnsi" w:hAnsiTheme="minorHAnsi"/>
          <w:bCs/>
          <w:sz w:val="20"/>
          <w:szCs w:val="20"/>
        </w:rPr>
        <w:t>Udenrigsministeriet</w:t>
      </w:r>
    </w:p>
    <w:p w:rsidR="000B7331" w:rsidRDefault="000B7331" w:rsidP="000B7331">
      <w:pPr>
        <w:pStyle w:val="Default"/>
        <w:numPr>
          <w:ilvl w:val="0"/>
          <w:numId w:val="15"/>
        </w:numPr>
        <w:rPr>
          <w:rFonts w:asciiTheme="minorHAnsi" w:hAnsiTheme="minorHAnsi"/>
          <w:bCs/>
          <w:sz w:val="20"/>
          <w:szCs w:val="20"/>
        </w:rPr>
      </w:pPr>
      <w:r>
        <w:rPr>
          <w:rFonts w:asciiTheme="minorHAnsi" w:hAnsiTheme="minorHAnsi"/>
          <w:bCs/>
          <w:sz w:val="20"/>
          <w:szCs w:val="20"/>
        </w:rPr>
        <w:t>Miljøstyrelsen</w:t>
      </w:r>
    </w:p>
    <w:p w:rsidR="000B7331" w:rsidRDefault="000B7331" w:rsidP="000B7331">
      <w:pPr>
        <w:pStyle w:val="Default"/>
        <w:numPr>
          <w:ilvl w:val="0"/>
          <w:numId w:val="15"/>
        </w:numPr>
        <w:rPr>
          <w:rFonts w:asciiTheme="minorHAnsi" w:hAnsiTheme="minorHAnsi"/>
          <w:bCs/>
          <w:sz w:val="20"/>
          <w:szCs w:val="20"/>
        </w:rPr>
      </w:pPr>
      <w:r>
        <w:rPr>
          <w:rFonts w:asciiTheme="minorHAnsi" w:hAnsiTheme="minorHAnsi"/>
          <w:bCs/>
          <w:sz w:val="20"/>
          <w:szCs w:val="20"/>
        </w:rPr>
        <w:t xml:space="preserve">Naturstyrelsen/Kystdirektoratet </w:t>
      </w:r>
    </w:p>
    <w:p w:rsidR="000B7331" w:rsidRDefault="000B7331" w:rsidP="000B7331">
      <w:pPr>
        <w:pStyle w:val="Default"/>
        <w:rPr>
          <w:rFonts w:asciiTheme="minorHAnsi" w:hAnsiTheme="minorHAnsi"/>
          <w:bCs/>
          <w:sz w:val="20"/>
          <w:szCs w:val="20"/>
        </w:rPr>
      </w:pPr>
    </w:p>
    <w:p w:rsidR="00561381" w:rsidRDefault="000B7331" w:rsidP="000B7331">
      <w:pPr>
        <w:pStyle w:val="Default"/>
        <w:rPr>
          <w:sz w:val="20"/>
          <w:szCs w:val="20"/>
        </w:rPr>
      </w:pPr>
      <w:r>
        <w:rPr>
          <w:rFonts w:asciiTheme="minorHAnsi" w:hAnsiTheme="minorHAnsi"/>
          <w:bCs/>
          <w:sz w:val="20"/>
          <w:szCs w:val="20"/>
        </w:rPr>
        <w:t xml:space="preserve">Af screeningsbrevet fremgik det, at formålet med ændringen af bekendtgørelsen var der ikke </w:t>
      </w:r>
      <w:r w:rsidR="008E4863" w:rsidRPr="00D57B5F">
        <w:rPr>
          <w:sz w:val="20"/>
          <w:szCs w:val="20"/>
        </w:rPr>
        <w:t xml:space="preserve">længere </w:t>
      </w:r>
      <w:r>
        <w:rPr>
          <w:sz w:val="20"/>
          <w:szCs w:val="20"/>
        </w:rPr>
        <w:t xml:space="preserve">skulle kunne </w:t>
      </w:r>
      <w:r w:rsidR="008E4863" w:rsidRPr="00D57B5F">
        <w:rPr>
          <w:sz w:val="20"/>
          <w:szCs w:val="20"/>
        </w:rPr>
        <w:t xml:space="preserve">gives tilladelse </w:t>
      </w:r>
      <w:r w:rsidR="00086954" w:rsidRPr="00D57B5F">
        <w:rPr>
          <w:sz w:val="20"/>
          <w:szCs w:val="20"/>
        </w:rPr>
        <w:t>til råstofudvinding</w:t>
      </w:r>
      <w:r w:rsidR="00846369" w:rsidRPr="00D57B5F">
        <w:rPr>
          <w:sz w:val="20"/>
          <w:szCs w:val="20"/>
        </w:rPr>
        <w:t xml:space="preserve"> i </w:t>
      </w:r>
      <w:r w:rsidR="008E4863" w:rsidRPr="00D57B5F">
        <w:rPr>
          <w:sz w:val="20"/>
          <w:szCs w:val="20"/>
        </w:rPr>
        <w:t xml:space="preserve">nordlige </w:t>
      </w:r>
      <w:r w:rsidR="00846369" w:rsidRPr="00D57B5F">
        <w:rPr>
          <w:sz w:val="20"/>
          <w:szCs w:val="20"/>
        </w:rPr>
        <w:t>Øresund</w:t>
      </w:r>
      <w:r w:rsidR="008E4863" w:rsidRPr="00D57B5F">
        <w:rPr>
          <w:sz w:val="20"/>
          <w:szCs w:val="20"/>
        </w:rPr>
        <w:t>.</w:t>
      </w:r>
      <w:r w:rsidR="00581599" w:rsidRPr="00D57B5F">
        <w:rPr>
          <w:sz w:val="20"/>
          <w:szCs w:val="20"/>
        </w:rPr>
        <w:t xml:space="preserve"> </w:t>
      </w:r>
      <w:r w:rsidR="004C762D" w:rsidRPr="000B7331">
        <w:rPr>
          <w:sz w:val="20"/>
          <w:szCs w:val="20"/>
        </w:rPr>
        <w:t xml:space="preserve">Baggrunden er, at </w:t>
      </w:r>
      <w:r w:rsidR="00561381" w:rsidRPr="000B7331">
        <w:rPr>
          <w:sz w:val="20"/>
          <w:szCs w:val="20"/>
        </w:rPr>
        <w:t>råstofindvinding skader områdets naturmæssige værdi, og regeringen ønsker med dette initiativ at fremtidssikre nordlige Øresunds naturværdier. Den nordlige del af Øresund rummer høj biodiversitet og er i særlig høj grad levested</w:t>
      </w:r>
      <w:r w:rsidR="00D82B69" w:rsidRPr="000B7331">
        <w:rPr>
          <w:sz w:val="20"/>
          <w:szCs w:val="20"/>
        </w:rPr>
        <w:t xml:space="preserve"> og gydeområde</w:t>
      </w:r>
      <w:r w:rsidR="00561381" w:rsidRPr="000B7331">
        <w:rPr>
          <w:sz w:val="20"/>
          <w:szCs w:val="20"/>
        </w:rPr>
        <w:t xml:space="preserve"> for mange </w:t>
      </w:r>
      <w:r w:rsidR="00CE4E7D" w:rsidRPr="000B7331">
        <w:rPr>
          <w:sz w:val="20"/>
          <w:szCs w:val="20"/>
        </w:rPr>
        <w:t xml:space="preserve">kommercielle </w:t>
      </w:r>
      <w:r w:rsidR="00561381" w:rsidRPr="000B7331">
        <w:rPr>
          <w:sz w:val="20"/>
          <w:szCs w:val="20"/>
        </w:rPr>
        <w:t>fiskearter, blandt andet som følge af, at området har været frihold</w:t>
      </w:r>
      <w:r w:rsidR="00CE4E7D" w:rsidRPr="000B7331">
        <w:rPr>
          <w:sz w:val="20"/>
          <w:szCs w:val="20"/>
        </w:rPr>
        <w:t>t</w:t>
      </w:r>
      <w:r w:rsidR="00561381" w:rsidRPr="000B7331">
        <w:rPr>
          <w:sz w:val="20"/>
          <w:szCs w:val="20"/>
        </w:rPr>
        <w:t xml:space="preserve"> for trawlfiskeri siden 1932.  </w:t>
      </w:r>
    </w:p>
    <w:p w:rsidR="000B7331" w:rsidRDefault="000B7331" w:rsidP="000B7331">
      <w:pPr>
        <w:pStyle w:val="Default"/>
        <w:rPr>
          <w:sz w:val="20"/>
          <w:szCs w:val="20"/>
        </w:rPr>
      </w:pPr>
    </w:p>
    <w:p w:rsidR="000B7331" w:rsidRDefault="000B7331" w:rsidP="000B7331">
      <w:pPr>
        <w:pStyle w:val="Default"/>
        <w:rPr>
          <w:sz w:val="20"/>
          <w:szCs w:val="20"/>
        </w:rPr>
      </w:pPr>
      <w:r>
        <w:rPr>
          <w:sz w:val="20"/>
          <w:szCs w:val="20"/>
        </w:rPr>
        <w:t>Høringsfristen udløb den 3. december 2018.</w:t>
      </w:r>
    </w:p>
    <w:p w:rsidR="000B7331" w:rsidRDefault="000B7331" w:rsidP="000B7331">
      <w:pPr>
        <w:pStyle w:val="Default"/>
        <w:rPr>
          <w:sz w:val="20"/>
          <w:szCs w:val="20"/>
        </w:rPr>
      </w:pPr>
    </w:p>
    <w:p w:rsidR="005C20F5" w:rsidRPr="000B7331" w:rsidRDefault="005C20F5" w:rsidP="005C20F5">
      <w:pPr>
        <w:pStyle w:val="Default"/>
        <w:rPr>
          <w:sz w:val="20"/>
          <w:szCs w:val="20"/>
        </w:rPr>
      </w:pPr>
      <w:r>
        <w:rPr>
          <w:sz w:val="20"/>
          <w:szCs w:val="20"/>
        </w:rPr>
        <w:t xml:space="preserve">Miljø- og Fødevareministeriet har ikke modtaget høringssvar fra berørte myndigheder. </w:t>
      </w:r>
    </w:p>
    <w:p w:rsidR="005C20F5" w:rsidRDefault="005C20F5" w:rsidP="000B7331">
      <w:pPr>
        <w:pStyle w:val="Default"/>
        <w:rPr>
          <w:sz w:val="20"/>
          <w:szCs w:val="20"/>
        </w:rPr>
      </w:pPr>
    </w:p>
    <w:p w:rsidR="005C20F5" w:rsidRPr="00D57B5F" w:rsidRDefault="005C20F5" w:rsidP="005C20F5">
      <w:pPr>
        <w:pStyle w:val="Default"/>
        <w:rPr>
          <w:sz w:val="20"/>
          <w:szCs w:val="20"/>
        </w:rPr>
      </w:pPr>
      <w:r w:rsidRPr="00D57B5F">
        <w:rPr>
          <w:b/>
          <w:bCs/>
          <w:sz w:val="20"/>
          <w:szCs w:val="20"/>
        </w:rPr>
        <w:t xml:space="preserve">Miljøvurderingsloven </w:t>
      </w:r>
    </w:p>
    <w:p w:rsidR="005C20F5" w:rsidRPr="00D57B5F" w:rsidRDefault="005C20F5" w:rsidP="005C20F5">
      <w:pPr>
        <w:pStyle w:val="Default"/>
        <w:rPr>
          <w:sz w:val="20"/>
          <w:szCs w:val="20"/>
        </w:rPr>
      </w:pPr>
      <w:r w:rsidRPr="00D57B5F">
        <w:rPr>
          <w:sz w:val="20"/>
          <w:szCs w:val="20"/>
        </w:rPr>
        <w:t xml:space="preserve">Det følger af § 8, stk. 1, nr. 1, at der gennemføres en miljøvurdering af planer og programmer, når disse udarbejdes inden for landbrug, skovbrug, fiskeri, energi, industri, transport, affaldshåndtering, vandforvaltning, telekommunikation, turisme, fysisk planlægning og arealanvendelse og fastlægger rammerne for fremtidige anlægstilladelser til de projekter, der er omfattet af lovens bilag 1 og 2. </w:t>
      </w:r>
    </w:p>
    <w:p w:rsidR="005C20F5" w:rsidRPr="00D57B5F" w:rsidRDefault="005C20F5" w:rsidP="005C20F5">
      <w:pPr>
        <w:pStyle w:val="Default"/>
        <w:rPr>
          <w:sz w:val="20"/>
          <w:szCs w:val="20"/>
        </w:rPr>
      </w:pPr>
    </w:p>
    <w:p w:rsidR="005C20F5" w:rsidRPr="00D57B5F" w:rsidRDefault="005C20F5" w:rsidP="005C20F5">
      <w:pPr>
        <w:pStyle w:val="Default"/>
        <w:rPr>
          <w:sz w:val="20"/>
          <w:szCs w:val="20"/>
        </w:rPr>
      </w:pPr>
      <w:r w:rsidRPr="00D57B5F">
        <w:rPr>
          <w:rFonts w:asciiTheme="minorHAnsi" w:hAnsiTheme="minorHAnsi"/>
          <w:sz w:val="20"/>
          <w:szCs w:val="20"/>
        </w:rPr>
        <w:t xml:space="preserve">Det vurderes, at en ændring af råstofbekendtgørelsen – som i det hele blev miljøvurderet i 2017 </w:t>
      </w:r>
      <w:r w:rsidRPr="0086277B">
        <w:rPr>
          <w:rStyle w:val="Fodnotehenvisning"/>
          <w:rFonts w:asciiTheme="minorHAnsi" w:hAnsiTheme="minorHAnsi"/>
          <w:sz w:val="20"/>
          <w:szCs w:val="20"/>
        </w:rPr>
        <w:footnoteReference w:id="3"/>
      </w:r>
      <w:r w:rsidRPr="00D57B5F">
        <w:rPr>
          <w:rFonts w:asciiTheme="minorHAnsi" w:hAnsiTheme="minorHAnsi"/>
          <w:sz w:val="20"/>
          <w:szCs w:val="20"/>
        </w:rPr>
        <w:t xml:space="preserve"> - er omfattet af miljøvurderingslovens bestemmelser, idet der er tale om en plan, der fastlægger</w:t>
      </w:r>
      <w:r w:rsidRPr="00D57B5F">
        <w:rPr>
          <w:sz w:val="20"/>
          <w:szCs w:val="20"/>
        </w:rPr>
        <w:t xml:space="preserve"> rammer for fremtidige anlægstilladelser inden for råstofindustrien.</w:t>
      </w:r>
    </w:p>
    <w:p w:rsidR="005C20F5" w:rsidRPr="00D57B5F" w:rsidRDefault="005C20F5" w:rsidP="005C20F5">
      <w:pPr>
        <w:pStyle w:val="Default"/>
        <w:rPr>
          <w:sz w:val="20"/>
          <w:szCs w:val="20"/>
        </w:rPr>
      </w:pPr>
    </w:p>
    <w:p w:rsidR="005C20F5" w:rsidRPr="00D57B5F" w:rsidRDefault="005C20F5" w:rsidP="005C20F5">
      <w:pPr>
        <w:pStyle w:val="Default"/>
        <w:rPr>
          <w:sz w:val="20"/>
          <w:szCs w:val="20"/>
        </w:rPr>
      </w:pPr>
      <w:r w:rsidRPr="00D57B5F">
        <w:rPr>
          <w:sz w:val="20"/>
          <w:szCs w:val="20"/>
        </w:rPr>
        <w:t xml:space="preserve">Udgangspunktet er således, at der skal foretages en miljøvurdering. </w:t>
      </w:r>
    </w:p>
    <w:p w:rsidR="005C20F5" w:rsidRPr="00D57B5F" w:rsidRDefault="005C20F5" w:rsidP="005C20F5">
      <w:pPr>
        <w:pStyle w:val="Default"/>
        <w:rPr>
          <w:sz w:val="20"/>
          <w:szCs w:val="20"/>
        </w:rPr>
      </w:pPr>
    </w:p>
    <w:p w:rsidR="004A396B" w:rsidRDefault="004A396B" w:rsidP="005C20F5">
      <w:pPr>
        <w:pStyle w:val="Default"/>
        <w:rPr>
          <w:rFonts w:cs="Times New Roman"/>
          <w:b/>
          <w:bCs/>
          <w:color w:val="auto"/>
          <w:sz w:val="20"/>
          <w:szCs w:val="20"/>
        </w:rPr>
      </w:pPr>
    </w:p>
    <w:p w:rsidR="005C20F5" w:rsidRPr="00D57B5F" w:rsidRDefault="005C20F5" w:rsidP="005C20F5">
      <w:pPr>
        <w:pStyle w:val="Default"/>
        <w:rPr>
          <w:rFonts w:cs="Times New Roman"/>
          <w:color w:val="auto"/>
          <w:sz w:val="20"/>
          <w:szCs w:val="20"/>
        </w:rPr>
      </w:pPr>
      <w:r w:rsidRPr="00D57B5F">
        <w:rPr>
          <w:rFonts w:cs="Times New Roman"/>
          <w:b/>
          <w:bCs/>
          <w:color w:val="auto"/>
          <w:sz w:val="20"/>
          <w:szCs w:val="20"/>
        </w:rPr>
        <w:lastRenderedPageBreak/>
        <w:t xml:space="preserve">Screening </w:t>
      </w:r>
    </w:p>
    <w:p w:rsidR="005C20F5" w:rsidRPr="00D57B5F" w:rsidRDefault="005C20F5" w:rsidP="005C20F5">
      <w:pPr>
        <w:pStyle w:val="Default"/>
        <w:rPr>
          <w:sz w:val="20"/>
          <w:szCs w:val="20"/>
        </w:rPr>
      </w:pPr>
      <w:r w:rsidRPr="00D57B5F">
        <w:rPr>
          <w:sz w:val="20"/>
          <w:szCs w:val="20"/>
        </w:rPr>
        <w:t xml:space="preserve">Udgangspunktet om, at der skal ske en miljøvurdering kan dog fraviges, såfremt der alene er tale om mindre ændringer i en plan. I dette tilfælde gælder kravet om miljøvurdering kun, hvis (ændringen af) planen kan forventes at få væsentlig indvirkning på miljøet, jf. miljøvurderingslovens § 8, stk. 2, nr. 1. </w:t>
      </w:r>
    </w:p>
    <w:p w:rsidR="005C20F5" w:rsidRPr="00D57B5F" w:rsidRDefault="005C20F5" w:rsidP="005C20F5">
      <w:pPr>
        <w:pStyle w:val="Default"/>
        <w:rPr>
          <w:sz w:val="20"/>
          <w:szCs w:val="20"/>
        </w:rPr>
      </w:pPr>
    </w:p>
    <w:p w:rsidR="005C20F5" w:rsidRPr="00D57B5F" w:rsidRDefault="005C20F5" w:rsidP="005C20F5">
      <w:pPr>
        <w:pStyle w:val="Default"/>
        <w:rPr>
          <w:sz w:val="20"/>
          <w:szCs w:val="20"/>
        </w:rPr>
      </w:pPr>
      <w:r w:rsidRPr="00D57B5F">
        <w:rPr>
          <w:sz w:val="20"/>
          <w:szCs w:val="20"/>
        </w:rPr>
        <w:t xml:space="preserve">Til brug for denne vurdering (screening) skal der tages hensyn til kriterierne i miljøvurderingslovens bilag 3, det vil sige planens karakteristika og kendetegn ved indvirkning og det område, der kan blive berørt, jf. miljøvurderingslovens § 10. </w:t>
      </w:r>
    </w:p>
    <w:p w:rsidR="005C20F5" w:rsidRDefault="005C20F5" w:rsidP="005C20F5">
      <w:pPr>
        <w:pStyle w:val="Default"/>
        <w:rPr>
          <w:sz w:val="20"/>
          <w:szCs w:val="20"/>
        </w:rPr>
      </w:pPr>
      <w:r w:rsidRPr="00D57B5F">
        <w:rPr>
          <w:sz w:val="20"/>
          <w:szCs w:val="20"/>
        </w:rPr>
        <w:t>I vedlagte bilag 1 er der foretaget en vurdering af den påtænkte ændring af råstofbekendtgørelsen i lyset af bilag 3.</w:t>
      </w:r>
    </w:p>
    <w:p w:rsidR="005C20F5" w:rsidRDefault="005C20F5" w:rsidP="005C20F5">
      <w:pPr>
        <w:pStyle w:val="Default"/>
        <w:rPr>
          <w:sz w:val="20"/>
          <w:szCs w:val="20"/>
        </w:rPr>
      </w:pPr>
    </w:p>
    <w:p w:rsidR="000E0FC0" w:rsidRPr="00D57B5F" w:rsidRDefault="000E0FC0" w:rsidP="000E0FC0">
      <w:pPr>
        <w:pStyle w:val="Default"/>
        <w:rPr>
          <w:color w:val="auto"/>
          <w:sz w:val="20"/>
          <w:szCs w:val="20"/>
        </w:rPr>
      </w:pPr>
      <w:r w:rsidRPr="00D57B5F">
        <w:rPr>
          <w:b/>
          <w:bCs/>
          <w:color w:val="auto"/>
          <w:sz w:val="20"/>
          <w:szCs w:val="20"/>
        </w:rPr>
        <w:t xml:space="preserve">Afgørelse </w:t>
      </w:r>
    </w:p>
    <w:p w:rsidR="000E0FC0" w:rsidRPr="00D57B5F" w:rsidRDefault="000E0FC0" w:rsidP="000E0FC0">
      <w:pPr>
        <w:pStyle w:val="Default"/>
        <w:rPr>
          <w:color w:val="auto"/>
          <w:sz w:val="20"/>
          <w:szCs w:val="20"/>
        </w:rPr>
      </w:pPr>
      <w:r w:rsidRPr="00D57B5F">
        <w:rPr>
          <w:color w:val="auto"/>
          <w:sz w:val="20"/>
          <w:szCs w:val="20"/>
        </w:rPr>
        <w:t>Ved en gennemgang af kriterierne i miljøvurderingslovens bilag 3 er det Miljø- og Fødevareministeriets vurdering, at et stop for tilladelse til råstofindvinding i det nordlige Øresund ikke forventes at få væsentlig indvirkning på miljøet.</w:t>
      </w:r>
    </w:p>
    <w:p w:rsidR="005C20F5" w:rsidRPr="00D57B5F" w:rsidRDefault="005C20F5" w:rsidP="005C20F5">
      <w:pPr>
        <w:pStyle w:val="Default"/>
        <w:rPr>
          <w:color w:val="auto"/>
          <w:sz w:val="20"/>
          <w:szCs w:val="20"/>
        </w:rPr>
      </w:pPr>
      <w:r>
        <w:rPr>
          <w:noProof/>
          <w:color w:val="auto"/>
          <w:sz w:val="20"/>
          <w:szCs w:val="20"/>
        </w:rPr>
        <mc:AlternateContent>
          <mc:Choice Requires="wps">
            <w:drawing>
              <wp:anchor distT="0" distB="0" distL="114300" distR="114300" simplePos="0" relativeHeight="251659264" behindDoc="1" locked="0" layoutInCell="1" allowOverlap="1" wp14:anchorId="57D44DEE" wp14:editId="06BE80FA">
                <wp:simplePos x="0" y="0"/>
                <wp:positionH relativeFrom="column">
                  <wp:posOffset>-471805</wp:posOffset>
                </wp:positionH>
                <wp:positionV relativeFrom="paragraph">
                  <wp:posOffset>-3175</wp:posOffset>
                </wp:positionV>
                <wp:extent cx="317500" cy="139700"/>
                <wp:effectExtent l="0" t="0" r="6350" b="12700"/>
                <wp:wrapThrough wrapText="bothSides">
                  <wp:wrapPolygon edited="0">
                    <wp:start x="0" y="0"/>
                    <wp:lineTo x="0" y="20618"/>
                    <wp:lineTo x="20736" y="20618"/>
                    <wp:lineTo x="20736" y="0"/>
                    <wp:lineTo x="0" y="0"/>
                  </wp:wrapPolygon>
                </wp:wrapThrough>
                <wp:docPr id="3" name="Tekstboks 3"/>
                <wp:cNvGraphicFramePr/>
                <a:graphic xmlns:a="http://schemas.openxmlformats.org/drawingml/2006/main">
                  <a:graphicData uri="http://schemas.microsoft.com/office/word/2010/wordprocessingShape">
                    <wps:wsp>
                      <wps:cNvSpPr txBox="1"/>
                      <wps:spPr>
                        <a:xfrm>
                          <a:off x="0" y="0"/>
                          <a:ext cx="317500" cy="139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20F5" w:rsidRPr="00162481" w:rsidRDefault="005C20F5" w:rsidP="005C20F5">
                            <w:bookmarkStart w:id="5" w:name="Bilag23"/>
                            <w:r>
                              <w:t>./.</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37.15pt;margin-top:-.25pt;width:25pt;height:1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" filled="f" stroked="f" strokeweight=".5pt">
                <v:textbox inset="0,0,0,0">
                  <w:txbxContent>
                    <w:p w:rsidR="005C20F5" w:rsidRPr="00162481" w:rsidRDefault="005C20F5" w:rsidP="005C20F5">
                      <w:bookmarkStart w:id="6" w:name="Bilag23"/>
                      <w:r>
                        <w:t>./.</w:t>
                      </w:r>
                      <w:bookmarkEnd w:id="6"/>
                    </w:p>
                  </w:txbxContent>
                </v:textbox>
                <w10:wrap type="through"/>
              </v:shape>
            </w:pict>
          </mc:Fallback>
        </mc:AlternateContent>
      </w:r>
      <w:r w:rsidRPr="00D57B5F">
        <w:rPr>
          <w:color w:val="auto"/>
          <w:sz w:val="20"/>
          <w:szCs w:val="20"/>
        </w:rPr>
        <w:t xml:space="preserve">Se nærmere i gennemgangen i bilag 1. </w:t>
      </w:r>
    </w:p>
    <w:p w:rsidR="005C20F5" w:rsidRDefault="005C20F5" w:rsidP="000E0FC0">
      <w:pPr>
        <w:pStyle w:val="Default"/>
        <w:rPr>
          <w:color w:val="auto"/>
          <w:sz w:val="20"/>
          <w:szCs w:val="20"/>
        </w:rPr>
      </w:pPr>
    </w:p>
    <w:p w:rsidR="000E0FC0" w:rsidRDefault="005C20F5" w:rsidP="000E0FC0">
      <w:pPr>
        <w:pStyle w:val="Default"/>
        <w:rPr>
          <w:color w:val="auto"/>
          <w:sz w:val="20"/>
          <w:szCs w:val="20"/>
        </w:rPr>
      </w:pPr>
      <w:r>
        <w:rPr>
          <w:color w:val="auto"/>
          <w:sz w:val="20"/>
          <w:szCs w:val="20"/>
        </w:rPr>
        <w:t>På baggrund af disse oplysninger træffer Miljø- og Fødevareministeriet afgørelse om, at der</w:t>
      </w:r>
      <w:r w:rsidR="000E0FC0">
        <w:rPr>
          <w:color w:val="auto"/>
          <w:sz w:val="20"/>
          <w:szCs w:val="20"/>
        </w:rPr>
        <w:t xml:space="preserve"> i</w:t>
      </w:r>
      <w:r>
        <w:rPr>
          <w:color w:val="auto"/>
          <w:sz w:val="20"/>
          <w:szCs w:val="20"/>
        </w:rPr>
        <w:t xml:space="preserve">kke skal foretages en miljøvurdering. </w:t>
      </w:r>
      <w:r w:rsidR="000E0FC0">
        <w:rPr>
          <w:color w:val="auto"/>
          <w:sz w:val="20"/>
          <w:szCs w:val="20"/>
        </w:rPr>
        <w:t xml:space="preserve"> </w:t>
      </w:r>
    </w:p>
    <w:p w:rsidR="008407B6" w:rsidRDefault="008407B6" w:rsidP="00581599">
      <w:pPr>
        <w:pStyle w:val="Default"/>
        <w:rPr>
          <w:sz w:val="20"/>
          <w:szCs w:val="20"/>
        </w:rPr>
      </w:pPr>
    </w:p>
    <w:p w:rsidR="005C20F5" w:rsidRPr="005C20F5" w:rsidRDefault="005C20F5" w:rsidP="00581599">
      <w:pPr>
        <w:pStyle w:val="Default"/>
        <w:rPr>
          <w:b/>
          <w:sz w:val="20"/>
          <w:szCs w:val="20"/>
        </w:rPr>
      </w:pPr>
      <w:r>
        <w:rPr>
          <w:b/>
          <w:sz w:val="20"/>
          <w:szCs w:val="20"/>
        </w:rPr>
        <w:t>Klagevejledning</w:t>
      </w:r>
    </w:p>
    <w:p w:rsidR="005C20F5" w:rsidRDefault="005C20F5" w:rsidP="00581599">
      <w:pPr>
        <w:pStyle w:val="Default"/>
        <w:rPr>
          <w:sz w:val="20"/>
          <w:szCs w:val="20"/>
        </w:rPr>
      </w:pPr>
      <w:r>
        <w:rPr>
          <w:sz w:val="20"/>
          <w:szCs w:val="20"/>
        </w:rPr>
        <w:t xml:space="preserve">Efter miljøbeskyttelseslovens § 48 stk. 3 er der mulighed for, at klage </w:t>
      </w:r>
      <w:r w:rsidR="00D87C3B">
        <w:rPr>
          <w:sz w:val="20"/>
          <w:szCs w:val="20"/>
        </w:rPr>
        <w:t>over afgørelsen til Miljø- og Fødevareklagenævnet. Det er dog alene muligt at klage over retlige spørgsmål</w:t>
      </w:r>
      <w:r w:rsidR="004A396B">
        <w:rPr>
          <w:sz w:val="20"/>
          <w:szCs w:val="20"/>
        </w:rPr>
        <w:t>.</w:t>
      </w:r>
      <w:r>
        <w:rPr>
          <w:sz w:val="20"/>
          <w:szCs w:val="20"/>
        </w:rPr>
        <w:t xml:space="preserve"> </w:t>
      </w:r>
      <w:r w:rsidR="00D75C6D">
        <w:rPr>
          <w:sz w:val="20"/>
          <w:szCs w:val="20"/>
        </w:rPr>
        <w:t xml:space="preserve">Klager skal være indgivet inden 4 uger fra offentliggørelsen af screeningsafgørelsen. </w:t>
      </w:r>
    </w:p>
    <w:p w:rsidR="00D75C6D" w:rsidRDefault="00D75C6D" w:rsidP="00581599">
      <w:pPr>
        <w:pStyle w:val="Default"/>
        <w:rPr>
          <w:sz w:val="20"/>
          <w:szCs w:val="20"/>
        </w:rPr>
      </w:pPr>
    </w:p>
    <w:p w:rsidR="00D75C6D" w:rsidRPr="00D57B5F" w:rsidRDefault="00D75C6D" w:rsidP="00581599">
      <w:pPr>
        <w:pStyle w:val="Default"/>
        <w:rPr>
          <w:sz w:val="20"/>
          <w:szCs w:val="20"/>
        </w:rPr>
      </w:pPr>
    </w:p>
    <w:p w:rsidR="009615FB" w:rsidRDefault="005C20F5" w:rsidP="00581599">
      <w:pPr>
        <w:pStyle w:val="Default"/>
        <w:rPr>
          <w:color w:val="auto"/>
          <w:sz w:val="20"/>
          <w:szCs w:val="20"/>
        </w:rPr>
      </w:pPr>
      <w:r>
        <w:rPr>
          <w:color w:val="auto"/>
          <w:sz w:val="20"/>
          <w:szCs w:val="20"/>
        </w:rPr>
        <w:t xml:space="preserve">Med venlig hilsen </w:t>
      </w:r>
    </w:p>
    <w:p w:rsidR="00496424" w:rsidRDefault="00496424" w:rsidP="00581599">
      <w:pPr>
        <w:pStyle w:val="Default"/>
        <w:rPr>
          <w:color w:val="auto"/>
          <w:sz w:val="20"/>
          <w:szCs w:val="20"/>
        </w:rPr>
      </w:pPr>
    </w:p>
    <w:p w:rsidR="00496424" w:rsidRDefault="00496424" w:rsidP="00581599">
      <w:pPr>
        <w:pStyle w:val="Default"/>
        <w:rPr>
          <w:color w:val="auto"/>
          <w:sz w:val="20"/>
          <w:szCs w:val="20"/>
        </w:rPr>
      </w:pPr>
      <w:r>
        <w:rPr>
          <w:color w:val="auto"/>
          <w:sz w:val="20"/>
          <w:szCs w:val="20"/>
        </w:rPr>
        <w:t>Thomas Skovgaard Mortensen</w:t>
      </w:r>
    </w:p>
    <w:p w:rsidR="00496424" w:rsidRPr="00D57B5F" w:rsidRDefault="005C20F5" w:rsidP="00581599">
      <w:pPr>
        <w:pStyle w:val="Default"/>
        <w:rPr>
          <w:color w:val="auto"/>
          <w:sz w:val="20"/>
          <w:szCs w:val="20"/>
        </w:rPr>
      </w:pPr>
      <w:r>
        <w:rPr>
          <w:color w:val="auto"/>
          <w:sz w:val="20"/>
          <w:szCs w:val="20"/>
        </w:rPr>
        <w:t>Fuldmægtig/jurist</w:t>
      </w:r>
      <w:bookmarkStart w:id="6" w:name="_GoBack"/>
      <w:bookmarkEnd w:id="6"/>
    </w:p>
    <w:p w:rsidR="00581599" w:rsidRPr="00D57B5F" w:rsidRDefault="000E0FC0" w:rsidP="00581599">
      <w:pPr>
        <w:pStyle w:val="Default"/>
        <w:pageBreakBefore/>
        <w:rPr>
          <w:rFonts w:cs="Times New Roman"/>
          <w:color w:val="auto"/>
          <w:sz w:val="20"/>
          <w:szCs w:val="20"/>
        </w:rPr>
      </w:pPr>
      <w:r>
        <w:rPr>
          <w:rFonts w:cs="Times New Roman"/>
          <w:b/>
          <w:bCs/>
          <w:color w:val="auto"/>
          <w:sz w:val="20"/>
          <w:szCs w:val="20"/>
        </w:rPr>
        <w:lastRenderedPageBreak/>
        <w:t>B</w:t>
      </w:r>
      <w:r w:rsidR="00581599" w:rsidRPr="00D57B5F">
        <w:rPr>
          <w:rFonts w:cs="Times New Roman"/>
          <w:b/>
          <w:bCs/>
          <w:color w:val="auto"/>
          <w:sz w:val="20"/>
          <w:szCs w:val="20"/>
        </w:rPr>
        <w:t xml:space="preserve">ilag 1 </w:t>
      </w:r>
      <w:r w:rsidR="00D57B5F">
        <w:rPr>
          <w:rFonts w:cs="Times New Roman"/>
          <w:b/>
          <w:bCs/>
          <w:color w:val="auto"/>
          <w:sz w:val="20"/>
          <w:szCs w:val="20"/>
        </w:rPr>
        <w:br/>
      </w:r>
    </w:p>
    <w:p w:rsidR="008B1203" w:rsidRPr="00D57B5F" w:rsidRDefault="00581599" w:rsidP="00581599">
      <w:pPr>
        <w:pStyle w:val="Default"/>
        <w:rPr>
          <w:rFonts w:cs="Times New Roman"/>
          <w:b/>
          <w:bCs/>
          <w:color w:val="auto"/>
          <w:sz w:val="20"/>
          <w:szCs w:val="20"/>
        </w:rPr>
      </w:pPr>
      <w:r w:rsidRPr="00D57B5F">
        <w:rPr>
          <w:rFonts w:cs="Times New Roman"/>
          <w:b/>
          <w:bCs/>
          <w:color w:val="auto"/>
          <w:sz w:val="20"/>
          <w:szCs w:val="20"/>
        </w:rPr>
        <w:t xml:space="preserve">Screening af udkast til ændring af </w:t>
      </w:r>
      <w:r w:rsidR="008B1203" w:rsidRPr="00D57B5F">
        <w:rPr>
          <w:rFonts w:cs="Times New Roman"/>
          <w:b/>
          <w:bCs/>
          <w:color w:val="auto"/>
          <w:sz w:val="20"/>
          <w:szCs w:val="20"/>
        </w:rPr>
        <w:t>råstofbekendtgørelsen</w:t>
      </w:r>
    </w:p>
    <w:p w:rsidR="00581599" w:rsidRPr="00D57B5F" w:rsidRDefault="00581599" w:rsidP="00581599">
      <w:pPr>
        <w:pStyle w:val="Default"/>
        <w:rPr>
          <w:color w:val="auto"/>
          <w:sz w:val="20"/>
          <w:szCs w:val="20"/>
        </w:rPr>
      </w:pPr>
      <w:r w:rsidRPr="00D57B5F">
        <w:rPr>
          <w:color w:val="auto"/>
          <w:sz w:val="20"/>
          <w:szCs w:val="20"/>
        </w:rPr>
        <w:t xml:space="preserve">I det følgende foretages en vurdering af, om ovennævnte regeludkast kan antages at få væsentlig indvirkning på miljøet, jf. kriterierne i miljøvurderingslovens bilag 3. </w:t>
      </w:r>
    </w:p>
    <w:p w:rsidR="00537DDB" w:rsidRPr="00D57B5F" w:rsidRDefault="00537DDB" w:rsidP="00581599">
      <w:pPr>
        <w:pStyle w:val="Default"/>
        <w:rPr>
          <w:color w:val="auto"/>
          <w:sz w:val="20"/>
          <w:szCs w:val="20"/>
        </w:rPr>
      </w:pPr>
    </w:p>
    <w:p w:rsidR="00581599" w:rsidRPr="00D57B5F" w:rsidRDefault="00581599" w:rsidP="00581599">
      <w:pPr>
        <w:pStyle w:val="Default"/>
        <w:rPr>
          <w:color w:val="auto"/>
          <w:sz w:val="20"/>
          <w:szCs w:val="20"/>
        </w:rPr>
      </w:pPr>
      <w:r w:rsidRPr="00D57B5F">
        <w:rPr>
          <w:b/>
          <w:bCs/>
          <w:color w:val="auto"/>
          <w:sz w:val="20"/>
          <w:szCs w:val="20"/>
        </w:rPr>
        <w:t xml:space="preserve">(1) Planernes karakteristika, idet der navnlig tages hensyn til: </w:t>
      </w:r>
    </w:p>
    <w:p w:rsidR="00581599" w:rsidRPr="00D57B5F" w:rsidRDefault="00581599" w:rsidP="00581599">
      <w:pPr>
        <w:pStyle w:val="Default"/>
        <w:rPr>
          <w:color w:val="auto"/>
          <w:sz w:val="20"/>
          <w:szCs w:val="20"/>
        </w:rPr>
      </w:pPr>
    </w:p>
    <w:p w:rsidR="00581599" w:rsidRPr="00D57B5F" w:rsidRDefault="00581599" w:rsidP="00581599">
      <w:pPr>
        <w:pStyle w:val="Default"/>
        <w:rPr>
          <w:color w:val="auto"/>
          <w:sz w:val="20"/>
          <w:szCs w:val="20"/>
        </w:rPr>
      </w:pPr>
      <w:r w:rsidRPr="00D57B5F">
        <w:rPr>
          <w:color w:val="auto"/>
          <w:sz w:val="20"/>
          <w:szCs w:val="20"/>
        </w:rPr>
        <w:t xml:space="preserve">- </w:t>
      </w:r>
      <w:r w:rsidRPr="00D57B5F">
        <w:rPr>
          <w:i/>
          <w:iCs/>
          <w:color w:val="auto"/>
          <w:sz w:val="20"/>
          <w:szCs w:val="20"/>
        </w:rPr>
        <w:t xml:space="preserve">i hvilket omfang planen eller programmet kan danne grundlag for projekter og andre aktiviteter med hensyn til beliggenhed, art, størrelse og driftsbetingelser eller ved tildeling af midler: </w:t>
      </w:r>
    </w:p>
    <w:p w:rsidR="00581599" w:rsidRPr="00D57B5F" w:rsidRDefault="00581599" w:rsidP="00581599">
      <w:pPr>
        <w:pStyle w:val="Default"/>
        <w:rPr>
          <w:color w:val="auto"/>
          <w:sz w:val="20"/>
          <w:szCs w:val="20"/>
        </w:rPr>
      </w:pPr>
    </w:p>
    <w:p w:rsidR="00D57B5F" w:rsidRDefault="00DF152B" w:rsidP="0086277B">
      <w:pPr>
        <w:pStyle w:val="Default"/>
        <w:spacing w:line="276" w:lineRule="auto"/>
        <w:rPr>
          <w:color w:val="auto"/>
          <w:sz w:val="20"/>
          <w:szCs w:val="20"/>
        </w:rPr>
      </w:pPr>
      <w:r w:rsidRPr="00D57B5F">
        <w:rPr>
          <w:color w:val="auto"/>
          <w:sz w:val="20"/>
          <w:szCs w:val="20"/>
        </w:rPr>
        <w:t xml:space="preserve">Det skønnes, at cirka én procent af råstofforsyningen til hovedstadsområdet pt. kommer fra den nordlige del af Øresund. Et stop for råstofindvinding i Øresund vil betyde at denne del af den samlede råstofforsyning skal transporteres fra længere afstand. Dette vurderes at medføre øgende erhvervsøkonomiske omkostninger på op til 2 mio. kr. årligt. </w:t>
      </w:r>
    </w:p>
    <w:p w:rsidR="00D57B5F" w:rsidRDefault="00D57B5F" w:rsidP="0086277B">
      <w:pPr>
        <w:pStyle w:val="Default"/>
        <w:spacing w:line="276" w:lineRule="auto"/>
        <w:rPr>
          <w:color w:val="auto"/>
          <w:sz w:val="20"/>
          <w:szCs w:val="20"/>
        </w:rPr>
      </w:pPr>
    </w:p>
    <w:p w:rsidR="00DF152B" w:rsidRPr="00D57B5F" w:rsidRDefault="00DF152B" w:rsidP="0086277B">
      <w:pPr>
        <w:pStyle w:val="Default"/>
        <w:spacing w:line="276" w:lineRule="auto"/>
        <w:rPr>
          <w:color w:val="auto"/>
          <w:sz w:val="20"/>
          <w:szCs w:val="20"/>
        </w:rPr>
      </w:pPr>
      <w:r w:rsidRPr="00D57B5F">
        <w:rPr>
          <w:color w:val="auto"/>
          <w:sz w:val="20"/>
          <w:szCs w:val="20"/>
        </w:rPr>
        <w:t>Set i lyset af den samlede anvendelse af råstoffer i hovedstadsområdet vurderes et stop for råstofindvinding ikke at medføre væsentlige fordyrelser af fremtidige anlægsp</w:t>
      </w:r>
      <w:r w:rsidR="00D82B69" w:rsidRPr="00D57B5F">
        <w:rPr>
          <w:color w:val="auto"/>
          <w:sz w:val="20"/>
          <w:szCs w:val="20"/>
        </w:rPr>
        <w:t>rojekter</w:t>
      </w:r>
      <w:r w:rsidR="00CE4E7D">
        <w:rPr>
          <w:color w:val="auto"/>
          <w:sz w:val="20"/>
          <w:szCs w:val="20"/>
        </w:rPr>
        <w:t xml:space="preserve">. </w:t>
      </w:r>
    </w:p>
    <w:p w:rsidR="00DF152B" w:rsidRPr="00D57B5F" w:rsidRDefault="00DF152B" w:rsidP="0086277B">
      <w:pPr>
        <w:pStyle w:val="Default"/>
        <w:spacing w:line="276" w:lineRule="auto"/>
        <w:rPr>
          <w:color w:val="auto"/>
          <w:sz w:val="20"/>
          <w:szCs w:val="20"/>
        </w:rPr>
      </w:pPr>
    </w:p>
    <w:p w:rsidR="004A6A53" w:rsidRPr="00D57B5F" w:rsidRDefault="008B1203" w:rsidP="0086277B">
      <w:pPr>
        <w:pStyle w:val="Default"/>
        <w:spacing w:line="276" w:lineRule="auto"/>
        <w:rPr>
          <w:color w:val="auto"/>
          <w:sz w:val="20"/>
          <w:szCs w:val="20"/>
        </w:rPr>
      </w:pPr>
      <w:r w:rsidRPr="00D57B5F">
        <w:rPr>
          <w:color w:val="auto"/>
          <w:sz w:val="20"/>
          <w:szCs w:val="20"/>
        </w:rPr>
        <w:t xml:space="preserve">Stoppet for tilladelser til råstofindvinding i nordlige Øresund </w:t>
      </w:r>
      <w:r w:rsidR="00D82B69" w:rsidRPr="00D57B5F">
        <w:rPr>
          <w:color w:val="auto"/>
          <w:sz w:val="20"/>
          <w:szCs w:val="20"/>
        </w:rPr>
        <w:t>vurderes ikke at have</w:t>
      </w:r>
      <w:r w:rsidR="004A6A53" w:rsidRPr="00D57B5F">
        <w:rPr>
          <w:color w:val="auto"/>
          <w:sz w:val="20"/>
          <w:szCs w:val="20"/>
        </w:rPr>
        <w:t xml:space="preserve"> betydning for øvrige projekter og aktiviteter med hensyn til beliggenhed, art, størrelse og driftsbetingelser eller tildeling af midler.</w:t>
      </w:r>
    </w:p>
    <w:p w:rsidR="008B1203" w:rsidRPr="00D57B5F" w:rsidRDefault="008B1203"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i hvilket omfang planen har indflydelse på andre planer, herunder også planer, som indgår i et hierarki: </w:t>
      </w:r>
    </w:p>
    <w:p w:rsidR="00D82B69" w:rsidRPr="00D57B5F" w:rsidRDefault="00D82B69" w:rsidP="0086277B">
      <w:pPr>
        <w:pStyle w:val="Default"/>
        <w:spacing w:line="276" w:lineRule="auto"/>
        <w:rPr>
          <w:color w:val="auto"/>
          <w:sz w:val="20"/>
          <w:szCs w:val="20"/>
        </w:rPr>
      </w:pPr>
    </w:p>
    <w:p w:rsidR="004A6A53" w:rsidRPr="00D57B5F" w:rsidRDefault="004A6A53" w:rsidP="0086277B">
      <w:pPr>
        <w:pStyle w:val="Default"/>
        <w:spacing w:line="276" w:lineRule="auto"/>
        <w:rPr>
          <w:color w:val="auto"/>
          <w:sz w:val="20"/>
          <w:szCs w:val="20"/>
        </w:rPr>
      </w:pPr>
      <w:r w:rsidRPr="00D57B5F">
        <w:rPr>
          <w:color w:val="auto"/>
          <w:sz w:val="20"/>
          <w:szCs w:val="20"/>
        </w:rPr>
        <w:t>Stoppet for tilladelser til råstofindvinding i nordlige Øresund</w:t>
      </w:r>
      <w:r w:rsidR="00D57B5F">
        <w:rPr>
          <w:color w:val="auto"/>
          <w:sz w:val="20"/>
          <w:szCs w:val="20"/>
        </w:rPr>
        <w:t xml:space="preserve"> vil</w:t>
      </w:r>
      <w:r w:rsidRPr="00D57B5F">
        <w:rPr>
          <w:color w:val="auto"/>
          <w:sz w:val="20"/>
          <w:szCs w:val="20"/>
        </w:rPr>
        <w:t xml:space="preserve"> ikke</w:t>
      </w:r>
      <w:r w:rsidR="00D82B69" w:rsidRPr="00D57B5F">
        <w:rPr>
          <w:color w:val="auto"/>
          <w:sz w:val="20"/>
          <w:szCs w:val="20"/>
        </w:rPr>
        <w:t xml:space="preserve"> have</w:t>
      </w:r>
      <w:r w:rsidRPr="00D57B5F">
        <w:rPr>
          <w:color w:val="auto"/>
          <w:sz w:val="20"/>
          <w:szCs w:val="20"/>
        </w:rPr>
        <w:t xml:space="preserve"> indflydelse på andre planer, herunder også planer, som indgår i et hierarki</w:t>
      </w:r>
      <w:r w:rsidR="00D82B69" w:rsidRPr="00D57B5F">
        <w:rPr>
          <w:color w:val="auto"/>
          <w:sz w:val="20"/>
          <w:szCs w:val="20"/>
        </w:rPr>
        <w:t>.</w:t>
      </w:r>
    </w:p>
    <w:p w:rsidR="008B1203" w:rsidRPr="00D57B5F" w:rsidRDefault="008B1203"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planens eller programmets relevans for integreringen af miljøhensyn, specielt med henblik på at fremme bæredygtig udvikling: </w:t>
      </w:r>
    </w:p>
    <w:p w:rsidR="00D82B69" w:rsidRPr="00D57B5F" w:rsidRDefault="00D82B69" w:rsidP="0086277B">
      <w:pPr>
        <w:pStyle w:val="Default"/>
        <w:spacing w:line="276" w:lineRule="auto"/>
        <w:rPr>
          <w:color w:val="auto"/>
          <w:sz w:val="20"/>
          <w:szCs w:val="20"/>
        </w:rPr>
      </w:pPr>
    </w:p>
    <w:p w:rsidR="0077547F" w:rsidRPr="00D57B5F" w:rsidRDefault="00D82B69" w:rsidP="0086277B">
      <w:pPr>
        <w:pStyle w:val="Default"/>
        <w:spacing w:line="276" w:lineRule="auto"/>
        <w:rPr>
          <w:color w:val="auto"/>
          <w:sz w:val="20"/>
          <w:szCs w:val="20"/>
        </w:rPr>
      </w:pPr>
      <w:r w:rsidRPr="00D57B5F">
        <w:rPr>
          <w:color w:val="auto"/>
          <w:sz w:val="20"/>
          <w:szCs w:val="20"/>
        </w:rPr>
        <w:t>Indførelsen af et stop for råstofindvinding i det nor</w:t>
      </w:r>
      <w:r w:rsidR="00D57B5F">
        <w:rPr>
          <w:color w:val="auto"/>
          <w:sz w:val="20"/>
          <w:szCs w:val="20"/>
        </w:rPr>
        <w:t xml:space="preserve">dlige Øresund foretages </w:t>
      </w:r>
      <w:r w:rsidRPr="00D57B5F">
        <w:rPr>
          <w:color w:val="auto"/>
          <w:sz w:val="20"/>
          <w:szCs w:val="20"/>
        </w:rPr>
        <w:t xml:space="preserve">for at tilgodese miljøhensyn og fremme bæredygtig udvikling. </w:t>
      </w:r>
      <w:r w:rsidRPr="00D57B5F">
        <w:rPr>
          <w:color w:val="auto"/>
          <w:sz w:val="20"/>
          <w:szCs w:val="20"/>
        </w:rPr>
        <w:br/>
      </w:r>
    </w:p>
    <w:p w:rsidR="00D82B69" w:rsidRPr="00D57B5F" w:rsidRDefault="00D82B69" w:rsidP="0086277B">
      <w:pPr>
        <w:pStyle w:val="Default"/>
        <w:spacing w:line="276" w:lineRule="auto"/>
        <w:rPr>
          <w:color w:val="auto"/>
          <w:sz w:val="20"/>
          <w:szCs w:val="20"/>
        </w:rPr>
      </w:pPr>
      <w:r w:rsidRPr="00D57B5F">
        <w:rPr>
          <w:color w:val="auto"/>
          <w:sz w:val="20"/>
          <w:szCs w:val="20"/>
        </w:rPr>
        <w:t xml:space="preserve">Øvrige regler i forhold til råstofindvinding i andre områder opretholdes, herunder regler der skal sikre, at der ved råstofindvinding tages miljøhensyn. </w:t>
      </w:r>
    </w:p>
    <w:p w:rsidR="008B1203" w:rsidRPr="00D57B5F" w:rsidRDefault="008B1203"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miljøproblemer af relevans for planen eller programmet: </w:t>
      </w:r>
    </w:p>
    <w:p w:rsidR="00581599" w:rsidRPr="00D57B5F" w:rsidRDefault="00581599" w:rsidP="0086277B">
      <w:pPr>
        <w:pStyle w:val="Default"/>
        <w:spacing w:line="276" w:lineRule="auto"/>
        <w:rPr>
          <w:color w:val="auto"/>
          <w:sz w:val="20"/>
          <w:szCs w:val="20"/>
        </w:rPr>
      </w:pPr>
    </w:p>
    <w:p w:rsidR="004A6A53" w:rsidRPr="0086277B" w:rsidRDefault="0077547F" w:rsidP="0086277B">
      <w:pPr>
        <w:spacing w:line="276" w:lineRule="auto"/>
      </w:pPr>
      <w:r w:rsidRPr="0086277B">
        <w:t xml:space="preserve">Baggrunden for ændringen af bekendtgørelsen er, at råstofindvinding skader områdets naturmæssige værdi. Den nordlige del af Øresund rummer høj biodiversitet og er i særlig høj grad levested og gydeområde for mange </w:t>
      </w:r>
      <w:r w:rsidR="00CE4E7D">
        <w:t xml:space="preserve">kommercielle </w:t>
      </w:r>
      <w:r w:rsidRPr="0086277B">
        <w:t xml:space="preserve">fiskearter, blandt andet som følge af, at området har været frihold for trawlfiskeri siden 1932.  </w:t>
      </w:r>
    </w:p>
    <w:p w:rsidR="00581599" w:rsidRPr="00CE4E7D" w:rsidRDefault="0077547F" w:rsidP="0086277B">
      <w:pPr>
        <w:pStyle w:val="Default"/>
        <w:spacing w:line="276" w:lineRule="auto"/>
        <w:rPr>
          <w:color w:val="auto"/>
          <w:sz w:val="20"/>
          <w:szCs w:val="20"/>
        </w:rPr>
      </w:pPr>
      <w:r w:rsidRPr="001C132B">
        <w:rPr>
          <w:sz w:val="20"/>
          <w:szCs w:val="20"/>
        </w:rPr>
        <w:t xml:space="preserve">Et stop for indvinding af råstoffer fra det nordlige Øresund vil medføre at omkring 1 procent af råstofforsyningen til hovedstadsområdet skal hentes andre steder med </w:t>
      </w:r>
      <w:r w:rsidRPr="001C132B">
        <w:rPr>
          <w:sz w:val="20"/>
          <w:szCs w:val="20"/>
        </w:rPr>
        <w:lastRenderedPageBreak/>
        <w:t xml:space="preserve">deraf afledt længere transport. Set i lyset af de relativt små mængder råstoffer sammenholdt med </w:t>
      </w:r>
      <w:r w:rsidR="00D57B5F" w:rsidRPr="00CE4E7D">
        <w:rPr>
          <w:sz w:val="20"/>
          <w:szCs w:val="20"/>
        </w:rPr>
        <w:t xml:space="preserve">effekten i forhold til de </w:t>
      </w:r>
      <w:r w:rsidRPr="001C132B">
        <w:rPr>
          <w:sz w:val="20"/>
          <w:szCs w:val="20"/>
        </w:rPr>
        <w:t>naturmæssige værdi</w:t>
      </w:r>
      <w:r w:rsidR="00D57B5F" w:rsidRPr="00CE4E7D">
        <w:rPr>
          <w:sz w:val="20"/>
          <w:szCs w:val="20"/>
        </w:rPr>
        <w:t>er</w:t>
      </w:r>
      <w:r w:rsidRPr="001C132B">
        <w:rPr>
          <w:sz w:val="20"/>
          <w:szCs w:val="20"/>
        </w:rPr>
        <w:t xml:space="preserve"> i det nordlige Øresund vurderes </w:t>
      </w:r>
      <w:r w:rsidRPr="00CE4E7D">
        <w:rPr>
          <w:color w:val="auto"/>
          <w:sz w:val="20"/>
          <w:szCs w:val="20"/>
        </w:rPr>
        <w:t>k</w:t>
      </w:r>
      <w:r w:rsidR="00581599" w:rsidRPr="00CE4E7D">
        <w:rPr>
          <w:color w:val="auto"/>
          <w:sz w:val="20"/>
          <w:szCs w:val="20"/>
        </w:rPr>
        <w:t>onsekvenserne af de</w:t>
      </w:r>
      <w:r w:rsidR="004A6A53" w:rsidRPr="00CE4E7D">
        <w:rPr>
          <w:color w:val="auto"/>
          <w:sz w:val="20"/>
          <w:szCs w:val="20"/>
        </w:rPr>
        <w:t>n</w:t>
      </w:r>
      <w:r w:rsidR="00581599" w:rsidRPr="00CE4E7D">
        <w:rPr>
          <w:color w:val="auto"/>
          <w:sz w:val="20"/>
          <w:szCs w:val="20"/>
        </w:rPr>
        <w:t xml:space="preserve"> foreslåede ændring</w:t>
      </w:r>
      <w:r w:rsidR="00DA0F93" w:rsidRPr="00CE4E7D">
        <w:rPr>
          <w:color w:val="auto"/>
          <w:sz w:val="20"/>
          <w:szCs w:val="20"/>
        </w:rPr>
        <w:t xml:space="preserve">, </w:t>
      </w:r>
      <w:r w:rsidR="00D57B5F" w:rsidRPr="00CE4E7D">
        <w:rPr>
          <w:color w:val="auto"/>
          <w:sz w:val="20"/>
          <w:szCs w:val="20"/>
        </w:rPr>
        <w:t xml:space="preserve">samlet </w:t>
      </w:r>
      <w:proofErr w:type="gramStart"/>
      <w:r w:rsidRPr="00CE4E7D">
        <w:rPr>
          <w:color w:val="auto"/>
          <w:sz w:val="20"/>
          <w:szCs w:val="20"/>
        </w:rPr>
        <w:t xml:space="preserve">at </w:t>
      </w:r>
      <w:r w:rsidR="00DA0F93" w:rsidRPr="00CE4E7D">
        <w:rPr>
          <w:color w:val="auto"/>
          <w:sz w:val="20"/>
          <w:szCs w:val="20"/>
        </w:rPr>
        <w:t xml:space="preserve"> være</w:t>
      </w:r>
      <w:proofErr w:type="gramEnd"/>
      <w:r w:rsidR="00581599" w:rsidRPr="00CE4E7D">
        <w:rPr>
          <w:color w:val="auto"/>
          <w:sz w:val="20"/>
          <w:szCs w:val="20"/>
        </w:rPr>
        <w:t xml:space="preserve"> gunstige for miljøet. </w:t>
      </w:r>
    </w:p>
    <w:p w:rsidR="004A6A53" w:rsidRPr="00D57B5F" w:rsidRDefault="004A6A53" w:rsidP="0086277B">
      <w:pPr>
        <w:pStyle w:val="Default"/>
        <w:spacing w:line="276" w:lineRule="auto"/>
        <w:rPr>
          <w:color w:val="auto"/>
          <w:sz w:val="20"/>
          <w:szCs w:val="20"/>
        </w:rPr>
      </w:pPr>
    </w:p>
    <w:p w:rsidR="004A6A53" w:rsidRPr="00D57B5F" w:rsidRDefault="004A6A53" w:rsidP="0086277B">
      <w:pPr>
        <w:pStyle w:val="Default"/>
        <w:spacing w:line="276" w:lineRule="auto"/>
        <w:rPr>
          <w:color w:val="auto"/>
          <w:sz w:val="20"/>
          <w:szCs w:val="20"/>
        </w:rPr>
      </w:pPr>
    </w:p>
    <w:p w:rsidR="003E731A" w:rsidRPr="00CE4E7D" w:rsidRDefault="00581599" w:rsidP="0086277B">
      <w:pPr>
        <w:pStyle w:val="Default"/>
        <w:spacing w:line="276" w:lineRule="auto"/>
        <w:rPr>
          <w:color w:val="auto"/>
          <w:sz w:val="20"/>
          <w:szCs w:val="20"/>
        </w:rPr>
      </w:pPr>
      <w:r w:rsidRPr="001C132B">
        <w:rPr>
          <w:sz w:val="20"/>
          <w:szCs w:val="20"/>
        </w:rPr>
        <w:t xml:space="preserve">- </w:t>
      </w:r>
      <w:r w:rsidRPr="001C132B">
        <w:rPr>
          <w:i/>
          <w:iCs/>
          <w:sz w:val="20"/>
          <w:szCs w:val="20"/>
        </w:rPr>
        <w:t xml:space="preserve">planens eller programmets relevans for gennemførelsen af anden miljølovgivning (f.eks. planer i forbindelse med affaldshåndtering eller vandbeskyttelse): </w:t>
      </w:r>
      <w:r w:rsidR="0077547F" w:rsidRPr="00CE4E7D">
        <w:rPr>
          <w:color w:val="auto"/>
          <w:sz w:val="20"/>
          <w:szCs w:val="20"/>
        </w:rPr>
        <w:br/>
      </w:r>
      <w:r w:rsidR="004A6A53" w:rsidRPr="00CE4E7D">
        <w:rPr>
          <w:color w:val="auto"/>
          <w:sz w:val="20"/>
          <w:szCs w:val="20"/>
        </w:rPr>
        <w:t>Æ</w:t>
      </w:r>
      <w:r w:rsidRPr="00CE4E7D">
        <w:rPr>
          <w:color w:val="auto"/>
          <w:sz w:val="20"/>
          <w:szCs w:val="20"/>
        </w:rPr>
        <w:t>ndringe</w:t>
      </w:r>
      <w:r w:rsidR="004A6A53" w:rsidRPr="00CE4E7D">
        <w:rPr>
          <w:color w:val="auto"/>
          <w:sz w:val="20"/>
          <w:szCs w:val="20"/>
        </w:rPr>
        <w:t xml:space="preserve">n </w:t>
      </w:r>
      <w:r w:rsidRPr="00CE4E7D">
        <w:rPr>
          <w:color w:val="auto"/>
          <w:sz w:val="20"/>
          <w:szCs w:val="20"/>
        </w:rPr>
        <w:t xml:space="preserve">forventes ikke at </w:t>
      </w:r>
      <w:r w:rsidR="004A6A53" w:rsidRPr="00CE4E7D">
        <w:rPr>
          <w:color w:val="auto"/>
          <w:sz w:val="20"/>
          <w:szCs w:val="20"/>
        </w:rPr>
        <w:t>have relevans for gennemførelsen</w:t>
      </w:r>
      <w:r w:rsidR="003E731A" w:rsidRPr="00CE4E7D">
        <w:rPr>
          <w:color w:val="auto"/>
          <w:sz w:val="20"/>
          <w:szCs w:val="20"/>
        </w:rPr>
        <w:t xml:space="preserve"> af </w:t>
      </w:r>
      <w:r w:rsidR="00DA0F93" w:rsidRPr="00CE4E7D">
        <w:rPr>
          <w:color w:val="auto"/>
          <w:sz w:val="20"/>
          <w:szCs w:val="20"/>
        </w:rPr>
        <w:t>a</w:t>
      </w:r>
      <w:r w:rsidR="003E731A" w:rsidRPr="00CE4E7D">
        <w:rPr>
          <w:color w:val="auto"/>
          <w:sz w:val="20"/>
          <w:szCs w:val="20"/>
        </w:rPr>
        <w:t>nden miljølovgivning.</w:t>
      </w:r>
      <w:r w:rsidRPr="00CE4E7D">
        <w:rPr>
          <w:color w:val="auto"/>
          <w:sz w:val="20"/>
          <w:szCs w:val="20"/>
        </w:rPr>
        <w:t xml:space="preserve"> </w:t>
      </w:r>
    </w:p>
    <w:p w:rsidR="0077547F" w:rsidRPr="00D57B5F" w:rsidRDefault="0077547F"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b/>
          <w:bCs/>
          <w:color w:val="auto"/>
          <w:sz w:val="20"/>
          <w:szCs w:val="20"/>
        </w:rPr>
        <w:t xml:space="preserve">(2) Kendetegn ved indvirkningen og det område, som kan blive berørt, idet der navnlig tages hensyn til: </w:t>
      </w:r>
    </w:p>
    <w:p w:rsidR="00581599" w:rsidRPr="00D57B5F" w:rsidRDefault="00581599"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indvirkningens sandsynlighed, varighed, hyppighed og reversibilitet: </w:t>
      </w:r>
    </w:p>
    <w:p w:rsidR="00D57B5F" w:rsidRDefault="00D57B5F" w:rsidP="0086277B">
      <w:pPr>
        <w:pStyle w:val="Default"/>
        <w:spacing w:line="276" w:lineRule="auto"/>
        <w:rPr>
          <w:color w:val="auto"/>
          <w:sz w:val="20"/>
          <w:szCs w:val="20"/>
        </w:rPr>
      </w:pPr>
    </w:p>
    <w:p w:rsidR="00581599" w:rsidRPr="00D57B5F" w:rsidRDefault="0077547F" w:rsidP="0086277B">
      <w:pPr>
        <w:pStyle w:val="Default"/>
        <w:spacing w:line="276" w:lineRule="auto"/>
        <w:rPr>
          <w:color w:val="auto"/>
          <w:sz w:val="20"/>
          <w:szCs w:val="20"/>
        </w:rPr>
      </w:pPr>
      <w:r w:rsidRPr="00D57B5F">
        <w:rPr>
          <w:color w:val="auto"/>
          <w:sz w:val="20"/>
          <w:szCs w:val="20"/>
        </w:rPr>
        <w:t xml:space="preserve">Et stop for indvinding af råstoffer i det nordlige Øresund vurderes, at have en umiddelbar og blivende positiv miljøeffekt, da påvirkningerne fra råstofindvinding ophører. </w:t>
      </w:r>
    </w:p>
    <w:p w:rsidR="0077547F" w:rsidRPr="00D57B5F" w:rsidRDefault="0077547F" w:rsidP="0086277B">
      <w:pPr>
        <w:pStyle w:val="Default"/>
        <w:spacing w:line="276" w:lineRule="auto"/>
        <w:rPr>
          <w:color w:val="auto"/>
          <w:sz w:val="20"/>
          <w:szCs w:val="20"/>
        </w:rPr>
      </w:pPr>
    </w:p>
    <w:p w:rsidR="00581599" w:rsidRPr="00D57B5F" w:rsidRDefault="00D57B5F" w:rsidP="0086277B">
      <w:pPr>
        <w:pStyle w:val="Default"/>
        <w:spacing w:line="276" w:lineRule="auto"/>
        <w:rPr>
          <w:color w:val="auto"/>
          <w:sz w:val="20"/>
          <w:szCs w:val="20"/>
        </w:rPr>
      </w:pPr>
      <w:r>
        <w:rPr>
          <w:color w:val="auto"/>
          <w:sz w:val="20"/>
          <w:szCs w:val="20"/>
        </w:rPr>
        <w:t xml:space="preserve">Med udgangspunkt i karakteren af ændringerne i bekendtgørelsen er det </w:t>
      </w:r>
      <w:r w:rsidR="00581599" w:rsidRPr="00D57B5F">
        <w:rPr>
          <w:color w:val="auto"/>
          <w:sz w:val="20"/>
          <w:szCs w:val="20"/>
        </w:rPr>
        <w:t xml:space="preserve">Miljø- og Fødevareministeriets vurdering, at bekendtgørelsen ikke har </w:t>
      </w:r>
      <w:r w:rsidR="001D5DB3" w:rsidRPr="00D57B5F">
        <w:rPr>
          <w:color w:val="auto"/>
          <w:sz w:val="20"/>
          <w:szCs w:val="20"/>
        </w:rPr>
        <w:t xml:space="preserve">negativ </w:t>
      </w:r>
      <w:r w:rsidR="00581599" w:rsidRPr="00D57B5F">
        <w:rPr>
          <w:color w:val="auto"/>
          <w:sz w:val="20"/>
          <w:szCs w:val="20"/>
        </w:rPr>
        <w:t xml:space="preserve">betydning for indvirkningen på miljøet med hensyn til sandsynlighed, varighed, hyppighed og reversibilitet. </w:t>
      </w:r>
    </w:p>
    <w:p w:rsidR="008B1203" w:rsidRPr="00D57B5F" w:rsidRDefault="008B1203"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indvirkningens kumulative karakter: </w:t>
      </w:r>
    </w:p>
    <w:p w:rsidR="00581599" w:rsidRPr="00D57B5F" w:rsidRDefault="001D5DB3" w:rsidP="0086277B">
      <w:pPr>
        <w:pStyle w:val="Default"/>
        <w:spacing w:line="276" w:lineRule="auto"/>
        <w:rPr>
          <w:color w:val="auto"/>
          <w:sz w:val="20"/>
          <w:szCs w:val="20"/>
        </w:rPr>
      </w:pPr>
      <w:r w:rsidRPr="00D57B5F">
        <w:rPr>
          <w:color w:val="auto"/>
          <w:sz w:val="20"/>
          <w:szCs w:val="20"/>
        </w:rPr>
        <w:t>Et stop for indvinding af råstoffer i det nordlige Øresund vurd</w:t>
      </w:r>
      <w:r w:rsidR="00D57B5F">
        <w:rPr>
          <w:color w:val="auto"/>
          <w:sz w:val="20"/>
          <w:szCs w:val="20"/>
        </w:rPr>
        <w:t>eres at have en positiv effekt på miljøet.</w:t>
      </w:r>
    </w:p>
    <w:p w:rsidR="001D5DB3" w:rsidRPr="00D57B5F" w:rsidRDefault="001D5DB3" w:rsidP="0086277B">
      <w:pPr>
        <w:pStyle w:val="Default"/>
        <w:spacing w:line="276" w:lineRule="auto"/>
        <w:rPr>
          <w:color w:val="auto"/>
          <w:sz w:val="20"/>
          <w:szCs w:val="20"/>
        </w:rPr>
      </w:pPr>
    </w:p>
    <w:p w:rsidR="00D57B5F" w:rsidRDefault="00581599" w:rsidP="0086277B">
      <w:pPr>
        <w:pStyle w:val="Default"/>
        <w:spacing w:line="276" w:lineRule="auto"/>
        <w:rPr>
          <w:color w:val="auto"/>
          <w:sz w:val="20"/>
          <w:szCs w:val="20"/>
        </w:rPr>
      </w:pPr>
      <w:r w:rsidRPr="00D57B5F">
        <w:rPr>
          <w:color w:val="auto"/>
          <w:sz w:val="20"/>
          <w:szCs w:val="20"/>
        </w:rPr>
        <w:t xml:space="preserve">Bekendtgørelsen vurderes </w:t>
      </w:r>
      <w:r w:rsidR="001D5DB3" w:rsidRPr="00D57B5F">
        <w:rPr>
          <w:color w:val="auto"/>
          <w:sz w:val="20"/>
          <w:szCs w:val="20"/>
        </w:rPr>
        <w:t xml:space="preserve">således </w:t>
      </w:r>
      <w:r w:rsidRPr="00D57B5F">
        <w:rPr>
          <w:color w:val="auto"/>
          <w:sz w:val="20"/>
          <w:szCs w:val="20"/>
        </w:rPr>
        <w:t xml:space="preserve">ikke at have </w:t>
      </w:r>
      <w:r w:rsidR="001D5DB3" w:rsidRPr="00D57B5F">
        <w:rPr>
          <w:color w:val="auto"/>
          <w:sz w:val="20"/>
          <w:szCs w:val="20"/>
        </w:rPr>
        <w:t xml:space="preserve">en negativ </w:t>
      </w:r>
      <w:r w:rsidRPr="00D57B5F">
        <w:rPr>
          <w:color w:val="auto"/>
          <w:sz w:val="20"/>
          <w:szCs w:val="20"/>
        </w:rPr>
        <w:t>indvirkning på miljøet</w:t>
      </w:r>
      <w:r w:rsidR="001D5DB3" w:rsidRPr="00D57B5F">
        <w:rPr>
          <w:color w:val="auto"/>
          <w:sz w:val="20"/>
          <w:szCs w:val="20"/>
        </w:rPr>
        <w:t xml:space="preserve"> i forhold til kumulative effekter. </w:t>
      </w:r>
      <w:r w:rsidRPr="00D57B5F">
        <w:rPr>
          <w:color w:val="auto"/>
          <w:sz w:val="20"/>
          <w:szCs w:val="20"/>
        </w:rPr>
        <w:t xml:space="preserve"> </w:t>
      </w:r>
    </w:p>
    <w:p w:rsidR="008B1203" w:rsidRPr="00D57B5F" w:rsidRDefault="008B1203"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indvirkningens grænseoverskridende karakter: </w:t>
      </w:r>
    </w:p>
    <w:p w:rsidR="001D5DB3" w:rsidRPr="00D57B5F" w:rsidRDefault="001D5DB3" w:rsidP="0086277B">
      <w:pPr>
        <w:pStyle w:val="Default"/>
        <w:spacing w:line="276" w:lineRule="auto"/>
        <w:rPr>
          <w:color w:val="auto"/>
          <w:sz w:val="20"/>
          <w:szCs w:val="20"/>
        </w:rPr>
      </w:pPr>
      <w:r w:rsidRPr="00D57B5F">
        <w:rPr>
          <w:color w:val="auto"/>
          <w:sz w:val="20"/>
          <w:szCs w:val="20"/>
        </w:rPr>
        <w:t>Et stop for indvinding af råstoffer i det nordlige Øresund vurd</w:t>
      </w:r>
      <w:r w:rsidR="00D57B5F">
        <w:rPr>
          <w:color w:val="auto"/>
          <w:sz w:val="20"/>
          <w:szCs w:val="20"/>
        </w:rPr>
        <w:t xml:space="preserve">eres at have en positiv effekt på miljøet. </w:t>
      </w:r>
    </w:p>
    <w:p w:rsidR="00581599" w:rsidRPr="00D57B5F" w:rsidRDefault="00581599" w:rsidP="0086277B">
      <w:pPr>
        <w:pStyle w:val="Default"/>
        <w:spacing w:line="276" w:lineRule="auto"/>
        <w:rPr>
          <w:color w:val="auto"/>
          <w:sz w:val="20"/>
          <w:szCs w:val="20"/>
        </w:rPr>
      </w:pPr>
      <w:r w:rsidRPr="00D57B5F">
        <w:rPr>
          <w:color w:val="auto"/>
          <w:sz w:val="20"/>
          <w:szCs w:val="20"/>
        </w:rPr>
        <w:t xml:space="preserve">Bekendtgørelsen vurderes </w:t>
      </w:r>
      <w:r w:rsidR="001D5DB3" w:rsidRPr="00D57B5F">
        <w:rPr>
          <w:color w:val="auto"/>
          <w:sz w:val="20"/>
          <w:szCs w:val="20"/>
        </w:rPr>
        <w:t xml:space="preserve">derfor </w:t>
      </w:r>
      <w:r w:rsidRPr="00D57B5F">
        <w:rPr>
          <w:color w:val="auto"/>
          <w:sz w:val="20"/>
          <w:szCs w:val="20"/>
        </w:rPr>
        <w:t xml:space="preserve">ikke at kunne få </w:t>
      </w:r>
      <w:r w:rsidR="001D5DB3" w:rsidRPr="00D57B5F">
        <w:rPr>
          <w:color w:val="auto"/>
          <w:sz w:val="20"/>
          <w:szCs w:val="20"/>
        </w:rPr>
        <w:t xml:space="preserve">negativ </w:t>
      </w:r>
      <w:r w:rsidRPr="00D57B5F">
        <w:rPr>
          <w:color w:val="auto"/>
          <w:sz w:val="20"/>
          <w:szCs w:val="20"/>
        </w:rPr>
        <w:t xml:space="preserve">indvirkning på miljøet af grænseoverskridende karakter. </w:t>
      </w:r>
    </w:p>
    <w:p w:rsidR="008B1203" w:rsidRPr="00D57B5F" w:rsidRDefault="008B1203"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faren for menneskers sundhed og miljøet (f.eks. på grund af ulykker): </w:t>
      </w:r>
    </w:p>
    <w:p w:rsidR="00581599" w:rsidRPr="00D57B5F" w:rsidRDefault="00581599" w:rsidP="0086277B">
      <w:pPr>
        <w:pStyle w:val="Default"/>
        <w:spacing w:line="276" w:lineRule="auto"/>
        <w:rPr>
          <w:color w:val="auto"/>
          <w:sz w:val="20"/>
          <w:szCs w:val="20"/>
        </w:rPr>
      </w:pPr>
    </w:p>
    <w:p w:rsidR="001D5DB3" w:rsidRPr="00D57B5F" w:rsidRDefault="001D5DB3" w:rsidP="0086277B">
      <w:pPr>
        <w:pStyle w:val="Default"/>
        <w:spacing w:line="276" w:lineRule="auto"/>
        <w:rPr>
          <w:color w:val="auto"/>
          <w:sz w:val="20"/>
          <w:szCs w:val="20"/>
        </w:rPr>
      </w:pPr>
      <w:r w:rsidRPr="00D57B5F">
        <w:rPr>
          <w:color w:val="auto"/>
          <w:sz w:val="20"/>
          <w:szCs w:val="20"/>
        </w:rPr>
        <w:t>Et sto</w:t>
      </w:r>
      <w:r w:rsidR="00F95C8F" w:rsidRPr="00D57B5F">
        <w:rPr>
          <w:color w:val="auto"/>
          <w:sz w:val="20"/>
          <w:szCs w:val="20"/>
        </w:rPr>
        <w:t>p</w:t>
      </w:r>
      <w:r w:rsidRPr="00D57B5F">
        <w:rPr>
          <w:color w:val="auto"/>
          <w:sz w:val="20"/>
          <w:szCs w:val="20"/>
        </w:rPr>
        <w:t xml:space="preserve"> for indvinding af råstoffer i det nordlige Øresund vil reducere evt. fare for menneskers sundhed og miljøet</w:t>
      </w:r>
      <w:r w:rsidR="001C132B">
        <w:rPr>
          <w:color w:val="auto"/>
          <w:sz w:val="20"/>
          <w:szCs w:val="20"/>
        </w:rPr>
        <w:t>.</w:t>
      </w:r>
      <w:r w:rsidRPr="00D57B5F">
        <w:rPr>
          <w:color w:val="auto"/>
          <w:sz w:val="20"/>
          <w:szCs w:val="20"/>
        </w:rPr>
        <w:t xml:space="preserve"> </w:t>
      </w:r>
    </w:p>
    <w:p w:rsidR="003E731A" w:rsidRPr="00D57B5F" w:rsidRDefault="003E731A"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indvirkningens størrelsesorden og rumlige udstrækning (det geografiske område og størrelsen af den befolkning, som kan blive berørt): </w:t>
      </w:r>
    </w:p>
    <w:p w:rsidR="00581599" w:rsidRPr="00D57B5F" w:rsidRDefault="001D5DB3" w:rsidP="0086277B">
      <w:pPr>
        <w:pStyle w:val="Default"/>
        <w:spacing w:line="276" w:lineRule="auto"/>
        <w:rPr>
          <w:color w:val="auto"/>
          <w:sz w:val="20"/>
          <w:szCs w:val="20"/>
        </w:rPr>
      </w:pPr>
      <w:r w:rsidRPr="00D57B5F">
        <w:rPr>
          <w:color w:val="auto"/>
          <w:sz w:val="20"/>
          <w:szCs w:val="20"/>
        </w:rPr>
        <w:t>Et stop for indvinding af råstoffer i det nordlige Øresund vil fjerne mulighederne for råstofindvinding i hele det nordlige Øresund. Den konkrete indvirkning vil dog primært være i de råstofindvindingsområder</w:t>
      </w:r>
      <w:r w:rsidR="00D57B5F">
        <w:rPr>
          <w:color w:val="auto"/>
          <w:sz w:val="20"/>
          <w:szCs w:val="20"/>
        </w:rPr>
        <w:t xml:space="preserve"> som i dag er udlagt i den nordlige Østersø</w:t>
      </w:r>
      <w:r w:rsidR="00F95C8F" w:rsidRPr="00D57B5F">
        <w:rPr>
          <w:color w:val="auto"/>
          <w:sz w:val="20"/>
          <w:szCs w:val="20"/>
        </w:rPr>
        <w:t>.</w:t>
      </w:r>
      <w:r w:rsidRPr="00D57B5F">
        <w:rPr>
          <w:color w:val="auto"/>
          <w:sz w:val="20"/>
          <w:szCs w:val="20"/>
        </w:rPr>
        <w:t xml:space="preserve"> </w:t>
      </w:r>
    </w:p>
    <w:p w:rsidR="00D57B5F" w:rsidRDefault="00581599" w:rsidP="0086277B">
      <w:pPr>
        <w:pStyle w:val="Default"/>
        <w:spacing w:line="276" w:lineRule="auto"/>
        <w:rPr>
          <w:color w:val="auto"/>
          <w:sz w:val="20"/>
          <w:szCs w:val="20"/>
        </w:rPr>
      </w:pPr>
      <w:r w:rsidRPr="00D57B5F">
        <w:rPr>
          <w:color w:val="auto"/>
          <w:sz w:val="20"/>
          <w:szCs w:val="20"/>
        </w:rPr>
        <w:lastRenderedPageBreak/>
        <w:t xml:space="preserve">Bekendtgørelsen vurderes </w:t>
      </w:r>
      <w:r w:rsidR="00417D4A" w:rsidRPr="00D57B5F">
        <w:rPr>
          <w:color w:val="auto"/>
          <w:sz w:val="20"/>
          <w:szCs w:val="20"/>
        </w:rPr>
        <w:t xml:space="preserve">have en positiv miljøeffekt i forhold </w:t>
      </w:r>
      <w:r w:rsidR="00D57B5F">
        <w:rPr>
          <w:color w:val="auto"/>
          <w:sz w:val="20"/>
          <w:szCs w:val="20"/>
        </w:rPr>
        <w:t xml:space="preserve">til </w:t>
      </w:r>
      <w:r w:rsidR="00417D4A" w:rsidRPr="00D57B5F">
        <w:rPr>
          <w:color w:val="auto"/>
          <w:sz w:val="20"/>
          <w:szCs w:val="20"/>
        </w:rPr>
        <w:t xml:space="preserve">det nordlige Øresund med særlig effekt i de udlagte råstofindvindingsområder. </w:t>
      </w:r>
    </w:p>
    <w:p w:rsidR="003E731A" w:rsidRPr="00D57B5F" w:rsidRDefault="003E731A" w:rsidP="0086277B">
      <w:pPr>
        <w:pStyle w:val="Default"/>
        <w:spacing w:line="276" w:lineRule="auto"/>
        <w:rPr>
          <w:color w:val="auto"/>
          <w:sz w:val="20"/>
          <w:szCs w:val="20"/>
        </w:rPr>
      </w:pPr>
    </w:p>
    <w:p w:rsidR="00581599" w:rsidRPr="00D57B5F" w:rsidRDefault="00581599" w:rsidP="0086277B">
      <w:pPr>
        <w:pStyle w:val="Default"/>
        <w:spacing w:after="35" w:line="276" w:lineRule="auto"/>
        <w:rPr>
          <w:color w:val="auto"/>
          <w:sz w:val="20"/>
          <w:szCs w:val="20"/>
        </w:rPr>
      </w:pPr>
      <w:r w:rsidRPr="00D57B5F">
        <w:rPr>
          <w:color w:val="auto"/>
          <w:sz w:val="20"/>
          <w:szCs w:val="20"/>
        </w:rPr>
        <w:t xml:space="preserve">- </w:t>
      </w:r>
      <w:r w:rsidRPr="00D57B5F">
        <w:rPr>
          <w:i/>
          <w:iCs/>
          <w:color w:val="auto"/>
          <w:sz w:val="20"/>
          <w:szCs w:val="20"/>
        </w:rPr>
        <w:t xml:space="preserve">værdien og sårbarheden af det område, som kan blive berørt, som følge af </w:t>
      </w:r>
    </w:p>
    <w:p w:rsidR="00581599" w:rsidRPr="00D57B5F" w:rsidRDefault="00581599" w:rsidP="0086277B">
      <w:pPr>
        <w:pStyle w:val="Default"/>
        <w:spacing w:after="35" w:line="276" w:lineRule="auto"/>
        <w:rPr>
          <w:color w:val="auto"/>
          <w:sz w:val="20"/>
          <w:szCs w:val="20"/>
        </w:rPr>
      </w:pPr>
      <w:r w:rsidRPr="00D57B5F">
        <w:rPr>
          <w:color w:val="auto"/>
          <w:sz w:val="20"/>
          <w:szCs w:val="20"/>
        </w:rPr>
        <w:t xml:space="preserve"> </w:t>
      </w:r>
      <w:r w:rsidRPr="00D57B5F">
        <w:rPr>
          <w:i/>
          <w:iCs/>
          <w:color w:val="auto"/>
          <w:sz w:val="20"/>
          <w:szCs w:val="20"/>
        </w:rPr>
        <w:t xml:space="preserve">Særlige karakteristiske naturtræk eller kulturarv </w:t>
      </w:r>
    </w:p>
    <w:p w:rsidR="00581599" w:rsidRPr="00D57B5F" w:rsidRDefault="00581599" w:rsidP="0086277B">
      <w:pPr>
        <w:pStyle w:val="Default"/>
        <w:spacing w:after="35" w:line="276" w:lineRule="auto"/>
        <w:rPr>
          <w:color w:val="auto"/>
          <w:sz w:val="20"/>
          <w:szCs w:val="20"/>
        </w:rPr>
      </w:pPr>
      <w:r w:rsidRPr="00D57B5F">
        <w:rPr>
          <w:color w:val="auto"/>
          <w:sz w:val="20"/>
          <w:szCs w:val="20"/>
        </w:rPr>
        <w:t xml:space="preserve"> </w:t>
      </w:r>
      <w:r w:rsidRPr="00D57B5F">
        <w:rPr>
          <w:i/>
          <w:iCs/>
          <w:color w:val="auto"/>
          <w:sz w:val="20"/>
          <w:szCs w:val="20"/>
        </w:rPr>
        <w:t xml:space="preserve">Overskridelse af miljøkvalitetsnormer eller </w:t>
      </w:r>
      <w:proofErr w:type="gramStart"/>
      <w:r w:rsidRPr="00D57B5F">
        <w:rPr>
          <w:i/>
          <w:iCs/>
          <w:color w:val="auto"/>
          <w:sz w:val="20"/>
          <w:szCs w:val="20"/>
        </w:rPr>
        <w:t>–grænseværdier</w:t>
      </w:r>
      <w:proofErr w:type="gramEnd"/>
      <w:r w:rsidRPr="00D57B5F">
        <w:rPr>
          <w:i/>
          <w:iCs/>
          <w:color w:val="auto"/>
          <w:sz w:val="20"/>
          <w:szCs w:val="20"/>
        </w:rPr>
        <w:t xml:space="preserve"> og </w:t>
      </w: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Intensiv arealudnyttelse: </w:t>
      </w:r>
    </w:p>
    <w:p w:rsidR="00581599" w:rsidRPr="00D57B5F" w:rsidRDefault="00581599" w:rsidP="0086277B">
      <w:pPr>
        <w:pStyle w:val="Default"/>
        <w:spacing w:line="276" w:lineRule="auto"/>
        <w:rPr>
          <w:color w:val="auto"/>
          <w:sz w:val="20"/>
          <w:szCs w:val="20"/>
        </w:rPr>
      </w:pPr>
    </w:p>
    <w:p w:rsidR="00417D4A" w:rsidRPr="00D57B5F" w:rsidRDefault="00417D4A" w:rsidP="0086277B">
      <w:pPr>
        <w:pStyle w:val="Default"/>
        <w:spacing w:line="276" w:lineRule="auto"/>
        <w:rPr>
          <w:color w:val="auto"/>
          <w:sz w:val="20"/>
          <w:szCs w:val="20"/>
        </w:rPr>
      </w:pPr>
      <w:r w:rsidRPr="0086277B">
        <w:rPr>
          <w:sz w:val="20"/>
          <w:szCs w:val="20"/>
        </w:rPr>
        <w:t>Den nordlige del af Øresund rummer høj biodiversitet og er i særlig høj grad levested og gydeområde for mange</w:t>
      </w:r>
      <w:r w:rsidR="00CE4E7D">
        <w:rPr>
          <w:sz w:val="20"/>
          <w:szCs w:val="20"/>
        </w:rPr>
        <w:t xml:space="preserve"> kommercielle</w:t>
      </w:r>
      <w:r w:rsidRPr="0086277B">
        <w:rPr>
          <w:sz w:val="20"/>
          <w:szCs w:val="20"/>
        </w:rPr>
        <w:t xml:space="preserve"> fiskearter, blandt andet som følge af, at området har været frihold for trawlfiskeri siden 1932.</w:t>
      </w:r>
    </w:p>
    <w:p w:rsidR="00417D4A" w:rsidRPr="00D57B5F" w:rsidRDefault="00417D4A" w:rsidP="0086277B">
      <w:pPr>
        <w:pStyle w:val="Default"/>
        <w:spacing w:line="276" w:lineRule="auto"/>
        <w:rPr>
          <w:color w:val="auto"/>
          <w:sz w:val="20"/>
          <w:szCs w:val="20"/>
        </w:rPr>
      </w:pPr>
    </w:p>
    <w:p w:rsidR="00417D4A" w:rsidRPr="00D57B5F" w:rsidRDefault="00581599" w:rsidP="0086277B">
      <w:pPr>
        <w:pStyle w:val="Default"/>
        <w:spacing w:line="276" w:lineRule="auto"/>
        <w:rPr>
          <w:color w:val="auto"/>
          <w:sz w:val="20"/>
          <w:szCs w:val="20"/>
        </w:rPr>
      </w:pPr>
      <w:r w:rsidRPr="00D57B5F">
        <w:rPr>
          <w:color w:val="auto"/>
          <w:sz w:val="20"/>
          <w:szCs w:val="20"/>
        </w:rPr>
        <w:t xml:space="preserve">Bekendtgørelsen </w:t>
      </w:r>
      <w:r w:rsidR="00CE4E7D" w:rsidRPr="00D57B5F">
        <w:rPr>
          <w:color w:val="auto"/>
          <w:sz w:val="20"/>
          <w:szCs w:val="20"/>
        </w:rPr>
        <w:t>vurderes at</w:t>
      </w:r>
      <w:r w:rsidR="00417D4A" w:rsidRPr="00D57B5F">
        <w:rPr>
          <w:color w:val="auto"/>
          <w:sz w:val="20"/>
          <w:szCs w:val="20"/>
        </w:rPr>
        <w:t xml:space="preserve"> have positiv effekt i forhold til de </w:t>
      </w:r>
      <w:r w:rsidRPr="00D57B5F">
        <w:rPr>
          <w:color w:val="auto"/>
          <w:sz w:val="20"/>
          <w:szCs w:val="20"/>
        </w:rPr>
        <w:t xml:space="preserve">karakteristiske naturtræk </w:t>
      </w:r>
      <w:r w:rsidR="00417D4A" w:rsidRPr="00D57B5F">
        <w:rPr>
          <w:color w:val="auto"/>
          <w:sz w:val="20"/>
          <w:szCs w:val="20"/>
        </w:rPr>
        <w:t xml:space="preserve">der findes i det nordlige Øresund. Det vurderes, at der ikke vil være en effekt i forhold til </w:t>
      </w:r>
      <w:r w:rsidRPr="00D57B5F">
        <w:rPr>
          <w:color w:val="auto"/>
          <w:sz w:val="20"/>
          <w:szCs w:val="20"/>
        </w:rPr>
        <w:t xml:space="preserve">kulturarv. </w:t>
      </w:r>
    </w:p>
    <w:p w:rsidR="00417D4A" w:rsidRPr="00D57B5F" w:rsidRDefault="00417D4A" w:rsidP="0086277B">
      <w:pPr>
        <w:pStyle w:val="Default"/>
        <w:spacing w:line="276" w:lineRule="auto"/>
        <w:rPr>
          <w:color w:val="auto"/>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Bekendtgørelsens medfører </w:t>
      </w:r>
      <w:r w:rsidR="00417D4A" w:rsidRPr="00D57B5F">
        <w:rPr>
          <w:color w:val="auto"/>
          <w:sz w:val="20"/>
          <w:szCs w:val="20"/>
        </w:rPr>
        <w:t>ikke en ændring af de øvrige gældende regler for råstofindvinding i forhold til milj</w:t>
      </w:r>
      <w:r w:rsidRPr="00D57B5F">
        <w:rPr>
          <w:color w:val="auto"/>
          <w:sz w:val="20"/>
          <w:szCs w:val="20"/>
        </w:rPr>
        <w:t xml:space="preserve">økvalitetsnormer eller -grænseværdier, eller for intensiv arealudnyttelse. </w:t>
      </w:r>
    </w:p>
    <w:p w:rsidR="003E731A" w:rsidRPr="0086277B" w:rsidRDefault="003E731A" w:rsidP="0086277B">
      <w:pPr>
        <w:pStyle w:val="Default"/>
        <w:spacing w:line="276" w:lineRule="auto"/>
        <w:rPr>
          <w:color w:val="FF0000"/>
          <w:sz w:val="20"/>
          <w:szCs w:val="20"/>
        </w:rPr>
      </w:pPr>
    </w:p>
    <w:p w:rsidR="00581599" w:rsidRPr="00D57B5F" w:rsidRDefault="00581599" w:rsidP="0086277B">
      <w:pPr>
        <w:pStyle w:val="Default"/>
        <w:spacing w:line="276" w:lineRule="auto"/>
        <w:rPr>
          <w:color w:val="auto"/>
          <w:sz w:val="20"/>
          <w:szCs w:val="20"/>
        </w:rPr>
      </w:pPr>
      <w:r w:rsidRPr="00D57B5F">
        <w:rPr>
          <w:color w:val="auto"/>
          <w:sz w:val="20"/>
          <w:szCs w:val="20"/>
        </w:rPr>
        <w:t xml:space="preserve">- </w:t>
      </w:r>
      <w:r w:rsidRPr="00D57B5F">
        <w:rPr>
          <w:i/>
          <w:iCs/>
          <w:color w:val="auto"/>
          <w:sz w:val="20"/>
          <w:szCs w:val="20"/>
        </w:rPr>
        <w:t xml:space="preserve">Indvirkningen på områder eller landskaber, som har en anerkendt beskyttelsesstatus på nationalt plan, fællesskabsplan eller internationalt plan: </w:t>
      </w:r>
    </w:p>
    <w:p w:rsidR="00581599" w:rsidRPr="00D57B5F" w:rsidRDefault="00581599" w:rsidP="0086277B">
      <w:pPr>
        <w:pStyle w:val="Default"/>
        <w:spacing w:line="276" w:lineRule="auto"/>
        <w:rPr>
          <w:color w:val="auto"/>
          <w:sz w:val="20"/>
          <w:szCs w:val="20"/>
        </w:rPr>
      </w:pPr>
    </w:p>
    <w:p w:rsidR="00A85ECD" w:rsidRPr="00D57B5F" w:rsidRDefault="00581599" w:rsidP="0086277B">
      <w:pPr>
        <w:pStyle w:val="Default"/>
        <w:spacing w:line="276" w:lineRule="auto"/>
        <w:rPr>
          <w:color w:val="auto"/>
          <w:sz w:val="20"/>
          <w:szCs w:val="20"/>
        </w:rPr>
      </w:pPr>
      <w:r w:rsidRPr="00D57B5F">
        <w:rPr>
          <w:color w:val="auto"/>
          <w:sz w:val="20"/>
          <w:szCs w:val="20"/>
        </w:rPr>
        <w:t xml:space="preserve">Bekendtgørelsen vurderes </w:t>
      </w:r>
      <w:r w:rsidR="007E1FC8" w:rsidRPr="00D57B5F">
        <w:rPr>
          <w:color w:val="auto"/>
          <w:sz w:val="20"/>
          <w:szCs w:val="20"/>
        </w:rPr>
        <w:t xml:space="preserve">alene at have marginal betydning – i positiv retning – for </w:t>
      </w:r>
      <w:r w:rsidRPr="00D57B5F">
        <w:rPr>
          <w:color w:val="auto"/>
          <w:sz w:val="20"/>
          <w:szCs w:val="20"/>
        </w:rPr>
        <w:t>områder eller landskaber, som har en anerkendt beskyttelsesstatus på nationalt plan, fællesskabsplan eller internationalt plan.</w:t>
      </w:r>
    </w:p>
    <w:p w:rsidR="004830C6" w:rsidRPr="00D57B5F" w:rsidRDefault="004830C6" w:rsidP="0086277B">
      <w:pPr>
        <w:spacing w:line="276" w:lineRule="auto"/>
      </w:pPr>
    </w:p>
    <w:p w:rsidR="00FE7E77" w:rsidRPr="00D57B5F" w:rsidRDefault="00FE7E77" w:rsidP="0086277B">
      <w:pPr>
        <w:spacing w:line="276" w:lineRule="auto"/>
      </w:pPr>
    </w:p>
    <w:p w:rsidR="0018769C" w:rsidRPr="0086277B" w:rsidRDefault="0018769C" w:rsidP="0086277B">
      <w:pPr>
        <w:spacing w:line="276" w:lineRule="auto"/>
      </w:pPr>
    </w:p>
    <w:p w:rsidR="00EE0137" w:rsidRPr="0086277B" w:rsidRDefault="00EE0137" w:rsidP="0086277B">
      <w:pPr>
        <w:spacing w:line="276" w:lineRule="auto"/>
      </w:pPr>
    </w:p>
    <w:sectPr w:rsidR="00EE0137" w:rsidRPr="0086277B" w:rsidSect="0048667B">
      <w:headerReference w:type="default" r:id="rId9"/>
      <w:footerReference w:type="even" r:id="rId10"/>
      <w:footerReference w:type="default" r:id="rId11"/>
      <w:headerReference w:type="first" r:id="rId12"/>
      <w:footerReference w:type="first" r:id="rId13"/>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36" w:rsidRDefault="005D7C36">
      <w:r>
        <w:separator/>
      </w:r>
    </w:p>
  </w:endnote>
  <w:endnote w:type="continuationSeparator" w:id="0">
    <w:p w:rsidR="005D7C36" w:rsidRDefault="005D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AC1670">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B00475">
      <w:rPr>
        <w:rStyle w:val="Sidetal"/>
        <w:noProof/>
      </w:rPr>
      <w:t>2</w:t>
    </w:r>
    <w:r w:rsidRPr="001C6975">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37" w:rsidRPr="00AC1670" w:rsidRDefault="00AC1670" w:rsidP="00EE0137">
    <w:pPr>
      <w:pStyle w:val="Template-Address"/>
    </w:pPr>
    <w:bookmarkStart w:id="21" w:name="OFF_Institution"/>
    <w:bookmarkStart w:id="22" w:name="OFF_InstitutionHIF"/>
    <w:bookmarkStart w:id="23" w:name="XIF_MMFirstAddressLine"/>
    <w:r w:rsidRPr="00AC1670">
      <w:t>Miljø- og Fødevareministeriet</w:t>
    </w:r>
    <w:bookmarkEnd w:id="21"/>
    <w:r w:rsidR="00EE0137" w:rsidRPr="00AC1670">
      <w:t xml:space="preserve"> </w:t>
    </w:r>
    <w:bookmarkEnd w:id="22"/>
    <w:r w:rsidR="00EE0137" w:rsidRPr="00AC1670">
      <w:t xml:space="preserve">• </w:t>
    </w:r>
    <w:bookmarkStart w:id="24" w:name="OFF_AddressA"/>
    <w:bookmarkStart w:id="25" w:name="OFF_AddressAHIF"/>
    <w:r w:rsidRPr="00AC1670">
      <w:t>Slotsholmsgade 12</w:t>
    </w:r>
    <w:bookmarkEnd w:id="24"/>
    <w:r w:rsidR="00EE0137" w:rsidRPr="00AC1670">
      <w:t xml:space="preserve"> </w:t>
    </w:r>
    <w:bookmarkEnd w:id="25"/>
    <w:r w:rsidR="00EE0137" w:rsidRPr="00AC1670">
      <w:rPr>
        <w:vanish/>
      </w:rPr>
      <w:t xml:space="preserve">• </w:t>
    </w:r>
    <w:bookmarkStart w:id="26" w:name="OFF_AddressB"/>
    <w:bookmarkStart w:id="27" w:name="OFF_AddressBHIF"/>
    <w:bookmarkEnd w:id="26"/>
    <w:r w:rsidR="00EE0137" w:rsidRPr="00AC1670">
      <w:rPr>
        <w:vanish/>
      </w:rPr>
      <w:t xml:space="preserve"> </w:t>
    </w:r>
    <w:bookmarkEnd w:id="27"/>
    <w:r w:rsidR="00EE0137" w:rsidRPr="00AC1670">
      <w:rPr>
        <w:vanish/>
      </w:rPr>
      <w:t xml:space="preserve">• </w:t>
    </w:r>
    <w:bookmarkStart w:id="28" w:name="OFF_AddressC"/>
    <w:bookmarkStart w:id="29" w:name="OFF_AddressCHIF"/>
    <w:bookmarkEnd w:id="28"/>
    <w:r w:rsidR="00EE0137" w:rsidRPr="00AC1670">
      <w:rPr>
        <w:vanish/>
      </w:rPr>
      <w:t xml:space="preserve"> </w:t>
    </w:r>
    <w:bookmarkEnd w:id="29"/>
    <w:r w:rsidR="00EE0137" w:rsidRPr="00AC1670">
      <w:t xml:space="preserve">• </w:t>
    </w:r>
    <w:bookmarkStart w:id="30" w:name="OFF_AddressD"/>
    <w:bookmarkStart w:id="31" w:name="OFF_AddressDHIF"/>
    <w:r w:rsidRPr="00AC1670">
      <w:t>1216</w:t>
    </w:r>
    <w:bookmarkEnd w:id="30"/>
    <w:r w:rsidR="00EE0137" w:rsidRPr="00AC1670">
      <w:t xml:space="preserve"> </w:t>
    </w:r>
    <w:bookmarkStart w:id="32" w:name="OFF_City"/>
    <w:r>
      <w:t>København K</w:t>
    </w:r>
    <w:bookmarkEnd w:id="32"/>
    <w:r w:rsidR="00EE0137" w:rsidRPr="00AC1670">
      <w:t xml:space="preserve"> </w:t>
    </w:r>
    <w:bookmarkEnd w:id="31"/>
  </w:p>
  <w:p w:rsidR="00EE0137" w:rsidRPr="00581599" w:rsidRDefault="00AC1670" w:rsidP="00EE0137">
    <w:pPr>
      <w:pStyle w:val="Template-Address"/>
      <w:rPr>
        <w:lang w:val="en-US"/>
      </w:rPr>
    </w:pPr>
    <w:bookmarkStart w:id="33" w:name="LAN_Phone"/>
    <w:bookmarkStart w:id="34" w:name="OFF_PhoneHIF"/>
    <w:bookmarkStart w:id="35" w:name="XIF_MMSecondAddressLine"/>
    <w:bookmarkEnd w:id="23"/>
    <w:r w:rsidRPr="00581599">
      <w:rPr>
        <w:lang w:val="en-US"/>
      </w:rPr>
      <w:t>Tlf.</w:t>
    </w:r>
    <w:bookmarkEnd w:id="33"/>
    <w:r w:rsidR="00EE0137" w:rsidRPr="00581599">
      <w:rPr>
        <w:lang w:val="en-US"/>
      </w:rPr>
      <w:t xml:space="preserve"> </w:t>
    </w:r>
    <w:bookmarkStart w:id="36" w:name="OFF_Phone"/>
    <w:r w:rsidRPr="00581599">
      <w:rPr>
        <w:lang w:val="en-US"/>
      </w:rPr>
      <w:t>38 14 21 42</w:t>
    </w:r>
    <w:bookmarkEnd w:id="36"/>
    <w:r w:rsidR="00EE0137" w:rsidRPr="00581599">
      <w:rPr>
        <w:lang w:val="en-US"/>
      </w:rPr>
      <w:t xml:space="preserve"> </w:t>
    </w:r>
    <w:bookmarkEnd w:id="34"/>
    <w:r w:rsidR="00EE0137" w:rsidRPr="00581599">
      <w:rPr>
        <w:lang w:val="en-US"/>
      </w:rPr>
      <w:t xml:space="preserve">• </w:t>
    </w:r>
    <w:bookmarkStart w:id="37" w:name="LAN_Fax"/>
    <w:bookmarkStart w:id="38" w:name="OFF_FaxHIF"/>
    <w:r w:rsidRPr="00581599">
      <w:rPr>
        <w:lang w:val="en-US"/>
      </w:rPr>
      <w:t>Fax</w:t>
    </w:r>
    <w:bookmarkEnd w:id="37"/>
    <w:r w:rsidR="00EE0137" w:rsidRPr="00581599">
      <w:rPr>
        <w:lang w:val="en-US"/>
      </w:rPr>
      <w:t xml:space="preserve"> </w:t>
    </w:r>
    <w:bookmarkStart w:id="39" w:name="OFF_Fax"/>
    <w:r w:rsidRPr="00581599">
      <w:rPr>
        <w:lang w:val="en-US"/>
      </w:rPr>
      <w:t>33 14 50 42</w:t>
    </w:r>
    <w:bookmarkEnd w:id="39"/>
    <w:r w:rsidR="00EE0137" w:rsidRPr="00581599">
      <w:rPr>
        <w:lang w:val="en-US"/>
      </w:rPr>
      <w:t xml:space="preserve"> </w:t>
    </w:r>
    <w:bookmarkEnd w:id="38"/>
    <w:r w:rsidR="00EE0137" w:rsidRPr="00581599">
      <w:rPr>
        <w:lang w:val="en-US"/>
      </w:rPr>
      <w:t xml:space="preserve">• </w:t>
    </w:r>
    <w:bookmarkStart w:id="40" w:name="OFF_CVRHIF"/>
    <w:r w:rsidR="00EE0137" w:rsidRPr="00581599">
      <w:rPr>
        <w:lang w:val="en-US"/>
      </w:rPr>
      <w:t xml:space="preserve">CVR </w:t>
    </w:r>
    <w:bookmarkStart w:id="41" w:name="OFF_CVR"/>
    <w:r w:rsidRPr="00581599">
      <w:rPr>
        <w:lang w:val="en-US"/>
      </w:rPr>
      <w:t>12854358</w:t>
    </w:r>
    <w:bookmarkEnd w:id="41"/>
    <w:r w:rsidR="00EE0137" w:rsidRPr="00581599">
      <w:rPr>
        <w:lang w:val="en-US"/>
      </w:rPr>
      <w:t xml:space="preserve"> </w:t>
    </w:r>
    <w:bookmarkEnd w:id="40"/>
    <w:r w:rsidR="00EE0137" w:rsidRPr="00581599">
      <w:rPr>
        <w:lang w:val="en-US"/>
      </w:rPr>
      <w:t xml:space="preserve">• </w:t>
    </w:r>
    <w:bookmarkStart w:id="42" w:name="OFF_EANHIF"/>
    <w:r w:rsidR="00EE0137" w:rsidRPr="00581599">
      <w:rPr>
        <w:lang w:val="en-US"/>
      </w:rPr>
      <w:t xml:space="preserve">EAN </w:t>
    </w:r>
    <w:bookmarkStart w:id="43" w:name="OFF_EAN"/>
    <w:r w:rsidRPr="00581599">
      <w:rPr>
        <w:lang w:val="en-US"/>
      </w:rPr>
      <w:t>5798000862005</w:t>
    </w:r>
    <w:bookmarkEnd w:id="43"/>
    <w:r w:rsidR="00EE0137" w:rsidRPr="00581599">
      <w:rPr>
        <w:lang w:val="en-US"/>
      </w:rPr>
      <w:t xml:space="preserve"> </w:t>
    </w:r>
    <w:bookmarkEnd w:id="42"/>
    <w:r w:rsidR="00EE0137" w:rsidRPr="00581599">
      <w:rPr>
        <w:lang w:val="en-US"/>
      </w:rPr>
      <w:t xml:space="preserve">• </w:t>
    </w:r>
    <w:bookmarkStart w:id="44" w:name="OFF_Email"/>
    <w:bookmarkStart w:id="45" w:name="OFF_EmailHIF"/>
    <w:r w:rsidRPr="00581599">
      <w:rPr>
        <w:lang w:val="en-US"/>
      </w:rPr>
      <w:t>mfvm@mfvm.dk</w:t>
    </w:r>
    <w:bookmarkEnd w:id="44"/>
    <w:r w:rsidR="00EE0137" w:rsidRPr="00581599">
      <w:rPr>
        <w:lang w:val="en-US"/>
      </w:rPr>
      <w:t xml:space="preserve"> </w:t>
    </w:r>
    <w:bookmarkEnd w:id="45"/>
    <w:r w:rsidR="00EE0137" w:rsidRPr="00581599">
      <w:rPr>
        <w:lang w:val="en-US"/>
      </w:rPr>
      <w:t xml:space="preserve">• </w:t>
    </w:r>
    <w:bookmarkStart w:id="46" w:name="OFF_Web"/>
    <w:bookmarkStart w:id="47" w:name="OFF_WebHIF"/>
    <w:r w:rsidRPr="00581599">
      <w:rPr>
        <w:lang w:val="en-US"/>
      </w:rPr>
      <w:t>www.mfvm.dk</w:t>
    </w:r>
    <w:bookmarkEnd w:id="46"/>
    <w:r w:rsidR="00EE0137" w:rsidRPr="00581599">
      <w:rPr>
        <w:lang w:val="en-US"/>
      </w:rPr>
      <w:t xml:space="preserve"> </w:t>
    </w:r>
    <w:bookmarkEnd w:id="35"/>
    <w:bookmarkEnd w:id="47"/>
  </w:p>
  <w:p w:rsidR="0048667B" w:rsidRPr="00581599" w:rsidRDefault="0048667B" w:rsidP="00EE0137">
    <w:pPr>
      <w:pStyle w:val="Sidefod"/>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36" w:rsidRDefault="005D7C36">
      <w:r>
        <w:separator/>
      </w:r>
    </w:p>
  </w:footnote>
  <w:footnote w:type="continuationSeparator" w:id="0">
    <w:p w:rsidR="005D7C36" w:rsidRDefault="005D7C36">
      <w:r>
        <w:continuationSeparator/>
      </w:r>
    </w:p>
  </w:footnote>
  <w:footnote w:id="1">
    <w:p w:rsidR="00537DDB" w:rsidRPr="00162481" w:rsidRDefault="00537DDB">
      <w:pPr>
        <w:pStyle w:val="Fodnotetekst"/>
        <w:rPr>
          <w:sz w:val="16"/>
          <w:szCs w:val="16"/>
        </w:rPr>
      </w:pPr>
      <w:r w:rsidRPr="00162481">
        <w:rPr>
          <w:rStyle w:val="Fodnotehenvisning"/>
          <w:sz w:val="16"/>
          <w:szCs w:val="16"/>
        </w:rPr>
        <w:footnoteRef/>
      </w:r>
      <w:r w:rsidRPr="00162481">
        <w:rPr>
          <w:sz w:val="16"/>
          <w:szCs w:val="16"/>
        </w:rPr>
        <w:t xml:space="preserve"> Bekendtgørelse nr. 780 af 20. juni 2017 om efterforskning og indvinding af råstoffer fra søterritoriet og kontinentalsoklen.</w:t>
      </w:r>
    </w:p>
  </w:footnote>
  <w:footnote w:id="2">
    <w:p w:rsidR="000B7331" w:rsidRPr="00162481" w:rsidRDefault="000B7331" w:rsidP="000B7331">
      <w:pPr>
        <w:pStyle w:val="Fodnotetekst"/>
        <w:rPr>
          <w:sz w:val="16"/>
          <w:szCs w:val="16"/>
        </w:rPr>
      </w:pPr>
      <w:r w:rsidRPr="00162481">
        <w:rPr>
          <w:rStyle w:val="Fodnotehenvisning"/>
          <w:sz w:val="16"/>
          <w:szCs w:val="16"/>
        </w:rPr>
        <w:footnoteRef/>
      </w:r>
      <w:r w:rsidRPr="00162481">
        <w:rPr>
          <w:sz w:val="16"/>
          <w:szCs w:val="16"/>
        </w:rPr>
        <w:t xml:space="preserve"> Lovbekendtgørelse nr. 448 af 10. maj 2017 af lov om miljøvurdering af planer og programmer og af konkrete projekter (VVM).</w:t>
      </w:r>
    </w:p>
  </w:footnote>
  <w:footnote w:id="3">
    <w:p w:rsidR="005C20F5" w:rsidRPr="00162481" w:rsidRDefault="005C20F5" w:rsidP="005C20F5">
      <w:pPr>
        <w:rPr>
          <w:color w:val="1F497D"/>
          <w:sz w:val="16"/>
          <w:szCs w:val="16"/>
        </w:rPr>
      </w:pPr>
      <w:r w:rsidRPr="00162481">
        <w:rPr>
          <w:rStyle w:val="Fodnotehenvisning"/>
          <w:sz w:val="16"/>
          <w:szCs w:val="16"/>
        </w:rPr>
        <w:footnoteRef/>
      </w:r>
      <w:r w:rsidRPr="00162481">
        <w:rPr>
          <w:sz w:val="16"/>
          <w:szCs w:val="16"/>
        </w:rPr>
        <w:t xml:space="preserve"> </w:t>
      </w:r>
      <w:hyperlink r:id="rId1" w:history="1">
        <w:r w:rsidRPr="00162481">
          <w:rPr>
            <w:rStyle w:val="Hyperlink"/>
            <w:sz w:val="16"/>
            <w:szCs w:val="16"/>
          </w:rPr>
          <w:t>https://hoeringsportalen.dk/Hearing/Details/60434</w:t>
        </w:r>
      </w:hyperlink>
    </w:p>
    <w:p w:rsidR="005C20F5" w:rsidRDefault="005C20F5" w:rsidP="005C20F5">
      <w:pPr>
        <w:pStyle w:val="Fodnot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7B" w:rsidRDefault="000E717B">
    <w:pPr>
      <w:pStyle w:val="Sidehoved"/>
    </w:pPr>
    <w:bookmarkStart w:id="7" w:name="BIT_PrimaryHeader"/>
  </w:p>
  <w:bookmarkEnd w:id="7"/>
  <w:p w:rsidR="005A0290" w:rsidRDefault="005A02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37" w:rsidRPr="00E959A5" w:rsidRDefault="00AC1670" w:rsidP="00EE0137">
    <w:bookmarkStart w:id="8" w:name="BIT_DocumentName"/>
    <w:bookmarkEnd w:id="8"/>
    <w:r>
      <w:rPr>
        <w:noProof/>
      </w:rPr>
      <w:drawing>
        <wp:anchor distT="0" distB="0" distL="114300" distR="114300" simplePos="0" relativeHeight="251660288" behindDoc="0" locked="1" layoutInCell="1" allowOverlap="1" wp14:anchorId="04B1988A" wp14:editId="2C359B42">
          <wp:simplePos x="0" y="0"/>
          <wp:positionH relativeFrom="rightMargin">
            <wp:align>right</wp:align>
          </wp:positionH>
          <wp:positionV relativeFrom="page">
            <wp:posOffset>431800</wp:posOffset>
          </wp:positionV>
          <wp:extent cx="2628896" cy="791633"/>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8896" cy="791633"/>
                  </a:xfrm>
                  <a:prstGeom prst="rect">
                    <a:avLst/>
                  </a:prstGeom>
                </pic:spPr>
              </pic:pic>
            </a:graphicData>
          </a:graphic>
          <wp14:sizeRelH relativeFrom="page">
            <wp14:pctWidth>0</wp14:pctWidth>
          </wp14:sizeRelH>
          <wp14:sizeRelV relativeFrom="page">
            <wp14:pctHeight>0</wp14:pctHeight>
          </wp14:sizeRelV>
        </wp:anchor>
      </w:drawing>
    </w:r>
    <w:r w:rsidR="00EE0137" w:rsidRPr="00E959A5">
      <w:rPr>
        <w:noProof/>
      </w:rPr>
      <mc:AlternateContent>
        <mc:Choice Requires="wps">
          <w:drawing>
            <wp:anchor distT="0" distB="0" distL="114300" distR="114300" simplePos="0" relativeHeight="251659264" behindDoc="0" locked="1" layoutInCell="1" allowOverlap="1" wp14:anchorId="1F920480" wp14:editId="3FC36DF4">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trPr>
                              <w:cantSplit/>
                              <w:trHeight w:val="2778"/>
                            </w:trPr>
                            <w:tc>
                              <w:tcPr>
                                <w:tcW w:w="2755" w:type="dxa"/>
                                <w:tcMar>
                                  <w:top w:w="34" w:type="dxa"/>
                                  <w:left w:w="0" w:type="dxa"/>
                                  <w:bottom w:w="28" w:type="dxa"/>
                                  <w:right w:w="0" w:type="dxa"/>
                                </w:tcMar>
                              </w:tcPr>
                              <w:p w:rsidR="00EE0137" w:rsidRPr="00AC1670" w:rsidRDefault="00AC1670">
                                <w:pPr>
                                  <w:pStyle w:val="Kolofontekst"/>
                                </w:pPr>
                                <w:bookmarkStart w:id="9" w:name="OFF_DepartmentHIF"/>
                                <w:bookmarkStart w:id="10" w:name="OFF_Department"/>
                                <w:r w:rsidRPr="00AC1670">
                                  <w:t>Ressourcer og Forsyning</w:t>
                                </w:r>
                                <w:bookmarkStart w:id="11" w:name="dossier_f2casenumberHIF"/>
                                <w:bookmarkEnd w:id="9"/>
                                <w:bookmarkEnd w:id="10"/>
                                <w:r w:rsidR="00EE0137" w:rsidRPr="00AC1670">
                                  <w:t xml:space="preserve">  </w:t>
                                </w:r>
                              </w:p>
                              <w:p w:rsidR="00561381" w:rsidRDefault="00561381">
                                <w:pPr>
                                  <w:pStyle w:val="Kolofontekst"/>
                                </w:pPr>
                                <w:bookmarkStart w:id="12" w:name="LAN_Ref"/>
                                <w:bookmarkStart w:id="13" w:name="USR_InitialsHIF"/>
                                <w:bookmarkEnd w:id="11"/>
                                <w:r>
                                  <w:t>Jr. Nr. 2018-</w:t>
                                </w:r>
                                <w:proofErr w:type="gramStart"/>
                                <w:r>
                                  <w:t>1</w:t>
                                </w:r>
                                <w:r w:rsidR="00C312E1">
                                  <w:t>3518</w:t>
                                </w:r>
                                <w:proofErr w:type="gramEnd"/>
                              </w:p>
                              <w:p w:rsidR="00EE0137" w:rsidRPr="00AC1670" w:rsidRDefault="00AC1670">
                                <w:pPr>
                                  <w:pStyle w:val="Kolofontekst"/>
                                </w:pPr>
                                <w:r w:rsidRPr="00AC1670">
                                  <w:t>Ref.</w:t>
                                </w:r>
                                <w:bookmarkEnd w:id="12"/>
                                <w:r w:rsidR="00FC3ABB">
                                  <w:t xml:space="preserve"> </w:t>
                                </w:r>
                                <w:r w:rsidR="00D57B5F">
                                  <w:t>THSKO</w:t>
                                </w:r>
                              </w:p>
                              <w:p w:rsidR="00EE0137" w:rsidRDefault="00AC1670" w:rsidP="000B7331">
                                <w:pPr>
                                  <w:pStyle w:val="Kolofontekst"/>
                                </w:pPr>
                                <w:bookmarkStart w:id="14" w:name="FLD_DocumentDate"/>
                                <w:bookmarkEnd w:id="13"/>
                                <w:r>
                                  <w:t xml:space="preserve">Den </w:t>
                                </w:r>
                                <w:r w:rsidR="00B00475">
                                  <w:t>11</w:t>
                                </w:r>
                                <w:r>
                                  <w:t xml:space="preserve">. </w:t>
                                </w:r>
                                <w:r w:rsidR="000B7331">
                                  <w:t>december</w:t>
                                </w:r>
                                <w:r>
                                  <w:t xml:space="preserve"> 2018</w:t>
                                </w:r>
                                <w:bookmarkEnd w:id="14"/>
                              </w:p>
                            </w:tc>
                          </w:tr>
                        </w:tbl>
                        <w:p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lofon" o:spid="_x0000_s1027" type="#_x0000_t202" style="position:absolute;margin-left:107.55pt;margin-top:99.45pt;width:158.75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trPr>
                        <w:cantSplit/>
                        <w:trHeight w:val="2778"/>
                      </w:trPr>
                      <w:tc>
                        <w:tcPr>
                          <w:tcW w:w="2755" w:type="dxa"/>
                          <w:tcMar>
                            <w:top w:w="34" w:type="dxa"/>
                            <w:left w:w="0" w:type="dxa"/>
                            <w:bottom w:w="28" w:type="dxa"/>
                            <w:right w:w="0" w:type="dxa"/>
                          </w:tcMar>
                        </w:tcPr>
                        <w:p w:rsidR="00EE0137" w:rsidRPr="00AC1670" w:rsidRDefault="00AC1670">
                          <w:pPr>
                            <w:pStyle w:val="Kolofontekst"/>
                          </w:pPr>
                          <w:bookmarkStart w:id="15" w:name="OFF_DepartmentHIF"/>
                          <w:bookmarkStart w:id="16" w:name="OFF_Department"/>
                          <w:r w:rsidRPr="00AC1670">
                            <w:t>Ressourcer og Forsyning</w:t>
                          </w:r>
                          <w:bookmarkStart w:id="17" w:name="dossier_f2casenumberHIF"/>
                          <w:bookmarkEnd w:id="15"/>
                          <w:bookmarkEnd w:id="16"/>
                          <w:r w:rsidR="00EE0137" w:rsidRPr="00AC1670">
                            <w:t xml:space="preserve">  </w:t>
                          </w:r>
                        </w:p>
                        <w:p w:rsidR="00561381" w:rsidRDefault="00561381">
                          <w:pPr>
                            <w:pStyle w:val="Kolofontekst"/>
                          </w:pPr>
                          <w:bookmarkStart w:id="18" w:name="LAN_Ref"/>
                          <w:bookmarkStart w:id="19" w:name="USR_InitialsHIF"/>
                          <w:bookmarkEnd w:id="17"/>
                          <w:r>
                            <w:t>Jr. Nr. 2018-</w:t>
                          </w:r>
                          <w:proofErr w:type="gramStart"/>
                          <w:r>
                            <w:t>1</w:t>
                          </w:r>
                          <w:r w:rsidR="00C312E1">
                            <w:t>3518</w:t>
                          </w:r>
                          <w:proofErr w:type="gramEnd"/>
                        </w:p>
                        <w:p w:rsidR="00EE0137" w:rsidRPr="00AC1670" w:rsidRDefault="00AC1670">
                          <w:pPr>
                            <w:pStyle w:val="Kolofontekst"/>
                          </w:pPr>
                          <w:r w:rsidRPr="00AC1670">
                            <w:t>Ref.</w:t>
                          </w:r>
                          <w:bookmarkEnd w:id="18"/>
                          <w:r w:rsidR="00FC3ABB">
                            <w:t xml:space="preserve"> </w:t>
                          </w:r>
                          <w:r w:rsidR="00D57B5F">
                            <w:t>THSKO</w:t>
                          </w:r>
                        </w:p>
                        <w:p w:rsidR="00EE0137" w:rsidRDefault="00AC1670" w:rsidP="000B7331">
                          <w:pPr>
                            <w:pStyle w:val="Kolofontekst"/>
                          </w:pPr>
                          <w:bookmarkStart w:id="20" w:name="FLD_DocumentDate"/>
                          <w:bookmarkEnd w:id="19"/>
                          <w:r>
                            <w:t xml:space="preserve">Den </w:t>
                          </w:r>
                          <w:r w:rsidR="00B00475">
                            <w:t>11</w:t>
                          </w:r>
                          <w:r>
                            <w:t xml:space="preserve">. </w:t>
                          </w:r>
                          <w:r w:rsidR="000B7331">
                            <w:t>december</w:t>
                          </w:r>
                          <w:r>
                            <w:t xml:space="preserve"> 2018</w:t>
                          </w:r>
                          <w:bookmarkEnd w:id="20"/>
                        </w:p>
                      </w:tc>
                    </w:tr>
                  </w:tbl>
                  <w:p w:rsidR="00EE0137" w:rsidRDefault="00EE0137" w:rsidP="00EE0137"/>
                </w:txbxContent>
              </v:textbox>
              <w10:wrap anchorx="margin" anchory="page"/>
              <w10:anchorlock/>
            </v:shape>
          </w:pict>
        </mc:Fallback>
      </mc:AlternateContent>
    </w:r>
  </w:p>
  <w:p w:rsidR="003033ED" w:rsidRDefault="003033ED" w:rsidP="00CF1627">
    <w:pPr>
      <w:pStyle w:val="Document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238409B2"/>
    <w:lvl w:ilvl="0">
      <w:start w:val="1"/>
      <w:numFmt w:val="decimal"/>
      <w:lvlText w:val="%1."/>
      <w:lvlJc w:val="left"/>
      <w:pPr>
        <w:tabs>
          <w:tab w:val="num" w:pos="360"/>
        </w:tabs>
        <w:ind w:left="360" w:hanging="360"/>
      </w:pPr>
    </w:lvl>
  </w:abstractNum>
  <w:abstractNum w:abstractNumId="9">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0367671"/>
    <w:multiLevelType w:val="hybridMultilevel"/>
    <w:tmpl w:val="6018E690"/>
    <w:lvl w:ilvl="0" w:tplc="37062FBA">
      <w:numFmt w:val="bullet"/>
      <w:lvlText w:val="-"/>
      <w:lvlJc w:val="left"/>
      <w:pPr>
        <w:ind w:left="720" w:hanging="360"/>
      </w:pPr>
      <w:rPr>
        <w:rFonts w:ascii="Georgia" w:eastAsia="Times New Roman" w:hAnsi="Georgia" w:cs="Georgi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70"/>
    <w:rsid w:val="00002EA0"/>
    <w:rsid w:val="00003636"/>
    <w:rsid w:val="00005FAA"/>
    <w:rsid w:val="0001457C"/>
    <w:rsid w:val="0001528D"/>
    <w:rsid w:val="000166A0"/>
    <w:rsid w:val="00022F20"/>
    <w:rsid w:val="00030051"/>
    <w:rsid w:val="00037E7E"/>
    <w:rsid w:val="00060BC5"/>
    <w:rsid w:val="000647F2"/>
    <w:rsid w:val="00066A0C"/>
    <w:rsid w:val="00070BA1"/>
    <w:rsid w:val="00073466"/>
    <w:rsid w:val="00074F1A"/>
    <w:rsid w:val="000758FD"/>
    <w:rsid w:val="00082404"/>
    <w:rsid w:val="000825EC"/>
    <w:rsid w:val="00086954"/>
    <w:rsid w:val="00096AA1"/>
    <w:rsid w:val="000A00B5"/>
    <w:rsid w:val="000A1C92"/>
    <w:rsid w:val="000A26F5"/>
    <w:rsid w:val="000A7219"/>
    <w:rsid w:val="000B26E7"/>
    <w:rsid w:val="000B2E5E"/>
    <w:rsid w:val="000B5461"/>
    <w:rsid w:val="000B7331"/>
    <w:rsid w:val="000C0294"/>
    <w:rsid w:val="000C0594"/>
    <w:rsid w:val="000C13E6"/>
    <w:rsid w:val="000C3D52"/>
    <w:rsid w:val="000C45B7"/>
    <w:rsid w:val="000C62D3"/>
    <w:rsid w:val="000D0F4C"/>
    <w:rsid w:val="000D1CF4"/>
    <w:rsid w:val="000D5FBF"/>
    <w:rsid w:val="000D600E"/>
    <w:rsid w:val="000E0FC0"/>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4C9"/>
    <w:rsid w:val="00152CB8"/>
    <w:rsid w:val="00156908"/>
    <w:rsid w:val="00160721"/>
    <w:rsid w:val="00162481"/>
    <w:rsid w:val="001743E7"/>
    <w:rsid w:val="0018769C"/>
    <w:rsid w:val="001A4D56"/>
    <w:rsid w:val="001A58BF"/>
    <w:rsid w:val="001A6CB5"/>
    <w:rsid w:val="001A7E4B"/>
    <w:rsid w:val="001B3F10"/>
    <w:rsid w:val="001B72A9"/>
    <w:rsid w:val="001C132B"/>
    <w:rsid w:val="001C2544"/>
    <w:rsid w:val="001C417D"/>
    <w:rsid w:val="001C4328"/>
    <w:rsid w:val="001C6975"/>
    <w:rsid w:val="001C7630"/>
    <w:rsid w:val="001D1196"/>
    <w:rsid w:val="001D19D8"/>
    <w:rsid w:val="001D5DB3"/>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239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E731A"/>
    <w:rsid w:val="003F0D75"/>
    <w:rsid w:val="0040506D"/>
    <w:rsid w:val="00406784"/>
    <w:rsid w:val="00406AF1"/>
    <w:rsid w:val="00407A11"/>
    <w:rsid w:val="00407C2F"/>
    <w:rsid w:val="0041385B"/>
    <w:rsid w:val="00414BA2"/>
    <w:rsid w:val="00415BC0"/>
    <w:rsid w:val="00417D4A"/>
    <w:rsid w:val="004208E6"/>
    <w:rsid w:val="00422D2A"/>
    <w:rsid w:val="004232F9"/>
    <w:rsid w:val="00433A1E"/>
    <w:rsid w:val="00440668"/>
    <w:rsid w:val="004421D7"/>
    <w:rsid w:val="00447B83"/>
    <w:rsid w:val="00450475"/>
    <w:rsid w:val="004532FD"/>
    <w:rsid w:val="00457882"/>
    <w:rsid w:val="00460B5A"/>
    <w:rsid w:val="0046600E"/>
    <w:rsid w:val="00467E79"/>
    <w:rsid w:val="00476722"/>
    <w:rsid w:val="00481EEB"/>
    <w:rsid w:val="004830C6"/>
    <w:rsid w:val="0048414C"/>
    <w:rsid w:val="0048667B"/>
    <w:rsid w:val="00486F50"/>
    <w:rsid w:val="00495993"/>
    <w:rsid w:val="00496424"/>
    <w:rsid w:val="004A396B"/>
    <w:rsid w:val="004A3AAA"/>
    <w:rsid w:val="004A4315"/>
    <w:rsid w:val="004A6A53"/>
    <w:rsid w:val="004B5995"/>
    <w:rsid w:val="004B5AC3"/>
    <w:rsid w:val="004B6A8B"/>
    <w:rsid w:val="004B79D7"/>
    <w:rsid w:val="004C0742"/>
    <w:rsid w:val="004C237E"/>
    <w:rsid w:val="004C491E"/>
    <w:rsid w:val="004C63FE"/>
    <w:rsid w:val="004C762D"/>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37DDB"/>
    <w:rsid w:val="005543C3"/>
    <w:rsid w:val="00554FAA"/>
    <w:rsid w:val="00561381"/>
    <w:rsid w:val="005630B4"/>
    <w:rsid w:val="00563773"/>
    <w:rsid w:val="005650F2"/>
    <w:rsid w:val="005672CB"/>
    <w:rsid w:val="00576B90"/>
    <w:rsid w:val="0058155D"/>
    <w:rsid w:val="00581599"/>
    <w:rsid w:val="00590A5B"/>
    <w:rsid w:val="00590C13"/>
    <w:rsid w:val="0059175F"/>
    <w:rsid w:val="0059560E"/>
    <w:rsid w:val="00596C25"/>
    <w:rsid w:val="005A01E1"/>
    <w:rsid w:val="005A0290"/>
    <w:rsid w:val="005A1F29"/>
    <w:rsid w:val="005A29CB"/>
    <w:rsid w:val="005A50B9"/>
    <w:rsid w:val="005C20F5"/>
    <w:rsid w:val="005C51A1"/>
    <w:rsid w:val="005D2B26"/>
    <w:rsid w:val="005D3CF2"/>
    <w:rsid w:val="005D543F"/>
    <w:rsid w:val="005D7152"/>
    <w:rsid w:val="005D7C36"/>
    <w:rsid w:val="005E352B"/>
    <w:rsid w:val="005E4484"/>
    <w:rsid w:val="005E77EF"/>
    <w:rsid w:val="005F172E"/>
    <w:rsid w:val="005F193F"/>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31CB"/>
    <w:rsid w:val="0074716F"/>
    <w:rsid w:val="0074737F"/>
    <w:rsid w:val="00751E72"/>
    <w:rsid w:val="00753673"/>
    <w:rsid w:val="007540BD"/>
    <w:rsid w:val="00762205"/>
    <w:rsid w:val="007631EB"/>
    <w:rsid w:val="0076323D"/>
    <w:rsid w:val="00764201"/>
    <w:rsid w:val="0077532B"/>
    <w:rsid w:val="0077547F"/>
    <w:rsid w:val="007830BE"/>
    <w:rsid w:val="007912B3"/>
    <w:rsid w:val="007940C9"/>
    <w:rsid w:val="00796312"/>
    <w:rsid w:val="007B1B23"/>
    <w:rsid w:val="007B21FA"/>
    <w:rsid w:val="007B2ADE"/>
    <w:rsid w:val="007B3940"/>
    <w:rsid w:val="007D492E"/>
    <w:rsid w:val="007E0C49"/>
    <w:rsid w:val="007E1FC8"/>
    <w:rsid w:val="007E3A3B"/>
    <w:rsid w:val="007E51F2"/>
    <w:rsid w:val="007E5E97"/>
    <w:rsid w:val="007E7688"/>
    <w:rsid w:val="007F4A4B"/>
    <w:rsid w:val="007F770C"/>
    <w:rsid w:val="00802CB9"/>
    <w:rsid w:val="00807BA4"/>
    <w:rsid w:val="00821133"/>
    <w:rsid w:val="008324B0"/>
    <w:rsid w:val="00833A82"/>
    <w:rsid w:val="008407B6"/>
    <w:rsid w:val="008407EC"/>
    <w:rsid w:val="0084333E"/>
    <w:rsid w:val="0084379B"/>
    <w:rsid w:val="00844CA9"/>
    <w:rsid w:val="00846369"/>
    <w:rsid w:val="00847491"/>
    <w:rsid w:val="00850194"/>
    <w:rsid w:val="008559E9"/>
    <w:rsid w:val="00860D2C"/>
    <w:rsid w:val="00861CBA"/>
    <w:rsid w:val="0086277B"/>
    <w:rsid w:val="00863B4C"/>
    <w:rsid w:val="00872AC0"/>
    <w:rsid w:val="00875531"/>
    <w:rsid w:val="0087721B"/>
    <w:rsid w:val="00882741"/>
    <w:rsid w:val="00892B13"/>
    <w:rsid w:val="008A09AB"/>
    <w:rsid w:val="008A1C6B"/>
    <w:rsid w:val="008A6D73"/>
    <w:rsid w:val="008B1203"/>
    <w:rsid w:val="008B1B83"/>
    <w:rsid w:val="008B3ADA"/>
    <w:rsid w:val="008C5F4A"/>
    <w:rsid w:val="008D1674"/>
    <w:rsid w:val="008E3990"/>
    <w:rsid w:val="008E4863"/>
    <w:rsid w:val="008F08FF"/>
    <w:rsid w:val="008F17E5"/>
    <w:rsid w:val="008F272E"/>
    <w:rsid w:val="008F6B2B"/>
    <w:rsid w:val="00905C37"/>
    <w:rsid w:val="00906916"/>
    <w:rsid w:val="0092514B"/>
    <w:rsid w:val="009264AA"/>
    <w:rsid w:val="00944EE8"/>
    <w:rsid w:val="009461F0"/>
    <w:rsid w:val="009601F5"/>
    <w:rsid w:val="009615FB"/>
    <w:rsid w:val="00963E43"/>
    <w:rsid w:val="00970F21"/>
    <w:rsid w:val="00975F3B"/>
    <w:rsid w:val="0098382A"/>
    <w:rsid w:val="009943CD"/>
    <w:rsid w:val="00994E91"/>
    <w:rsid w:val="009C37F8"/>
    <w:rsid w:val="009C6BB2"/>
    <w:rsid w:val="009E27B6"/>
    <w:rsid w:val="009E46B7"/>
    <w:rsid w:val="009E7920"/>
    <w:rsid w:val="009F368F"/>
    <w:rsid w:val="009F4367"/>
    <w:rsid w:val="009F4734"/>
    <w:rsid w:val="009F7033"/>
    <w:rsid w:val="00A011F0"/>
    <w:rsid w:val="00A03CE6"/>
    <w:rsid w:val="00A03E48"/>
    <w:rsid w:val="00A11F5A"/>
    <w:rsid w:val="00A158CB"/>
    <w:rsid w:val="00A24A07"/>
    <w:rsid w:val="00A34B40"/>
    <w:rsid w:val="00A36292"/>
    <w:rsid w:val="00A36D64"/>
    <w:rsid w:val="00A3749F"/>
    <w:rsid w:val="00A40B86"/>
    <w:rsid w:val="00A44A6B"/>
    <w:rsid w:val="00A51DBA"/>
    <w:rsid w:val="00A5408B"/>
    <w:rsid w:val="00A556CE"/>
    <w:rsid w:val="00A67D37"/>
    <w:rsid w:val="00A72D4B"/>
    <w:rsid w:val="00A72DDE"/>
    <w:rsid w:val="00A85ECD"/>
    <w:rsid w:val="00A923E2"/>
    <w:rsid w:val="00A964CE"/>
    <w:rsid w:val="00A96C60"/>
    <w:rsid w:val="00AA4437"/>
    <w:rsid w:val="00AB18F1"/>
    <w:rsid w:val="00AB363A"/>
    <w:rsid w:val="00AC1670"/>
    <w:rsid w:val="00AC35D6"/>
    <w:rsid w:val="00AD678B"/>
    <w:rsid w:val="00AE41A1"/>
    <w:rsid w:val="00AE5A17"/>
    <w:rsid w:val="00AF5AF6"/>
    <w:rsid w:val="00B00475"/>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BF5109"/>
    <w:rsid w:val="00C03ED1"/>
    <w:rsid w:val="00C1503E"/>
    <w:rsid w:val="00C16955"/>
    <w:rsid w:val="00C21584"/>
    <w:rsid w:val="00C2184A"/>
    <w:rsid w:val="00C22C94"/>
    <w:rsid w:val="00C26117"/>
    <w:rsid w:val="00C312E1"/>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4E7D"/>
    <w:rsid w:val="00CE5201"/>
    <w:rsid w:val="00CF1627"/>
    <w:rsid w:val="00CF760D"/>
    <w:rsid w:val="00D008ED"/>
    <w:rsid w:val="00D01984"/>
    <w:rsid w:val="00D01EDA"/>
    <w:rsid w:val="00D16472"/>
    <w:rsid w:val="00D321C9"/>
    <w:rsid w:val="00D33ED1"/>
    <w:rsid w:val="00D353A2"/>
    <w:rsid w:val="00D37FC2"/>
    <w:rsid w:val="00D43DB0"/>
    <w:rsid w:val="00D570C5"/>
    <w:rsid w:val="00D57B5F"/>
    <w:rsid w:val="00D65E69"/>
    <w:rsid w:val="00D75C6D"/>
    <w:rsid w:val="00D82B69"/>
    <w:rsid w:val="00D87C3B"/>
    <w:rsid w:val="00D922CF"/>
    <w:rsid w:val="00D951B4"/>
    <w:rsid w:val="00DA0F93"/>
    <w:rsid w:val="00DA32B3"/>
    <w:rsid w:val="00DA6734"/>
    <w:rsid w:val="00DA6E00"/>
    <w:rsid w:val="00DB56B3"/>
    <w:rsid w:val="00DE24BE"/>
    <w:rsid w:val="00DE5B21"/>
    <w:rsid w:val="00DE7479"/>
    <w:rsid w:val="00DF128B"/>
    <w:rsid w:val="00DF152B"/>
    <w:rsid w:val="00DF2F94"/>
    <w:rsid w:val="00DF4625"/>
    <w:rsid w:val="00E034AA"/>
    <w:rsid w:val="00E1113C"/>
    <w:rsid w:val="00E11688"/>
    <w:rsid w:val="00E26EAA"/>
    <w:rsid w:val="00E27CC3"/>
    <w:rsid w:val="00E30FCA"/>
    <w:rsid w:val="00E36F97"/>
    <w:rsid w:val="00E3743C"/>
    <w:rsid w:val="00E42057"/>
    <w:rsid w:val="00E44C4F"/>
    <w:rsid w:val="00E62BEE"/>
    <w:rsid w:val="00E63075"/>
    <w:rsid w:val="00E644BF"/>
    <w:rsid w:val="00E73A40"/>
    <w:rsid w:val="00E806E3"/>
    <w:rsid w:val="00E81697"/>
    <w:rsid w:val="00E87D86"/>
    <w:rsid w:val="00E928D4"/>
    <w:rsid w:val="00E94670"/>
    <w:rsid w:val="00E94852"/>
    <w:rsid w:val="00EA4D25"/>
    <w:rsid w:val="00EA576F"/>
    <w:rsid w:val="00EB0255"/>
    <w:rsid w:val="00EB3838"/>
    <w:rsid w:val="00EB4C77"/>
    <w:rsid w:val="00EB68CC"/>
    <w:rsid w:val="00EC1285"/>
    <w:rsid w:val="00EC2095"/>
    <w:rsid w:val="00EC5E51"/>
    <w:rsid w:val="00EC76B0"/>
    <w:rsid w:val="00ED48AE"/>
    <w:rsid w:val="00EE0137"/>
    <w:rsid w:val="00EE65A7"/>
    <w:rsid w:val="00EF48EC"/>
    <w:rsid w:val="00EF58B4"/>
    <w:rsid w:val="00EF6016"/>
    <w:rsid w:val="00F03131"/>
    <w:rsid w:val="00F05E03"/>
    <w:rsid w:val="00F101A4"/>
    <w:rsid w:val="00F2061A"/>
    <w:rsid w:val="00F30057"/>
    <w:rsid w:val="00F34750"/>
    <w:rsid w:val="00F46114"/>
    <w:rsid w:val="00F47B3A"/>
    <w:rsid w:val="00F602C8"/>
    <w:rsid w:val="00F62595"/>
    <w:rsid w:val="00F7168A"/>
    <w:rsid w:val="00F71C13"/>
    <w:rsid w:val="00F77228"/>
    <w:rsid w:val="00F90567"/>
    <w:rsid w:val="00F91352"/>
    <w:rsid w:val="00F922ED"/>
    <w:rsid w:val="00F95C8F"/>
    <w:rsid w:val="00FB7ADE"/>
    <w:rsid w:val="00FC164F"/>
    <w:rsid w:val="00FC3ABB"/>
    <w:rsid w:val="00FD2036"/>
    <w:rsid w:val="00FD71FF"/>
    <w:rsid w:val="00FE45B3"/>
    <w:rsid w:val="00FE5C0B"/>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9"/>
    <w:lsdException w:name="toc 2" w:uiPriority="9"/>
    <w:lsdException w:name="toc 3" w:uiPriority="9"/>
    <w:lsdException w:name="toc 4" w:uiPriority="9"/>
    <w:lsdException w:name="toc 5" w:uiPriority="9"/>
    <w:lsdException w:name="toc 6" w:uiPriority="9"/>
    <w:lsdException w:name="toc 7" w:uiPriority="9"/>
    <w:lsdException w:name="toc 8" w:uiPriority="9"/>
    <w:lsdException w:name="toc 9" w:uiPriority="9"/>
    <w:lsdException w:name="footnote text" w:uiPriority="8"/>
    <w:lsdException w:name="caption" w:uiPriority="3"/>
    <w:lsdException w:name="endnote text" w:uiPriority="8"/>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4" w:unhideWhenUsed="0"/>
    <w:lsdException w:name="HTML Top of Form" w:uiPriority="0"/>
    <w:lsdException w:name="HTML Bottom of Form" w:uiPriority="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9" w:qFormat="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3127"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3127"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3127"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3127"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3127"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3127"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3127" w:themeColor="accent1" w:shadow="1"/>
        <w:left w:val="single" w:sz="2" w:space="10" w:color="003127" w:themeColor="accent1" w:shadow="1"/>
        <w:bottom w:val="single" w:sz="2" w:space="10" w:color="003127" w:themeColor="accent1" w:shadow="1"/>
        <w:right w:val="single" w:sz="2" w:space="10" w:color="003127" w:themeColor="accent1" w:shadow="1"/>
      </w:pBdr>
      <w:ind w:left="1152" w:right="1152"/>
    </w:pPr>
    <w:rPr>
      <w:rFonts w:asciiTheme="minorHAnsi" w:eastAsiaTheme="minorEastAsia" w:hAnsiTheme="minorHAnsi" w:cstheme="minorBidi"/>
      <w:i/>
      <w:iCs/>
      <w:color w:val="003127"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1" w:themeFillTint="33"/>
    </w:tcPr>
    <w:tblStylePr w:type="firstRow">
      <w:rPr>
        <w:b/>
        <w:bCs/>
      </w:rPr>
      <w:tblPr/>
      <w:tcPr>
        <w:shd w:val="clear" w:color="auto" w:fill="46FFD8" w:themeFill="accent1" w:themeFillTint="66"/>
      </w:tcPr>
    </w:tblStylePr>
    <w:tblStylePr w:type="lastRow">
      <w:rPr>
        <w:b/>
        <w:bCs/>
        <w:color w:val="000000" w:themeColor="text1"/>
      </w:rPr>
      <w:tblPr/>
      <w:tcPr>
        <w:shd w:val="clear" w:color="auto" w:fill="46FFD8" w:themeFill="accent1" w:themeFillTint="66"/>
      </w:tcPr>
    </w:tblStylePr>
    <w:tblStylePr w:type="firstCol">
      <w:rPr>
        <w:color w:val="FFFFFF" w:themeColor="background1"/>
      </w:rPr>
      <w:tblPr/>
      <w:tcPr>
        <w:shd w:val="clear" w:color="auto" w:fill="00241D" w:themeFill="accent1" w:themeFillShade="BF"/>
      </w:tcPr>
    </w:tblStylePr>
    <w:tblStylePr w:type="lastCol">
      <w:rPr>
        <w:color w:val="FFFFFF" w:themeColor="background1"/>
      </w:rPr>
      <w:tblPr/>
      <w:tcPr>
        <w:shd w:val="clear" w:color="auto" w:fill="00241D" w:themeFill="accent1" w:themeFillShade="BF"/>
      </w:tc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2" w:themeFillTint="33"/>
    </w:tcPr>
    <w:tblStylePr w:type="firstRow">
      <w:rPr>
        <w:b/>
        <w:bCs/>
      </w:rPr>
      <w:tblPr/>
      <w:tcPr>
        <w:shd w:val="clear" w:color="auto" w:fill="69FFBB" w:themeFill="accent2" w:themeFillTint="66"/>
      </w:tcPr>
    </w:tblStylePr>
    <w:tblStylePr w:type="lastRow">
      <w:rPr>
        <w:b/>
        <w:bCs/>
        <w:color w:val="000000" w:themeColor="text1"/>
      </w:rPr>
      <w:tblPr/>
      <w:tcPr>
        <w:shd w:val="clear" w:color="auto" w:fill="69FFBB" w:themeFill="accent2" w:themeFillTint="66"/>
      </w:tcPr>
    </w:tblStylePr>
    <w:tblStylePr w:type="firstCol">
      <w:rPr>
        <w:color w:val="FFFFFF" w:themeColor="background1"/>
      </w:rPr>
      <w:tblPr/>
      <w:tcPr>
        <w:shd w:val="clear" w:color="auto" w:fill="006537" w:themeFill="accent2" w:themeFillShade="BF"/>
      </w:tcPr>
    </w:tblStylePr>
    <w:tblStylePr w:type="lastCol">
      <w:rPr>
        <w:color w:val="FFFFFF" w:themeColor="background1"/>
      </w:rPr>
      <w:tblPr/>
      <w:tcPr>
        <w:shd w:val="clear" w:color="auto" w:fill="006537" w:themeFill="accent2" w:themeFillShade="BF"/>
      </w:tc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1" w:themeFillTint="3F"/>
      </w:tcPr>
    </w:tblStylePr>
    <w:tblStylePr w:type="band1Horz">
      <w:tblPr/>
      <w:tcPr>
        <w:shd w:val="clear" w:color="auto" w:fill="A2FFEB"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2"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2" w:themeFillTint="3F"/>
      </w:tcPr>
    </w:tblStylePr>
    <w:tblStylePr w:type="band1Horz">
      <w:tblPr/>
      <w:tcPr>
        <w:shd w:val="clear" w:color="auto" w:fill="B4FFDD"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3127" w:themeColor="accent1"/>
        <w:bottom w:val="single" w:sz="4" w:space="0" w:color="003127" w:themeColor="accent1"/>
        <w:right w:val="single" w:sz="4" w:space="0" w:color="003127" w:themeColor="accent1"/>
        <w:insideH w:val="single" w:sz="4" w:space="0" w:color="FFFFFF" w:themeColor="background1"/>
        <w:insideV w:val="single" w:sz="4" w:space="0" w:color="FFFFFF" w:themeColor="background1"/>
      </w:tblBorders>
    </w:tblPr>
    <w:tcPr>
      <w:shd w:val="clear" w:color="auto" w:fill="D1FFF5" w:themeFill="accen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1" w:themeFillShade="99"/>
      </w:tcPr>
    </w:tblStylePr>
    <w:tblStylePr w:type="firstCol">
      <w:rPr>
        <w:color w:val="FFFFFF" w:themeColor="background1"/>
      </w:rPr>
      <w:tblPr/>
      <w:tcPr>
        <w:tcBorders>
          <w:top w:val="nil"/>
          <w:left w:val="nil"/>
          <w:bottom w:val="nil"/>
          <w:right w:val="nil"/>
          <w:insideH w:val="single" w:sz="4" w:space="0" w:color="001D17" w:themeColor="accent1" w:themeShade="99"/>
          <w:insideV w:val="nil"/>
        </w:tcBorders>
        <w:shd w:val="clear" w:color="auto" w:fill="001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1" w:themeFillShade="99"/>
      </w:tcPr>
    </w:tblStylePr>
    <w:tblStylePr w:type="band1Vert">
      <w:tblPr/>
      <w:tcPr>
        <w:shd w:val="clear" w:color="auto" w:fill="46FFD8" w:themeFill="accent1" w:themeFillTint="66"/>
      </w:tcPr>
    </w:tblStylePr>
    <w:tblStylePr w:type="band1Horz">
      <w:tblPr/>
      <w:tcPr>
        <w:shd w:val="clear" w:color="auto" w:fill="19FFC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874B" w:themeColor="accent2"/>
        <w:bottom w:val="single" w:sz="4" w:space="0" w:color="00874B" w:themeColor="accent2"/>
        <w:right w:val="single" w:sz="4" w:space="0" w:color="00874B" w:themeColor="accent2"/>
        <w:insideH w:val="single" w:sz="4" w:space="0" w:color="FFFFFF" w:themeColor="background1"/>
        <w:insideV w:val="single" w:sz="4" w:space="0" w:color="FFFFFF" w:themeColor="background1"/>
      </w:tblBorders>
    </w:tblPr>
    <w:tcPr>
      <w:shd w:val="clear" w:color="auto" w:fill="DAFFEE" w:themeFill="accent2"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2" w:themeFillShade="99"/>
      </w:tcPr>
    </w:tblStylePr>
    <w:tblStylePr w:type="firstCol">
      <w:rPr>
        <w:color w:val="FFFFFF" w:themeColor="background1"/>
      </w:rPr>
      <w:tblPr/>
      <w:tcPr>
        <w:tcBorders>
          <w:top w:val="nil"/>
          <w:left w:val="nil"/>
          <w:bottom w:val="nil"/>
          <w:right w:val="nil"/>
          <w:insideH w:val="single" w:sz="4" w:space="0" w:color="00512C" w:themeColor="accent2" w:themeShade="99"/>
          <w:insideV w:val="nil"/>
        </w:tcBorders>
        <w:shd w:val="clear" w:color="auto" w:fill="0051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2" w:themeFillShade="99"/>
      </w:tcPr>
    </w:tblStylePr>
    <w:tblStylePr w:type="band1Vert">
      <w:tblPr/>
      <w:tcPr>
        <w:shd w:val="clear" w:color="auto" w:fill="69FFBB" w:themeFill="accent2" w:themeFillTint="66"/>
      </w:tcPr>
    </w:tblStylePr>
    <w:tblStylePr w:type="band1Horz">
      <w:tblPr/>
      <w:tcPr>
        <w:shd w:val="clear" w:color="auto" w:fill="44FFA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1" w:themeFillShade="BF"/>
      </w:tcPr>
    </w:tblStylePr>
    <w:tblStylePr w:type="band1Vert">
      <w:tblPr/>
      <w:tcPr>
        <w:tcBorders>
          <w:top w:val="nil"/>
          <w:left w:val="nil"/>
          <w:bottom w:val="nil"/>
          <w:right w:val="nil"/>
          <w:insideH w:val="nil"/>
          <w:insideV w:val="nil"/>
        </w:tcBorders>
        <w:shd w:val="clear" w:color="auto" w:fill="00241D" w:themeFill="accent1" w:themeFillShade="BF"/>
      </w:tcPr>
    </w:tblStylePr>
    <w:tblStylePr w:type="band1Horz">
      <w:tblPr/>
      <w:tcPr>
        <w:tcBorders>
          <w:top w:val="nil"/>
          <w:left w:val="nil"/>
          <w:bottom w:val="nil"/>
          <w:right w:val="nil"/>
          <w:insideH w:val="nil"/>
          <w:insideV w:val="nil"/>
        </w:tcBorders>
        <w:shd w:val="clear" w:color="auto" w:fill="00241D"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2" w:themeFillShade="BF"/>
      </w:tcPr>
    </w:tblStylePr>
    <w:tblStylePr w:type="band1Vert">
      <w:tblPr/>
      <w:tcPr>
        <w:tcBorders>
          <w:top w:val="nil"/>
          <w:left w:val="nil"/>
          <w:bottom w:val="nil"/>
          <w:right w:val="nil"/>
          <w:insideH w:val="nil"/>
          <w:insideV w:val="nil"/>
        </w:tcBorders>
        <w:shd w:val="clear" w:color="auto" w:fill="006537" w:themeFill="accent2" w:themeFillShade="BF"/>
      </w:tcPr>
    </w:tblStylePr>
    <w:tblStylePr w:type="band1Horz">
      <w:tblPr/>
      <w:tcPr>
        <w:tcBorders>
          <w:top w:val="nil"/>
          <w:left w:val="nil"/>
          <w:bottom w:val="nil"/>
          <w:right w:val="nil"/>
          <w:insideH w:val="nil"/>
          <w:insideV w:val="nil"/>
        </w:tcBorders>
        <w:shd w:val="clear" w:color="auto" w:fill="006537"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3127" w:themeColor="accent1"/>
    </w:rPr>
  </w:style>
  <w:style w:type="paragraph" w:styleId="Strktcitat">
    <w:name w:val="Intense Quote"/>
    <w:basedOn w:val="Normal"/>
    <w:next w:val="Normal"/>
    <w:link w:val="StrktcitatTegn"/>
    <w:uiPriority w:val="99"/>
    <w:semiHidden/>
    <w:qFormat/>
    <w:rsid w:val="00225534"/>
    <w:pPr>
      <w:pBdr>
        <w:bottom w:val="single" w:sz="4" w:space="4" w:color="003127" w:themeColor="accent1"/>
      </w:pBdr>
      <w:spacing w:before="200" w:after="280"/>
      <w:ind w:left="936" w:right="936"/>
    </w:pPr>
    <w:rPr>
      <w:b/>
      <w:bCs/>
      <w:i/>
      <w:iCs/>
      <w:color w:val="003127"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3127"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18" w:space="0" w:color="003127" w:themeColor="accent1"/>
          <w:right w:val="single" w:sz="8" w:space="0" w:color="003127" w:themeColor="accent1"/>
          <w:insideH w:val="nil"/>
          <w:insideV w:val="single" w:sz="8" w:space="0" w:color="0031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insideH w:val="nil"/>
          <w:insideV w:val="single" w:sz="8" w:space="0" w:color="0031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shd w:val="clear" w:color="auto" w:fill="8DFFE7" w:themeFill="accent1" w:themeFillTint="3F"/>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shd w:val="clear" w:color="auto" w:fill="8DFFE7" w:themeFill="accent1" w:themeFillTint="3F"/>
      </w:tcPr>
    </w:tblStylePr>
    <w:tblStylePr w:type="band2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18" w:space="0" w:color="00874B" w:themeColor="accent2"/>
          <w:right w:val="single" w:sz="8" w:space="0" w:color="00874B" w:themeColor="accent2"/>
          <w:insideH w:val="nil"/>
          <w:insideV w:val="single" w:sz="8" w:space="0" w:color="0087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insideH w:val="nil"/>
          <w:insideV w:val="single" w:sz="8" w:space="0" w:color="0087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shd w:val="clear" w:color="auto" w:fill="A2FFD5" w:themeFill="accent2" w:themeFillTint="3F"/>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shd w:val="clear" w:color="auto" w:fill="A2FFD5" w:themeFill="accent2" w:themeFillTint="3F"/>
      </w:tcPr>
    </w:tblStylePr>
    <w:tblStylePr w:type="band2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pPr>
        <w:spacing w:before="0" w:after="0" w:line="240" w:lineRule="auto"/>
      </w:pPr>
      <w:rPr>
        <w:b/>
        <w:bCs/>
        <w:color w:val="FFFFFF" w:themeColor="background1"/>
      </w:rPr>
      <w:tblPr/>
      <w:tcPr>
        <w:shd w:val="clear" w:color="auto" w:fill="003127" w:themeFill="accent1"/>
      </w:tcPr>
    </w:tblStylePr>
    <w:tblStylePr w:type="lastRow">
      <w:pPr>
        <w:spacing w:before="0" w:after="0" w:line="240" w:lineRule="auto"/>
      </w:pPr>
      <w:rPr>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tcBorders>
      </w:tcPr>
    </w:tblStylePr>
    <w:tblStylePr w:type="firstCol">
      <w:rPr>
        <w:b/>
        <w:bCs/>
      </w:rPr>
    </w:tblStylePr>
    <w:tblStylePr w:type="lastCol">
      <w:rPr>
        <w:b/>
        <w:bCs/>
      </w:r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pPr>
        <w:spacing w:before="0" w:after="0" w:line="240" w:lineRule="auto"/>
      </w:pPr>
      <w:rPr>
        <w:b/>
        <w:bCs/>
        <w:color w:val="FFFFFF" w:themeColor="background1"/>
      </w:rPr>
      <w:tblPr/>
      <w:tcPr>
        <w:shd w:val="clear" w:color="auto" w:fill="00874B" w:themeFill="accent2"/>
      </w:tcPr>
    </w:tblStylePr>
    <w:tblStylePr w:type="lastRow">
      <w:pPr>
        <w:spacing w:before="0" w:after="0" w:line="240" w:lineRule="auto"/>
      </w:pPr>
      <w:rPr>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tcBorders>
      </w:tcPr>
    </w:tblStylePr>
    <w:tblStylePr w:type="firstCol">
      <w:rPr>
        <w:b/>
        <w:bCs/>
      </w:rPr>
    </w:tblStylePr>
    <w:tblStylePr w:type="lastCol">
      <w:rPr>
        <w:b/>
        <w:bCs/>
      </w:r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00241D" w:themeColor="accent1" w:themeShade="BF"/>
    </w:rPr>
    <w:tblPr>
      <w:tblStyleRowBandSize w:val="1"/>
      <w:tblStyleColBandSize w:val="1"/>
      <w:tblBorders>
        <w:top w:val="single" w:sz="8" w:space="0" w:color="003127" w:themeColor="accent1"/>
        <w:bottom w:val="single" w:sz="8" w:space="0" w:color="003127" w:themeColor="accent1"/>
      </w:tblBorders>
    </w:tblPr>
    <w:tblStylePr w:type="fir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la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left w:val="nil"/>
          <w:right w:val="nil"/>
          <w:insideH w:val="nil"/>
          <w:insideV w:val="nil"/>
        </w:tcBorders>
        <w:shd w:val="clear" w:color="auto" w:fill="8DFFE7"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6537" w:themeColor="accent2" w:themeShade="BF"/>
    </w:rPr>
    <w:tblPr>
      <w:tblStyleRowBandSize w:val="1"/>
      <w:tblStyleColBandSize w:val="1"/>
      <w:tblBorders>
        <w:top w:val="single" w:sz="8" w:space="0" w:color="00874B" w:themeColor="accent2"/>
        <w:bottom w:val="single" w:sz="8" w:space="0" w:color="00874B" w:themeColor="accent2"/>
      </w:tblBorders>
    </w:tblPr>
    <w:tblStylePr w:type="fir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la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left w:val="nil"/>
          <w:right w:val="nil"/>
          <w:insideH w:val="nil"/>
          <w:insideV w:val="nil"/>
        </w:tcBorders>
        <w:shd w:val="clear" w:color="auto" w:fill="A2FFD5"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insideV w:val="single" w:sz="8" w:space="0" w:color="00A482" w:themeColor="accent1" w:themeTint="BF"/>
      </w:tblBorders>
    </w:tblPr>
    <w:tcPr>
      <w:shd w:val="clear" w:color="auto" w:fill="8DFFE7" w:themeFill="accent1" w:themeFillTint="3F"/>
    </w:tcPr>
    <w:tblStylePr w:type="firstRow">
      <w:rPr>
        <w:b/>
        <w:bCs/>
      </w:rPr>
    </w:tblStylePr>
    <w:tblStylePr w:type="lastRow">
      <w:rPr>
        <w:b/>
        <w:bCs/>
      </w:rPr>
      <w:tblPr/>
      <w:tcPr>
        <w:tcBorders>
          <w:top w:val="single" w:sz="18" w:space="0" w:color="00A482" w:themeColor="accent1" w:themeTint="BF"/>
        </w:tcBorders>
      </w:tcPr>
    </w:tblStylePr>
    <w:tblStylePr w:type="firstCol">
      <w:rPr>
        <w:b/>
        <w:bCs/>
      </w:rPr>
    </w:tblStylePr>
    <w:tblStylePr w:type="lastCol">
      <w:rPr>
        <w:b/>
        <w:bCs/>
      </w:r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insideV w:val="single" w:sz="8" w:space="0" w:color="00E57E" w:themeColor="accent2" w:themeTint="BF"/>
      </w:tblBorders>
    </w:tblPr>
    <w:tcPr>
      <w:shd w:val="clear" w:color="auto" w:fill="A2FFD5" w:themeFill="accent2" w:themeFillTint="3F"/>
    </w:tcPr>
    <w:tblStylePr w:type="firstRow">
      <w:rPr>
        <w:b/>
        <w:bCs/>
      </w:rPr>
    </w:tblStylePr>
    <w:tblStylePr w:type="lastRow">
      <w:rPr>
        <w:b/>
        <w:bCs/>
      </w:rPr>
      <w:tblPr/>
      <w:tcPr>
        <w:tcBorders>
          <w:top w:val="single" w:sz="18" w:space="0" w:color="00E57E" w:themeColor="accent2" w:themeTint="BF"/>
        </w:tcBorders>
      </w:tcPr>
    </w:tblStylePr>
    <w:tblStylePr w:type="firstCol">
      <w:rPr>
        <w:b/>
        <w:bCs/>
      </w:rPr>
    </w:tblStylePr>
    <w:tblStylePr w:type="lastCol">
      <w:rPr>
        <w:b/>
        <w:bCs/>
      </w:r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cPr>
      <w:shd w:val="clear" w:color="auto" w:fill="8DFFE7" w:themeFill="accent1" w:themeFillTint="3F"/>
    </w:tcPr>
    <w:tblStylePr w:type="firstRow">
      <w:rPr>
        <w:b/>
        <w:bCs/>
        <w:color w:val="000000" w:themeColor="text1"/>
      </w:rPr>
      <w:tblPr/>
      <w:tcPr>
        <w:shd w:val="clear" w:color="auto" w:fill="D1F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1" w:themeFillTint="33"/>
      </w:tcPr>
    </w:tblStylePr>
    <w:tblStylePr w:type="band1Vert">
      <w:tblPr/>
      <w:tcPr>
        <w:shd w:val="clear" w:color="auto" w:fill="19FFCF" w:themeFill="accent1" w:themeFillTint="7F"/>
      </w:tcPr>
    </w:tblStylePr>
    <w:tblStylePr w:type="band1Horz">
      <w:tblPr/>
      <w:tcPr>
        <w:tcBorders>
          <w:insideH w:val="single" w:sz="6" w:space="0" w:color="003127" w:themeColor="accent1"/>
          <w:insideV w:val="single" w:sz="6" w:space="0" w:color="003127" w:themeColor="accent1"/>
        </w:tcBorders>
        <w:shd w:val="clear" w:color="auto" w:fill="19FFC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cPr>
      <w:shd w:val="clear" w:color="auto" w:fill="A2FFD5" w:themeFill="accent2" w:themeFillTint="3F"/>
    </w:tcPr>
    <w:tblStylePr w:type="firstRow">
      <w:rPr>
        <w:b/>
        <w:bCs/>
        <w:color w:val="000000" w:themeColor="text1"/>
      </w:rPr>
      <w:tblPr/>
      <w:tcPr>
        <w:shd w:val="clear" w:color="auto" w:fill="DAF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2" w:themeFillTint="33"/>
      </w:tcPr>
    </w:tblStylePr>
    <w:tblStylePr w:type="band1Vert">
      <w:tblPr/>
      <w:tcPr>
        <w:shd w:val="clear" w:color="auto" w:fill="44FFAB" w:themeFill="accent2" w:themeFillTint="7F"/>
      </w:tcPr>
    </w:tblStylePr>
    <w:tblStylePr w:type="band1Horz">
      <w:tblPr/>
      <w:tcPr>
        <w:tcBorders>
          <w:insideH w:val="single" w:sz="6" w:space="0" w:color="00874B" w:themeColor="accent2"/>
          <w:insideV w:val="single" w:sz="6" w:space="0" w:color="00874B" w:themeColor="accent2"/>
        </w:tcBorders>
        <w:shd w:val="clear" w:color="auto" w:fill="44FFA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1"/>
        <w:bottom w:val="single" w:sz="8" w:space="0" w:color="003127" w:themeColor="accent1"/>
      </w:tblBorders>
    </w:tblPr>
    <w:tblStylePr w:type="firstRow">
      <w:rPr>
        <w:rFonts w:asciiTheme="majorHAnsi" w:eastAsiaTheme="majorEastAsia" w:hAnsiTheme="majorHAnsi" w:cstheme="majorBidi"/>
      </w:rPr>
      <w:tblPr/>
      <w:tcPr>
        <w:tcBorders>
          <w:top w:val="nil"/>
          <w:bottom w:val="single" w:sz="8" w:space="0" w:color="003127" w:themeColor="accent1"/>
        </w:tcBorders>
      </w:tcPr>
    </w:tblStylePr>
    <w:tblStylePr w:type="lastRow">
      <w:rPr>
        <w:b/>
        <w:bCs/>
        <w:color w:val="BFCBC9" w:themeColor="text2"/>
      </w:rPr>
      <w:tblPr/>
      <w:tcPr>
        <w:tcBorders>
          <w:top w:val="single" w:sz="8" w:space="0" w:color="003127" w:themeColor="accent1"/>
          <w:bottom w:val="single" w:sz="8" w:space="0" w:color="003127" w:themeColor="accent1"/>
        </w:tcBorders>
      </w:tcPr>
    </w:tblStylePr>
    <w:tblStylePr w:type="firstCol">
      <w:rPr>
        <w:b/>
        <w:bCs/>
      </w:rPr>
    </w:tblStylePr>
    <w:tblStylePr w:type="lastCol">
      <w:rPr>
        <w:b/>
        <w:bCs/>
      </w:rPr>
      <w:tblPr/>
      <w:tcPr>
        <w:tcBorders>
          <w:top w:val="single" w:sz="8" w:space="0" w:color="003127" w:themeColor="accent1"/>
          <w:bottom w:val="single" w:sz="8" w:space="0" w:color="003127" w:themeColor="accent1"/>
        </w:tcBorders>
      </w:tcPr>
    </w:tblStylePr>
    <w:tblStylePr w:type="band1Vert">
      <w:tblPr/>
      <w:tcPr>
        <w:shd w:val="clear" w:color="auto" w:fill="8DFFE7" w:themeFill="accent1" w:themeFillTint="3F"/>
      </w:tcPr>
    </w:tblStylePr>
    <w:tblStylePr w:type="band1Horz">
      <w:tblPr/>
      <w:tcPr>
        <w:shd w:val="clear" w:color="auto" w:fill="8DFFE7"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2"/>
        <w:bottom w:val="single" w:sz="8" w:space="0" w:color="00874B" w:themeColor="accent2"/>
      </w:tblBorders>
    </w:tblPr>
    <w:tblStylePr w:type="firstRow">
      <w:rPr>
        <w:rFonts w:asciiTheme="majorHAnsi" w:eastAsiaTheme="majorEastAsia" w:hAnsiTheme="majorHAnsi" w:cstheme="majorBidi"/>
      </w:rPr>
      <w:tblPr/>
      <w:tcPr>
        <w:tcBorders>
          <w:top w:val="nil"/>
          <w:bottom w:val="single" w:sz="8" w:space="0" w:color="00874B" w:themeColor="accent2"/>
        </w:tcBorders>
      </w:tcPr>
    </w:tblStylePr>
    <w:tblStylePr w:type="lastRow">
      <w:rPr>
        <w:b/>
        <w:bCs/>
        <w:color w:val="BFCBC9" w:themeColor="text2"/>
      </w:rPr>
      <w:tblPr/>
      <w:tcPr>
        <w:tcBorders>
          <w:top w:val="single" w:sz="8" w:space="0" w:color="00874B" w:themeColor="accent2"/>
          <w:bottom w:val="single" w:sz="8" w:space="0" w:color="00874B" w:themeColor="accent2"/>
        </w:tcBorders>
      </w:tcPr>
    </w:tblStylePr>
    <w:tblStylePr w:type="firstCol">
      <w:rPr>
        <w:b/>
        <w:bCs/>
      </w:rPr>
    </w:tblStylePr>
    <w:tblStylePr w:type="lastCol">
      <w:rPr>
        <w:b/>
        <w:bCs/>
      </w:rPr>
      <w:tblPr/>
      <w:tcPr>
        <w:tcBorders>
          <w:top w:val="single" w:sz="8" w:space="0" w:color="00874B" w:themeColor="accent2"/>
          <w:bottom w:val="single" w:sz="8" w:space="0" w:color="00874B" w:themeColor="accent2"/>
        </w:tcBorders>
      </w:tcPr>
    </w:tblStylePr>
    <w:tblStylePr w:type="band1Vert">
      <w:tblPr/>
      <w:tcPr>
        <w:shd w:val="clear" w:color="auto" w:fill="A2FFD5" w:themeFill="accent2" w:themeFillTint="3F"/>
      </w:tcPr>
    </w:tblStylePr>
    <w:tblStylePr w:type="band1Horz">
      <w:tblPr/>
      <w:tcPr>
        <w:shd w:val="clear" w:color="auto" w:fill="A2FFD5"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rPr>
        <w:sz w:val="24"/>
        <w:szCs w:val="24"/>
      </w:rPr>
      <w:tblPr/>
      <w:tcPr>
        <w:tcBorders>
          <w:top w:val="nil"/>
          <w:left w:val="nil"/>
          <w:bottom w:val="single" w:sz="24" w:space="0" w:color="003127" w:themeColor="accent1"/>
          <w:right w:val="nil"/>
          <w:insideH w:val="nil"/>
          <w:insideV w:val="nil"/>
        </w:tcBorders>
        <w:shd w:val="clear" w:color="auto" w:fill="FFFFFF" w:themeFill="background1"/>
      </w:tcPr>
    </w:tblStylePr>
    <w:tblStylePr w:type="lastRow">
      <w:tblPr/>
      <w:tcPr>
        <w:tcBorders>
          <w:top w:val="single" w:sz="8" w:space="0" w:color="0031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1"/>
          <w:insideH w:val="nil"/>
          <w:insideV w:val="nil"/>
        </w:tcBorders>
        <w:shd w:val="clear" w:color="auto" w:fill="FFFFFF" w:themeFill="background1"/>
      </w:tcPr>
    </w:tblStylePr>
    <w:tblStylePr w:type="lastCol">
      <w:tblPr/>
      <w:tcPr>
        <w:tcBorders>
          <w:top w:val="nil"/>
          <w:left w:val="single" w:sz="8" w:space="0" w:color="0031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top w:val="nil"/>
          <w:bottom w:val="nil"/>
          <w:insideH w:val="nil"/>
          <w:insideV w:val="nil"/>
        </w:tcBorders>
        <w:shd w:val="clear" w:color="auto" w:fill="8DF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rPr>
        <w:sz w:val="24"/>
        <w:szCs w:val="24"/>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tblPr/>
      <w:tcPr>
        <w:tcBorders>
          <w:top w:val="single" w:sz="8" w:space="0" w:color="0087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2"/>
          <w:insideH w:val="nil"/>
          <w:insideV w:val="nil"/>
        </w:tcBorders>
        <w:shd w:val="clear" w:color="auto" w:fill="FFFFFF" w:themeFill="background1"/>
      </w:tcPr>
    </w:tblStylePr>
    <w:tblStylePr w:type="lastCol">
      <w:tblPr/>
      <w:tcPr>
        <w:tcBorders>
          <w:top w:val="nil"/>
          <w:left w:val="single" w:sz="8" w:space="0" w:color="0087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top w:val="nil"/>
          <w:bottom w:val="nil"/>
          <w:insideH w:val="nil"/>
          <w:insideV w:val="nil"/>
        </w:tcBorders>
        <w:shd w:val="clear" w:color="auto" w:fill="A2FF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tblBorders>
    </w:tblPr>
    <w:tblStylePr w:type="firstRow">
      <w:pPr>
        <w:spacing w:before="0" w:after="0" w:line="240" w:lineRule="auto"/>
      </w:pPr>
      <w:rPr>
        <w:b/>
        <w:bCs/>
        <w:color w:val="FFFFFF" w:themeColor="background1"/>
      </w:rPr>
      <w:tblPr/>
      <w:tcPr>
        <w:tc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shd w:val="clear" w:color="auto" w:fill="003127" w:themeFill="accent1"/>
      </w:tcPr>
    </w:tblStylePr>
    <w:tblStylePr w:type="lastRow">
      <w:pPr>
        <w:spacing w:before="0" w:after="0" w:line="240" w:lineRule="auto"/>
      </w:pPr>
      <w:rPr>
        <w:b/>
        <w:bCs/>
      </w:rPr>
      <w:tblPr/>
      <w:tcPr>
        <w:tcBorders>
          <w:top w:val="double" w:sz="6"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1" w:themeFillTint="3F"/>
      </w:tcPr>
    </w:tblStylePr>
    <w:tblStylePr w:type="band1Horz">
      <w:tblPr/>
      <w:tcPr>
        <w:tcBorders>
          <w:insideH w:val="nil"/>
          <w:insideV w:val="nil"/>
        </w:tcBorders>
        <w:shd w:val="clear" w:color="auto" w:fill="8DFFE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tblBorders>
    </w:tblPr>
    <w:tblStylePr w:type="firstRow">
      <w:pPr>
        <w:spacing w:before="0" w:after="0" w:line="240" w:lineRule="auto"/>
      </w:pPr>
      <w:rPr>
        <w:b/>
        <w:bCs/>
        <w:color w:val="FFFFFF" w:themeColor="background1"/>
      </w:rPr>
      <w:tblPr/>
      <w:tcPr>
        <w:tc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shd w:val="clear" w:color="auto" w:fill="00874B" w:themeFill="accent2"/>
      </w:tcPr>
    </w:tblStylePr>
    <w:tblStylePr w:type="lastRow">
      <w:pPr>
        <w:spacing w:before="0" w:after="0" w:line="240" w:lineRule="auto"/>
      </w:pPr>
      <w:rPr>
        <w:b/>
        <w:bCs/>
      </w:rPr>
      <w:tblPr/>
      <w:tcPr>
        <w:tcBorders>
          <w:top w:val="double" w:sz="6"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2" w:themeFillTint="3F"/>
      </w:tcPr>
    </w:tblStylePr>
    <w:tblStylePr w:type="band1Horz">
      <w:tblPr/>
      <w:tcPr>
        <w:tcBorders>
          <w:insideH w:val="nil"/>
          <w:insideV w:val="nil"/>
        </w:tcBorders>
        <w:shd w:val="clear" w:color="auto" w:fill="A2FFD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1"/>
      </w:tcPr>
    </w:tblStylePr>
    <w:tblStylePr w:type="lastCol">
      <w:rPr>
        <w:b/>
        <w:bCs/>
        <w:color w:val="FFFFFF" w:themeColor="background1"/>
      </w:rPr>
      <w:tblPr/>
      <w:tcPr>
        <w:tcBorders>
          <w:left w:val="nil"/>
          <w:right w:val="nil"/>
          <w:insideH w:val="nil"/>
          <w:insideV w:val="nil"/>
        </w:tcBorders>
        <w:shd w:val="clear" w:color="auto" w:fill="00312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2"/>
      </w:tcPr>
    </w:tblStylePr>
    <w:tblStylePr w:type="lastCol">
      <w:rPr>
        <w:b/>
        <w:bCs/>
        <w:color w:val="FFFFFF" w:themeColor="background1"/>
      </w:rPr>
      <w:tblPr/>
      <w:tcPr>
        <w:tcBorders>
          <w:left w:val="nil"/>
          <w:right w:val="nil"/>
          <w:insideH w:val="nil"/>
          <w:insideV w:val="nil"/>
        </w:tcBorders>
        <w:shd w:val="clear" w:color="auto" w:fill="0087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581599"/>
    <w:pPr>
      <w:autoSpaceDE w:val="0"/>
      <w:autoSpaceDN w:val="0"/>
      <w:adjustRightInd w:val="0"/>
      <w:spacing w:line="240" w:lineRule="auto"/>
    </w:pPr>
    <w:rPr>
      <w:rFonts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unhideWhenUsed="0" w:qFormat="1"/>
    <w:lsdException w:name="heading 3" w:uiPriority="1" w:unhideWhenUsed="0" w:qFormat="1"/>
    <w:lsdException w:name="heading 4" w:uiPriority="1" w:unhideWhenUsed="0"/>
    <w:lsdException w:name="heading 5" w:uiPriority="1" w:unhideWhenUsed="0"/>
    <w:lsdException w:name="heading 6" w:uiPriority="1" w:unhideWhenUsed="0"/>
    <w:lsdException w:name="heading 7" w:uiPriority="1"/>
    <w:lsdException w:name="heading 8" w:uiPriority="1"/>
    <w:lsdException w:name="heading 9" w:uiPriority="1"/>
    <w:lsdException w:name="toc 1" w:uiPriority="9"/>
    <w:lsdException w:name="toc 2" w:uiPriority="9"/>
    <w:lsdException w:name="toc 3" w:uiPriority="9"/>
    <w:lsdException w:name="toc 4" w:uiPriority="9"/>
    <w:lsdException w:name="toc 5" w:uiPriority="9"/>
    <w:lsdException w:name="toc 6" w:uiPriority="9"/>
    <w:lsdException w:name="toc 7" w:uiPriority="9"/>
    <w:lsdException w:name="toc 8" w:uiPriority="9"/>
    <w:lsdException w:name="toc 9" w:uiPriority="9"/>
    <w:lsdException w:name="footnote text" w:uiPriority="8"/>
    <w:lsdException w:name="caption" w:uiPriority="3"/>
    <w:lsdException w:name="endnote text" w:uiPriority="8"/>
    <w:lsdException w:name="toa heading" w:uiPriority="10"/>
    <w:lsdException w:name="List Bullet" w:uiPriority="2" w:qFormat="1"/>
    <w:lsdException w:name="List Number" w:semiHidden="0" w:uiPriority="2"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4" w:unhideWhenUsed="0"/>
    <w:lsdException w:name="HTML Top of Form" w:uiPriority="0"/>
    <w:lsdException w:name="HTML Bottom of Form" w:uiPriority="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9" w:qFormat="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3127"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3127"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3127"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3127"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3127"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3127"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3127" w:themeColor="accent1" w:shadow="1"/>
        <w:left w:val="single" w:sz="2" w:space="10" w:color="003127" w:themeColor="accent1" w:shadow="1"/>
        <w:bottom w:val="single" w:sz="2" w:space="10" w:color="003127" w:themeColor="accent1" w:shadow="1"/>
        <w:right w:val="single" w:sz="2" w:space="10" w:color="003127" w:themeColor="accent1" w:shadow="1"/>
      </w:pBdr>
      <w:ind w:left="1152" w:right="1152"/>
    </w:pPr>
    <w:rPr>
      <w:rFonts w:asciiTheme="minorHAnsi" w:eastAsiaTheme="minorEastAsia" w:hAnsiTheme="minorHAnsi" w:cstheme="minorBidi"/>
      <w:i/>
      <w:iCs/>
      <w:color w:val="003127"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1" w:themeFillTint="33"/>
    </w:tcPr>
    <w:tblStylePr w:type="firstRow">
      <w:rPr>
        <w:b/>
        <w:bCs/>
      </w:rPr>
      <w:tblPr/>
      <w:tcPr>
        <w:shd w:val="clear" w:color="auto" w:fill="46FFD8" w:themeFill="accent1" w:themeFillTint="66"/>
      </w:tcPr>
    </w:tblStylePr>
    <w:tblStylePr w:type="lastRow">
      <w:rPr>
        <w:b/>
        <w:bCs/>
        <w:color w:val="000000" w:themeColor="text1"/>
      </w:rPr>
      <w:tblPr/>
      <w:tcPr>
        <w:shd w:val="clear" w:color="auto" w:fill="46FFD8" w:themeFill="accent1" w:themeFillTint="66"/>
      </w:tcPr>
    </w:tblStylePr>
    <w:tblStylePr w:type="firstCol">
      <w:rPr>
        <w:color w:val="FFFFFF" w:themeColor="background1"/>
      </w:rPr>
      <w:tblPr/>
      <w:tcPr>
        <w:shd w:val="clear" w:color="auto" w:fill="00241D" w:themeFill="accent1" w:themeFillShade="BF"/>
      </w:tcPr>
    </w:tblStylePr>
    <w:tblStylePr w:type="lastCol">
      <w:rPr>
        <w:color w:val="FFFFFF" w:themeColor="background1"/>
      </w:rPr>
      <w:tblPr/>
      <w:tcPr>
        <w:shd w:val="clear" w:color="auto" w:fill="00241D" w:themeFill="accent1" w:themeFillShade="BF"/>
      </w:tc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2" w:themeFillTint="33"/>
    </w:tcPr>
    <w:tblStylePr w:type="firstRow">
      <w:rPr>
        <w:b/>
        <w:bCs/>
      </w:rPr>
      <w:tblPr/>
      <w:tcPr>
        <w:shd w:val="clear" w:color="auto" w:fill="69FFBB" w:themeFill="accent2" w:themeFillTint="66"/>
      </w:tcPr>
    </w:tblStylePr>
    <w:tblStylePr w:type="lastRow">
      <w:rPr>
        <w:b/>
        <w:bCs/>
        <w:color w:val="000000" w:themeColor="text1"/>
      </w:rPr>
      <w:tblPr/>
      <w:tcPr>
        <w:shd w:val="clear" w:color="auto" w:fill="69FFBB" w:themeFill="accent2" w:themeFillTint="66"/>
      </w:tcPr>
    </w:tblStylePr>
    <w:tblStylePr w:type="firstCol">
      <w:rPr>
        <w:color w:val="FFFFFF" w:themeColor="background1"/>
      </w:rPr>
      <w:tblPr/>
      <w:tcPr>
        <w:shd w:val="clear" w:color="auto" w:fill="006537" w:themeFill="accent2" w:themeFillShade="BF"/>
      </w:tcPr>
    </w:tblStylePr>
    <w:tblStylePr w:type="lastCol">
      <w:rPr>
        <w:color w:val="FFFFFF" w:themeColor="background1"/>
      </w:rPr>
      <w:tblPr/>
      <w:tcPr>
        <w:shd w:val="clear" w:color="auto" w:fill="006537" w:themeFill="accent2" w:themeFillShade="BF"/>
      </w:tc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1" w:themeFillTint="3F"/>
      </w:tcPr>
    </w:tblStylePr>
    <w:tblStylePr w:type="band1Horz">
      <w:tblPr/>
      <w:tcPr>
        <w:shd w:val="clear" w:color="auto" w:fill="A2FFEB"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2"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2" w:themeFillTint="3F"/>
      </w:tcPr>
    </w:tblStylePr>
    <w:tblStylePr w:type="band1Horz">
      <w:tblPr/>
      <w:tcPr>
        <w:shd w:val="clear" w:color="auto" w:fill="B4FFDD"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3127" w:themeColor="accent1"/>
        <w:bottom w:val="single" w:sz="4" w:space="0" w:color="003127" w:themeColor="accent1"/>
        <w:right w:val="single" w:sz="4" w:space="0" w:color="003127" w:themeColor="accent1"/>
        <w:insideH w:val="single" w:sz="4" w:space="0" w:color="FFFFFF" w:themeColor="background1"/>
        <w:insideV w:val="single" w:sz="4" w:space="0" w:color="FFFFFF" w:themeColor="background1"/>
      </w:tblBorders>
    </w:tblPr>
    <w:tcPr>
      <w:shd w:val="clear" w:color="auto" w:fill="D1FFF5" w:themeFill="accen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1" w:themeFillShade="99"/>
      </w:tcPr>
    </w:tblStylePr>
    <w:tblStylePr w:type="firstCol">
      <w:rPr>
        <w:color w:val="FFFFFF" w:themeColor="background1"/>
      </w:rPr>
      <w:tblPr/>
      <w:tcPr>
        <w:tcBorders>
          <w:top w:val="nil"/>
          <w:left w:val="nil"/>
          <w:bottom w:val="nil"/>
          <w:right w:val="nil"/>
          <w:insideH w:val="single" w:sz="4" w:space="0" w:color="001D17" w:themeColor="accent1" w:themeShade="99"/>
          <w:insideV w:val="nil"/>
        </w:tcBorders>
        <w:shd w:val="clear" w:color="auto" w:fill="001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1" w:themeFillShade="99"/>
      </w:tcPr>
    </w:tblStylePr>
    <w:tblStylePr w:type="band1Vert">
      <w:tblPr/>
      <w:tcPr>
        <w:shd w:val="clear" w:color="auto" w:fill="46FFD8" w:themeFill="accent1" w:themeFillTint="66"/>
      </w:tcPr>
    </w:tblStylePr>
    <w:tblStylePr w:type="band1Horz">
      <w:tblPr/>
      <w:tcPr>
        <w:shd w:val="clear" w:color="auto" w:fill="19FFC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874B" w:themeColor="accent2"/>
        <w:bottom w:val="single" w:sz="4" w:space="0" w:color="00874B" w:themeColor="accent2"/>
        <w:right w:val="single" w:sz="4" w:space="0" w:color="00874B" w:themeColor="accent2"/>
        <w:insideH w:val="single" w:sz="4" w:space="0" w:color="FFFFFF" w:themeColor="background1"/>
        <w:insideV w:val="single" w:sz="4" w:space="0" w:color="FFFFFF" w:themeColor="background1"/>
      </w:tblBorders>
    </w:tblPr>
    <w:tcPr>
      <w:shd w:val="clear" w:color="auto" w:fill="DAFFEE" w:themeFill="accent2"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2" w:themeFillShade="99"/>
      </w:tcPr>
    </w:tblStylePr>
    <w:tblStylePr w:type="firstCol">
      <w:rPr>
        <w:color w:val="FFFFFF" w:themeColor="background1"/>
      </w:rPr>
      <w:tblPr/>
      <w:tcPr>
        <w:tcBorders>
          <w:top w:val="nil"/>
          <w:left w:val="nil"/>
          <w:bottom w:val="nil"/>
          <w:right w:val="nil"/>
          <w:insideH w:val="single" w:sz="4" w:space="0" w:color="00512C" w:themeColor="accent2" w:themeShade="99"/>
          <w:insideV w:val="nil"/>
        </w:tcBorders>
        <w:shd w:val="clear" w:color="auto" w:fill="0051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2" w:themeFillShade="99"/>
      </w:tcPr>
    </w:tblStylePr>
    <w:tblStylePr w:type="band1Vert">
      <w:tblPr/>
      <w:tcPr>
        <w:shd w:val="clear" w:color="auto" w:fill="69FFBB" w:themeFill="accent2" w:themeFillTint="66"/>
      </w:tcPr>
    </w:tblStylePr>
    <w:tblStylePr w:type="band1Horz">
      <w:tblPr/>
      <w:tcPr>
        <w:shd w:val="clear" w:color="auto" w:fill="44FFA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1" w:themeFillShade="BF"/>
      </w:tcPr>
    </w:tblStylePr>
    <w:tblStylePr w:type="band1Vert">
      <w:tblPr/>
      <w:tcPr>
        <w:tcBorders>
          <w:top w:val="nil"/>
          <w:left w:val="nil"/>
          <w:bottom w:val="nil"/>
          <w:right w:val="nil"/>
          <w:insideH w:val="nil"/>
          <w:insideV w:val="nil"/>
        </w:tcBorders>
        <w:shd w:val="clear" w:color="auto" w:fill="00241D" w:themeFill="accent1" w:themeFillShade="BF"/>
      </w:tcPr>
    </w:tblStylePr>
    <w:tblStylePr w:type="band1Horz">
      <w:tblPr/>
      <w:tcPr>
        <w:tcBorders>
          <w:top w:val="nil"/>
          <w:left w:val="nil"/>
          <w:bottom w:val="nil"/>
          <w:right w:val="nil"/>
          <w:insideH w:val="nil"/>
          <w:insideV w:val="nil"/>
        </w:tcBorders>
        <w:shd w:val="clear" w:color="auto" w:fill="00241D"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2" w:themeFillShade="BF"/>
      </w:tcPr>
    </w:tblStylePr>
    <w:tblStylePr w:type="band1Vert">
      <w:tblPr/>
      <w:tcPr>
        <w:tcBorders>
          <w:top w:val="nil"/>
          <w:left w:val="nil"/>
          <w:bottom w:val="nil"/>
          <w:right w:val="nil"/>
          <w:insideH w:val="nil"/>
          <w:insideV w:val="nil"/>
        </w:tcBorders>
        <w:shd w:val="clear" w:color="auto" w:fill="006537" w:themeFill="accent2" w:themeFillShade="BF"/>
      </w:tcPr>
    </w:tblStylePr>
    <w:tblStylePr w:type="band1Horz">
      <w:tblPr/>
      <w:tcPr>
        <w:tcBorders>
          <w:top w:val="nil"/>
          <w:left w:val="nil"/>
          <w:bottom w:val="nil"/>
          <w:right w:val="nil"/>
          <w:insideH w:val="nil"/>
          <w:insideV w:val="nil"/>
        </w:tcBorders>
        <w:shd w:val="clear" w:color="auto" w:fill="006537"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E-mail-signatur">
    <w:name w:val="E-mail Signature"/>
    <w:basedOn w:val="Normal"/>
    <w:link w:val="E-mail-signaturTegn"/>
    <w:uiPriority w:val="99"/>
    <w:semiHidden/>
    <w:rsid w:val="00225534"/>
    <w:pPr>
      <w:spacing w:line="240" w:lineRule="auto"/>
    </w:pPr>
  </w:style>
  <w:style w:type="character" w:customStyle="1" w:styleId="E-mail-signaturTegn">
    <w:name w:val="E-mail-signatur Tegn"/>
    <w:basedOn w:val="Standardskrifttypeiafsnit"/>
    <w:link w:val="E-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3127" w:themeColor="accent1"/>
    </w:rPr>
  </w:style>
  <w:style w:type="paragraph" w:styleId="Strktcitat">
    <w:name w:val="Intense Quote"/>
    <w:basedOn w:val="Normal"/>
    <w:next w:val="Normal"/>
    <w:link w:val="StrktcitatTegn"/>
    <w:uiPriority w:val="99"/>
    <w:semiHidden/>
    <w:qFormat/>
    <w:rsid w:val="00225534"/>
    <w:pPr>
      <w:pBdr>
        <w:bottom w:val="single" w:sz="4" w:space="4" w:color="003127" w:themeColor="accent1"/>
      </w:pBdr>
      <w:spacing w:before="200" w:after="280"/>
      <w:ind w:left="936" w:right="936"/>
    </w:pPr>
    <w:rPr>
      <w:b/>
      <w:bCs/>
      <w:i/>
      <w:iCs/>
      <w:color w:val="003127"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3127"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18" w:space="0" w:color="003127" w:themeColor="accent1"/>
          <w:right w:val="single" w:sz="8" w:space="0" w:color="003127" w:themeColor="accent1"/>
          <w:insideH w:val="nil"/>
          <w:insideV w:val="single" w:sz="8" w:space="0" w:color="0031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insideH w:val="nil"/>
          <w:insideV w:val="single" w:sz="8" w:space="0" w:color="0031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shd w:val="clear" w:color="auto" w:fill="8DFFE7" w:themeFill="accent1" w:themeFillTint="3F"/>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shd w:val="clear" w:color="auto" w:fill="8DFFE7" w:themeFill="accent1" w:themeFillTint="3F"/>
      </w:tcPr>
    </w:tblStylePr>
    <w:tblStylePr w:type="band2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18" w:space="0" w:color="00874B" w:themeColor="accent2"/>
          <w:right w:val="single" w:sz="8" w:space="0" w:color="00874B" w:themeColor="accent2"/>
          <w:insideH w:val="nil"/>
          <w:insideV w:val="single" w:sz="8" w:space="0" w:color="0087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insideH w:val="nil"/>
          <w:insideV w:val="single" w:sz="8" w:space="0" w:color="0087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shd w:val="clear" w:color="auto" w:fill="A2FFD5" w:themeFill="accent2" w:themeFillTint="3F"/>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shd w:val="clear" w:color="auto" w:fill="A2FFD5" w:themeFill="accent2" w:themeFillTint="3F"/>
      </w:tcPr>
    </w:tblStylePr>
    <w:tblStylePr w:type="band2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pPr>
        <w:spacing w:before="0" w:after="0" w:line="240" w:lineRule="auto"/>
      </w:pPr>
      <w:rPr>
        <w:b/>
        <w:bCs/>
        <w:color w:val="FFFFFF" w:themeColor="background1"/>
      </w:rPr>
      <w:tblPr/>
      <w:tcPr>
        <w:shd w:val="clear" w:color="auto" w:fill="003127" w:themeFill="accent1"/>
      </w:tcPr>
    </w:tblStylePr>
    <w:tblStylePr w:type="lastRow">
      <w:pPr>
        <w:spacing w:before="0" w:after="0" w:line="240" w:lineRule="auto"/>
      </w:pPr>
      <w:rPr>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tcBorders>
      </w:tcPr>
    </w:tblStylePr>
    <w:tblStylePr w:type="firstCol">
      <w:rPr>
        <w:b/>
        <w:bCs/>
      </w:rPr>
    </w:tblStylePr>
    <w:tblStylePr w:type="lastCol">
      <w:rPr>
        <w:b/>
        <w:bCs/>
      </w:r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pPr>
        <w:spacing w:before="0" w:after="0" w:line="240" w:lineRule="auto"/>
      </w:pPr>
      <w:rPr>
        <w:b/>
        <w:bCs/>
        <w:color w:val="FFFFFF" w:themeColor="background1"/>
      </w:rPr>
      <w:tblPr/>
      <w:tcPr>
        <w:shd w:val="clear" w:color="auto" w:fill="00874B" w:themeFill="accent2"/>
      </w:tcPr>
    </w:tblStylePr>
    <w:tblStylePr w:type="lastRow">
      <w:pPr>
        <w:spacing w:before="0" w:after="0" w:line="240" w:lineRule="auto"/>
      </w:pPr>
      <w:rPr>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tcBorders>
      </w:tcPr>
    </w:tblStylePr>
    <w:tblStylePr w:type="firstCol">
      <w:rPr>
        <w:b/>
        <w:bCs/>
      </w:rPr>
    </w:tblStylePr>
    <w:tblStylePr w:type="lastCol">
      <w:rPr>
        <w:b/>
        <w:bCs/>
      </w:r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99"/>
    <w:semiHidden/>
    <w:rsid w:val="00225534"/>
    <w:pPr>
      <w:spacing w:line="240" w:lineRule="auto"/>
    </w:pPr>
    <w:rPr>
      <w:color w:val="00241D" w:themeColor="accent1" w:themeShade="BF"/>
    </w:rPr>
    <w:tblPr>
      <w:tblStyleRowBandSize w:val="1"/>
      <w:tblStyleColBandSize w:val="1"/>
      <w:tblBorders>
        <w:top w:val="single" w:sz="8" w:space="0" w:color="003127" w:themeColor="accent1"/>
        <w:bottom w:val="single" w:sz="8" w:space="0" w:color="003127" w:themeColor="accent1"/>
      </w:tblBorders>
    </w:tblPr>
    <w:tblStylePr w:type="fir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la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left w:val="nil"/>
          <w:right w:val="nil"/>
          <w:insideH w:val="nil"/>
          <w:insideV w:val="nil"/>
        </w:tcBorders>
        <w:shd w:val="clear" w:color="auto" w:fill="8DFFE7"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6537" w:themeColor="accent2" w:themeShade="BF"/>
    </w:rPr>
    <w:tblPr>
      <w:tblStyleRowBandSize w:val="1"/>
      <w:tblStyleColBandSize w:val="1"/>
      <w:tblBorders>
        <w:top w:val="single" w:sz="8" w:space="0" w:color="00874B" w:themeColor="accent2"/>
        <w:bottom w:val="single" w:sz="8" w:space="0" w:color="00874B" w:themeColor="accent2"/>
      </w:tblBorders>
    </w:tblPr>
    <w:tblStylePr w:type="fir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la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left w:val="nil"/>
          <w:right w:val="nil"/>
          <w:insideH w:val="nil"/>
          <w:insideV w:val="nil"/>
        </w:tcBorders>
        <w:shd w:val="clear" w:color="auto" w:fill="A2FFD5"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Opstilling">
    <w:name w:val="List"/>
    <w:basedOn w:val="Normal"/>
    <w:uiPriority w:val="99"/>
    <w:semiHidden/>
    <w:rsid w:val="00225534"/>
    <w:pPr>
      <w:ind w:left="283" w:hanging="283"/>
      <w:contextualSpacing/>
    </w:pPr>
  </w:style>
  <w:style w:type="paragraph" w:styleId="Opstilling2">
    <w:name w:val="List 2"/>
    <w:basedOn w:val="Normal"/>
    <w:uiPriority w:val="99"/>
    <w:semiHidden/>
    <w:rsid w:val="00225534"/>
    <w:pPr>
      <w:ind w:left="566" w:hanging="283"/>
      <w:contextualSpacing/>
    </w:pPr>
  </w:style>
  <w:style w:type="paragraph" w:styleId="Opstilling3">
    <w:name w:val="List 3"/>
    <w:basedOn w:val="Normal"/>
    <w:uiPriority w:val="99"/>
    <w:semiHidden/>
    <w:rsid w:val="00225534"/>
    <w:pPr>
      <w:ind w:left="849" w:hanging="283"/>
      <w:contextualSpacing/>
    </w:pPr>
  </w:style>
  <w:style w:type="paragraph" w:styleId="Opstilling4">
    <w:name w:val="List 4"/>
    <w:basedOn w:val="Normal"/>
    <w:uiPriority w:val="99"/>
    <w:semiHidden/>
    <w:rsid w:val="00225534"/>
    <w:pPr>
      <w:ind w:left="1132" w:hanging="283"/>
      <w:contextualSpacing/>
    </w:pPr>
  </w:style>
  <w:style w:type="paragraph" w:styleId="Opstilling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insideV w:val="single" w:sz="8" w:space="0" w:color="00A482" w:themeColor="accent1" w:themeTint="BF"/>
      </w:tblBorders>
    </w:tblPr>
    <w:tcPr>
      <w:shd w:val="clear" w:color="auto" w:fill="8DFFE7" w:themeFill="accent1" w:themeFillTint="3F"/>
    </w:tcPr>
    <w:tblStylePr w:type="firstRow">
      <w:rPr>
        <w:b/>
        <w:bCs/>
      </w:rPr>
    </w:tblStylePr>
    <w:tblStylePr w:type="lastRow">
      <w:rPr>
        <w:b/>
        <w:bCs/>
      </w:rPr>
      <w:tblPr/>
      <w:tcPr>
        <w:tcBorders>
          <w:top w:val="single" w:sz="18" w:space="0" w:color="00A482" w:themeColor="accent1" w:themeTint="BF"/>
        </w:tcBorders>
      </w:tcPr>
    </w:tblStylePr>
    <w:tblStylePr w:type="firstCol">
      <w:rPr>
        <w:b/>
        <w:bCs/>
      </w:rPr>
    </w:tblStylePr>
    <w:tblStylePr w:type="lastCol">
      <w:rPr>
        <w:b/>
        <w:bCs/>
      </w:r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insideV w:val="single" w:sz="8" w:space="0" w:color="00E57E" w:themeColor="accent2" w:themeTint="BF"/>
      </w:tblBorders>
    </w:tblPr>
    <w:tcPr>
      <w:shd w:val="clear" w:color="auto" w:fill="A2FFD5" w:themeFill="accent2" w:themeFillTint="3F"/>
    </w:tcPr>
    <w:tblStylePr w:type="firstRow">
      <w:rPr>
        <w:b/>
        <w:bCs/>
      </w:rPr>
    </w:tblStylePr>
    <w:tblStylePr w:type="lastRow">
      <w:rPr>
        <w:b/>
        <w:bCs/>
      </w:rPr>
      <w:tblPr/>
      <w:tcPr>
        <w:tcBorders>
          <w:top w:val="single" w:sz="18" w:space="0" w:color="00E57E" w:themeColor="accent2" w:themeTint="BF"/>
        </w:tcBorders>
      </w:tcPr>
    </w:tblStylePr>
    <w:tblStylePr w:type="firstCol">
      <w:rPr>
        <w:b/>
        <w:bCs/>
      </w:rPr>
    </w:tblStylePr>
    <w:tblStylePr w:type="lastCol">
      <w:rPr>
        <w:b/>
        <w:bCs/>
      </w:r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cPr>
      <w:shd w:val="clear" w:color="auto" w:fill="8DFFE7" w:themeFill="accent1" w:themeFillTint="3F"/>
    </w:tcPr>
    <w:tblStylePr w:type="firstRow">
      <w:rPr>
        <w:b/>
        <w:bCs/>
        <w:color w:val="000000" w:themeColor="text1"/>
      </w:rPr>
      <w:tblPr/>
      <w:tcPr>
        <w:shd w:val="clear" w:color="auto" w:fill="D1F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1" w:themeFillTint="33"/>
      </w:tcPr>
    </w:tblStylePr>
    <w:tblStylePr w:type="band1Vert">
      <w:tblPr/>
      <w:tcPr>
        <w:shd w:val="clear" w:color="auto" w:fill="19FFCF" w:themeFill="accent1" w:themeFillTint="7F"/>
      </w:tcPr>
    </w:tblStylePr>
    <w:tblStylePr w:type="band1Horz">
      <w:tblPr/>
      <w:tcPr>
        <w:tcBorders>
          <w:insideH w:val="single" w:sz="6" w:space="0" w:color="003127" w:themeColor="accent1"/>
          <w:insideV w:val="single" w:sz="6" w:space="0" w:color="003127" w:themeColor="accent1"/>
        </w:tcBorders>
        <w:shd w:val="clear" w:color="auto" w:fill="19FFC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cPr>
      <w:shd w:val="clear" w:color="auto" w:fill="A2FFD5" w:themeFill="accent2" w:themeFillTint="3F"/>
    </w:tcPr>
    <w:tblStylePr w:type="firstRow">
      <w:rPr>
        <w:b/>
        <w:bCs/>
        <w:color w:val="000000" w:themeColor="text1"/>
      </w:rPr>
      <w:tblPr/>
      <w:tcPr>
        <w:shd w:val="clear" w:color="auto" w:fill="DAF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2" w:themeFillTint="33"/>
      </w:tcPr>
    </w:tblStylePr>
    <w:tblStylePr w:type="band1Vert">
      <w:tblPr/>
      <w:tcPr>
        <w:shd w:val="clear" w:color="auto" w:fill="44FFAB" w:themeFill="accent2" w:themeFillTint="7F"/>
      </w:tcPr>
    </w:tblStylePr>
    <w:tblStylePr w:type="band1Horz">
      <w:tblPr/>
      <w:tcPr>
        <w:tcBorders>
          <w:insideH w:val="single" w:sz="6" w:space="0" w:color="00874B" w:themeColor="accent2"/>
          <w:insideV w:val="single" w:sz="6" w:space="0" w:color="00874B" w:themeColor="accent2"/>
        </w:tcBorders>
        <w:shd w:val="clear" w:color="auto" w:fill="44FFA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1"/>
        <w:bottom w:val="single" w:sz="8" w:space="0" w:color="003127" w:themeColor="accent1"/>
      </w:tblBorders>
    </w:tblPr>
    <w:tblStylePr w:type="firstRow">
      <w:rPr>
        <w:rFonts w:asciiTheme="majorHAnsi" w:eastAsiaTheme="majorEastAsia" w:hAnsiTheme="majorHAnsi" w:cstheme="majorBidi"/>
      </w:rPr>
      <w:tblPr/>
      <w:tcPr>
        <w:tcBorders>
          <w:top w:val="nil"/>
          <w:bottom w:val="single" w:sz="8" w:space="0" w:color="003127" w:themeColor="accent1"/>
        </w:tcBorders>
      </w:tcPr>
    </w:tblStylePr>
    <w:tblStylePr w:type="lastRow">
      <w:rPr>
        <w:b/>
        <w:bCs/>
        <w:color w:val="BFCBC9" w:themeColor="text2"/>
      </w:rPr>
      <w:tblPr/>
      <w:tcPr>
        <w:tcBorders>
          <w:top w:val="single" w:sz="8" w:space="0" w:color="003127" w:themeColor="accent1"/>
          <w:bottom w:val="single" w:sz="8" w:space="0" w:color="003127" w:themeColor="accent1"/>
        </w:tcBorders>
      </w:tcPr>
    </w:tblStylePr>
    <w:tblStylePr w:type="firstCol">
      <w:rPr>
        <w:b/>
        <w:bCs/>
      </w:rPr>
    </w:tblStylePr>
    <w:tblStylePr w:type="lastCol">
      <w:rPr>
        <w:b/>
        <w:bCs/>
      </w:rPr>
      <w:tblPr/>
      <w:tcPr>
        <w:tcBorders>
          <w:top w:val="single" w:sz="8" w:space="0" w:color="003127" w:themeColor="accent1"/>
          <w:bottom w:val="single" w:sz="8" w:space="0" w:color="003127" w:themeColor="accent1"/>
        </w:tcBorders>
      </w:tcPr>
    </w:tblStylePr>
    <w:tblStylePr w:type="band1Vert">
      <w:tblPr/>
      <w:tcPr>
        <w:shd w:val="clear" w:color="auto" w:fill="8DFFE7" w:themeFill="accent1" w:themeFillTint="3F"/>
      </w:tcPr>
    </w:tblStylePr>
    <w:tblStylePr w:type="band1Horz">
      <w:tblPr/>
      <w:tcPr>
        <w:shd w:val="clear" w:color="auto" w:fill="8DFFE7"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2"/>
        <w:bottom w:val="single" w:sz="8" w:space="0" w:color="00874B" w:themeColor="accent2"/>
      </w:tblBorders>
    </w:tblPr>
    <w:tblStylePr w:type="firstRow">
      <w:rPr>
        <w:rFonts w:asciiTheme="majorHAnsi" w:eastAsiaTheme="majorEastAsia" w:hAnsiTheme="majorHAnsi" w:cstheme="majorBidi"/>
      </w:rPr>
      <w:tblPr/>
      <w:tcPr>
        <w:tcBorders>
          <w:top w:val="nil"/>
          <w:bottom w:val="single" w:sz="8" w:space="0" w:color="00874B" w:themeColor="accent2"/>
        </w:tcBorders>
      </w:tcPr>
    </w:tblStylePr>
    <w:tblStylePr w:type="lastRow">
      <w:rPr>
        <w:b/>
        <w:bCs/>
        <w:color w:val="BFCBC9" w:themeColor="text2"/>
      </w:rPr>
      <w:tblPr/>
      <w:tcPr>
        <w:tcBorders>
          <w:top w:val="single" w:sz="8" w:space="0" w:color="00874B" w:themeColor="accent2"/>
          <w:bottom w:val="single" w:sz="8" w:space="0" w:color="00874B" w:themeColor="accent2"/>
        </w:tcBorders>
      </w:tcPr>
    </w:tblStylePr>
    <w:tblStylePr w:type="firstCol">
      <w:rPr>
        <w:b/>
        <w:bCs/>
      </w:rPr>
    </w:tblStylePr>
    <w:tblStylePr w:type="lastCol">
      <w:rPr>
        <w:b/>
        <w:bCs/>
      </w:rPr>
      <w:tblPr/>
      <w:tcPr>
        <w:tcBorders>
          <w:top w:val="single" w:sz="8" w:space="0" w:color="00874B" w:themeColor="accent2"/>
          <w:bottom w:val="single" w:sz="8" w:space="0" w:color="00874B" w:themeColor="accent2"/>
        </w:tcBorders>
      </w:tcPr>
    </w:tblStylePr>
    <w:tblStylePr w:type="band1Vert">
      <w:tblPr/>
      <w:tcPr>
        <w:shd w:val="clear" w:color="auto" w:fill="A2FFD5" w:themeFill="accent2" w:themeFillTint="3F"/>
      </w:tcPr>
    </w:tblStylePr>
    <w:tblStylePr w:type="band1Horz">
      <w:tblPr/>
      <w:tcPr>
        <w:shd w:val="clear" w:color="auto" w:fill="A2FFD5"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rPr>
        <w:sz w:val="24"/>
        <w:szCs w:val="24"/>
      </w:rPr>
      <w:tblPr/>
      <w:tcPr>
        <w:tcBorders>
          <w:top w:val="nil"/>
          <w:left w:val="nil"/>
          <w:bottom w:val="single" w:sz="24" w:space="0" w:color="003127" w:themeColor="accent1"/>
          <w:right w:val="nil"/>
          <w:insideH w:val="nil"/>
          <w:insideV w:val="nil"/>
        </w:tcBorders>
        <w:shd w:val="clear" w:color="auto" w:fill="FFFFFF" w:themeFill="background1"/>
      </w:tcPr>
    </w:tblStylePr>
    <w:tblStylePr w:type="lastRow">
      <w:tblPr/>
      <w:tcPr>
        <w:tcBorders>
          <w:top w:val="single" w:sz="8" w:space="0" w:color="0031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1"/>
          <w:insideH w:val="nil"/>
          <w:insideV w:val="nil"/>
        </w:tcBorders>
        <w:shd w:val="clear" w:color="auto" w:fill="FFFFFF" w:themeFill="background1"/>
      </w:tcPr>
    </w:tblStylePr>
    <w:tblStylePr w:type="lastCol">
      <w:tblPr/>
      <w:tcPr>
        <w:tcBorders>
          <w:top w:val="nil"/>
          <w:left w:val="single" w:sz="8" w:space="0" w:color="0031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top w:val="nil"/>
          <w:bottom w:val="nil"/>
          <w:insideH w:val="nil"/>
          <w:insideV w:val="nil"/>
        </w:tcBorders>
        <w:shd w:val="clear" w:color="auto" w:fill="8DF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rPr>
        <w:sz w:val="24"/>
        <w:szCs w:val="24"/>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tblPr/>
      <w:tcPr>
        <w:tcBorders>
          <w:top w:val="single" w:sz="8" w:space="0" w:color="0087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2"/>
          <w:insideH w:val="nil"/>
          <w:insideV w:val="nil"/>
        </w:tcBorders>
        <w:shd w:val="clear" w:color="auto" w:fill="FFFFFF" w:themeFill="background1"/>
      </w:tcPr>
    </w:tblStylePr>
    <w:tblStylePr w:type="lastCol">
      <w:tblPr/>
      <w:tcPr>
        <w:tcBorders>
          <w:top w:val="nil"/>
          <w:left w:val="single" w:sz="8" w:space="0" w:color="0087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top w:val="nil"/>
          <w:bottom w:val="nil"/>
          <w:insideH w:val="nil"/>
          <w:insideV w:val="nil"/>
        </w:tcBorders>
        <w:shd w:val="clear" w:color="auto" w:fill="A2FF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tblBorders>
    </w:tblPr>
    <w:tblStylePr w:type="firstRow">
      <w:pPr>
        <w:spacing w:before="0" w:after="0" w:line="240" w:lineRule="auto"/>
      </w:pPr>
      <w:rPr>
        <w:b/>
        <w:bCs/>
        <w:color w:val="FFFFFF" w:themeColor="background1"/>
      </w:rPr>
      <w:tblPr/>
      <w:tcPr>
        <w:tc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shd w:val="clear" w:color="auto" w:fill="003127" w:themeFill="accent1"/>
      </w:tcPr>
    </w:tblStylePr>
    <w:tblStylePr w:type="lastRow">
      <w:pPr>
        <w:spacing w:before="0" w:after="0" w:line="240" w:lineRule="auto"/>
      </w:pPr>
      <w:rPr>
        <w:b/>
        <w:bCs/>
      </w:rPr>
      <w:tblPr/>
      <w:tcPr>
        <w:tcBorders>
          <w:top w:val="double" w:sz="6"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1" w:themeFillTint="3F"/>
      </w:tcPr>
    </w:tblStylePr>
    <w:tblStylePr w:type="band1Horz">
      <w:tblPr/>
      <w:tcPr>
        <w:tcBorders>
          <w:insideH w:val="nil"/>
          <w:insideV w:val="nil"/>
        </w:tcBorders>
        <w:shd w:val="clear" w:color="auto" w:fill="8DFFE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tblBorders>
    </w:tblPr>
    <w:tblStylePr w:type="firstRow">
      <w:pPr>
        <w:spacing w:before="0" w:after="0" w:line="240" w:lineRule="auto"/>
      </w:pPr>
      <w:rPr>
        <w:b/>
        <w:bCs/>
        <w:color w:val="FFFFFF" w:themeColor="background1"/>
      </w:rPr>
      <w:tblPr/>
      <w:tcPr>
        <w:tc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shd w:val="clear" w:color="auto" w:fill="00874B" w:themeFill="accent2"/>
      </w:tcPr>
    </w:tblStylePr>
    <w:tblStylePr w:type="lastRow">
      <w:pPr>
        <w:spacing w:before="0" w:after="0" w:line="240" w:lineRule="auto"/>
      </w:pPr>
      <w:rPr>
        <w:b/>
        <w:bCs/>
      </w:rPr>
      <w:tblPr/>
      <w:tcPr>
        <w:tcBorders>
          <w:top w:val="double" w:sz="6"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2" w:themeFillTint="3F"/>
      </w:tcPr>
    </w:tblStylePr>
    <w:tblStylePr w:type="band1Horz">
      <w:tblPr/>
      <w:tcPr>
        <w:tcBorders>
          <w:insideH w:val="nil"/>
          <w:insideV w:val="nil"/>
        </w:tcBorders>
        <w:shd w:val="clear" w:color="auto" w:fill="A2FFD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1"/>
      </w:tcPr>
    </w:tblStylePr>
    <w:tblStylePr w:type="lastCol">
      <w:rPr>
        <w:b/>
        <w:bCs/>
        <w:color w:val="FFFFFF" w:themeColor="background1"/>
      </w:rPr>
      <w:tblPr/>
      <w:tcPr>
        <w:tcBorders>
          <w:left w:val="nil"/>
          <w:right w:val="nil"/>
          <w:insideH w:val="nil"/>
          <w:insideV w:val="nil"/>
        </w:tcBorders>
        <w:shd w:val="clear" w:color="auto" w:fill="00312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2"/>
      </w:tcPr>
    </w:tblStylePr>
    <w:tblStylePr w:type="lastCol">
      <w:rPr>
        <w:b/>
        <w:bCs/>
        <w:color w:val="FFFFFF" w:themeColor="background1"/>
      </w:rPr>
      <w:tblPr/>
      <w:tcPr>
        <w:tcBorders>
          <w:left w:val="nil"/>
          <w:right w:val="nil"/>
          <w:insideH w:val="nil"/>
          <w:insideV w:val="nil"/>
        </w:tcBorders>
        <w:shd w:val="clear" w:color="auto" w:fill="0087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581599"/>
    <w:pPr>
      <w:autoSpaceDE w:val="0"/>
      <w:autoSpaceDN w:val="0"/>
      <w:adjustRightInd w:val="0"/>
      <w:spacing w:line="240" w:lineRule="auto"/>
    </w:pPr>
    <w:rPr>
      <w:rFonts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91609">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oeringsportalen.dk/Hearing/Details/604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0416\AppData\Local\cBrain\F2\.tmp\fdd00c8fa8774b518506c95df3ca2dde.dotx" TargetMode="External"/></Relationships>
</file>

<file path=word/theme/theme1.xml><?xml version="1.0" encoding="utf-8"?>
<a:theme xmlns:a="http://schemas.openxmlformats.org/drawingml/2006/main" name="Kontortema">
  <a:themeElements>
    <a:clrScheme name="MFVM - Departementet/Koncern">
      <a:dk1>
        <a:srgbClr val="000000"/>
      </a:dk1>
      <a:lt1>
        <a:sysClr val="window" lastClr="FFFFFF"/>
      </a:lt1>
      <a:dk2>
        <a:srgbClr val="BFCBC9"/>
      </a:dk2>
      <a:lt2>
        <a:srgbClr val="E5EAE9"/>
      </a:lt2>
      <a:accent1>
        <a:srgbClr val="003127"/>
      </a:accent1>
      <a:accent2>
        <a:srgbClr val="00874B"/>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10AE-8043-4FB9-A956-560FA57B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fdd00c8fa8774b518506c95df3ca2dde.dotx</Template>
  <TotalTime>1</TotalTime>
  <Pages>5</Pages>
  <Words>1325</Words>
  <Characters>8111</Characters>
  <Application>Microsoft Office Word</Application>
  <DocSecurity>0</DocSecurity>
  <Lines>213</Lines>
  <Paragraphs>79</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Malene Maxe Petersen</dc:creator>
  <cp:lastModifiedBy>Thomas Skovgaard Mortensen</cp:lastModifiedBy>
  <cp:revision>3</cp:revision>
  <cp:lastPrinted>2018-12-11T08:44:00Z</cp:lastPrinted>
  <dcterms:created xsi:type="dcterms:W3CDTF">2018-12-11T13:08:00Z</dcterms:created>
  <dcterms:modified xsi:type="dcterms:W3CDTF">2018-12-11T13:08:00Z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43398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Standard</vt:lpwstr>
  </property>
  <property fmtid="{D5CDD505-2E9C-101B-9397-08002B2CF9AE}" pid="17" name="SD_CtlText_General_JournalNrF2">
    <vt:lpwstr>$dossier_f2casenumber$</vt:lpwstr>
  </property>
  <property fmtid="{D5CDD505-2E9C-101B-9397-08002B2CF9AE}" pid="18" name="SD_UserprofileName">
    <vt:lpwstr>Standard</vt:lpwstr>
  </property>
  <property fmtid="{D5CDD505-2E9C-101B-9397-08002B2CF9AE}" pid="19" name="SD_Office_OFF_ID">
    <vt:lpwstr>144</vt:lpwstr>
  </property>
  <property fmtid="{D5CDD505-2E9C-101B-9397-08002B2CF9AE}" pid="20" name="CurrentOfficeID">
    <vt:lpwstr>144</vt:lpwstr>
  </property>
  <property fmtid="{D5CDD505-2E9C-101B-9397-08002B2CF9AE}" pid="21" name="SD_Office_OFF_Organisation">
    <vt:lpwstr>MFVM</vt:lpwstr>
  </property>
  <property fmtid="{D5CDD505-2E9C-101B-9397-08002B2CF9AE}" pid="22" name="SD_Office_OFF_ArtworkDefinition">
    <vt:lpwstr>MFVM</vt:lpwstr>
  </property>
  <property fmtid="{D5CDD505-2E9C-101B-9397-08002B2CF9AE}" pid="23" name="SD_Office_OFF_LogoFileName">
    <vt:lpwstr>Departementet</vt:lpwstr>
  </property>
  <property fmtid="{D5CDD505-2E9C-101B-9397-08002B2CF9AE}" pid="24" name="SD_Office_OFF_Institution">
    <vt:lpwstr>Miljø- og Fødevareministeriet</vt:lpwstr>
  </property>
  <property fmtid="{D5CDD505-2E9C-101B-9397-08002B2CF9AE}" pid="25" name="SD_Office_OFF_Institution_EN">
    <vt:lpwstr>Ministry of Environment and Food</vt:lpwstr>
  </property>
  <property fmtid="{D5CDD505-2E9C-101B-9397-08002B2CF9AE}" pid="26" name="SD_Office_OFF_kontor">
    <vt:lpwstr>Ressourcer og Forsyning</vt:lpwstr>
  </property>
  <property fmtid="{D5CDD505-2E9C-101B-9397-08002B2CF9AE}" pid="27" name="SD_Office_OFF_Department">
    <vt:lpwstr>Ressourcer og Forsyning</vt:lpwstr>
  </property>
  <property fmtid="{D5CDD505-2E9C-101B-9397-08002B2CF9AE}" pid="28" name="SD_Office_OFF_Department_EN">
    <vt:lpwstr>Ressourcer og Forsyning</vt:lpwstr>
  </property>
  <property fmtid="{D5CDD505-2E9C-101B-9397-08002B2CF9AE}" pid="29" name="SD_Office_OFF_Footertext">
    <vt:lpwstr/>
  </property>
  <property fmtid="{D5CDD505-2E9C-101B-9397-08002B2CF9AE}" pid="30" name="SD_Office_OFF_AddressA">
    <vt:lpwstr>Slotsholmsgade 12</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Slotsholmsgade 12</vt:lpwstr>
  </property>
  <property fmtid="{D5CDD505-2E9C-101B-9397-08002B2CF9AE}" pid="34" name="SD_Office_OFF_AddressD">
    <vt:lpwstr>1216</vt:lpwstr>
  </property>
  <property fmtid="{D5CDD505-2E9C-101B-9397-08002B2CF9AE}" pid="35" name="SD_Office_OFF_City">
    <vt:lpwstr>København K</vt:lpwstr>
  </property>
  <property fmtid="{D5CDD505-2E9C-101B-9397-08002B2CF9AE}" pid="36" name="SD_Office_OFF_City_EN">
    <vt:lpwstr>Copenhagen K Denmark</vt:lpwstr>
  </property>
  <property fmtid="{D5CDD505-2E9C-101B-9397-08002B2CF9AE}" pid="37" name="SD_Office_OFF_Phone">
    <vt:lpwstr>38 14 21 42</vt:lpwstr>
  </property>
  <property fmtid="{D5CDD505-2E9C-101B-9397-08002B2CF9AE}" pid="38" name="SD_Office_OFF_Phone_EN">
    <vt:lpwstr>+45 38 14 21 42</vt:lpwstr>
  </property>
  <property fmtid="{D5CDD505-2E9C-101B-9397-08002B2CF9AE}" pid="39" name="SD_Office_OFF_Fax">
    <vt:lpwstr>33 14 50 42</vt:lpwstr>
  </property>
  <property fmtid="{D5CDD505-2E9C-101B-9397-08002B2CF9AE}" pid="40" name="SD_Office_OFF_Fax_EN">
    <vt:lpwstr>+45 33 14 50 42</vt:lpwstr>
  </property>
  <property fmtid="{D5CDD505-2E9C-101B-9397-08002B2CF9AE}" pid="41" name="SD_Office_OFF_Email">
    <vt:lpwstr>mfvm@mfvm.dk</vt:lpwstr>
  </property>
  <property fmtid="{D5CDD505-2E9C-101B-9397-08002B2CF9AE}" pid="42" name="SD_Office_OFF_Web">
    <vt:lpwstr>www.mfvm.dk</vt:lpwstr>
  </property>
  <property fmtid="{D5CDD505-2E9C-101B-9397-08002B2CF9AE}" pid="43" name="SD_Office_OFF_CVR">
    <vt:lpwstr>12854358</vt:lpwstr>
  </property>
  <property fmtid="{D5CDD505-2E9C-101B-9397-08002B2CF9AE}" pid="44" name="SD_Office_OFF_EAN">
    <vt:lpwstr>5798000862005</vt:lpwstr>
  </property>
  <property fmtid="{D5CDD505-2E9C-101B-9397-08002B2CF9AE}" pid="45" name="SD_Office_OFF_EAN_EN">
    <vt:lpwstr>5798000862005</vt:lpwstr>
  </property>
  <property fmtid="{D5CDD505-2E9C-101B-9397-08002B2CF9AE}" pid="46" name="SD_Office_OFF_ColorTheme">
    <vt:lpwstr>MFVM - Departementet_Koncern</vt:lpwstr>
  </property>
  <property fmtid="{D5CDD505-2E9C-101B-9397-08002B2CF9AE}" pid="47" name="LastCompletedArtworkDefinition">
    <vt:lpwstr>MFVM</vt:lpwstr>
  </property>
  <property fmtid="{D5CDD505-2E9C-101B-9397-08002B2CF9AE}" pid="48" name="USR_Name">
    <vt:lpwstr>Malene Maxe Petersen</vt:lpwstr>
  </property>
  <property fmtid="{D5CDD505-2E9C-101B-9397-08002B2CF9AE}" pid="49" name="USR_Initials">
    <vt:lpwstr>MAMPE</vt:lpwstr>
  </property>
  <property fmtid="{D5CDD505-2E9C-101B-9397-08002B2CF9AE}" pid="50" name="USR_Title">
    <vt:lpwstr>Specialkonsulent</vt:lpwstr>
  </property>
  <property fmtid="{D5CDD505-2E9C-101B-9397-08002B2CF9AE}" pid="51" name="USR_DirectPhone">
    <vt:lpwstr>+45 22 49 05 75</vt:lpwstr>
  </property>
  <property fmtid="{D5CDD505-2E9C-101B-9397-08002B2CF9AE}" pid="52" name="USR_Mobile">
    <vt:lpwstr>+45 22 49 05 75</vt:lpwstr>
  </property>
  <property fmtid="{D5CDD505-2E9C-101B-9397-08002B2CF9AE}" pid="53" name="USR_Email">
    <vt:lpwstr>mampe@mfvm.dk</vt:lpwstr>
  </property>
  <property fmtid="{D5CDD505-2E9C-101B-9397-08002B2CF9AE}" pid="54" name="DocumentInfoFinished">
    <vt:lpwstr>True</vt:lpwstr>
  </property>
  <property fmtid="{D5CDD505-2E9C-101B-9397-08002B2CF9AE}" pid="55" name="SD_IntegrationInfoAdded">
    <vt:bool>true</vt:bool>
  </property>
</Properties>
</file>