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5" w:rsidRPr="00335DE3" w:rsidRDefault="00155295" w:rsidP="005671A1">
      <w:pPr>
        <w:rPr>
          <w:strike/>
        </w:rPr>
      </w:pPr>
      <w:r>
        <w:t>Til de på listen anførte</w:t>
      </w:r>
    </w:p>
    <w:p w:rsidR="00155295" w:rsidRDefault="00155295" w:rsidP="005671A1"/>
    <w:p w:rsidR="00B9663D" w:rsidRDefault="00B9663D" w:rsidP="00155295">
      <w:bookmarkStart w:id="0" w:name="start"/>
    </w:p>
    <w:p w:rsidR="00B9663D" w:rsidRDefault="00B9663D" w:rsidP="00155295"/>
    <w:p w:rsidR="00B9663D" w:rsidRDefault="00B9663D" w:rsidP="00155295"/>
    <w:p w:rsidR="00155295" w:rsidRPr="00155295" w:rsidRDefault="00B9663D" w:rsidP="00155295">
      <w:sdt>
        <w:sdtPr>
          <w:alias w:val="(Dokument) Titel"/>
          <w:id w:val="-395515606"/>
          <w:placeholder>
            <w:docPart w:val="DC51119E484B41C8AC3C4BAD67DA6069"/>
          </w:placeholder>
          <w:dataBinding w:prefixMappings="xmlns:ns0='Captia'" w:xpath="/ns0:Root[1]/ns0:record/ns0:Content[@id='title']/ns0:Value[1]" w:storeItemID="{00000000-0000-0000-0000-000000000000}"/>
          <w:text/>
        </w:sdtPr>
        <w:sdtEndPr/>
        <w:sdtContent>
          <w:r w:rsidR="00155295" w:rsidRPr="00155295">
            <w:t>Høringsliste: Udkast til revideret bekendtgørelse om pant og indsamling m.v. af emballager til visse drikkevarer</w:t>
          </w:r>
        </w:sdtContent>
      </w:sdt>
      <w:bookmarkEnd w:id="0"/>
    </w:p>
    <w:p w:rsidR="00155295" w:rsidRPr="00155295" w:rsidRDefault="00155295" w:rsidP="00155295"/>
    <w:p w:rsidR="00155295" w:rsidRPr="00155295" w:rsidRDefault="00155295" w:rsidP="00155295">
      <w:r w:rsidRPr="00155295">
        <w:t>Høringsparter fra høringsdatabasen:</w:t>
      </w:r>
    </w:p>
    <w:tbl>
      <w:tblPr>
        <w:tblW w:w="47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</w:tblGrid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92-gruppen Forum for bæredygtig udvikling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Arbejderbevægelsens Erhvervsrådssekretariat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Beskæftigelsesministeriet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Brancheforeningen for Genanvendelse af Organiske Restprodukter til Jordbrugsformål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Bryggeriforeningen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COOP Danmark A/S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Carlsberg Breweries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Centralorganisationernes Fællesudvalg (CFU)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DAKOFA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DCA - Nationalt Center for Fødevarer og Jordbrug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DCE - Nationalt Center for Miljø og Energi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Dagrofra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 Energi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 Energi Brancheforening (DGB)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 Erhvervsfremme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892C63" w:rsidP="00155295">
            <w:r>
              <w:t>DI</w:t>
            </w:r>
            <w:r w:rsidR="00155295" w:rsidRPr="00155295">
              <w:t xml:space="preserve">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 Supermarked A/S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 Transport og Logistik (DTL)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Danske Advokater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Danske Regioner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Danske Ølentusiaster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De Samvirkende Købmænd i Danmark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Den Danske Dyrlægeforening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Erhvervsstyrelsen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Fagligt Fælles Forbund 3F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Finansministeriet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Forbrugerrådet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Foreningen af Forlystelsesparker i Danmark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Foreningen af Rådgivende Ingeniører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Foreningen af statsautoriserede revisorer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Genvindingsindustrien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Greenpeace, Danmark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HK-Kommunal Miljøudvalg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Hancock Bryggerierne A/S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Harboes Bryggeri A/S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lastRenderedPageBreak/>
              <w:t xml:space="preserve">Horesta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International Transport Danmark (ITD)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Justitsministeriet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KL (kommunernes landsforening)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Konkurrence- og Forbrugerstyrelsen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NOAH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Patent- og Varemærkestyrelsen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Plastindustrien i Danmark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pPr>
              <w:rPr>
                <w:lang w:val="en-US"/>
              </w:rPr>
            </w:pPr>
            <w:r w:rsidRPr="00155295">
              <w:rPr>
                <w:lang w:val="en-US"/>
              </w:rPr>
              <w:t xml:space="preserve">SWS - Special Waste System A/S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Skatteministeriet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Statsministeriet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Transportministeriet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Udenrigsministeriet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WWF Verdensnaturfonden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Økonomi- og Indenrigsministeriet </w:t>
            </w:r>
          </w:p>
        </w:tc>
      </w:tr>
    </w:tbl>
    <w:p w:rsidR="00155295" w:rsidRPr="00155295" w:rsidRDefault="00155295" w:rsidP="00155295">
      <w:pPr>
        <w:rPr>
          <w:lang w:val="en-US"/>
        </w:rPr>
      </w:pPr>
    </w:p>
    <w:p w:rsidR="00155295" w:rsidRPr="00155295" w:rsidRDefault="00155295" w:rsidP="00155295">
      <w:pPr>
        <w:rPr>
          <w:lang w:val="en-US"/>
        </w:rPr>
      </w:pPr>
      <w:r w:rsidRPr="00155295">
        <w:rPr>
          <w:lang w:val="en-US"/>
        </w:rPr>
        <w:t>Manuelt tilføjede høringsparter:</w:t>
      </w:r>
    </w:p>
    <w:tbl>
      <w:tblPr>
        <w:tblW w:w="47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</w:tblGrid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>Advokatsamfundet</w:t>
            </w:r>
          </w:p>
        </w:tc>
      </w:tr>
      <w:tr w:rsidR="00B566B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566B5" w:rsidRPr="00155295" w:rsidRDefault="00B566B5" w:rsidP="00155295">
            <w:r>
              <w:t>Advokatrådet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155295" w:rsidRPr="00155295" w:rsidRDefault="00155295" w:rsidP="00155295">
            <w:r w:rsidRPr="00155295">
              <w:t>AKD Distribution ApS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pPr>
              <w:rPr>
                <w:lang w:val="en-US"/>
              </w:rPr>
            </w:pPr>
            <w:r w:rsidRPr="00155295">
              <w:t xml:space="preserve">AKD Gruppen A/S </w:t>
            </w:r>
          </w:p>
        </w:tc>
      </w:tr>
      <w:tr w:rsidR="00D57EFF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D57EFF" w:rsidRPr="00155295" w:rsidRDefault="00D57EFF" w:rsidP="00155295">
            <w:r>
              <w:t xml:space="preserve">Arla Foods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pPr>
              <w:rPr>
                <w:lang w:val="en-US"/>
              </w:rPr>
            </w:pPr>
            <w:r w:rsidRPr="00155295">
              <w:rPr>
                <w:lang w:val="en-US"/>
              </w:rPr>
              <w:t xml:space="preserve">Aqua d´or Mineral Water A/S </w:t>
            </w:r>
          </w:p>
        </w:tc>
      </w:tr>
      <w:tr w:rsidR="00892C63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892C63" w:rsidRPr="00155295" w:rsidRDefault="00892C63" w:rsidP="00155295">
            <w:pPr>
              <w:rPr>
                <w:lang w:val="en-US"/>
              </w:rPr>
            </w:pPr>
            <w:r>
              <w:rPr>
                <w:lang w:val="en-US"/>
              </w:rPr>
              <w:t>Danmarks Naturfredningsforening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>Danmarks Restauranter og Cafeer   </w:t>
            </w:r>
          </w:p>
        </w:tc>
      </w:tr>
      <w:tr w:rsidR="000858DD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0858DD" w:rsidRPr="00155295" w:rsidRDefault="000858DD" w:rsidP="00155295">
            <w:r>
              <w:t>Dansk Affaldsforening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pPr>
              <w:rPr>
                <w:lang w:val="en-US"/>
              </w:rPr>
            </w:pPr>
            <w:r w:rsidRPr="00155295">
              <w:t xml:space="preserve">Dansk Dagligvareleverandør Forening, DLF </w:t>
            </w:r>
          </w:p>
        </w:tc>
      </w:tr>
      <w:tr w:rsidR="00892C63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892C63" w:rsidRPr="00155295" w:rsidRDefault="00892C63" w:rsidP="00155295">
            <w:r>
              <w:t>Dansk Erhverv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rPr>
                <w:lang w:val="en-US"/>
              </w:rPr>
              <w:t xml:space="preserve">Dansk Retursystem A/S </w:t>
            </w:r>
            <w:hyperlink r:id="rId8" w:history="1"/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Danske Ølentusiaster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pPr>
              <w:rPr>
                <w:lang w:val="en-US"/>
              </w:rPr>
            </w:pPr>
            <w:r w:rsidRPr="00155295">
              <w:t xml:space="preserve">Emballageindustrien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rPr>
                <w:lang w:val="en-US"/>
              </w:rPr>
              <w:t xml:space="preserve">Hansen &amp; Co. A/S </w:t>
            </w:r>
          </w:p>
        </w:tc>
      </w:tr>
      <w:tr w:rsidR="00892C63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892C63" w:rsidRPr="00155295" w:rsidRDefault="00892C63" w:rsidP="00155295">
            <w:r>
              <w:t xml:space="preserve">Landbrug og Fødevarer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Lidl Danmark K/S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Nærbutikkernes Landsforening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Peter Skafte ApS </w:t>
            </w:r>
          </w:p>
        </w:tc>
      </w:tr>
      <w:tr w:rsidR="00581B8E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581B8E" w:rsidRPr="00155295" w:rsidRDefault="00581B8E" w:rsidP="00155295">
            <w:r>
              <w:t>Plastindustrien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Rigsrevisionen </w:t>
            </w:r>
          </w:p>
        </w:tc>
      </w:tr>
      <w:tr w:rsidR="00D57EFF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D57EFF" w:rsidRPr="00155295" w:rsidRDefault="00D57EFF" w:rsidP="00155295">
            <w:r>
              <w:t>Rynkeby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hideMark/>
          </w:tcPr>
          <w:p w:rsidR="00155295" w:rsidRPr="00155295" w:rsidRDefault="00155295" w:rsidP="00155295">
            <w:r w:rsidRPr="00155295">
              <w:t xml:space="preserve">TheoBrands A/S </w:t>
            </w:r>
          </w:p>
        </w:tc>
      </w:tr>
      <w:tr w:rsidR="00155295" w:rsidRPr="00155295" w:rsidTr="003B1969">
        <w:trPr>
          <w:trHeight w:val="270"/>
          <w:tblCellSpacing w:w="0" w:type="dxa"/>
        </w:trPr>
        <w:tc>
          <w:tcPr>
            <w:tcW w:w="5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155295" w:rsidRPr="00155295" w:rsidRDefault="00155295" w:rsidP="00155295">
            <w:r w:rsidRPr="00155295">
              <w:t xml:space="preserve">VSOD, Vin og Spiritus Organisationen i Danmark </w:t>
            </w:r>
          </w:p>
        </w:tc>
      </w:tr>
    </w:tbl>
    <w:p w:rsidR="00155295" w:rsidRPr="00155295" w:rsidRDefault="00155295" w:rsidP="00155295"/>
    <w:p w:rsidR="00B9663D" w:rsidRDefault="00B9663D" w:rsidP="00155295">
      <w:bookmarkStart w:id="1" w:name="mvh"/>
    </w:p>
    <w:p w:rsidR="00B9663D" w:rsidRDefault="00B9663D" w:rsidP="00155295"/>
    <w:p w:rsidR="00155295" w:rsidRPr="00155295" w:rsidRDefault="00155295" w:rsidP="00155295">
      <w:bookmarkStart w:id="2" w:name="_GoBack"/>
      <w:bookmarkEnd w:id="2"/>
      <w:r w:rsidRPr="00155295">
        <w:t>Med venlig hilsen</w:t>
      </w:r>
      <w:bookmarkEnd w:id="1"/>
    </w:p>
    <w:p w:rsidR="00155295" w:rsidRPr="00155295" w:rsidRDefault="00155295" w:rsidP="00155295"/>
    <w:p w:rsidR="00155295" w:rsidRPr="00155295" w:rsidRDefault="00155295" w:rsidP="00155295"/>
    <w:p w:rsidR="00155295" w:rsidRPr="00155295" w:rsidRDefault="00155295" w:rsidP="005671A1">
      <w:r>
        <w:t xml:space="preserve">Katrine Henckel Harloff </w:t>
      </w:r>
    </w:p>
    <w:sectPr w:rsidR="00155295" w:rsidRPr="00155295" w:rsidSect="00486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95" w:rsidRDefault="00155295">
      <w:r>
        <w:separator/>
      </w:r>
    </w:p>
  </w:endnote>
  <w:endnote w:type="continuationSeparator" w:id="0">
    <w:p w:rsidR="00155295" w:rsidRDefault="0015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55295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9663D">
      <w:rPr>
        <w:rStyle w:val="Sidetal"/>
        <w:noProof/>
      </w:rPr>
      <w:t>3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5" w:rsidRPr="00155295" w:rsidRDefault="00155295" w:rsidP="00155295">
    <w:pPr>
      <w:pStyle w:val="Template-Address"/>
      <w:rPr>
        <w:lang w:val="en-GB"/>
      </w:rPr>
    </w:pPr>
    <w:bookmarkStart w:id="5" w:name="OFF_Institution"/>
    <w:bookmarkStart w:id="6" w:name="OFF_InstitutionHIF"/>
    <w:bookmarkStart w:id="7" w:name="XIF_MMFirstAddressLine"/>
    <w:r w:rsidRPr="00155295">
      <w:rPr>
        <w:lang w:val="en-GB"/>
      </w:rPr>
      <w:t>Miljø- og Fødevareministeriet</w:t>
    </w:r>
    <w:bookmarkEnd w:id="5"/>
    <w:r w:rsidRPr="00155295">
      <w:rPr>
        <w:lang w:val="en-GB"/>
      </w:rPr>
      <w:t xml:space="preserve"> </w:t>
    </w:r>
    <w:bookmarkEnd w:id="6"/>
    <w:r w:rsidRPr="00155295">
      <w:rPr>
        <w:lang w:val="en-GB"/>
      </w:rPr>
      <w:t xml:space="preserve">• </w:t>
    </w:r>
    <w:bookmarkStart w:id="8" w:name="OFF_AddressA"/>
    <w:bookmarkStart w:id="9" w:name="OFF_AddressAHIF"/>
    <w:r w:rsidRPr="00155295">
      <w:rPr>
        <w:lang w:val="en-GB"/>
      </w:rPr>
      <w:t>Slotsholmsgade 12</w:t>
    </w:r>
    <w:bookmarkEnd w:id="8"/>
    <w:r w:rsidRPr="00155295">
      <w:rPr>
        <w:lang w:val="en-GB"/>
      </w:rPr>
      <w:t xml:space="preserve"> </w:t>
    </w:r>
    <w:bookmarkEnd w:id="9"/>
    <w:r w:rsidRPr="00155295">
      <w:rPr>
        <w:vanish/>
        <w:lang w:val="en-GB"/>
      </w:rPr>
      <w:t xml:space="preserve">• </w:t>
    </w:r>
    <w:bookmarkStart w:id="10" w:name="OFF_AddressB"/>
    <w:bookmarkStart w:id="11" w:name="OFF_AddressBHIF"/>
    <w:bookmarkEnd w:id="10"/>
    <w:r w:rsidRPr="00155295">
      <w:rPr>
        <w:vanish/>
        <w:lang w:val="en-GB"/>
      </w:rPr>
      <w:t xml:space="preserve"> </w:t>
    </w:r>
    <w:bookmarkEnd w:id="11"/>
    <w:r w:rsidRPr="00155295">
      <w:rPr>
        <w:vanish/>
        <w:lang w:val="en-GB"/>
      </w:rPr>
      <w:t xml:space="preserve">• </w:t>
    </w:r>
    <w:bookmarkStart w:id="12" w:name="OFF_AddressC"/>
    <w:bookmarkStart w:id="13" w:name="OFF_AddressCHIF"/>
    <w:bookmarkEnd w:id="12"/>
    <w:r w:rsidRPr="00155295">
      <w:rPr>
        <w:vanish/>
        <w:lang w:val="en-GB"/>
      </w:rPr>
      <w:t xml:space="preserve"> </w:t>
    </w:r>
    <w:bookmarkEnd w:id="13"/>
    <w:r w:rsidRPr="00155295">
      <w:rPr>
        <w:lang w:val="en-GB"/>
      </w:rPr>
      <w:t xml:space="preserve">• </w:t>
    </w:r>
    <w:bookmarkStart w:id="14" w:name="OFF_AddressD"/>
    <w:bookmarkStart w:id="15" w:name="OFF_AddressDHIF"/>
    <w:r w:rsidRPr="00155295">
      <w:rPr>
        <w:lang w:val="en-GB"/>
      </w:rPr>
      <w:t>1216</w:t>
    </w:r>
    <w:bookmarkEnd w:id="14"/>
    <w:r w:rsidRPr="00155295">
      <w:rPr>
        <w:lang w:val="en-GB"/>
      </w:rPr>
      <w:t xml:space="preserve"> </w:t>
    </w:r>
    <w:bookmarkStart w:id="16" w:name="OFF_City"/>
    <w:r>
      <w:rPr>
        <w:lang w:val="en-GB"/>
      </w:rPr>
      <w:t>København K</w:t>
    </w:r>
    <w:bookmarkEnd w:id="16"/>
    <w:r w:rsidRPr="00155295">
      <w:rPr>
        <w:lang w:val="en-GB"/>
      </w:rPr>
      <w:t xml:space="preserve"> </w:t>
    </w:r>
    <w:bookmarkEnd w:id="15"/>
  </w:p>
  <w:p w:rsidR="00155295" w:rsidRPr="00EB0D24" w:rsidRDefault="00155295" w:rsidP="00155295">
    <w:pPr>
      <w:pStyle w:val="Template-Address"/>
      <w:rPr>
        <w:lang w:val="en-GB"/>
      </w:rPr>
    </w:pPr>
    <w:bookmarkStart w:id="17" w:name="LAN_Phone"/>
    <w:bookmarkStart w:id="18" w:name="OFF_PhoneHIF"/>
    <w:bookmarkStart w:id="19" w:name="XIF_MMSecondAddressLine"/>
    <w:bookmarkEnd w:id="7"/>
    <w:r w:rsidRPr="00155295">
      <w:rPr>
        <w:lang w:val="en-GB"/>
      </w:rPr>
      <w:t>Tlf.</w:t>
    </w:r>
    <w:bookmarkEnd w:id="17"/>
    <w:r w:rsidRPr="00155295">
      <w:rPr>
        <w:lang w:val="en-GB"/>
      </w:rPr>
      <w:t xml:space="preserve"> </w:t>
    </w:r>
    <w:bookmarkStart w:id="20" w:name="OFF_Phone"/>
    <w:r w:rsidRPr="00155295">
      <w:rPr>
        <w:lang w:val="en-GB"/>
      </w:rPr>
      <w:t>38 14 21 42</w:t>
    </w:r>
    <w:bookmarkEnd w:id="20"/>
    <w:r w:rsidRPr="00155295">
      <w:rPr>
        <w:lang w:val="en-GB"/>
      </w:rPr>
      <w:t xml:space="preserve"> </w:t>
    </w:r>
    <w:bookmarkEnd w:id="18"/>
    <w:r w:rsidRPr="00155295">
      <w:rPr>
        <w:lang w:val="en-GB"/>
      </w:rPr>
      <w:t xml:space="preserve">• </w:t>
    </w:r>
    <w:bookmarkStart w:id="21" w:name="LAN_Fax"/>
    <w:bookmarkStart w:id="22" w:name="OFF_FaxHIF"/>
    <w:r w:rsidRPr="00155295">
      <w:rPr>
        <w:lang w:val="en-GB"/>
      </w:rPr>
      <w:t>Fax</w:t>
    </w:r>
    <w:bookmarkEnd w:id="21"/>
    <w:r w:rsidRPr="00155295">
      <w:rPr>
        <w:lang w:val="en-GB"/>
      </w:rPr>
      <w:t xml:space="preserve"> </w:t>
    </w:r>
    <w:bookmarkStart w:id="23" w:name="OFF_Fax"/>
    <w:r w:rsidRPr="00155295">
      <w:rPr>
        <w:lang w:val="en-GB"/>
      </w:rPr>
      <w:t>33 14 50 42</w:t>
    </w:r>
    <w:bookmarkEnd w:id="23"/>
    <w:r w:rsidRPr="00155295">
      <w:rPr>
        <w:lang w:val="en-GB"/>
      </w:rPr>
      <w:t xml:space="preserve"> </w:t>
    </w:r>
    <w:bookmarkEnd w:id="22"/>
    <w:r w:rsidRPr="00155295">
      <w:rPr>
        <w:lang w:val="en-GB"/>
      </w:rPr>
      <w:t xml:space="preserve">• </w:t>
    </w:r>
    <w:bookmarkStart w:id="24" w:name="OFF_CVRHIF"/>
    <w:r w:rsidRPr="00155295">
      <w:rPr>
        <w:lang w:val="en-GB"/>
      </w:rPr>
      <w:t xml:space="preserve">CVR </w:t>
    </w:r>
    <w:bookmarkStart w:id="25" w:name="OFF_CVR"/>
    <w:r w:rsidRPr="00155295">
      <w:rPr>
        <w:lang w:val="en-GB"/>
      </w:rPr>
      <w:t>12854358</w:t>
    </w:r>
    <w:bookmarkEnd w:id="25"/>
    <w:r w:rsidRPr="00155295">
      <w:rPr>
        <w:lang w:val="en-GB"/>
      </w:rPr>
      <w:t xml:space="preserve"> </w:t>
    </w:r>
    <w:bookmarkEnd w:id="24"/>
    <w:r w:rsidRPr="00155295">
      <w:rPr>
        <w:lang w:val="en-GB"/>
      </w:rPr>
      <w:t xml:space="preserve">• </w:t>
    </w:r>
    <w:bookmarkStart w:id="26" w:name="OFF_EANHIF"/>
    <w:r w:rsidRPr="00155295">
      <w:rPr>
        <w:lang w:val="en-GB"/>
      </w:rPr>
      <w:t xml:space="preserve">EAN </w:t>
    </w:r>
    <w:bookmarkStart w:id="27" w:name="OFF_EAN"/>
    <w:r w:rsidRPr="00155295">
      <w:rPr>
        <w:lang w:val="en-GB"/>
      </w:rPr>
      <w:t>5798000862005</w:t>
    </w:r>
    <w:bookmarkEnd w:id="27"/>
    <w:r w:rsidRPr="00155295">
      <w:rPr>
        <w:lang w:val="en-GB"/>
      </w:rPr>
      <w:t xml:space="preserve"> </w:t>
    </w:r>
    <w:bookmarkEnd w:id="26"/>
    <w:r w:rsidRPr="00155295">
      <w:rPr>
        <w:lang w:val="en-GB"/>
      </w:rPr>
      <w:t xml:space="preserve">• </w:t>
    </w:r>
    <w:bookmarkStart w:id="28" w:name="OFF_Email"/>
    <w:bookmarkStart w:id="29" w:name="OFF_EmailHIF"/>
    <w:r w:rsidRPr="00155295">
      <w:rPr>
        <w:lang w:val="en-GB"/>
      </w:rPr>
      <w:t>mfvm@mfvm.dk</w:t>
    </w:r>
    <w:bookmarkEnd w:id="28"/>
    <w:r w:rsidRPr="00155295">
      <w:rPr>
        <w:lang w:val="en-GB"/>
      </w:rPr>
      <w:t xml:space="preserve"> </w:t>
    </w:r>
    <w:bookmarkEnd w:id="29"/>
    <w:r w:rsidRPr="00155295">
      <w:rPr>
        <w:lang w:val="en-GB"/>
      </w:rPr>
      <w:t xml:space="preserve">• </w:t>
    </w:r>
    <w:bookmarkStart w:id="30" w:name="OFF_Web"/>
    <w:bookmarkStart w:id="31" w:name="OFF_WebHIF"/>
    <w:r w:rsidRPr="00155295">
      <w:rPr>
        <w:lang w:val="en-GB"/>
      </w:rPr>
      <w:t>www.mfvm.dk</w:t>
    </w:r>
    <w:bookmarkEnd w:id="30"/>
    <w:r w:rsidRPr="00155295">
      <w:rPr>
        <w:lang w:val="en-GB"/>
      </w:rPr>
      <w:t xml:space="preserve"> </w:t>
    </w:r>
    <w:bookmarkEnd w:id="19"/>
    <w:bookmarkEnd w:id="31"/>
  </w:p>
  <w:p w:rsidR="0048667B" w:rsidRPr="00155295" w:rsidRDefault="0048667B" w:rsidP="0015529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95" w:rsidRDefault="00155295">
      <w:r>
        <w:separator/>
      </w:r>
    </w:p>
  </w:footnote>
  <w:footnote w:type="continuationSeparator" w:id="0">
    <w:p w:rsidR="00155295" w:rsidRDefault="0015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5" w:rsidRDefault="0015529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3" w:name="BIT_PrimaryHeader"/>
  </w:p>
  <w:bookmarkEnd w:id="3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27" w:rsidRDefault="00155295">
    <w:pPr>
      <w:pStyle w:val="Sidehoved"/>
    </w:pPr>
    <w:bookmarkStart w:id="4" w:name="BIT_FirstPageHeader"/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95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58DD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5295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35DE3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81B8E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6F5F7A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92C63"/>
    <w:rsid w:val="008A1C6B"/>
    <w:rsid w:val="008B1B83"/>
    <w:rsid w:val="008B3ADA"/>
    <w:rsid w:val="008C5F4A"/>
    <w:rsid w:val="008D1674"/>
    <w:rsid w:val="008D501A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13F1"/>
    <w:rsid w:val="009C37F8"/>
    <w:rsid w:val="009C6BB2"/>
    <w:rsid w:val="009D5BA3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566B5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9663D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57EFF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sk-retursystem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%20og%20adre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1119E484B41C8AC3C4BAD67DA60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DF28D-DA8C-48A9-9F4E-D07C9813434A}"/>
      </w:docPartPr>
      <w:docPartBody>
        <w:p w:rsidR="00471105" w:rsidRDefault="00B030E9" w:rsidP="00B030E9">
          <w:pPr>
            <w:pStyle w:val="DC51119E484B41C8AC3C4BAD67DA6069"/>
          </w:pPr>
          <w:r w:rsidRPr="0048098D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E9"/>
    <w:rsid w:val="00471105"/>
    <w:rsid w:val="00B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030E9"/>
    <w:rPr>
      <w:color w:val="808080"/>
    </w:rPr>
  </w:style>
  <w:style w:type="paragraph" w:customStyle="1" w:styleId="C94F69D9CEDE4EF2AAB3CD08AD2AD153">
    <w:name w:val="C94F69D9CEDE4EF2AAB3CD08AD2AD153"/>
    <w:rsid w:val="00B030E9"/>
  </w:style>
  <w:style w:type="paragraph" w:customStyle="1" w:styleId="DC51119E484B41C8AC3C4BAD67DA6069">
    <w:name w:val="DC51119E484B41C8AC3C4BAD67DA6069"/>
    <w:rsid w:val="00B030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030E9"/>
    <w:rPr>
      <w:color w:val="808080"/>
    </w:rPr>
  </w:style>
  <w:style w:type="paragraph" w:customStyle="1" w:styleId="C94F69D9CEDE4EF2AAB3CD08AD2AD153">
    <w:name w:val="C94F69D9CEDE4EF2AAB3CD08AD2AD153"/>
    <w:rsid w:val="00B030E9"/>
  </w:style>
  <w:style w:type="paragraph" w:customStyle="1" w:styleId="DC51119E484B41C8AC3C4BAD67DA6069">
    <w:name w:val="DC51119E484B41C8AC3C4BAD67DA6069"/>
    <w:rsid w:val="00B03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120</TotalTime>
  <Pages>3</Pages>
  <Words>320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Katrine Henckel Harloff</dc:creator>
  <cp:lastModifiedBy>Katrine Henckel Harloff</cp:lastModifiedBy>
  <cp:revision>6</cp:revision>
  <cp:lastPrinted>2018-10-15T11:08:00Z</cp:lastPrinted>
  <dcterms:created xsi:type="dcterms:W3CDTF">2018-10-11T12:04:00Z</dcterms:created>
  <dcterms:modified xsi:type="dcterms:W3CDTF">2018-10-15T12:30:00Z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Katrine Henckel Harloff </vt:lpwstr>
  </property>
  <property fmtid="{D5CDD505-2E9C-101B-9397-08002B2CF9AE}" pid="15" name="SD_UserprofileName">
    <vt:lpwstr>Katrine Henckel Harloff </vt:lpwstr>
  </property>
  <property fmtid="{D5CDD505-2E9C-101B-9397-08002B2CF9AE}" pid="16" name="SD_Office_OFF_ID">
    <vt:lpwstr>144</vt:lpwstr>
  </property>
  <property fmtid="{D5CDD505-2E9C-101B-9397-08002B2CF9AE}" pid="17" name="CurrentOfficeID">
    <vt:lpwstr>144</vt:lpwstr>
  </property>
  <property fmtid="{D5CDD505-2E9C-101B-9397-08002B2CF9AE}" pid="18" name="SD_Office_OFF_Organisation">
    <vt:lpwstr>MFVM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Departementet</vt:lpwstr>
  </property>
  <property fmtid="{D5CDD505-2E9C-101B-9397-08002B2CF9AE}" pid="21" name="SD_Office_OFF_Institution">
    <vt:lpwstr>Miljø- og Fødevareministeriet</vt:lpwstr>
  </property>
  <property fmtid="{D5CDD505-2E9C-101B-9397-08002B2CF9AE}" pid="22" name="SD_Office_OFF_Institution_EN">
    <vt:lpwstr>Ministry of Environment and Food</vt:lpwstr>
  </property>
  <property fmtid="{D5CDD505-2E9C-101B-9397-08002B2CF9AE}" pid="23" name="SD_Office_OFF_kontor">
    <vt:lpwstr>Ressourcer og Forsyning</vt:lpwstr>
  </property>
  <property fmtid="{D5CDD505-2E9C-101B-9397-08002B2CF9AE}" pid="24" name="SD_Office_OFF_Department">
    <vt:lpwstr>Ressourcer og Forsyning</vt:lpwstr>
  </property>
  <property fmtid="{D5CDD505-2E9C-101B-9397-08002B2CF9AE}" pid="25" name="SD_Office_OFF_Department_EN">
    <vt:lpwstr>Ressourcer og Forsyning</vt:lpwstr>
  </property>
  <property fmtid="{D5CDD505-2E9C-101B-9397-08002B2CF9AE}" pid="26" name="SD_Office_OFF_Footertext">
    <vt:lpwstr/>
  </property>
  <property fmtid="{D5CDD505-2E9C-101B-9397-08002B2CF9AE}" pid="27" name="SD_Office_OFF_AddressA">
    <vt:lpwstr>Slotsholmsgade 12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Slotsholmsgade 12</vt:lpwstr>
  </property>
  <property fmtid="{D5CDD505-2E9C-101B-9397-08002B2CF9AE}" pid="31" name="SD_Office_OFF_AddressD">
    <vt:lpwstr>1216</vt:lpwstr>
  </property>
  <property fmtid="{D5CDD505-2E9C-101B-9397-08002B2CF9AE}" pid="32" name="SD_Office_OFF_City">
    <vt:lpwstr>København K</vt:lpwstr>
  </property>
  <property fmtid="{D5CDD505-2E9C-101B-9397-08002B2CF9AE}" pid="33" name="SD_Office_OFF_City_EN">
    <vt:lpwstr>Copenhagen K Denmark</vt:lpwstr>
  </property>
  <property fmtid="{D5CDD505-2E9C-101B-9397-08002B2CF9AE}" pid="34" name="SD_Office_OFF_Phone">
    <vt:lpwstr>38 14 21 42</vt:lpwstr>
  </property>
  <property fmtid="{D5CDD505-2E9C-101B-9397-08002B2CF9AE}" pid="35" name="SD_Office_OFF_Phone_EN">
    <vt:lpwstr>+45 38 14 21 42</vt:lpwstr>
  </property>
  <property fmtid="{D5CDD505-2E9C-101B-9397-08002B2CF9AE}" pid="36" name="SD_Office_OFF_Fax">
    <vt:lpwstr>33 14 50 42</vt:lpwstr>
  </property>
  <property fmtid="{D5CDD505-2E9C-101B-9397-08002B2CF9AE}" pid="37" name="SD_Office_OFF_Fax_EN">
    <vt:lpwstr>+45 33 14 50 42</vt:lpwstr>
  </property>
  <property fmtid="{D5CDD505-2E9C-101B-9397-08002B2CF9AE}" pid="38" name="SD_Office_OFF_Email">
    <vt:lpwstr>mfvm@mfvm.dk</vt:lpwstr>
  </property>
  <property fmtid="{D5CDD505-2E9C-101B-9397-08002B2CF9AE}" pid="39" name="SD_Office_OFF_Web">
    <vt:lpwstr>www.mfvm.dk</vt:lpwstr>
  </property>
  <property fmtid="{D5CDD505-2E9C-101B-9397-08002B2CF9AE}" pid="40" name="SD_Office_OFF_CVR">
    <vt:lpwstr>12854358</vt:lpwstr>
  </property>
  <property fmtid="{D5CDD505-2E9C-101B-9397-08002B2CF9AE}" pid="41" name="SD_Office_OFF_EAN">
    <vt:lpwstr>5798000862005</vt:lpwstr>
  </property>
  <property fmtid="{D5CDD505-2E9C-101B-9397-08002B2CF9AE}" pid="42" name="SD_Office_OFF_EAN_EN">
    <vt:lpwstr>5798000862005</vt:lpwstr>
  </property>
  <property fmtid="{D5CDD505-2E9C-101B-9397-08002B2CF9AE}" pid="43" name="SD_Office_OFF_ColorTheme">
    <vt:lpwstr>MFVM - Departementet_Koncern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Katrine Henckel Harloff</vt:lpwstr>
  </property>
  <property fmtid="{D5CDD505-2E9C-101B-9397-08002B2CF9AE}" pid="46" name="USR_Initials">
    <vt:lpwstr>KATHH</vt:lpwstr>
  </property>
  <property fmtid="{D5CDD505-2E9C-101B-9397-08002B2CF9AE}" pid="47" name="USR_Title">
    <vt:lpwstr>AC fuldmægtig</vt:lpwstr>
  </property>
  <property fmtid="{D5CDD505-2E9C-101B-9397-08002B2CF9AE}" pid="48" name="USR_DirectPhone">
    <vt:lpwstr/>
  </property>
  <property fmtid="{D5CDD505-2E9C-101B-9397-08002B2CF9AE}" pid="49" name="USR_Mobile">
    <vt:lpwstr>+45 22 34 97 14</vt:lpwstr>
  </property>
  <property fmtid="{D5CDD505-2E9C-101B-9397-08002B2CF9AE}" pid="50" name="USR_Email">
    <vt:lpwstr>kathh@mfvm.dk</vt:lpwstr>
  </property>
  <property fmtid="{D5CDD505-2E9C-101B-9397-08002B2CF9AE}" pid="51" name="DocumentInfoFinished">
    <vt:lpwstr>True</vt:lpwstr>
  </property>
</Properties>
</file>