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C10AAB" w:rsidP="008F2666">
      <w:r>
        <w:t xml:space="preserve">Skema med beskrivelse af ændringer </w:t>
      </w:r>
    </w:p>
    <w:p w:rsidR="00C10AAB" w:rsidRDefault="00C10AAB" w:rsidP="008F2666">
      <w:r>
        <w:t>i for</w:t>
      </w:r>
      <w:bookmarkStart w:id="0" w:name="_GoBack"/>
      <w:bookmarkEnd w:id="0"/>
      <w:r>
        <w:t xml:space="preserve">bindelse med ny </w:t>
      </w:r>
      <w:r w:rsidR="002810AD">
        <w:t>afskrivnings</w:t>
      </w:r>
      <w:r>
        <w:t>bekendtgørelse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6C4BA9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Forsyning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CF73BA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10AD">
              <w:rPr>
                <w:sz w:val="16"/>
                <w:szCs w:val="16"/>
              </w:rPr>
              <w:t>. maj 2017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6C4BA9">
              <w:rPr>
                <w:sz w:val="16"/>
                <w:szCs w:val="16"/>
              </w:rPr>
              <w:t>2017-</w:t>
            </w:r>
            <w:r w:rsidR="00EA6608">
              <w:rPr>
                <w:sz w:val="16"/>
                <w:szCs w:val="16"/>
              </w:rPr>
              <w:t>2484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6C4BA9">
              <w:rPr>
                <w:sz w:val="16"/>
                <w:szCs w:val="16"/>
              </w:rPr>
              <w:t>TBQ</w:t>
            </w:r>
          </w:p>
        </w:tc>
      </w:tr>
    </w:tbl>
    <w:p w:rsidR="008F2666" w:rsidRDefault="008F2666" w:rsidP="00721870">
      <w:pPr>
        <w:spacing w:after="154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4186"/>
      </w:tblGrid>
      <w:tr w:rsidR="00C10AAB" w:rsidRPr="00A65C51" w:rsidTr="00033DF9"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AB" w:rsidRPr="00A65C51" w:rsidRDefault="00C10AAB" w:rsidP="00144935">
            <w:r>
              <w:t>Titel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AB" w:rsidRPr="00A65C51" w:rsidRDefault="00C10AAB" w:rsidP="007A79AE">
            <w:r>
              <w:t>Ny titel tilpasse</w:t>
            </w:r>
            <w:r w:rsidR="007A79AE">
              <w:t>s</w:t>
            </w:r>
            <w:r>
              <w:t xml:space="preserve"> den gældende ordlyd af hjemmelsbestemmelsen i varmeforsyningslovens § 20, stk. </w:t>
            </w:r>
            <w:r w:rsidR="002810AD">
              <w:t>2</w:t>
            </w:r>
            <w:r>
              <w:t>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AAB" w:rsidRPr="00A65C51" w:rsidRDefault="00C10AAB" w:rsidP="00144935">
            <w:r>
              <w:t>Indledning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Default="007A79AE" w:rsidP="00144935">
            <w:r>
              <w:t>Indledning o</w:t>
            </w:r>
            <w:r w:rsidR="00C10AAB">
              <w:t xml:space="preserve">pdateres i forhold til seneste lovbekendtgørelse. </w:t>
            </w:r>
          </w:p>
          <w:p w:rsidR="00C10AAB" w:rsidRPr="00A65C51" w:rsidRDefault="00C10AAB" w:rsidP="007A79AE">
            <w:r>
              <w:t>Afsnit om delegationsbekendtgørelsen tilføje</w:t>
            </w:r>
            <w:r w:rsidR="007A79AE">
              <w:t>s</w:t>
            </w:r>
            <w:r>
              <w:t>, da bekendtgørelsen er udstedt efter delegation fra ministeren.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Default="008226F8">
            <w:r>
              <w:rPr>
                <w:b/>
              </w:rPr>
              <w:t>Driftsmæssige afskrivninger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090FC8" w:rsidRDefault="00C10AAB" w:rsidP="00144935">
            <w:pPr>
              <w:jc w:val="center"/>
              <w:rPr>
                <w:b/>
              </w:rPr>
            </w:pP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 w:rsidP="00144935">
            <w:r>
              <w:t>§ 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961C92" w:rsidP="00033DF9">
            <w:r>
              <w:t>Ingen ændringer.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>§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961C92">
            <w:r>
              <w:t>Ingen ændringer.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8226F8">
              <w:t>3, stk. 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B62905" w:rsidP="00B62905">
            <w:r>
              <w:t>Ingen materielle ændringer. Enkelte sproglige justeringer i § 3, stk. 1, 2. pkt., idet ”indregnet” erstattes af ”indregnes” og ”</w:t>
            </w:r>
            <w:proofErr w:type="spellStart"/>
            <w:r>
              <w:t>idriftsættesestidspunkt</w:t>
            </w:r>
            <w:proofErr w:type="spellEnd"/>
            <w:r>
              <w:t>” erstattes af ”idriftsættelsestidspunkt”.</w:t>
            </w:r>
          </w:p>
        </w:tc>
      </w:tr>
      <w:tr w:rsidR="008226F8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F8" w:rsidRDefault="008226F8" w:rsidP="008226F8">
            <w:r>
              <w:t>§ 3, stk.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F8" w:rsidRDefault="00B62905" w:rsidP="00144935">
            <w:r>
              <w:t>Ingen ændringer.</w:t>
            </w:r>
          </w:p>
        </w:tc>
      </w:tr>
      <w:tr w:rsidR="008226F8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F8" w:rsidRDefault="008226F8" w:rsidP="008226F8">
            <w:r>
              <w:t>§ 4</w:t>
            </w:r>
            <w:r w:rsidR="00EA6608">
              <w:t>, stk. 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F8" w:rsidRDefault="00B62905" w:rsidP="00144935">
            <w:r>
              <w:t>Ingen ændringer.</w:t>
            </w:r>
          </w:p>
        </w:tc>
      </w:tr>
      <w:tr w:rsidR="00EA6608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08" w:rsidRDefault="00EA6608" w:rsidP="008226F8">
            <w:r>
              <w:t>§ 4, stk.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08" w:rsidRDefault="00B62905" w:rsidP="00D939AB">
            <w:r>
              <w:t>Ophæves</w:t>
            </w:r>
            <w:r w:rsidR="00D939AB">
              <w:t xml:space="preserve">. Tidsangivelserne i bestemmelsen har </w:t>
            </w:r>
            <w:r>
              <w:t>som følge af den forløbne tid ikke længere betydning</w:t>
            </w:r>
            <w:r w:rsidR="00D939AB">
              <w:t>, idet</w:t>
            </w:r>
            <w:r>
              <w:t xml:space="preserve"> bestemmelsen regulerer anlæg, som er idriftsat inden afslutningen af det regnskabsår, der omfatter den 31. marts 1982</w:t>
            </w:r>
            <w:r w:rsidR="00450945">
              <w:t>, og disse anlæg afskrives over en periode på højst 15 år fra det nævnte regnskabsår</w:t>
            </w:r>
            <w:r>
              <w:t>.</w:t>
            </w:r>
          </w:p>
        </w:tc>
      </w:tr>
      <w:tr w:rsidR="00EA6608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08" w:rsidRDefault="00EA6608" w:rsidP="008226F8">
            <w:r>
              <w:t>§ 4, stk.3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08" w:rsidRDefault="00450945" w:rsidP="00144935">
            <w:r>
              <w:t>Ingen ændringer. Bestemmelsen bliver ny § 4, stk. 2.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8226F8">
            <w:r>
              <w:rPr>
                <w:b/>
              </w:rPr>
              <w:t>Henlæggelser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090FC8" w:rsidRDefault="00C10AAB" w:rsidP="00144935"/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5</w:t>
            </w:r>
            <w:r>
              <w:t>, stk. 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450945" w:rsidP="00184CAF">
            <w:r>
              <w:t>Henvisningen til varmeforsyningslovens § 20, stk. 2 udgår som overflødig, da denne fremgår af bekendtgørelsens indledning.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5</w:t>
            </w:r>
            <w:r>
              <w:t>, stk.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B3" w:rsidRPr="00A65C51" w:rsidRDefault="00450945" w:rsidP="00450945">
            <w:r>
              <w:t xml:space="preserve">Ingen materielle ændringer. En enkelt sproglig justering i § 5, stk. 3, 1. pkt., idet </w:t>
            </w:r>
            <w:r>
              <w:lastRenderedPageBreak/>
              <w:t>”</w:t>
            </w:r>
            <w:proofErr w:type="spellStart"/>
            <w:r>
              <w:t>ialt</w:t>
            </w:r>
            <w:proofErr w:type="spellEnd"/>
            <w:r>
              <w:t xml:space="preserve">” erstattes af ”i alt”, 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lastRenderedPageBreak/>
              <w:t xml:space="preserve">§ </w:t>
            </w:r>
            <w:r w:rsidR="00EA6608">
              <w:t>5</w:t>
            </w:r>
            <w:r w:rsidR="008226F8">
              <w:t xml:space="preserve">, stk. </w:t>
            </w:r>
            <w:r w:rsidR="00EA6608"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50" w:rsidRPr="00A65C51" w:rsidRDefault="008C7F78" w:rsidP="00234650">
            <w:r>
              <w:t>Ingen ændringer.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5</w:t>
            </w:r>
            <w:r>
              <w:t xml:space="preserve">, stk. </w:t>
            </w:r>
            <w:r w:rsidR="00EA6608"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8C7F78" w:rsidP="00EB10B5">
            <w:r>
              <w:t>Ingen ændringer.</w:t>
            </w:r>
          </w:p>
        </w:tc>
      </w:tr>
      <w:tr w:rsidR="008226F8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F8" w:rsidRDefault="008226F8">
            <w:r>
              <w:t xml:space="preserve">§ </w:t>
            </w:r>
            <w:r w:rsidR="00EA6608">
              <w:t>5</w:t>
            </w:r>
            <w:r>
              <w:t xml:space="preserve">, stk. </w:t>
            </w:r>
            <w:r w:rsidR="00EA6608">
              <w:t>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2" w:rsidRDefault="008C7F78">
            <w:r>
              <w:t xml:space="preserve">Ingen materielle ændringer. En enkelt </w:t>
            </w:r>
            <w:r w:rsidRPr="00961C92">
              <w:rPr>
                <w:szCs w:val="20"/>
              </w:rPr>
              <w:t xml:space="preserve">sproglig justering i § 5, stk. 5, </w:t>
            </w:r>
            <w:r w:rsidR="00961C92" w:rsidRPr="00961C92">
              <w:rPr>
                <w:szCs w:val="20"/>
              </w:rPr>
              <w:t xml:space="preserve">idet ”idriftsættelsesåret” </w:t>
            </w:r>
            <w:r w:rsidR="00961C92" w:rsidRPr="00E34AD8">
              <w:rPr>
                <w:rFonts w:asciiTheme="majorHAnsi" w:hAnsiTheme="majorHAnsi" w:cstheme="majorHAnsi"/>
                <w:szCs w:val="20"/>
              </w:rPr>
              <w:t>erstattes af ”</w:t>
            </w:r>
            <w:r w:rsidR="00961C92" w:rsidRPr="00E34AD8">
              <w:rPr>
                <w:rFonts w:asciiTheme="majorHAnsi" w:eastAsia="Times New Roman" w:hAnsiTheme="majorHAnsi" w:cstheme="majorHAnsi"/>
                <w:color w:val="000000"/>
                <w:szCs w:val="20"/>
                <w:lang w:eastAsia="da-DK"/>
              </w:rPr>
              <w:t>i idriftsættelsesåret</w:t>
            </w:r>
            <w:r w:rsidR="00961C92">
              <w:rPr>
                <w:rFonts w:asciiTheme="majorHAnsi" w:eastAsia="Times New Roman" w:hAnsiTheme="majorHAnsi" w:cstheme="majorHAnsi"/>
                <w:color w:val="000000"/>
                <w:szCs w:val="20"/>
                <w:lang w:eastAsia="da-DK"/>
              </w:rPr>
              <w:t>”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EA6608">
            <w:r>
              <w:rPr>
                <w:b/>
              </w:rPr>
              <w:t>Forrentning af indskudskapital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 w:rsidP="00144935"/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6</w:t>
            </w:r>
            <w:r w:rsidR="00961C92">
              <w:t>, stk. 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961C92" w:rsidP="00961C92">
            <w:r>
              <w:t>En enkelt sproglig justering, idet naturgas ikke længere er reguleret i varmeforsyningslovens kap. 4.</w:t>
            </w:r>
          </w:p>
        </w:tc>
      </w:tr>
      <w:tr w:rsidR="00961C92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2" w:rsidRDefault="00961C92">
            <w:r>
              <w:t>§ 6, stk.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F12" w:rsidRPr="00A65C51" w:rsidRDefault="003178BD" w:rsidP="003178BD">
            <w:r>
              <w:t>Nyt</w:t>
            </w:r>
            <w:r w:rsidR="00107E12">
              <w:t xml:space="preserve"> stykke</w:t>
            </w:r>
            <w:r>
              <w:t>. D</w:t>
            </w:r>
            <w:r w:rsidR="005E6F12">
              <w:t xml:space="preserve">et præciseres, at det kun er </w:t>
            </w:r>
            <w:r w:rsidR="00107E12">
              <w:t xml:space="preserve">forrentning af den </w:t>
            </w:r>
            <w:r w:rsidR="005E6F12">
              <w:t xml:space="preserve">indskudskapital, der anvendes </w:t>
            </w:r>
            <w:r w:rsidR="00107E12" w:rsidRPr="00107E12">
              <w:t>til virksomhedens drift eller til investeringer i anlæg med henblik på levering af opvarmet vand, damp eller gas bortset fra naturgas</w:t>
            </w:r>
            <w:r w:rsidR="00107E12">
              <w:t>, som kan indregnes i varmeprisen</w:t>
            </w:r>
            <w:r w:rsidR="00107E12" w:rsidRPr="00107E12">
              <w:t>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EA6608">
            <w:r>
              <w:rPr>
                <w:b/>
              </w:rPr>
              <w:t>Kapitaldannelse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/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474021" w:rsidP="00144935">
            <w:r>
              <w:t>Ingen materielle ændringer. Enkelte sproglige justeringer i § 7, stk. 1, idet ”varmt vand, damp eller gas i forsyningsområderne” erstattes af ”</w:t>
            </w:r>
            <w:r w:rsidRPr="00474021">
              <w:t>opvarmet vand, damp eller gas bortset fra naturgas i forsyningsområderne</w:t>
            </w:r>
            <w:r>
              <w:t>”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EA6608">
            <w:r>
              <w:rPr>
                <w:b/>
              </w:rPr>
              <w:t>Undtagelse og ikrafttræden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/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474021" w:rsidP="00474021">
            <w:r>
              <w:t xml:space="preserve">En enkelt materiel ændring, idet dispensationsbestemmelsen udvides til at omfatte § 6 om forrentning af indskudskapital. 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>
            <w:r>
              <w:t xml:space="preserve">§ </w:t>
            </w:r>
            <w:r w:rsidR="00EA6608">
              <w:t>9</w:t>
            </w:r>
            <w:r w:rsidR="003178BD">
              <w:t>, stk. 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3178BD" w:rsidP="003178BD">
            <w:r>
              <w:t>Ændres, idet det fastsættes, hvornår den nye bekendtgørelse træder i kraft.</w:t>
            </w:r>
          </w:p>
        </w:tc>
      </w:tr>
      <w:tr w:rsidR="003178BD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BD" w:rsidRDefault="003178BD">
            <w:r>
              <w:t>§ 9, stk.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BD" w:rsidRPr="00A65C51" w:rsidRDefault="003178BD" w:rsidP="003178BD">
            <w:r>
              <w:t>Nyt stykke. Det fastsættes, at den gældende bekendtgørelse ophæves.</w:t>
            </w:r>
          </w:p>
        </w:tc>
      </w:tr>
      <w:tr w:rsidR="003178BD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BD" w:rsidRDefault="003178BD" w:rsidP="003178BD">
            <w:r>
              <w:t>§ 9, stk. 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BD" w:rsidRPr="00A65C51" w:rsidRDefault="003178BD" w:rsidP="003178BD">
            <w:r>
              <w:t xml:space="preserve">Nyt stykke. Det fastsættes, at </w:t>
            </w:r>
            <w:r w:rsidR="00F36F40">
              <w:t>ansøgninger om tilladelse til at indregne forrentning af indskudskapital, som er modtaget i Energitilsynet frem til den 1</w:t>
            </w:r>
            <w:r w:rsidR="005318A3">
              <w:t>8</w:t>
            </w:r>
            <w:r w:rsidR="00F36F40">
              <w:t>. maj 2017, skal behandles efter reglerne i den gældende bekendtgørelse.</w:t>
            </w:r>
          </w:p>
        </w:tc>
      </w:tr>
      <w:tr w:rsidR="00C10AAB" w:rsidRPr="00A65C51" w:rsidTr="00033DF9"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DB2D2E" w:rsidRDefault="00C10AAB" w:rsidP="00144935">
            <w:pPr>
              <w:rPr>
                <w:b/>
              </w:rPr>
            </w:pPr>
            <w:r w:rsidRPr="00DB2D2E">
              <w:rPr>
                <w:b/>
              </w:rPr>
              <w:t>Underskift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AB" w:rsidRPr="00A65C51" w:rsidRDefault="00C10AAB" w:rsidP="00144935"/>
        </w:tc>
      </w:tr>
    </w:tbl>
    <w:p w:rsidR="00A9284C" w:rsidRDefault="00A9284C"/>
    <w:sectPr w:rsidR="00A9284C" w:rsidSect="000A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EB" w:rsidRDefault="000C39EB" w:rsidP="008969C1">
      <w:pPr>
        <w:spacing w:line="240" w:lineRule="auto"/>
      </w:pPr>
      <w:r>
        <w:separator/>
      </w:r>
    </w:p>
  </w:endnote>
  <w:endnote w:type="continuationSeparator" w:id="0">
    <w:p w:rsidR="000C39EB" w:rsidRDefault="000C39EB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AB" w:rsidRDefault="00C10AA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5F109C">
      <w:rPr>
        <w:noProof/>
      </w:rPr>
      <w:t>2</w:t>
    </w:r>
    <w:r w:rsidRPr="002A4EDA">
      <w:fldChar w:fldCharType="end"/>
    </w:r>
    <w:r w:rsidRPr="002A4EDA">
      <w:t>/</w:t>
    </w:r>
    <w:r w:rsidR="005F109C">
      <w:fldChar w:fldCharType="begin"/>
    </w:r>
    <w:r w:rsidR="005F109C">
      <w:instrText xml:space="preserve"> NUMPAGES </w:instrText>
    </w:r>
    <w:r w:rsidR="005F109C">
      <w:fldChar w:fldCharType="separate"/>
    </w:r>
    <w:r w:rsidR="005F109C">
      <w:rPr>
        <w:noProof/>
      </w:rPr>
      <w:t>2</w:t>
    </w:r>
    <w:r w:rsidR="005F109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8423A" wp14:editId="384162F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5F109C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5F109C">
      <w:fldChar w:fldCharType="begin"/>
    </w:r>
    <w:r w:rsidR="005F109C">
      <w:instrText xml:space="preserve"> NUMPAGES </w:instrText>
    </w:r>
    <w:r w:rsidR="005F109C">
      <w:fldChar w:fldCharType="separate"/>
    </w:r>
    <w:r w:rsidR="005F109C">
      <w:rPr>
        <w:noProof/>
      </w:rPr>
      <w:t>1</w:t>
    </w:r>
    <w:r w:rsidR="005F10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EB" w:rsidRDefault="000C39EB" w:rsidP="008969C1">
      <w:pPr>
        <w:spacing w:line="240" w:lineRule="auto"/>
      </w:pPr>
      <w:r>
        <w:separator/>
      </w:r>
    </w:p>
  </w:footnote>
  <w:footnote w:type="continuationSeparator" w:id="0">
    <w:p w:rsidR="000C39EB" w:rsidRDefault="000C39EB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AB" w:rsidRDefault="00C10AA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76E9"/>
    <w:multiLevelType w:val="hybridMultilevel"/>
    <w:tmpl w:val="301CF73C"/>
    <w:lvl w:ilvl="0" w:tplc="4158341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B"/>
    <w:rsid w:val="00022817"/>
    <w:rsid w:val="00033DF9"/>
    <w:rsid w:val="00036061"/>
    <w:rsid w:val="00065C74"/>
    <w:rsid w:val="00086163"/>
    <w:rsid w:val="000A08E2"/>
    <w:rsid w:val="000C39EB"/>
    <w:rsid w:val="00107E12"/>
    <w:rsid w:val="00110084"/>
    <w:rsid w:val="00140C61"/>
    <w:rsid w:val="00184CAF"/>
    <w:rsid w:val="00234650"/>
    <w:rsid w:val="002611C9"/>
    <w:rsid w:val="0027768F"/>
    <w:rsid w:val="002810AD"/>
    <w:rsid w:val="002861AB"/>
    <w:rsid w:val="00296E6F"/>
    <w:rsid w:val="002A4EDA"/>
    <w:rsid w:val="002C135B"/>
    <w:rsid w:val="00314FA5"/>
    <w:rsid w:val="003178BD"/>
    <w:rsid w:val="0034007A"/>
    <w:rsid w:val="00347BCC"/>
    <w:rsid w:val="00352DBE"/>
    <w:rsid w:val="00385718"/>
    <w:rsid w:val="003952D2"/>
    <w:rsid w:val="00395C61"/>
    <w:rsid w:val="003B31EC"/>
    <w:rsid w:val="003B5DBB"/>
    <w:rsid w:val="003B7D18"/>
    <w:rsid w:val="003D0B4E"/>
    <w:rsid w:val="003D3A17"/>
    <w:rsid w:val="004129C4"/>
    <w:rsid w:val="004456A7"/>
    <w:rsid w:val="00450945"/>
    <w:rsid w:val="004704DA"/>
    <w:rsid w:val="00474021"/>
    <w:rsid w:val="004B392B"/>
    <w:rsid w:val="004D5CFB"/>
    <w:rsid w:val="004F399A"/>
    <w:rsid w:val="004F5C81"/>
    <w:rsid w:val="005105C0"/>
    <w:rsid w:val="00527652"/>
    <w:rsid w:val="005318A3"/>
    <w:rsid w:val="00531E7D"/>
    <w:rsid w:val="005340A7"/>
    <w:rsid w:val="005D1BB0"/>
    <w:rsid w:val="005E6F12"/>
    <w:rsid w:val="005F109C"/>
    <w:rsid w:val="006202F5"/>
    <w:rsid w:val="00665F29"/>
    <w:rsid w:val="00667FF1"/>
    <w:rsid w:val="00670C0B"/>
    <w:rsid w:val="006803EB"/>
    <w:rsid w:val="006C4BA9"/>
    <w:rsid w:val="006D6210"/>
    <w:rsid w:val="006E691D"/>
    <w:rsid w:val="00721870"/>
    <w:rsid w:val="007636C2"/>
    <w:rsid w:val="007A79AE"/>
    <w:rsid w:val="007B75E6"/>
    <w:rsid w:val="00800E2B"/>
    <w:rsid w:val="00802C9E"/>
    <w:rsid w:val="00804D82"/>
    <w:rsid w:val="008176EC"/>
    <w:rsid w:val="008226F8"/>
    <w:rsid w:val="008969C1"/>
    <w:rsid w:val="008C17CD"/>
    <w:rsid w:val="008C7F78"/>
    <w:rsid w:val="008F2666"/>
    <w:rsid w:val="008F6DE6"/>
    <w:rsid w:val="00923F35"/>
    <w:rsid w:val="00961C92"/>
    <w:rsid w:val="009D3FB5"/>
    <w:rsid w:val="00A2414B"/>
    <w:rsid w:val="00A46851"/>
    <w:rsid w:val="00A53C43"/>
    <w:rsid w:val="00A6281D"/>
    <w:rsid w:val="00A9284C"/>
    <w:rsid w:val="00AB4885"/>
    <w:rsid w:val="00AC60EA"/>
    <w:rsid w:val="00B1566A"/>
    <w:rsid w:val="00B536E9"/>
    <w:rsid w:val="00B62905"/>
    <w:rsid w:val="00BA0FCB"/>
    <w:rsid w:val="00BB4C39"/>
    <w:rsid w:val="00BB75F0"/>
    <w:rsid w:val="00BC04AF"/>
    <w:rsid w:val="00BC72EC"/>
    <w:rsid w:val="00BD2772"/>
    <w:rsid w:val="00C10AAB"/>
    <w:rsid w:val="00C20E5C"/>
    <w:rsid w:val="00C4750C"/>
    <w:rsid w:val="00C651CC"/>
    <w:rsid w:val="00CB3A7C"/>
    <w:rsid w:val="00CC2260"/>
    <w:rsid w:val="00CF73BA"/>
    <w:rsid w:val="00D1257F"/>
    <w:rsid w:val="00D12E7B"/>
    <w:rsid w:val="00D357CF"/>
    <w:rsid w:val="00D93447"/>
    <w:rsid w:val="00D939AB"/>
    <w:rsid w:val="00DA7419"/>
    <w:rsid w:val="00DC2214"/>
    <w:rsid w:val="00DD1186"/>
    <w:rsid w:val="00E10AAE"/>
    <w:rsid w:val="00E34AD8"/>
    <w:rsid w:val="00E452E8"/>
    <w:rsid w:val="00E65202"/>
    <w:rsid w:val="00EA6608"/>
    <w:rsid w:val="00EB10B5"/>
    <w:rsid w:val="00ED066E"/>
    <w:rsid w:val="00F3314C"/>
    <w:rsid w:val="00F36F40"/>
    <w:rsid w:val="00F714AB"/>
    <w:rsid w:val="00F736AF"/>
    <w:rsid w:val="00FB0830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10A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10A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2</Pages>
  <Words>410</Words>
  <Characters>2502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Bjerring Qvist</dc:creator>
  <cp:lastModifiedBy>Sanne Lund Sørensen</cp:lastModifiedBy>
  <cp:revision>2</cp:revision>
  <cp:lastPrinted>2017-05-09T15:03:00Z</cp:lastPrinted>
  <dcterms:created xsi:type="dcterms:W3CDTF">2017-05-11T12:29:00Z</dcterms:created>
  <dcterms:modified xsi:type="dcterms:W3CDTF">2017-05-11T12:29:00Z</dcterms:modified>
</cp:coreProperties>
</file>