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47" w:rsidRPr="00E07797" w:rsidRDefault="00BA3B47" w:rsidP="00E07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</w:pPr>
      <w:r w:rsidRPr="00E0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Bekendtgørelse om indregning af driftsmæssige afskrivninger, henlæggelser og nyinvesteri</w:t>
      </w:r>
      <w:r w:rsidRPr="00E0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n</w:t>
      </w:r>
      <w:r w:rsidRPr="00E077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a-DK"/>
        </w:rPr>
        <w:t>ger og med Energitilsynets tiltræden, forrentning af indskudskapital</w:t>
      </w:r>
    </w:p>
    <w:p w:rsidR="00C14D4E" w:rsidRPr="00C14D4E" w:rsidRDefault="00C14D4E" w:rsidP="00C14D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I medfør af § 20, stk. </w:t>
      </w:r>
      <w:r w:rsidR="004573B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, i lov </w:t>
      </w:r>
      <w:bookmarkStart w:id="0" w:name="_GoBack"/>
      <w:bookmarkEnd w:id="0"/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om varmeforsyning,</w:t>
      </w:r>
      <w:r w:rsidR="00F72EBD" w:rsidRPr="00F72EB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F72EB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jf. lovbekendtgørelse </w:t>
      </w:r>
      <w:r w:rsidR="00F72EBD"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nr. </w:t>
      </w:r>
      <w:r w:rsidR="00F72EB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1</w:t>
      </w:r>
      <w:r w:rsidR="00F72EBD"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3</w:t>
      </w:r>
      <w:r w:rsidR="00F72EB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07</w:t>
      </w:r>
      <w:r w:rsidR="00F72EBD"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af </w:t>
      </w:r>
      <w:r w:rsidR="00F72EB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24</w:t>
      </w:r>
      <w:r w:rsidR="00F72EBD"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="00F72EB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november</w:t>
      </w:r>
      <w:r w:rsidR="00F72EBD"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F72EB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2014,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fastsættes</w:t>
      </w:r>
      <w:r w:rsidR="00F72EB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efter bemyndigelse i henhold til § 4, stk. 1, i bekendtgørelse nr. 436 af 11. maj 2012 om Energistyrelsens opgaver og beføjelser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: </w:t>
      </w:r>
    </w:p>
    <w:p w:rsidR="00C14D4E" w:rsidRPr="00C14D4E" w:rsidRDefault="00C14D4E" w:rsidP="00C14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Driftsmæssige afskrivninger</w:t>
      </w:r>
    </w:p>
    <w:p w:rsidR="00C14D4E" w:rsidRP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§ 1.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For idriftsatte anlæg indregnes driftsmæssige afskrivninger i priserne på grundlag af de efter hidtil gældende regler opgjorte afskrivningsgrundlag. </w:t>
      </w:r>
    </w:p>
    <w:p w:rsid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C14D4E" w:rsidRP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§ 2.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 de nye anlæg indregnes driftsmæssige afskrivninger i priserne på grundlag af den konstat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rede anlægssum med fradrag af henlæggelser, jf. § 5. </w:t>
      </w:r>
    </w:p>
    <w:p w:rsid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C14D4E" w:rsidRP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§ 3.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Ved anlægssum forstås anskaffelsesprisen med tillæg af de omkostninger, der er foranlediget af anskaffelsen. Heri kan endvidere indregne</w:t>
      </w:r>
      <w:r w:rsidR="006D1B1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byggerenter opgjort på idriftsætte</w:t>
      </w:r>
      <w:r w:rsidR="006D1B1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sestidspunktet. </w:t>
      </w:r>
    </w:p>
    <w:p w:rsidR="00C14D4E" w:rsidRPr="00C14D4E" w:rsidRDefault="00C14D4E" w:rsidP="00C14D4E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Stk. 2.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På værker med forenet produktion fordeles den totale anlægssum på de enkelte produkter efter rimelige driftsøkonomiske principper. </w:t>
      </w:r>
    </w:p>
    <w:p w:rsid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C14D4E" w:rsidRP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§ 4.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Afskrivninger af de i §§ 1 og 2 nævnte værdier foretages med indtil 20 procent om året. </w:t>
      </w:r>
    </w:p>
    <w:p w:rsidR="00C14D4E" w:rsidRPr="00C14D4E" w:rsidRDefault="00C14D4E" w:rsidP="00C14D4E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Stk.</w:t>
      </w:r>
      <w:r w:rsidR="00C842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2.</w:t>
      </w: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 </w:t>
      </w:r>
      <w:r w:rsidR="0048737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 anlæg idriftsat efter afslutningen af det regnskabsår, der omfatter den 31. marts 1982 f</w:t>
      </w:r>
      <w:r w:rsidR="0048737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</w:t>
      </w:r>
      <w:r w:rsidR="0048737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retages a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fskrivninger særskilt for det enkelte års samlede anlægssum. Det enkelte års anlægssum skal være afskrevet over en periode på højst 30 år fra idriftsættelsestidspunktet. </w:t>
      </w:r>
    </w:p>
    <w:p w:rsid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</w:p>
    <w:p w:rsidR="00C14D4E" w:rsidRPr="00C14D4E" w:rsidRDefault="00C14D4E" w:rsidP="00C1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Henlæggelser</w:t>
      </w:r>
    </w:p>
    <w:p w:rsid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C14D4E" w:rsidRP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§ 5. </w:t>
      </w:r>
      <w:r w:rsidR="004573B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I priserne for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opvarmet vand, damp eller gas</w:t>
      </w:r>
      <w:r w:rsidR="004573B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bortset fra naturgas kan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indregnes henlæggelser til ny</w:t>
      </w:r>
      <w:r w:rsidR="004573B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inv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</w:t>
      </w:r>
      <w:r w:rsidR="004573B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steringer</w:t>
      </w:r>
      <w:r w:rsidR="006D1B1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C14D4E" w:rsidRPr="00C14D4E" w:rsidRDefault="00C14D4E" w:rsidP="00C14D4E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Stk. 2.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Henlæggelser kan tidligst påbegyndes 5 år før det planlagte idriftsættelsessår. </w:t>
      </w:r>
    </w:p>
    <w:p w:rsidR="00C14D4E" w:rsidRPr="00C14D4E" w:rsidRDefault="00C14D4E" w:rsidP="00C14D4E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Stk. 3.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5 år før idriftsættelsesåret kan der i</w:t>
      </w:r>
      <w:r w:rsidR="006D1B1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alt henlægges indtil 75 pct. af den budgetterede a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lægssum, som denne vil fremtræde på idriftsættelsestidspunktet ved akkumulering af de i anlægsp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rioden bogførte anlægsomkostninger </w:t>
      </w:r>
      <w:proofErr w:type="spellStart"/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excl</w:t>
      </w:r>
      <w:proofErr w:type="spellEnd"/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renter. Der kan ikke i noget år henlægges mere end 20 pct. af den budgetterede anlægssum. </w:t>
      </w:r>
    </w:p>
    <w:p w:rsidR="00C14D4E" w:rsidRPr="00C14D4E" w:rsidRDefault="00C14D4E" w:rsidP="00C14D4E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Stk. 4.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På værker med forenet produktion fordeles anlægssummen på de enkelte produkter efter rimelige driftsøkonomiske principper. </w:t>
      </w:r>
    </w:p>
    <w:p w:rsidR="00C14D4E" w:rsidRPr="00C14D4E" w:rsidRDefault="00C14D4E" w:rsidP="00C14D4E">
      <w:pPr>
        <w:spacing w:after="0" w:line="240" w:lineRule="auto"/>
        <w:ind w:firstLine="170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Stk. 5.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Såfremt henlæggelserne samlet overstiger 75 pct. af den konstaterede anlægssum </w:t>
      </w:r>
      <w:proofErr w:type="spellStart"/>
      <w:r w:rsidR="00487370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excl</w:t>
      </w:r>
      <w:proofErr w:type="spellEnd"/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re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n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ter, modregnes det overskydende beløb i priserne i </w:t>
      </w:r>
      <w:r w:rsidR="006D1B1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driftsættelsesåret og det følgende år. </w:t>
      </w:r>
    </w:p>
    <w:p w:rsid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</w:p>
    <w:p w:rsidR="00C14D4E" w:rsidRPr="00C14D4E" w:rsidRDefault="00C14D4E" w:rsidP="00C1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Forrentning af indskudskapital</w:t>
      </w:r>
    </w:p>
    <w:p w:rsid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C14D4E" w:rsidRP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§ 6. </w:t>
      </w:r>
      <w:r w:rsidR="004573B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Energitilsyn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et kan tillade, at der i priser for levering af opvarmet vand, damp eller gas</w:t>
      </w:r>
      <w:r w:rsidR="006D1B1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bortset fra naturgas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indregnes en rimelig forrentning af indskudskapital. </w:t>
      </w:r>
    </w:p>
    <w:p w:rsidR="00C8422B" w:rsidRDefault="00C8422B" w:rsidP="00C8422B">
      <w:pPr>
        <w:spacing w:after="0" w:line="240" w:lineRule="auto"/>
        <w:ind w:firstLine="17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Stk.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2</w:t>
      </w: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. </w:t>
      </w:r>
      <w:r w:rsidRPr="00C842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Forrentning af indskudskapital kan ikke indregnes</w:t>
      </w:r>
      <w:r w:rsidR="006A2A4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 for den del af </w:t>
      </w:r>
      <w:r w:rsidRPr="00C842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 xml:space="preserve">den i stk. 1 nævnte </w:t>
      </w:r>
      <w:r w:rsidRPr="00C8422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in</w:t>
      </w:r>
      <w:r w:rsidRPr="00C8422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d</w:t>
      </w:r>
      <w:r w:rsidRPr="00C8422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skudskapital</w:t>
      </w:r>
      <w:r w:rsidR="006A2A4C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, der</w:t>
      </w:r>
      <w:r w:rsidRPr="00C8422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C8422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  <w:t>ikke anvendes til virksomhedens drift eller til investeringer i anlæg med henblik på levering af opvarmet vand, damp eller gas bortset fra naturgas.</w:t>
      </w:r>
    </w:p>
    <w:p w:rsidR="00C8422B" w:rsidRPr="00C8422B" w:rsidRDefault="00C8422B" w:rsidP="00E0779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a-DK"/>
        </w:rPr>
      </w:pPr>
    </w:p>
    <w:p w:rsidR="00C14D4E" w:rsidRPr="00C14D4E" w:rsidRDefault="00C14D4E" w:rsidP="00C1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Kapitaldannelse</w:t>
      </w:r>
    </w:p>
    <w:p w:rsid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</w:pPr>
    </w:p>
    <w:p w:rsid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§ 7.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tilfælde, hvor anvendelsen af reglerne i §§ 1-</w:t>
      </w:r>
      <w:r w:rsidR="00C637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5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medfører en urimelig kapitaldannelse, kan </w:t>
      </w:r>
      <w:r w:rsidR="004573B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Energitilsyn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et bestemme, at bogførte fondsmidler, herunder midler overført til ejerne - dog bortset fra pensionsfond og rimelige driftskapitalmidler - anvendes til nedsættelse af priserne på </w:t>
      </w:r>
      <w:r w:rsidR="004573B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op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varm</w:t>
      </w:r>
      <w:r w:rsidR="004573BB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 vand, damp eller gas </w:t>
      </w:r>
      <w:r w:rsidR="009A359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bortset fra naturgas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forsyningsområderne.</w:t>
      </w:r>
    </w:p>
    <w:p w:rsidR="00C14D4E" w:rsidRP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C14D4E" w:rsidRDefault="00C14D4E" w:rsidP="00C14D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Undtagelse og ikrafttræden</w:t>
      </w:r>
    </w:p>
    <w:p w:rsidR="00CF77C6" w:rsidRPr="00C14D4E" w:rsidRDefault="00CF77C6" w:rsidP="00C14D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9A359D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§ 8.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 tilfælde, hvor bestemmelserne i §§ 1-</w:t>
      </w:r>
      <w:r w:rsidR="009A359D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6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medfører væsentlige ulemper for virksomheder eller forbrugere eller urimelig ulighed mellem virksomhederne, kan </w:t>
      </w:r>
      <w:r w:rsidR="006D1B1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Energitilsyn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et undtage fra beste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melserne.</w:t>
      </w:r>
    </w:p>
    <w:p w:rsidR="00C14D4E" w:rsidRPr="00C14D4E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C63784" w:rsidRDefault="00C14D4E" w:rsidP="00C14D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 xml:space="preserve">§ 9. 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Bekendtgørelsen træder i kraft den 1</w:t>
      </w:r>
      <w:r w:rsidR="00A97A6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8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  <w:r w:rsidR="00C637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maj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="006D1B1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2017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. </w:t>
      </w:r>
    </w:p>
    <w:p w:rsidR="00C63784" w:rsidRPr="00C63784" w:rsidRDefault="00C63784" w:rsidP="00E07797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E077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Stk. 2.</w:t>
      </w:r>
      <w:r w:rsidRPr="00C637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Bekendtgørelse nr. 175 af 18. marts 1991 om driftsmæssige afskrivninger, henlæggelser til nyinvesteringer og forrentning af indskudskapital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  <w:r w:rsidRPr="00C637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følge lov om varmeforsyning ophæves.</w:t>
      </w:r>
    </w:p>
    <w:p w:rsidR="00C63784" w:rsidRDefault="00C63784" w:rsidP="00E07797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E077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da-DK"/>
        </w:rPr>
        <w:t>Stk. 3.</w:t>
      </w:r>
      <w:r w:rsidRPr="00C637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Ansøgninger 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tilladelse til at indregne </w:t>
      </w:r>
      <w:r w:rsidRPr="00C637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forrentning af indskudskapital, modtaget i Energ</w:t>
      </w:r>
      <w:r w:rsidRPr="00C637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i</w:t>
      </w:r>
      <w:r w:rsidRPr="00C637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tilsynet frem til den 1</w:t>
      </w:r>
      <w:r w:rsidR="00A97A65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8</w:t>
      </w:r>
      <w:r w:rsidRPr="00C637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. maj 2017 behandles efter reglerne i bekendtgørelse nr. 175 af 18. marts 1991 om driftsmæssige afskrivninger, henlæggelser til nyinvesteringer og forrentning af indskud</w:t>
      </w:r>
      <w:r w:rsidRPr="00C637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</w:t>
      </w:r>
      <w:r w:rsidRPr="00C63784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kapital i følge lov om varmeforsyning.</w:t>
      </w:r>
    </w:p>
    <w:p w:rsidR="00C63784" w:rsidRPr="00C14D4E" w:rsidRDefault="00C63784" w:rsidP="00E07797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C14D4E" w:rsidRPr="00C14D4E" w:rsidRDefault="00C14D4E" w:rsidP="00C14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Energi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styrelsen</w:t>
      </w: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, den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>[dato]</w:t>
      </w:r>
      <w:r w:rsidRPr="00C14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a-DK"/>
        </w:rPr>
        <w:t xml:space="preserve"> </w:t>
      </w:r>
    </w:p>
    <w:p w:rsidR="00C14D4E" w:rsidRDefault="00C14D4E" w:rsidP="00C14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Martin Hansen</w:t>
      </w:r>
    </w:p>
    <w:p w:rsidR="00C14D4E" w:rsidRPr="00C14D4E" w:rsidRDefault="00C14D4E" w:rsidP="00C14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VICEDIREKTØR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C14D4E" w:rsidRPr="00C14D4E" w:rsidRDefault="00C14D4E" w:rsidP="00C14D4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Mercan-Ellen</w:t>
      </w:r>
      <w:r w:rsidRPr="00C14D4E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Nielsen </w:t>
      </w:r>
    </w:p>
    <w:p w:rsidR="00605ECD" w:rsidRDefault="00605ECD"/>
    <w:sectPr w:rsidR="00605EC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09" w:rsidRDefault="00CB2809" w:rsidP="009A359D">
      <w:pPr>
        <w:spacing w:after="0" w:line="240" w:lineRule="auto"/>
      </w:pPr>
      <w:r>
        <w:separator/>
      </w:r>
    </w:p>
  </w:endnote>
  <w:endnote w:type="continuationSeparator" w:id="0">
    <w:p w:rsidR="00CB2809" w:rsidRDefault="00CB2809" w:rsidP="009A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09" w:rsidRDefault="00CB2809" w:rsidP="009A359D">
      <w:pPr>
        <w:spacing w:after="0" w:line="240" w:lineRule="auto"/>
      </w:pPr>
      <w:r>
        <w:separator/>
      </w:r>
    </w:p>
  </w:footnote>
  <w:footnote w:type="continuationSeparator" w:id="0">
    <w:p w:rsidR="00CB2809" w:rsidRDefault="00CB2809" w:rsidP="009A3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4E"/>
    <w:rsid w:val="00196524"/>
    <w:rsid w:val="00315EE7"/>
    <w:rsid w:val="003E7A18"/>
    <w:rsid w:val="00421009"/>
    <w:rsid w:val="004573BB"/>
    <w:rsid w:val="004810DA"/>
    <w:rsid w:val="00483A65"/>
    <w:rsid w:val="00487370"/>
    <w:rsid w:val="004E6606"/>
    <w:rsid w:val="00605ECD"/>
    <w:rsid w:val="00671E2C"/>
    <w:rsid w:val="006A2A4C"/>
    <w:rsid w:val="006C4EA8"/>
    <w:rsid w:val="006D1B1F"/>
    <w:rsid w:val="007853B6"/>
    <w:rsid w:val="008E4451"/>
    <w:rsid w:val="009A359D"/>
    <w:rsid w:val="00A97A65"/>
    <w:rsid w:val="00BA3B47"/>
    <w:rsid w:val="00C14D4E"/>
    <w:rsid w:val="00C63784"/>
    <w:rsid w:val="00C8422B"/>
    <w:rsid w:val="00CB1576"/>
    <w:rsid w:val="00CB2809"/>
    <w:rsid w:val="00CF6801"/>
    <w:rsid w:val="00CF77C6"/>
    <w:rsid w:val="00E07797"/>
    <w:rsid w:val="00F7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1">
    <w:name w:val="stk1"/>
    <w:basedOn w:val="Normal"/>
    <w:rsid w:val="00C14D4E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givet-line">
    <w:name w:val="givet-line"/>
    <w:basedOn w:val="Normal"/>
    <w:rsid w:val="00C14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nderskrevet-af">
    <w:name w:val="underskrevet-af"/>
    <w:basedOn w:val="Normal"/>
    <w:rsid w:val="00C14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inister">
    <w:name w:val="minister"/>
    <w:basedOn w:val="Normal"/>
    <w:rsid w:val="00C14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A3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359D"/>
  </w:style>
  <w:style w:type="paragraph" w:styleId="Sidefod">
    <w:name w:val="footer"/>
    <w:basedOn w:val="Normal"/>
    <w:link w:val="SidefodTegn"/>
    <w:uiPriority w:val="99"/>
    <w:unhideWhenUsed/>
    <w:rsid w:val="009A3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35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57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A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2A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2A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A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A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4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stk1">
    <w:name w:val="stk1"/>
    <w:basedOn w:val="Normal"/>
    <w:rsid w:val="00C14D4E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givet-line">
    <w:name w:val="givet-line"/>
    <w:basedOn w:val="Normal"/>
    <w:rsid w:val="00C14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underskrevet-af">
    <w:name w:val="underskrevet-af"/>
    <w:basedOn w:val="Normal"/>
    <w:rsid w:val="00C14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minister">
    <w:name w:val="minister"/>
    <w:basedOn w:val="Normal"/>
    <w:rsid w:val="00C14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A3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359D"/>
  </w:style>
  <w:style w:type="paragraph" w:styleId="Sidefod">
    <w:name w:val="footer"/>
    <w:basedOn w:val="Normal"/>
    <w:link w:val="SidefodTegn"/>
    <w:uiPriority w:val="99"/>
    <w:unhideWhenUsed/>
    <w:rsid w:val="009A3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A35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157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A2A4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A2A4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A2A4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A2A4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A2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5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35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6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4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92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4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642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3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77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99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62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1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5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45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5FFA1-FCAE-4D92-81D9-17455A42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Bjerring Qvist</dc:creator>
  <cp:lastModifiedBy>Rikke Reng Rasmussen</cp:lastModifiedBy>
  <cp:revision>2</cp:revision>
  <cp:lastPrinted>2017-05-09T14:52:00Z</cp:lastPrinted>
  <dcterms:created xsi:type="dcterms:W3CDTF">2017-05-10T12:29:00Z</dcterms:created>
  <dcterms:modified xsi:type="dcterms:W3CDTF">2017-05-10T12:29:00Z</dcterms:modified>
</cp:coreProperties>
</file>