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C98" w:rsidRDefault="009F4D08" w:rsidP="00BD6C98">
      <w:pPr>
        <w:widowControl/>
        <w:spacing w:line="288" w:lineRule="auto"/>
        <w:jc w:val="both"/>
        <w:rPr>
          <w:sz w:val="24"/>
          <w:lang w:val="da-DK"/>
        </w:rPr>
      </w:pPr>
      <w:proofErr w:type="spellStart"/>
      <w:r>
        <w:rPr>
          <w:sz w:val="24"/>
          <w:lang w:val="da-DK"/>
        </w:rPr>
        <w:t>S</w:t>
      </w:r>
      <w:r w:rsidR="005A6304">
        <w:rPr>
          <w:sz w:val="24"/>
          <w:lang w:val="da-DK"/>
        </w:rPr>
        <w:t>katteministeriet</w:t>
      </w:r>
      <w:r w:rsidR="001F242B">
        <w:rPr>
          <w:sz w:val="24"/>
          <w:lang w:val="da-DK"/>
        </w:rPr>
        <w:fldChar w:fldCharType="begin"/>
      </w:r>
      <w:r w:rsidR="002F027D">
        <w:rPr>
          <w:sz w:val="24"/>
          <w:lang w:val="da-DK"/>
        </w:rPr>
        <w:instrText>ADVANCE \r255</w:instrText>
      </w:r>
      <w:r w:rsidR="001F242B">
        <w:rPr>
          <w:sz w:val="24"/>
          <w:lang w:val="da-DK"/>
        </w:rPr>
        <w:fldChar w:fldCharType="end"/>
      </w:r>
      <w:r w:rsidR="005A6304">
        <w:rPr>
          <w:sz w:val="24"/>
          <w:lang w:val="da-DK"/>
        </w:rPr>
        <w:t>J.</w:t>
      </w:r>
      <w:r w:rsidR="00BD6C98">
        <w:rPr>
          <w:sz w:val="24"/>
          <w:lang w:val="da-DK"/>
        </w:rPr>
        <w:t>nr</w:t>
      </w:r>
      <w:proofErr w:type="spellEnd"/>
      <w:r w:rsidR="00BD6C98">
        <w:rPr>
          <w:sz w:val="24"/>
          <w:lang w:val="da-DK"/>
        </w:rPr>
        <w:t xml:space="preserve">. </w:t>
      </w:r>
      <w:bookmarkStart w:id="0" w:name="sagsnr"/>
      <w:r w:rsidR="00CC69E7">
        <w:rPr>
          <w:sz w:val="24"/>
          <w:lang w:val="da-DK"/>
        </w:rPr>
        <w:t>2010-411-0032</w:t>
      </w:r>
      <w:bookmarkEnd w:id="0"/>
    </w:p>
    <w:p w:rsidR="00BD6C98" w:rsidRDefault="00BD6C98" w:rsidP="00BD6C98">
      <w:pPr>
        <w:widowControl/>
        <w:spacing w:line="288" w:lineRule="auto"/>
        <w:rPr>
          <w:sz w:val="24"/>
          <w:lang w:val="da-DK"/>
        </w:rPr>
      </w:pPr>
      <w:r>
        <w:rPr>
          <w:sz w:val="24"/>
          <w:lang w:val="da-DK"/>
        </w:rPr>
        <w:t>Udkast</w:t>
      </w:r>
    </w:p>
    <w:p w:rsidR="00BD6C98" w:rsidRDefault="003C1D30" w:rsidP="00BD6C98">
      <w:pPr>
        <w:widowControl/>
        <w:spacing w:line="288" w:lineRule="auto"/>
        <w:rPr>
          <w:sz w:val="24"/>
          <w:lang w:val="da-DK"/>
        </w:rPr>
      </w:pPr>
      <w:r>
        <w:rPr>
          <w:sz w:val="24"/>
          <w:lang w:val="da-DK"/>
        </w:rPr>
        <w:t>1</w:t>
      </w:r>
      <w:r w:rsidR="009C5FD9">
        <w:rPr>
          <w:sz w:val="24"/>
          <w:lang w:val="da-DK"/>
        </w:rPr>
        <w:t>7</w:t>
      </w:r>
      <w:r w:rsidR="0002260E">
        <w:rPr>
          <w:sz w:val="24"/>
          <w:lang w:val="da-DK"/>
        </w:rPr>
        <w:t>. december</w:t>
      </w:r>
      <w:r w:rsidR="00D1704E">
        <w:rPr>
          <w:sz w:val="24"/>
          <w:lang w:val="da-DK"/>
        </w:rPr>
        <w:t xml:space="preserve"> 2010</w:t>
      </w:r>
    </w:p>
    <w:p w:rsidR="00BD6C98" w:rsidRDefault="00BD6C98" w:rsidP="00BD6C98">
      <w:pPr>
        <w:widowControl/>
        <w:spacing w:line="288" w:lineRule="auto"/>
        <w:jc w:val="both"/>
        <w:rPr>
          <w:sz w:val="24"/>
          <w:lang w:val="da-DK"/>
        </w:rPr>
      </w:pPr>
    </w:p>
    <w:p w:rsidR="00BD6C98" w:rsidRDefault="00BD6C98" w:rsidP="00BD6C98">
      <w:pPr>
        <w:widowControl/>
        <w:spacing w:line="288" w:lineRule="auto"/>
        <w:jc w:val="both"/>
        <w:rPr>
          <w:sz w:val="24"/>
          <w:lang w:val="da-DK"/>
        </w:rPr>
      </w:pPr>
    </w:p>
    <w:p w:rsidR="00BD6C98" w:rsidRPr="00941FE8" w:rsidRDefault="00BD6C98" w:rsidP="00BD6C98">
      <w:pPr>
        <w:spacing w:line="288" w:lineRule="auto"/>
        <w:jc w:val="center"/>
        <w:rPr>
          <w:b/>
          <w:bCs/>
          <w:sz w:val="28"/>
          <w:lang w:val="da-DK"/>
        </w:rPr>
      </w:pPr>
      <w:r w:rsidRPr="00941FE8">
        <w:rPr>
          <w:b/>
          <w:bCs/>
          <w:sz w:val="28"/>
          <w:lang w:val="da-DK"/>
        </w:rPr>
        <w:t>Forslag</w:t>
      </w:r>
    </w:p>
    <w:p w:rsidR="00BD6C98" w:rsidRPr="0080300E" w:rsidRDefault="00BD6C98" w:rsidP="00BD6C98">
      <w:pPr>
        <w:spacing w:line="288" w:lineRule="auto"/>
        <w:jc w:val="center"/>
        <w:rPr>
          <w:sz w:val="24"/>
          <w:lang w:val="da-DK"/>
        </w:rPr>
      </w:pPr>
      <w:r w:rsidRPr="0080300E">
        <w:rPr>
          <w:sz w:val="24"/>
          <w:lang w:val="da-DK"/>
        </w:rPr>
        <w:t xml:space="preserve">til </w:t>
      </w:r>
    </w:p>
    <w:p w:rsidR="00BD6C98" w:rsidRPr="00941FE8" w:rsidRDefault="00BD6C98" w:rsidP="00BD6C98">
      <w:pPr>
        <w:spacing w:line="288" w:lineRule="auto"/>
        <w:jc w:val="center"/>
        <w:rPr>
          <w:sz w:val="28"/>
          <w:lang w:val="da-DK"/>
        </w:rPr>
      </w:pPr>
      <w:r w:rsidRPr="00941FE8">
        <w:rPr>
          <w:sz w:val="28"/>
          <w:lang w:val="da-DK"/>
        </w:rPr>
        <w:t>Lov om</w:t>
      </w:r>
      <w:r w:rsidR="00054559">
        <w:rPr>
          <w:sz w:val="28"/>
          <w:lang w:val="da-DK"/>
        </w:rPr>
        <w:t xml:space="preserve"> ændring af lov om</w:t>
      </w:r>
      <w:r w:rsidRPr="00941FE8">
        <w:rPr>
          <w:sz w:val="28"/>
          <w:lang w:val="da-DK"/>
        </w:rPr>
        <w:t xml:space="preserve"> </w:t>
      </w:r>
      <w:r w:rsidR="00995ADF">
        <w:rPr>
          <w:sz w:val="28"/>
          <w:lang w:val="da-DK"/>
        </w:rPr>
        <w:t>indskud på</w:t>
      </w:r>
      <w:r w:rsidRPr="00941FE8">
        <w:rPr>
          <w:sz w:val="28"/>
          <w:lang w:val="da-DK"/>
        </w:rPr>
        <w:t xml:space="preserve"> </w:t>
      </w:r>
      <w:r w:rsidR="00CC69E7">
        <w:rPr>
          <w:sz w:val="28"/>
          <w:lang w:val="da-DK"/>
        </w:rPr>
        <w:t>etablerings</w:t>
      </w:r>
      <w:r w:rsidR="00995ADF">
        <w:rPr>
          <w:sz w:val="28"/>
          <w:lang w:val="da-DK"/>
        </w:rPr>
        <w:t xml:space="preserve">konto </w:t>
      </w:r>
      <w:r w:rsidR="00CC69E7">
        <w:rPr>
          <w:sz w:val="28"/>
          <w:lang w:val="da-DK"/>
        </w:rPr>
        <w:t>og iværksætterkonto</w:t>
      </w:r>
      <w:r w:rsidR="0089711E">
        <w:rPr>
          <w:sz w:val="28"/>
          <w:lang w:val="da-DK"/>
        </w:rPr>
        <w:t xml:space="preserve"> og</w:t>
      </w:r>
      <w:r w:rsidR="00DF2C2D">
        <w:rPr>
          <w:sz w:val="28"/>
          <w:lang w:val="da-DK"/>
        </w:rPr>
        <w:t xml:space="preserve"> kursgevinstloven</w:t>
      </w:r>
    </w:p>
    <w:p w:rsidR="00BD6C98" w:rsidRDefault="00BD6C98" w:rsidP="00BD6C98">
      <w:pPr>
        <w:spacing w:line="288" w:lineRule="auto"/>
        <w:jc w:val="center"/>
        <w:rPr>
          <w:sz w:val="24"/>
          <w:lang w:val="da-DK"/>
        </w:rPr>
      </w:pPr>
      <w:r w:rsidRPr="0080300E">
        <w:rPr>
          <w:sz w:val="24"/>
          <w:lang w:val="da-DK"/>
        </w:rPr>
        <w:t>(</w:t>
      </w:r>
      <w:r w:rsidR="001373C6">
        <w:rPr>
          <w:sz w:val="24"/>
          <w:lang w:val="da-DK"/>
        </w:rPr>
        <w:t>Forbedring</w:t>
      </w:r>
      <w:r w:rsidR="00CC69E7">
        <w:rPr>
          <w:sz w:val="24"/>
          <w:lang w:val="da-DK"/>
        </w:rPr>
        <w:t xml:space="preserve"> af etablerings- og iværksætterkonto</w:t>
      </w:r>
      <w:r w:rsidR="005B2F5B">
        <w:rPr>
          <w:sz w:val="24"/>
          <w:lang w:val="da-DK"/>
        </w:rPr>
        <w:t>ordninge</w:t>
      </w:r>
      <w:r w:rsidR="008C3D25">
        <w:rPr>
          <w:sz w:val="24"/>
          <w:lang w:val="da-DK"/>
        </w:rPr>
        <w:t>r</w:t>
      </w:r>
      <w:r w:rsidR="005B2F5B">
        <w:rPr>
          <w:sz w:val="24"/>
          <w:lang w:val="da-DK"/>
        </w:rPr>
        <w:t>n</w:t>
      </w:r>
      <w:r w:rsidR="008C3D25">
        <w:rPr>
          <w:sz w:val="24"/>
          <w:lang w:val="da-DK"/>
        </w:rPr>
        <w:t>e</w:t>
      </w:r>
      <w:r w:rsidRPr="0080300E">
        <w:rPr>
          <w:sz w:val="24"/>
          <w:lang w:val="da-DK"/>
        </w:rPr>
        <w:t>)</w:t>
      </w:r>
    </w:p>
    <w:p w:rsidR="0094046C" w:rsidRPr="0080300E" w:rsidRDefault="0094046C" w:rsidP="00BD6C98">
      <w:pPr>
        <w:spacing w:line="288" w:lineRule="auto"/>
        <w:jc w:val="center"/>
        <w:rPr>
          <w:sz w:val="24"/>
          <w:lang w:val="da-DK"/>
        </w:rPr>
      </w:pPr>
      <w:r>
        <w:rPr>
          <w:sz w:val="24"/>
          <w:lang w:val="da-DK"/>
        </w:rPr>
        <w:t>[Delforslag om placering af kontoindskud i obligationer]</w:t>
      </w:r>
    </w:p>
    <w:p w:rsidR="00BD6C98" w:rsidRPr="00941FE8" w:rsidRDefault="00BD6C98" w:rsidP="00BD6C98">
      <w:pPr>
        <w:spacing w:line="288" w:lineRule="auto"/>
        <w:jc w:val="center"/>
        <w:rPr>
          <w:b/>
          <w:bCs/>
          <w:lang w:val="da-DK"/>
        </w:rPr>
      </w:pPr>
    </w:p>
    <w:p w:rsidR="00BD6C98" w:rsidRPr="0080300E" w:rsidRDefault="00BD6C98" w:rsidP="00BD6C98">
      <w:pPr>
        <w:spacing w:line="288" w:lineRule="auto"/>
        <w:jc w:val="center"/>
        <w:rPr>
          <w:b/>
          <w:bCs/>
          <w:sz w:val="24"/>
          <w:lang w:val="da-DK"/>
        </w:rPr>
      </w:pPr>
      <w:r w:rsidRPr="0080300E">
        <w:rPr>
          <w:b/>
          <w:bCs/>
          <w:sz w:val="24"/>
          <w:lang w:val="da-DK"/>
        </w:rPr>
        <w:t>§ 1</w:t>
      </w:r>
    </w:p>
    <w:p w:rsidR="00BD6C98" w:rsidRPr="0080300E" w:rsidRDefault="00BD6C98" w:rsidP="00BD6C98">
      <w:pPr>
        <w:spacing w:line="288" w:lineRule="auto"/>
        <w:rPr>
          <w:sz w:val="24"/>
          <w:lang w:val="da-DK"/>
        </w:rPr>
      </w:pPr>
    </w:p>
    <w:p w:rsidR="00BD6C98" w:rsidRPr="0080300E" w:rsidRDefault="00BD6C98" w:rsidP="00BD6C98">
      <w:pPr>
        <w:tabs>
          <w:tab w:val="left" w:pos="360"/>
          <w:tab w:val="left" w:pos="540"/>
        </w:tabs>
        <w:spacing w:line="288" w:lineRule="auto"/>
        <w:rPr>
          <w:sz w:val="24"/>
          <w:lang w:val="da-DK"/>
        </w:rPr>
      </w:pPr>
      <w:r w:rsidRPr="0080300E">
        <w:rPr>
          <w:sz w:val="24"/>
          <w:lang w:val="da-DK"/>
        </w:rPr>
        <w:tab/>
        <w:t xml:space="preserve">I </w:t>
      </w:r>
      <w:r w:rsidR="00DE1A6D">
        <w:rPr>
          <w:sz w:val="24"/>
          <w:lang w:val="da-DK"/>
        </w:rPr>
        <w:t>lov om indskud på etableringskonto og iværksætterkonto</w:t>
      </w:r>
      <w:r w:rsidRPr="0080300E">
        <w:rPr>
          <w:sz w:val="24"/>
          <w:lang w:val="da-DK"/>
        </w:rPr>
        <w:t xml:space="preserve">, jf. lovbekendtgørelse nr. </w:t>
      </w:r>
      <w:r w:rsidR="00F62EAB">
        <w:rPr>
          <w:sz w:val="24"/>
          <w:lang w:val="da-DK"/>
        </w:rPr>
        <w:t xml:space="preserve">1012 af </w:t>
      </w:r>
      <w:r w:rsidR="005B2F5B">
        <w:rPr>
          <w:sz w:val="24"/>
          <w:lang w:val="da-DK"/>
        </w:rPr>
        <w:t>5. oktober 2006</w:t>
      </w:r>
      <w:r w:rsidRPr="0080300E">
        <w:rPr>
          <w:sz w:val="24"/>
          <w:lang w:val="da-DK"/>
        </w:rPr>
        <w:t>, som ændret</w:t>
      </w:r>
      <w:r w:rsidR="00816239">
        <w:rPr>
          <w:sz w:val="24"/>
          <w:lang w:val="da-DK"/>
        </w:rPr>
        <w:t xml:space="preserve"> bl.a.</w:t>
      </w:r>
      <w:r w:rsidRPr="0080300E">
        <w:rPr>
          <w:sz w:val="24"/>
          <w:lang w:val="da-DK"/>
        </w:rPr>
        <w:t xml:space="preserve"> ved</w:t>
      </w:r>
      <w:r w:rsidR="00CF4AB6">
        <w:rPr>
          <w:sz w:val="24"/>
          <w:lang w:val="da-DK"/>
        </w:rPr>
        <w:t xml:space="preserve"> § 12 i</w:t>
      </w:r>
      <w:r w:rsidR="00037501">
        <w:rPr>
          <w:sz w:val="24"/>
          <w:lang w:val="da-DK"/>
        </w:rPr>
        <w:t xml:space="preserve"> lov nr. 1587 af 20. december 2006,</w:t>
      </w:r>
      <w:r w:rsidR="00CF4AB6">
        <w:rPr>
          <w:sz w:val="24"/>
          <w:lang w:val="da-DK"/>
        </w:rPr>
        <w:t xml:space="preserve"> § 1 i</w:t>
      </w:r>
      <w:r w:rsidR="00037501">
        <w:rPr>
          <w:sz w:val="24"/>
          <w:lang w:val="da-DK"/>
        </w:rPr>
        <w:t xml:space="preserve"> lov nr. 90 af 20. februar 2008</w:t>
      </w:r>
      <w:r w:rsidR="008418FD">
        <w:rPr>
          <w:sz w:val="24"/>
          <w:lang w:val="da-DK"/>
        </w:rPr>
        <w:t>,</w:t>
      </w:r>
      <w:r w:rsidR="00CF4AB6">
        <w:rPr>
          <w:sz w:val="24"/>
          <w:lang w:val="da-DK"/>
        </w:rPr>
        <w:t xml:space="preserve"> § 1 i</w:t>
      </w:r>
      <w:r w:rsidR="008418FD">
        <w:rPr>
          <w:sz w:val="24"/>
          <w:lang w:val="da-DK"/>
        </w:rPr>
        <w:t xml:space="preserve"> lov nr. 1343 af 19. december 2008</w:t>
      </w:r>
      <w:r w:rsidR="007610D1">
        <w:rPr>
          <w:sz w:val="24"/>
          <w:lang w:val="da-DK"/>
        </w:rPr>
        <w:t xml:space="preserve">, § 15 i lov nr. 521 af 12. </w:t>
      </w:r>
      <w:r w:rsidR="002F027D">
        <w:rPr>
          <w:sz w:val="24"/>
          <w:lang w:val="da-DK"/>
        </w:rPr>
        <w:t>juni</w:t>
      </w:r>
      <w:r w:rsidR="007610D1">
        <w:rPr>
          <w:sz w:val="24"/>
          <w:lang w:val="da-DK"/>
        </w:rPr>
        <w:t xml:space="preserve"> 2009, § 6 i lov nr. 525 af 12. </w:t>
      </w:r>
      <w:r w:rsidR="002F027D">
        <w:rPr>
          <w:sz w:val="24"/>
          <w:lang w:val="da-DK"/>
        </w:rPr>
        <w:t>j</w:t>
      </w:r>
      <w:r w:rsidR="007610D1">
        <w:rPr>
          <w:sz w:val="24"/>
          <w:lang w:val="da-DK"/>
        </w:rPr>
        <w:t>uni 2009</w:t>
      </w:r>
      <w:r w:rsidR="00037501">
        <w:rPr>
          <w:sz w:val="24"/>
          <w:lang w:val="da-DK"/>
        </w:rPr>
        <w:t xml:space="preserve"> </w:t>
      </w:r>
      <w:r w:rsidRPr="0080300E">
        <w:rPr>
          <w:sz w:val="24"/>
          <w:lang w:val="da-DK"/>
        </w:rPr>
        <w:t>og senest ved</w:t>
      </w:r>
      <w:r w:rsidR="00CF4AB6">
        <w:rPr>
          <w:sz w:val="24"/>
          <w:lang w:val="da-DK"/>
        </w:rPr>
        <w:t xml:space="preserve"> § </w:t>
      </w:r>
      <w:r w:rsidR="00A6368C">
        <w:rPr>
          <w:sz w:val="24"/>
          <w:lang w:val="da-DK"/>
        </w:rPr>
        <w:t>5</w:t>
      </w:r>
      <w:r w:rsidR="00CF4AB6">
        <w:rPr>
          <w:sz w:val="24"/>
          <w:lang w:val="da-DK"/>
        </w:rPr>
        <w:t xml:space="preserve"> i</w:t>
      </w:r>
      <w:r w:rsidRPr="0080300E">
        <w:rPr>
          <w:sz w:val="24"/>
          <w:lang w:val="da-DK"/>
        </w:rPr>
        <w:t xml:space="preserve"> </w:t>
      </w:r>
      <w:r w:rsidR="00037501">
        <w:rPr>
          <w:sz w:val="24"/>
          <w:lang w:val="da-DK"/>
        </w:rPr>
        <w:t xml:space="preserve">lov nr. </w:t>
      </w:r>
      <w:r w:rsidR="00CF4AB6">
        <w:rPr>
          <w:sz w:val="24"/>
          <w:lang w:val="da-DK"/>
        </w:rPr>
        <w:t>724 af 25. juni 2010</w:t>
      </w:r>
      <w:r w:rsidRPr="0080300E">
        <w:rPr>
          <w:sz w:val="24"/>
          <w:lang w:val="da-DK"/>
        </w:rPr>
        <w:t>, foretages følgende ændringer:</w:t>
      </w:r>
    </w:p>
    <w:p w:rsidR="00BD6C98" w:rsidRDefault="00BD6C98" w:rsidP="00BD6C98">
      <w:pPr>
        <w:ind w:right="1"/>
        <w:jc w:val="both"/>
        <w:rPr>
          <w:sz w:val="24"/>
          <w:lang w:val="da-DK"/>
        </w:rPr>
      </w:pPr>
    </w:p>
    <w:p w:rsidR="00BE5CB3" w:rsidRDefault="00C173FE" w:rsidP="00BD6C98">
      <w:pPr>
        <w:spacing w:line="288" w:lineRule="auto"/>
        <w:rPr>
          <w:sz w:val="24"/>
          <w:lang w:val="da-DK"/>
        </w:rPr>
      </w:pPr>
      <w:r>
        <w:rPr>
          <w:b/>
          <w:sz w:val="24"/>
          <w:lang w:val="da-DK"/>
        </w:rPr>
        <w:t>1</w:t>
      </w:r>
      <w:r w:rsidR="0095376C" w:rsidRPr="0095376C">
        <w:rPr>
          <w:b/>
          <w:sz w:val="24"/>
          <w:lang w:val="da-DK"/>
        </w:rPr>
        <w:t>.</w:t>
      </w:r>
      <w:r w:rsidR="00BE5CB3">
        <w:rPr>
          <w:sz w:val="24"/>
          <w:lang w:val="da-DK"/>
        </w:rPr>
        <w:t xml:space="preserve"> I </w:t>
      </w:r>
      <w:r w:rsidR="0095376C" w:rsidRPr="0095376C">
        <w:rPr>
          <w:i/>
          <w:sz w:val="24"/>
          <w:lang w:val="da-DK"/>
        </w:rPr>
        <w:t>§ 4, stk. 1, 1. pkt.,</w:t>
      </w:r>
      <w:r w:rsidR="00BE5CB3">
        <w:rPr>
          <w:sz w:val="24"/>
          <w:lang w:val="da-DK"/>
        </w:rPr>
        <w:t xml:space="preserve"> indsættes efter ”indeståendet”: ”, eller anbringes i et særskilt depot af obligationer</w:t>
      </w:r>
      <w:r w:rsidR="00544C90">
        <w:rPr>
          <w:sz w:val="24"/>
          <w:lang w:val="da-DK"/>
        </w:rPr>
        <w:t>, som er omfattet af kursgevinstloven</w:t>
      </w:r>
      <w:r w:rsidR="00FB7C7B">
        <w:rPr>
          <w:sz w:val="24"/>
          <w:lang w:val="da-DK"/>
        </w:rPr>
        <w:t xml:space="preserve"> bortset fra obligationer omfatte</w:t>
      </w:r>
      <w:r w:rsidR="00D92DE7">
        <w:rPr>
          <w:sz w:val="24"/>
          <w:lang w:val="da-DK"/>
        </w:rPr>
        <w:t>t</w:t>
      </w:r>
      <w:r w:rsidR="00FB7C7B">
        <w:rPr>
          <w:sz w:val="24"/>
          <w:lang w:val="da-DK"/>
        </w:rPr>
        <w:t xml:space="preserve"> af kursgevinstlovens § 29</w:t>
      </w:r>
      <w:r w:rsidR="00544C90">
        <w:rPr>
          <w:sz w:val="24"/>
          <w:lang w:val="da-DK"/>
        </w:rPr>
        <w:t xml:space="preserve">, og som er </w:t>
      </w:r>
      <w:r w:rsidR="00BE5CB3">
        <w:rPr>
          <w:sz w:val="24"/>
          <w:lang w:val="da-DK"/>
        </w:rPr>
        <w:t>optaget til handel på et reguleret marked”.</w:t>
      </w:r>
    </w:p>
    <w:p w:rsidR="00BE5CB3" w:rsidRDefault="00BE5CB3" w:rsidP="00BD6C98">
      <w:pPr>
        <w:spacing w:line="288" w:lineRule="auto"/>
        <w:rPr>
          <w:sz w:val="24"/>
          <w:lang w:val="da-DK"/>
        </w:rPr>
      </w:pPr>
    </w:p>
    <w:p w:rsidR="00BE5CB3" w:rsidRDefault="00C173FE" w:rsidP="00BD6C98">
      <w:pPr>
        <w:spacing w:line="288" w:lineRule="auto"/>
        <w:rPr>
          <w:sz w:val="24"/>
          <w:lang w:val="da-DK"/>
        </w:rPr>
      </w:pPr>
      <w:r>
        <w:rPr>
          <w:b/>
          <w:sz w:val="24"/>
          <w:lang w:val="da-DK"/>
        </w:rPr>
        <w:t>2</w:t>
      </w:r>
      <w:r w:rsidR="0095376C" w:rsidRPr="0095376C">
        <w:rPr>
          <w:b/>
          <w:sz w:val="24"/>
          <w:lang w:val="da-DK"/>
        </w:rPr>
        <w:t>.</w:t>
      </w:r>
      <w:r w:rsidR="00BE5CB3">
        <w:rPr>
          <w:sz w:val="24"/>
          <w:lang w:val="da-DK"/>
        </w:rPr>
        <w:t xml:space="preserve"> I </w:t>
      </w:r>
      <w:r w:rsidR="0095376C" w:rsidRPr="0095376C">
        <w:rPr>
          <w:i/>
          <w:sz w:val="24"/>
          <w:lang w:val="da-DK"/>
        </w:rPr>
        <w:t>§ 4, stk. 1,</w:t>
      </w:r>
      <w:r w:rsidR="00BE5CB3">
        <w:rPr>
          <w:sz w:val="24"/>
          <w:lang w:val="da-DK"/>
        </w:rPr>
        <w:t xml:space="preserve"> indsættes efter 4. pkt.:</w:t>
      </w:r>
    </w:p>
    <w:p w:rsidR="00BE5CB3" w:rsidRDefault="0015500C" w:rsidP="00BD6C98">
      <w:pPr>
        <w:spacing w:line="288" w:lineRule="auto"/>
        <w:rPr>
          <w:sz w:val="24"/>
          <w:lang w:val="da-DK"/>
        </w:rPr>
      </w:pPr>
      <w:r>
        <w:rPr>
          <w:sz w:val="24"/>
          <w:lang w:val="da-DK"/>
        </w:rPr>
        <w:t>”Kontantkonto og depot skal være oprettet i samme pengeinstitut. Indskud kan overføres mellem kontantkonto og depot.</w:t>
      </w:r>
      <w:r w:rsidR="004F6C84">
        <w:rPr>
          <w:sz w:val="24"/>
          <w:lang w:val="da-DK"/>
        </w:rPr>
        <w:t xml:space="preserve"> </w:t>
      </w:r>
    </w:p>
    <w:p w:rsidR="00CB62CD" w:rsidRDefault="00CB62CD" w:rsidP="00435ABF">
      <w:pPr>
        <w:spacing w:line="288" w:lineRule="auto"/>
        <w:rPr>
          <w:b/>
          <w:bCs/>
          <w:sz w:val="24"/>
          <w:lang w:val="da-DK"/>
        </w:rPr>
      </w:pPr>
    </w:p>
    <w:p w:rsidR="00AD0EFA" w:rsidRDefault="00C173FE" w:rsidP="00435ABF">
      <w:pPr>
        <w:spacing w:line="288" w:lineRule="auto"/>
        <w:rPr>
          <w:bCs/>
          <w:sz w:val="24"/>
          <w:lang w:val="da-DK"/>
        </w:rPr>
      </w:pPr>
      <w:r>
        <w:rPr>
          <w:b/>
          <w:bCs/>
          <w:sz w:val="24"/>
          <w:lang w:val="da-DK"/>
        </w:rPr>
        <w:t>3</w:t>
      </w:r>
      <w:r w:rsidR="00AD0EFA" w:rsidRPr="00690040">
        <w:rPr>
          <w:b/>
          <w:bCs/>
          <w:sz w:val="24"/>
          <w:lang w:val="da-DK"/>
        </w:rPr>
        <w:t>.</w:t>
      </w:r>
      <w:r w:rsidR="00AD0EFA">
        <w:rPr>
          <w:bCs/>
          <w:sz w:val="24"/>
          <w:lang w:val="da-DK"/>
        </w:rPr>
        <w:t xml:space="preserve"> </w:t>
      </w:r>
      <w:r w:rsidR="00690040" w:rsidRPr="00690040">
        <w:rPr>
          <w:bCs/>
          <w:i/>
          <w:sz w:val="24"/>
          <w:lang w:val="da-DK"/>
        </w:rPr>
        <w:t>§ 11, stk. 2</w:t>
      </w:r>
      <w:r w:rsidR="00690040" w:rsidRPr="006C1739">
        <w:rPr>
          <w:bCs/>
          <w:sz w:val="24"/>
          <w:lang w:val="da-DK"/>
        </w:rPr>
        <w:t>,</w:t>
      </w:r>
      <w:r w:rsidR="00C3140E">
        <w:rPr>
          <w:bCs/>
          <w:sz w:val="24"/>
          <w:lang w:val="da-DK"/>
        </w:rPr>
        <w:t xml:space="preserve"> ophæves og i stedet indsættes</w:t>
      </w:r>
      <w:r w:rsidR="006C1739">
        <w:rPr>
          <w:bCs/>
          <w:sz w:val="24"/>
          <w:lang w:val="da-DK"/>
        </w:rPr>
        <w:t>:</w:t>
      </w:r>
    </w:p>
    <w:p w:rsidR="0049768F" w:rsidRDefault="00415FC0" w:rsidP="00435ABF">
      <w:pPr>
        <w:spacing w:line="288" w:lineRule="auto"/>
        <w:rPr>
          <w:bCs/>
          <w:sz w:val="24"/>
          <w:lang w:val="da-DK"/>
        </w:rPr>
      </w:pPr>
      <w:r>
        <w:rPr>
          <w:bCs/>
          <w:sz w:val="24"/>
          <w:lang w:val="da-DK"/>
        </w:rPr>
        <w:t xml:space="preserve">     </w:t>
      </w:r>
      <w:r w:rsidR="006C1739">
        <w:rPr>
          <w:bCs/>
          <w:sz w:val="24"/>
          <w:lang w:val="da-DK"/>
        </w:rPr>
        <w:t>”</w:t>
      </w:r>
      <w:r w:rsidR="006C1739" w:rsidRPr="000C6E23">
        <w:rPr>
          <w:bCs/>
          <w:i/>
          <w:sz w:val="24"/>
          <w:lang w:val="da-DK"/>
        </w:rPr>
        <w:t>Stk. 2</w:t>
      </w:r>
      <w:r w:rsidR="003E5CCD">
        <w:rPr>
          <w:bCs/>
          <w:i/>
          <w:sz w:val="24"/>
          <w:lang w:val="da-DK"/>
        </w:rPr>
        <w:t>.</w:t>
      </w:r>
      <w:r w:rsidR="006C1739">
        <w:rPr>
          <w:bCs/>
          <w:sz w:val="24"/>
          <w:lang w:val="da-DK"/>
        </w:rPr>
        <w:t xml:space="preserve"> </w:t>
      </w:r>
      <w:r w:rsidR="003E5CCD">
        <w:rPr>
          <w:bCs/>
          <w:sz w:val="24"/>
          <w:lang w:val="da-DK"/>
        </w:rPr>
        <w:t>Ophører kontohaverens skattepligt</w:t>
      </w:r>
      <w:r w:rsidR="006C1739">
        <w:rPr>
          <w:bCs/>
          <w:sz w:val="24"/>
          <w:lang w:val="da-DK"/>
        </w:rPr>
        <w:t xml:space="preserve"> efter kildeskattelovens § 1</w:t>
      </w:r>
      <w:r w:rsidR="003E5CCD">
        <w:rPr>
          <w:bCs/>
          <w:sz w:val="24"/>
          <w:lang w:val="da-DK"/>
        </w:rPr>
        <w:t xml:space="preserve">, medregnes ikke hævede indskud på etableringskonto med tillæg efter </w:t>
      </w:r>
      <w:r w:rsidR="00D92D3C">
        <w:rPr>
          <w:bCs/>
          <w:sz w:val="24"/>
          <w:lang w:val="da-DK"/>
        </w:rPr>
        <w:t>4</w:t>
      </w:r>
      <w:r w:rsidR="003E5CCD">
        <w:rPr>
          <w:bCs/>
          <w:sz w:val="24"/>
          <w:lang w:val="da-DK"/>
        </w:rPr>
        <w:t xml:space="preserve">. og </w:t>
      </w:r>
      <w:r w:rsidR="00D92D3C">
        <w:rPr>
          <w:bCs/>
          <w:sz w:val="24"/>
          <w:lang w:val="da-DK"/>
        </w:rPr>
        <w:t>5</w:t>
      </w:r>
      <w:r w:rsidR="003E5CCD">
        <w:rPr>
          <w:bCs/>
          <w:sz w:val="24"/>
          <w:lang w:val="da-DK"/>
        </w:rPr>
        <w:t xml:space="preserve">. pkt. </w:t>
      </w:r>
      <w:r w:rsidR="007610D1">
        <w:rPr>
          <w:bCs/>
          <w:sz w:val="24"/>
          <w:lang w:val="da-DK"/>
        </w:rPr>
        <w:t>ved opgørelsen af</w:t>
      </w:r>
      <w:r w:rsidR="00CE5EBC">
        <w:rPr>
          <w:bCs/>
          <w:sz w:val="24"/>
          <w:lang w:val="da-DK"/>
        </w:rPr>
        <w:t xml:space="preserve"> den skattepligtige indkomst for det indkomstår, hvori skattepligten ophører. Der </w:t>
      </w:r>
      <w:r w:rsidR="007610D1">
        <w:rPr>
          <w:bCs/>
          <w:sz w:val="24"/>
          <w:lang w:val="da-DK"/>
        </w:rPr>
        <w:t>betales</w:t>
      </w:r>
      <w:r w:rsidR="00CE5EBC">
        <w:rPr>
          <w:bCs/>
          <w:sz w:val="24"/>
          <w:lang w:val="da-DK"/>
        </w:rPr>
        <w:t xml:space="preserve"> ved ophør af kontohaverens skattepligt efter kildeskattelovens § 1 afgift med </w:t>
      </w:r>
      <w:r w:rsidR="00047DE4">
        <w:rPr>
          <w:bCs/>
          <w:sz w:val="24"/>
          <w:lang w:val="da-DK"/>
        </w:rPr>
        <w:t>5</w:t>
      </w:r>
      <w:r w:rsidR="0089711E">
        <w:rPr>
          <w:bCs/>
          <w:sz w:val="24"/>
          <w:lang w:val="da-DK"/>
        </w:rPr>
        <w:t>5</w:t>
      </w:r>
      <w:r w:rsidR="00CE5EBC">
        <w:rPr>
          <w:bCs/>
          <w:sz w:val="24"/>
          <w:lang w:val="da-DK"/>
        </w:rPr>
        <w:t xml:space="preserve"> pct. af indskudsbeløbet på iværksætterkonto med tillæg</w:t>
      </w:r>
      <w:r w:rsidR="00BC7CCD">
        <w:rPr>
          <w:bCs/>
          <w:sz w:val="24"/>
          <w:lang w:val="da-DK"/>
        </w:rPr>
        <w:t xml:space="preserve"> efter </w:t>
      </w:r>
      <w:r w:rsidR="00D92D3C">
        <w:rPr>
          <w:bCs/>
          <w:sz w:val="24"/>
          <w:lang w:val="da-DK"/>
        </w:rPr>
        <w:t>4</w:t>
      </w:r>
      <w:r w:rsidR="00BC7CCD">
        <w:rPr>
          <w:bCs/>
          <w:sz w:val="24"/>
          <w:lang w:val="da-DK"/>
        </w:rPr>
        <w:t>. pkt.</w:t>
      </w:r>
      <w:r w:rsidR="00C05383">
        <w:rPr>
          <w:bCs/>
          <w:sz w:val="24"/>
          <w:lang w:val="da-DK"/>
        </w:rPr>
        <w:t xml:space="preserve"> Til og med indkomståret 2009 udgør afgiften dog 60 pct.</w:t>
      </w:r>
      <w:r w:rsidR="00BC7CCD">
        <w:rPr>
          <w:bCs/>
          <w:sz w:val="24"/>
          <w:lang w:val="da-DK"/>
        </w:rPr>
        <w:t xml:space="preserve"> De ikke hævede </w:t>
      </w:r>
      <w:r w:rsidR="00AA5C92">
        <w:rPr>
          <w:bCs/>
          <w:sz w:val="24"/>
          <w:lang w:val="da-DK"/>
        </w:rPr>
        <w:t>ind</w:t>
      </w:r>
      <w:r w:rsidR="00BC7CCD">
        <w:rPr>
          <w:bCs/>
          <w:sz w:val="24"/>
          <w:lang w:val="da-DK"/>
        </w:rPr>
        <w:t>skud tillægges 3 pct. for hvert år fra</w:t>
      </w:r>
      <w:r w:rsidR="00C26E70">
        <w:rPr>
          <w:bCs/>
          <w:sz w:val="24"/>
          <w:lang w:val="da-DK"/>
        </w:rPr>
        <w:t xml:space="preserve"> udløbet af de indkomstår, hvori indskuddene er fradraget, og indtil</w:t>
      </w:r>
      <w:r w:rsidR="00BC7CCD">
        <w:rPr>
          <w:bCs/>
          <w:sz w:val="24"/>
          <w:lang w:val="da-DK"/>
        </w:rPr>
        <w:t xml:space="preserve"> udløbet af det indkomstår, hvori skattepligten ophører. Til og med indkomståret 2001 udgør tillægget dog 5 pct. </w:t>
      </w:r>
      <w:r w:rsidR="008127C2">
        <w:rPr>
          <w:bCs/>
          <w:sz w:val="24"/>
          <w:lang w:val="da-DK"/>
        </w:rPr>
        <w:t xml:space="preserve">Når en </w:t>
      </w:r>
      <w:r w:rsidR="00804412">
        <w:rPr>
          <w:bCs/>
          <w:sz w:val="24"/>
          <w:lang w:val="da-DK"/>
        </w:rPr>
        <w:t>kontohaver</w:t>
      </w:r>
      <w:r w:rsidR="008127C2">
        <w:rPr>
          <w:bCs/>
          <w:sz w:val="24"/>
          <w:lang w:val="da-DK"/>
        </w:rPr>
        <w:t xml:space="preserve"> efter bestemmelserne i en dobbeltbeskatningsoverenskomst indgået mellem Danmark og en fremmed stat, Færøerne eller Grønland bliver hjemmehørende uden for Danmark, sidestilles dette ved anvendelse</w:t>
      </w:r>
      <w:r w:rsidR="00BC7CCD">
        <w:rPr>
          <w:bCs/>
          <w:sz w:val="24"/>
          <w:lang w:val="da-DK"/>
        </w:rPr>
        <w:t>n</w:t>
      </w:r>
      <w:r w:rsidR="008127C2">
        <w:rPr>
          <w:bCs/>
          <w:sz w:val="24"/>
          <w:lang w:val="da-DK"/>
        </w:rPr>
        <w:t xml:space="preserve"> af regle</w:t>
      </w:r>
      <w:r w:rsidR="00BC7CCD">
        <w:rPr>
          <w:bCs/>
          <w:sz w:val="24"/>
          <w:lang w:val="da-DK"/>
        </w:rPr>
        <w:t>r</w:t>
      </w:r>
      <w:r w:rsidR="008127C2">
        <w:rPr>
          <w:bCs/>
          <w:sz w:val="24"/>
          <w:lang w:val="da-DK"/>
        </w:rPr>
        <w:t>n</w:t>
      </w:r>
      <w:r w:rsidR="00BC7CCD">
        <w:rPr>
          <w:bCs/>
          <w:sz w:val="24"/>
          <w:lang w:val="da-DK"/>
        </w:rPr>
        <w:t>e</w:t>
      </w:r>
      <w:r w:rsidR="008127C2">
        <w:rPr>
          <w:bCs/>
          <w:sz w:val="24"/>
          <w:lang w:val="da-DK"/>
        </w:rPr>
        <w:t xml:space="preserve"> i 1.</w:t>
      </w:r>
      <w:r w:rsidR="00BC7CCD">
        <w:rPr>
          <w:bCs/>
          <w:sz w:val="24"/>
          <w:lang w:val="da-DK"/>
        </w:rPr>
        <w:t>-</w:t>
      </w:r>
      <w:r w:rsidR="00C05383">
        <w:rPr>
          <w:bCs/>
          <w:sz w:val="24"/>
          <w:lang w:val="da-DK"/>
        </w:rPr>
        <w:t>5</w:t>
      </w:r>
      <w:r w:rsidR="00BC7CCD">
        <w:rPr>
          <w:bCs/>
          <w:sz w:val="24"/>
          <w:lang w:val="da-DK"/>
        </w:rPr>
        <w:t>.</w:t>
      </w:r>
      <w:r w:rsidR="008127C2">
        <w:rPr>
          <w:bCs/>
          <w:sz w:val="24"/>
          <w:lang w:val="da-DK"/>
        </w:rPr>
        <w:t xml:space="preserve"> pkt. </w:t>
      </w:r>
      <w:r w:rsidR="00B20457">
        <w:rPr>
          <w:bCs/>
          <w:sz w:val="24"/>
          <w:lang w:val="da-DK"/>
        </w:rPr>
        <w:t xml:space="preserve">med ophør af skattepligt efter kildeskattelovens § 1. Hvis etablering har fundet sted, skal der dog ikke </w:t>
      </w:r>
      <w:r w:rsidR="00BC7CCD">
        <w:rPr>
          <w:bCs/>
          <w:sz w:val="24"/>
          <w:lang w:val="da-DK"/>
        </w:rPr>
        <w:t>ske</w:t>
      </w:r>
      <w:r w:rsidR="00B20457">
        <w:rPr>
          <w:bCs/>
          <w:sz w:val="24"/>
          <w:lang w:val="da-DK"/>
        </w:rPr>
        <w:t xml:space="preserve"> </w:t>
      </w:r>
      <w:proofErr w:type="spellStart"/>
      <w:r w:rsidR="00300F01">
        <w:rPr>
          <w:bCs/>
          <w:sz w:val="24"/>
          <w:lang w:val="da-DK"/>
        </w:rPr>
        <w:t>efter</w:t>
      </w:r>
      <w:r w:rsidR="00B20457">
        <w:rPr>
          <w:bCs/>
          <w:sz w:val="24"/>
          <w:lang w:val="da-DK"/>
        </w:rPr>
        <w:t>beskatning</w:t>
      </w:r>
      <w:proofErr w:type="spellEnd"/>
      <w:r w:rsidR="00B20457">
        <w:rPr>
          <w:bCs/>
          <w:sz w:val="24"/>
          <w:lang w:val="da-DK"/>
        </w:rPr>
        <w:t xml:space="preserve"> eller afgiftsberigtigelse, så længe kontohaveren er skattepligtig efter kildeskattelovens § 2, stk. 1, </w:t>
      </w:r>
      <w:r w:rsidR="00B20457">
        <w:rPr>
          <w:bCs/>
          <w:sz w:val="24"/>
          <w:lang w:val="da-DK"/>
        </w:rPr>
        <w:lastRenderedPageBreak/>
        <w:t>nr. 4, af indkomsten fra virksomheden.</w:t>
      </w:r>
      <w:r w:rsidR="00935797">
        <w:rPr>
          <w:bCs/>
          <w:sz w:val="24"/>
          <w:lang w:val="da-DK"/>
        </w:rPr>
        <w:t xml:space="preserve"> </w:t>
      </w:r>
      <w:r w:rsidR="002E4800">
        <w:rPr>
          <w:bCs/>
          <w:sz w:val="24"/>
          <w:lang w:val="da-DK"/>
        </w:rPr>
        <w:t>Kontohaveren</w:t>
      </w:r>
      <w:r w:rsidR="002F5EB2">
        <w:rPr>
          <w:bCs/>
          <w:sz w:val="24"/>
          <w:lang w:val="da-DK"/>
        </w:rPr>
        <w:t xml:space="preserve"> kan efter reglerne i </w:t>
      </w:r>
      <w:r w:rsidR="0049768F">
        <w:rPr>
          <w:bCs/>
          <w:sz w:val="24"/>
          <w:lang w:val="da-DK"/>
        </w:rPr>
        <w:t xml:space="preserve">stk. </w:t>
      </w:r>
      <w:r w:rsidR="004E198A">
        <w:rPr>
          <w:bCs/>
          <w:sz w:val="24"/>
          <w:lang w:val="da-DK"/>
        </w:rPr>
        <w:t>5-7</w:t>
      </w:r>
      <w:r w:rsidR="002F5EB2">
        <w:rPr>
          <w:bCs/>
          <w:sz w:val="24"/>
          <w:lang w:val="da-DK"/>
        </w:rPr>
        <w:t xml:space="preserve"> få henstand med betaling af skatter </w:t>
      </w:r>
      <w:r w:rsidR="001C04F6">
        <w:rPr>
          <w:bCs/>
          <w:sz w:val="24"/>
          <w:lang w:val="da-DK"/>
        </w:rPr>
        <w:t>eller</w:t>
      </w:r>
      <w:r w:rsidR="002F5EB2">
        <w:rPr>
          <w:bCs/>
          <w:sz w:val="24"/>
          <w:lang w:val="da-DK"/>
        </w:rPr>
        <w:t xml:space="preserve"> afgifter beregnet efter</w:t>
      </w:r>
      <w:r w:rsidR="00935797">
        <w:rPr>
          <w:bCs/>
          <w:sz w:val="24"/>
          <w:lang w:val="da-DK"/>
        </w:rPr>
        <w:t xml:space="preserve"> 1.</w:t>
      </w:r>
      <w:r w:rsidR="00BC7CCD">
        <w:rPr>
          <w:bCs/>
          <w:sz w:val="24"/>
          <w:lang w:val="da-DK"/>
        </w:rPr>
        <w:t>-</w:t>
      </w:r>
      <w:r w:rsidR="00EE7BF8">
        <w:rPr>
          <w:bCs/>
          <w:sz w:val="24"/>
          <w:lang w:val="da-DK"/>
        </w:rPr>
        <w:t>6</w:t>
      </w:r>
      <w:r w:rsidR="00BC7CCD">
        <w:rPr>
          <w:bCs/>
          <w:sz w:val="24"/>
          <w:lang w:val="da-DK"/>
        </w:rPr>
        <w:t>. pkt.</w:t>
      </w:r>
    </w:p>
    <w:p w:rsidR="003B3ABA" w:rsidRDefault="003B3ABA" w:rsidP="003B3ABA">
      <w:pPr>
        <w:spacing w:line="288" w:lineRule="auto"/>
        <w:rPr>
          <w:bCs/>
          <w:sz w:val="24"/>
          <w:lang w:val="da-DK"/>
        </w:rPr>
      </w:pPr>
      <w:r>
        <w:rPr>
          <w:bCs/>
          <w:sz w:val="24"/>
          <w:lang w:val="da-DK"/>
        </w:rPr>
        <w:t xml:space="preserve">     </w:t>
      </w:r>
      <w:r w:rsidRPr="00B85576">
        <w:rPr>
          <w:bCs/>
          <w:i/>
          <w:sz w:val="24"/>
          <w:lang w:val="da-DK"/>
        </w:rPr>
        <w:t xml:space="preserve">Stk. </w:t>
      </w:r>
      <w:r>
        <w:rPr>
          <w:bCs/>
          <w:i/>
          <w:sz w:val="24"/>
          <w:lang w:val="da-DK"/>
        </w:rPr>
        <w:t>3</w:t>
      </w:r>
      <w:r w:rsidRPr="00B85576">
        <w:rPr>
          <w:bCs/>
          <w:i/>
          <w:sz w:val="24"/>
          <w:lang w:val="da-DK"/>
        </w:rPr>
        <w:t>.</w:t>
      </w:r>
      <w:r>
        <w:rPr>
          <w:bCs/>
          <w:sz w:val="24"/>
          <w:lang w:val="da-DK"/>
        </w:rPr>
        <w:t xml:space="preserve"> Ophører kontohaverens skattepligt efter kildeskattelovens § 1 betragtes gevinst og tab på obligationer omfattet af § 14, stk. 2, som realiseret. Værdien ved realisationen træder i stedet for afståelses- eller indfrielsessummen. Endvidere indtræder der beskatning af nettokursgevinster på obligationer omfattet af § 14, stk. 2, der er realiseret i tidligere indkomstår. Når en kontohaver efter bestemmelserne i en dobbeltbeskatningsoverenskomst indgået mellem Danmark og en fremmed stat, Færøerne eller Grønland bliver hjemmehørende uden for Danmark, sidestilles dette ved anvendelsen af reglerne i 1.-3. pkt. med ophør af skattepligt efter kildeskattelovens § 1. Kontohaveren kan efter reglerne i stk. </w:t>
      </w:r>
      <w:r w:rsidR="004E198A">
        <w:rPr>
          <w:bCs/>
          <w:sz w:val="24"/>
          <w:lang w:val="da-DK"/>
        </w:rPr>
        <w:t>5-</w:t>
      </w:r>
      <w:r w:rsidR="007E12AA">
        <w:rPr>
          <w:bCs/>
          <w:sz w:val="24"/>
          <w:lang w:val="da-DK"/>
        </w:rPr>
        <w:t>8</w:t>
      </w:r>
      <w:r>
        <w:rPr>
          <w:bCs/>
          <w:sz w:val="24"/>
          <w:lang w:val="da-DK"/>
        </w:rPr>
        <w:t xml:space="preserve"> få henstand med betaling af skatten efter 1.-4. pkt.</w:t>
      </w:r>
    </w:p>
    <w:p w:rsidR="008977D6" w:rsidRDefault="008977D6" w:rsidP="003B3ABA">
      <w:pPr>
        <w:spacing w:line="288" w:lineRule="auto"/>
        <w:rPr>
          <w:bCs/>
          <w:sz w:val="24"/>
          <w:lang w:val="da-DK"/>
        </w:rPr>
      </w:pPr>
      <w:r>
        <w:rPr>
          <w:bCs/>
          <w:sz w:val="24"/>
          <w:lang w:val="da-DK"/>
        </w:rPr>
        <w:t xml:space="preserve">     </w:t>
      </w:r>
      <w:r w:rsidRPr="00A45889">
        <w:rPr>
          <w:bCs/>
          <w:i/>
          <w:sz w:val="24"/>
          <w:lang w:val="da-DK"/>
        </w:rPr>
        <w:t>Stk. 4.</w:t>
      </w:r>
      <w:r>
        <w:rPr>
          <w:bCs/>
          <w:sz w:val="24"/>
          <w:lang w:val="da-DK"/>
        </w:rPr>
        <w:t xml:space="preserve"> Ved afståelse eller indfrielse af obligationer</w:t>
      </w:r>
      <w:r w:rsidR="00C96255">
        <w:rPr>
          <w:bCs/>
          <w:sz w:val="24"/>
          <w:lang w:val="da-DK"/>
        </w:rPr>
        <w:t xml:space="preserve"> omfattet af § 14, stk. 2, eller ved </w:t>
      </w:r>
      <w:r w:rsidR="004065B3">
        <w:rPr>
          <w:bCs/>
          <w:sz w:val="24"/>
          <w:lang w:val="da-DK"/>
        </w:rPr>
        <w:t>kontohaverens</w:t>
      </w:r>
      <w:r w:rsidR="00C96255">
        <w:rPr>
          <w:bCs/>
          <w:sz w:val="24"/>
          <w:lang w:val="da-DK"/>
        </w:rPr>
        <w:t xml:space="preserve"> død, efter at der er indtrådt skattepligt efter stk. 3, kan den skattepligtige vælge for disse obligationer at opgøre gevinsten eller tabet på grundlag af afståelses- eller indfrielsessummen henholdsvis værdien på dette tidspunkt. </w:t>
      </w:r>
      <w:r w:rsidR="00A45889">
        <w:rPr>
          <w:bCs/>
          <w:sz w:val="24"/>
          <w:lang w:val="da-DK"/>
        </w:rPr>
        <w:t>Adgangen til omberegning efter 1. pkt. er betinget af, at der ved fraflytningen m.v. og ved den senere afståelse indgives selvangivelse til told- og skatteforvaltningen.</w:t>
      </w:r>
      <w:r>
        <w:rPr>
          <w:bCs/>
          <w:sz w:val="24"/>
          <w:lang w:val="da-DK"/>
        </w:rPr>
        <w:t xml:space="preserve"> </w:t>
      </w:r>
    </w:p>
    <w:p w:rsidR="00A45889" w:rsidRDefault="0049768F" w:rsidP="00435ABF">
      <w:pPr>
        <w:spacing w:line="288" w:lineRule="auto"/>
        <w:rPr>
          <w:bCs/>
          <w:sz w:val="24"/>
          <w:lang w:val="da-DK"/>
        </w:rPr>
      </w:pPr>
      <w:r>
        <w:rPr>
          <w:bCs/>
          <w:sz w:val="24"/>
          <w:lang w:val="da-DK"/>
        </w:rPr>
        <w:t xml:space="preserve">     </w:t>
      </w:r>
      <w:r w:rsidR="0058794B" w:rsidRPr="0058794B">
        <w:rPr>
          <w:bCs/>
          <w:i/>
          <w:sz w:val="24"/>
          <w:lang w:val="da-DK"/>
        </w:rPr>
        <w:t xml:space="preserve">Stk. </w:t>
      </w:r>
      <w:r w:rsidR="00A45889">
        <w:rPr>
          <w:bCs/>
          <w:i/>
          <w:sz w:val="24"/>
          <w:lang w:val="da-DK"/>
        </w:rPr>
        <w:t>5</w:t>
      </w:r>
      <w:r w:rsidR="0058794B" w:rsidRPr="0058794B">
        <w:rPr>
          <w:bCs/>
          <w:i/>
          <w:sz w:val="24"/>
          <w:lang w:val="da-DK"/>
        </w:rPr>
        <w:t>.</w:t>
      </w:r>
      <w:r>
        <w:rPr>
          <w:bCs/>
          <w:sz w:val="24"/>
          <w:lang w:val="da-DK"/>
        </w:rPr>
        <w:t xml:space="preserve"> Henstand efter stk. 2</w:t>
      </w:r>
      <w:r w:rsidR="004149EF">
        <w:rPr>
          <w:bCs/>
          <w:sz w:val="24"/>
          <w:lang w:val="da-DK"/>
        </w:rPr>
        <w:t xml:space="preserve"> </w:t>
      </w:r>
      <w:r w:rsidR="009A2CCA">
        <w:rPr>
          <w:bCs/>
          <w:sz w:val="24"/>
          <w:lang w:val="da-DK"/>
        </w:rPr>
        <w:t>eller</w:t>
      </w:r>
      <w:r w:rsidR="004149EF">
        <w:rPr>
          <w:bCs/>
          <w:sz w:val="24"/>
          <w:lang w:val="da-DK"/>
        </w:rPr>
        <w:t xml:space="preserve"> 3</w:t>
      </w:r>
      <w:r w:rsidR="00714219">
        <w:rPr>
          <w:bCs/>
          <w:sz w:val="24"/>
          <w:lang w:val="da-DK"/>
        </w:rPr>
        <w:t xml:space="preserve"> er betinget af, at</w:t>
      </w:r>
      <w:r w:rsidR="00050C4B">
        <w:rPr>
          <w:bCs/>
          <w:sz w:val="24"/>
          <w:lang w:val="da-DK"/>
        </w:rPr>
        <w:t xml:space="preserve"> </w:t>
      </w:r>
      <w:r w:rsidR="00714219">
        <w:rPr>
          <w:bCs/>
          <w:sz w:val="24"/>
          <w:lang w:val="da-DK"/>
        </w:rPr>
        <w:t xml:space="preserve">der ved fraflytning m.v. indgives selvangivelse til told- og skatteforvaltningen. Gives der udsættelse med indgivelse af selvangivelse efter skattekontrollovens § 4, stk. 4, skal selvangivelse som betingelse for henstand være indgivet </w:t>
      </w:r>
      <w:r w:rsidR="00EB402B">
        <w:rPr>
          <w:bCs/>
          <w:sz w:val="24"/>
          <w:lang w:val="da-DK"/>
        </w:rPr>
        <w:t>inden denne frist.</w:t>
      </w:r>
      <w:r w:rsidR="00A45889">
        <w:rPr>
          <w:bCs/>
          <w:sz w:val="24"/>
          <w:lang w:val="da-DK"/>
        </w:rPr>
        <w:t xml:space="preserve"> Henstand efter stk. 3 er endvidere betinget af, at der ved senere hel eller delvis afståelse eller indfrielse af obligationer indgives selvangivelse om gevinsten eller tabet på disse. Hvis der ikke ønskes omberegning efter stk. 4, er det dog alene en betingelse, at der indgives meddelelse til told- og skatteforvaltningen om afståelsen eller indfrielsen. </w:t>
      </w:r>
    </w:p>
    <w:p w:rsidR="00DE0985" w:rsidRDefault="00A45889" w:rsidP="00435ABF">
      <w:pPr>
        <w:spacing w:line="288" w:lineRule="auto"/>
        <w:rPr>
          <w:bCs/>
          <w:sz w:val="24"/>
          <w:lang w:val="da-DK"/>
        </w:rPr>
      </w:pPr>
      <w:r>
        <w:rPr>
          <w:bCs/>
          <w:sz w:val="24"/>
          <w:lang w:val="da-DK"/>
        </w:rPr>
        <w:t xml:space="preserve">     </w:t>
      </w:r>
      <w:r w:rsidRPr="00A45889">
        <w:rPr>
          <w:bCs/>
          <w:i/>
          <w:sz w:val="24"/>
          <w:lang w:val="da-DK"/>
        </w:rPr>
        <w:t>Stk. 6.</w:t>
      </w:r>
      <w:r>
        <w:rPr>
          <w:bCs/>
          <w:sz w:val="24"/>
          <w:lang w:val="da-DK"/>
        </w:rPr>
        <w:t xml:space="preserve"> </w:t>
      </w:r>
      <w:r w:rsidR="00EB402B">
        <w:rPr>
          <w:bCs/>
          <w:sz w:val="24"/>
          <w:lang w:val="da-DK"/>
        </w:rPr>
        <w:t>Henstandsbeløbet forfalder til betaling, når fristen for etablering efter § 8 er udløbet,</w:t>
      </w:r>
      <w:r>
        <w:rPr>
          <w:bCs/>
          <w:sz w:val="24"/>
          <w:lang w:val="da-DK"/>
        </w:rPr>
        <w:t xml:space="preserve"> indskud hæves efter § 9, stk. 2,</w:t>
      </w:r>
      <w:r w:rsidR="00EB402B">
        <w:rPr>
          <w:bCs/>
          <w:sz w:val="24"/>
          <w:lang w:val="da-DK"/>
        </w:rPr>
        <w:t xml:space="preserve"> eller den skattepligtige dør</w:t>
      </w:r>
      <w:r w:rsidR="00271395">
        <w:rPr>
          <w:bCs/>
          <w:sz w:val="24"/>
          <w:lang w:val="da-DK"/>
        </w:rPr>
        <w:t>, eller den skattepligtig</w:t>
      </w:r>
      <w:r w:rsidR="005072F3">
        <w:rPr>
          <w:bCs/>
          <w:sz w:val="24"/>
          <w:lang w:val="da-DK"/>
        </w:rPr>
        <w:t>e</w:t>
      </w:r>
      <w:r w:rsidR="00271395">
        <w:rPr>
          <w:bCs/>
          <w:sz w:val="24"/>
          <w:lang w:val="da-DK"/>
        </w:rPr>
        <w:t xml:space="preserve"> går konkurs, jf. stk. 1</w:t>
      </w:r>
      <w:r w:rsidR="00EB402B">
        <w:rPr>
          <w:bCs/>
          <w:sz w:val="24"/>
          <w:lang w:val="da-DK"/>
        </w:rPr>
        <w:t>.</w:t>
      </w:r>
      <w:r w:rsidR="00391F47">
        <w:rPr>
          <w:bCs/>
          <w:sz w:val="24"/>
          <w:lang w:val="da-DK"/>
        </w:rPr>
        <w:t xml:space="preserve"> Endvidere forfalder henstandsbeløb efter stk. 3 til betaling, når obligationerne afstås eller indfries, og henstandsbeløbet fragår i den slutskat, der indgår ved opgørelsen af restskat og overskydende skat efter</w:t>
      </w:r>
      <w:r w:rsidR="00DE0985">
        <w:rPr>
          <w:bCs/>
          <w:sz w:val="24"/>
          <w:lang w:val="da-DK"/>
        </w:rPr>
        <w:t xml:space="preserve"> kildeskattelovens</w:t>
      </w:r>
      <w:r w:rsidR="00391F47">
        <w:rPr>
          <w:bCs/>
          <w:sz w:val="24"/>
          <w:lang w:val="da-DK"/>
        </w:rPr>
        <w:t xml:space="preserve"> §§ 60-62, jf. § 62 A.</w:t>
      </w:r>
      <w:r w:rsidR="00271395">
        <w:rPr>
          <w:bCs/>
          <w:sz w:val="24"/>
          <w:lang w:val="da-DK"/>
        </w:rPr>
        <w:t xml:space="preserve"> </w:t>
      </w:r>
      <w:r w:rsidR="000A1E19">
        <w:rPr>
          <w:bCs/>
          <w:sz w:val="24"/>
          <w:lang w:val="da-DK"/>
        </w:rPr>
        <w:t>Told- og skatt</w:t>
      </w:r>
      <w:r w:rsidR="00186AD3">
        <w:rPr>
          <w:bCs/>
          <w:sz w:val="24"/>
          <w:lang w:val="da-DK"/>
        </w:rPr>
        <w:t>e</w:t>
      </w:r>
      <w:r w:rsidR="000A1E19">
        <w:rPr>
          <w:bCs/>
          <w:sz w:val="24"/>
          <w:lang w:val="da-DK"/>
        </w:rPr>
        <w:t>forvaltningen kan se bort fra overskridelse af fristen for indgivelse af selvangivelse</w:t>
      </w:r>
      <w:r w:rsidR="00D66581">
        <w:rPr>
          <w:bCs/>
          <w:sz w:val="24"/>
          <w:lang w:val="da-DK"/>
        </w:rPr>
        <w:t>.</w:t>
      </w:r>
      <w:r w:rsidR="000A1E19">
        <w:rPr>
          <w:bCs/>
          <w:sz w:val="24"/>
          <w:lang w:val="da-DK"/>
        </w:rPr>
        <w:t xml:space="preserve"> § 10 finder tilsvarende anvendelse</w:t>
      </w:r>
      <w:r w:rsidR="008D7DCC">
        <w:rPr>
          <w:bCs/>
          <w:sz w:val="24"/>
          <w:lang w:val="da-DK"/>
        </w:rPr>
        <w:t>.</w:t>
      </w:r>
      <w:r w:rsidR="003B3ABA">
        <w:rPr>
          <w:bCs/>
          <w:sz w:val="24"/>
          <w:lang w:val="da-DK"/>
        </w:rPr>
        <w:t xml:space="preserve"> De beløb, der er indsat på etableringskontoen eller iværksætterkontoen, sikrer skatte- eller afgiftskravet efter stk. 2 </w:t>
      </w:r>
      <w:r w:rsidR="009A2CCA">
        <w:rPr>
          <w:bCs/>
          <w:sz w:val="24"/>
          <w:lang w:val="da-DK"/>
        </w:rPr>
        <w:t>eller</w:t>
      </w:r>
      <w:r w:rsidR="003B3ABA">
        <w:rPr>
          <w:bCs/>
          <w:sz w:val="24"/>
          <w:lang w:val="da-DK"/>
        </w:rPr>
        <w:t xml:space="preserve"> 3 og kan ikke hæves, før skatten eller afgiften er betalt.</w:t>
      </w:r>
    </w:p>
    <w:p w:rsidR="00282B45" w:rsidRDefault="00DE0985" w:rsidP="00435ABF">
      <w:pPr>
        <w:spacing w:line="288" w:lineRule="auto"/>
        <w:rPr>
          <w:bCs/>
          <w:sz w:val="24"/>
          <w:lang w:val="da-DK"/>
        </w:rPr>
      </w:pPr>
      <w:r>
        <w:rPr>
          <w:bCs/>
          <w:sz w:val="24"/>
          <w:lang w:val="da-DK"/>
        </w:rPr>
        <w:t xml:space="preserve">     </w:t>
      </w:r>
      <w:r w:rsidRPr="00DE0985">
        <w:rPr>
          <w:bCs/>
          <w:i/>
          <w:sz w:val="24"/>
          <w:lang w:val="da-DK"/>
        </w:rPr>
        <w:t>Stk. 7.</w:t>
      </w:r>
      <w:r w:rsidR="003B3ABA">
        <w:rPr>
          <w:bCs/>
          <w:sz w:val="24"/>
          <w:lang w:val="da-DK"/>
        </w:rPr>
        <w:t xml:space="preserve"> Bliver kontohaveren igen skattemæssigt hjemmehørende her, bortfalder pligten til at betale skat eller afgift efter stk. 2 af indskud, der ikke er hævet ved skattepligtens genindtræden.</w:t>
      </w:r>
      <w:r>
        <w:rPr>
          <w:bCs/>
          <w:sz w:val="24"/>
          <w:lang w:val="da-DK"/>
        </w:rPr>
        <w:t xml:space="preserve"> For obligationer omfattet af § 14, stk. 2, hvor der er indtrådt skattepligt efter stk. 3, men som på ny omfattes af skattepligt her i landet, bortfalder pligten til at betale skat af gevinst på obligationer, der ikke er afstået eller indfriet. Ved senere afståelse eller indfrielse opgøres gevinst eller tab på grundlag af den oprindelige anskaffelsessum.</w:t>
      </w:r>
    </w:p>
    <w:p w:rsidR="00DE0985" w:rsidRDefault="006D3C3D" w:rsidP="00435ABF">
      <w:pPr>
        <w:spacing w:line="288" w:lineRule="auto"/>
        <w:rPr>
          <w:bCs/>
          <w:sz w:val="24"/>
          <w:lang w:val="da-DK"/>
        </w:rPr>
      </w:pPr>
      <w:r>
        <w:rPr>
          <w:bCs/>
          <w:sz w:val="24"/>
          <w:lang w:val="da-DK"/>
        </w:rPr>
        <w:lastRenderedPageBreak/>
        <w:t xml:space="preserve">      Stk. 8. Indgives selvangivelse eller meddelelse, jf. stk. 5, ikke rettidigt, bortfalder henstanden efter stk. 3, og skatten anses for forfalden på det tidspunkt, hvor skatten ville være forfalden, hvis der ikke var givet henstand. Skatten forrentes med renten i henhold til opkrævningslovens § 7, stk. 2, med tillæg af 0,4 procentpoint pr. påbegyndt måned fra dette tidspunkt. Endvidere bortfalder retten til omberegning efter stk. 4.” </w:t>
      </w:r>
    </w:p>
    <w:p w:rsidR="002419CC" w:rsidRDefault="00ED07AD" w:rsidP="00435ABF">
      <w:pPr>
        <w:spacing w:line="288" w:lineRule="auto"/>
        <w:rPr>
          <w:bCs/>
          <w:sz w:val="24"/>
          <w:lang w:val="da-DK"/>
        </w:rPr>
      </w:pPr>
      <w:r>
        <w:rPr>
          <w:bCs/>
          <w:sz w:val="24"/>
          <w:lang w:val="da-DK"/>
        </w:rPr>
        <w:t xml:space="preserve">Stk. 3 og 4 bliver herefter stk. </w:t>
      </w:r>
      <w:r w:rsidR="00741FD3">
        <w:rPr>
          <w:bCs/>
          <w:sz w:val="24"/>
          <w:lang w:val="da-DK"/>
        </w:rPr>
        <w:t>9</w:t>
      </w:r>
      <w:r>
        <w:rPr>
          <w:bCs/>
          <w:sz w:val="24"/>
          <w:lang w:val="da-DK"/>
        </w:rPr>
        <w:t xml:space="preserve"> og </w:t>
      </w:r>
      <w:r w:rsidR="00741FD3">
        <w:rPr>
          <w:bCs/>
          <w:sz w:val="24"/>
          <w:lang w:val="da-DK"/>
        </w:rPr>
        <w:t>10</w:t>
      </w:r>
      <w:r>
        <w:rPr>
          <w:bCs/>
          <w:sz w:val="24"/>
          <w:lang w:val="da-DK"/>
        </w:rPr>
        <w:t>.</w:t>
      </w:r>
    </w:p>
    <w:p w:rsidR="002419CC" w:rsidRDefault="002419CC" w:rsidP="00435ABF">
      <w:pPr>
        <w:spacing w:line="288" w:lineRule="auto"/>
        <w:rPr>
          <w:bCs/>
          <w:sz w:val="24"/>
          <w:lang w:val="da-DK"/>
        </w:rPr>
      </w:pPr>
    </w:p>
    <w:p w:rsidR="002F5EB2" w:rsidRDefault="00C173FE" w:rsidP="00435ABF">
      <w:pPr>
        <w:spacing w:line="288" w:lineRule="auto"/>
        <w:rPr>
          <w:bCs/>
          <w:sz w:val="24"/>
          <w:lang w:val="da-DK"/>
        </w:rPr>
      </w:pPr>
      <w:r>
        <w:rPr>
          <w:b/>
          <w:bCs/>
          <w:sz w:val="24"/>
          <w:lang w:val="da-DK"/>
        </w:rPr>
        <w:t>4</w:t>
      </w:r>
      <w:r w:rsidR="0095376C" w:rsidRPr="0095376C">
        <w:rPr>
          <w:b/>
          <w:bCs/>
          <w:sz w:val="24"/>
          <w:lang w:val="da-DK"/>
        </w:rPr>
        <w:t>.</w:t>
      </w:r>
      <w:r w:rsidR="002419CC">
        <w:rPr>
          <w:bCs/>
          <w:sz w:val="24"/>
          <w:lang w:val="da-DK"/>
        </w:rPr>
        <w:t xml:space="preserve"> I </w:t>
      </w:r>
      <w:r w:rsidR="0095376C" w:rsidRPr="0095376C">
        <w:rPr>
          <w:bCs/>
          <w:i/>
          <w:sz w:val="24"/>
          <w:lang w:val="da-DK"/>
        </w:rPr>
        <w:t>§ 14</w:t>
      </w:r>
      <w:r w:rsidR="002419CC">
        <w:rPr>
          <w:bCs/>
          <w:sz w:val="24"/>
          <w:lang w:val="da-DK"/>
        </w:rPr>
        <w:t xml:space="preserve"> indsættes </w:t>
      </w:r>
      <w:r w:rsidR="00756269">
        <w:rPr>
          <w:bCs/>
          <w:sz w:val="24"/>
          <w:lang w:val="da-DK"/>
        </w:rPr>
        <w:t xml:space="preserve">som </w:t>
      </w:r>
      <w:r w:rsidR="0066074A">
        <w:rPr>
          <w:bCs/>
          <w:sz w:val="24"/>
          <w:lang w:val="da-DK"/>
        </w:rPr>
        <w:t xml:space="preserve">stk. </w:t>
      </w:r>
      <w:r w:rsidR="00756269">
        <w:rPr>
          <w:bCs/>
          <w:sz w:val="24"/>
          <w:lang w:val="da-DK"/>
        </w:rPr>
        <w:t>2</w:t>
      </w:r>
      <w:r w:rsidR="002419CC">
        <w:rPr>
          <w:bCs/>
          <w:sz w:val="24"/>
          <w:lang w:val="da-DK"/>
        </w:rPr>
        <w:t>:</w:t>
      </w:r>
      <w:r w:rsidR="00ED07AD">
        <w:rPr>
          <w:bCs/>
          <w:sz w:val="24"/>
          <w:lang w:val="da-DK"/>
        </w:rPr>
        <w:t xml:space="preserve"> </w:t>
      </w:r>
    </w:p>
    <w:p w:rsidR="005E6DD1" w:rsidRDefault="00B02904" w:rsidP="00810366">
      <w:pPr>
        <w:spacing w:line="288" w:lineRule="auto"/>
        <w:rPr>
          <w:bCs/>
          <w:sz w:val="24"/>
          <w:lang w:val="da-DK"/>
        </w:rPr>
      </w:pPr>
      <w:r>
        <w:rPr>
          <w:bCs/>
          <w:sz w:val="24"/>
          <w:lang w:val="da-DK"/>
        </w:rPr>
        <w:t xml:space="preserve">     </w:t>
      </w:r>
      <w:r w:rsidR="00C020A4">
        <w:rPr>
          <w:bCs/>
          <w:sz w:val="24"/>
          <w:lang w:val="da-DK"/>
        </w:rPr>
        <w:t>”</w:t>
      </w:r>
      <w:r w:rsidR="0095376C" w:rsidRPr="0095376C">
        <w:rPr>
          <w:bCs/>
          <w:i/>
          <w:sz w:val="24"/>
          <w:lang w:val="da-DK"/>
        </w:rPr>
        <w:t>Stk. 2.</w:t>
      </w:r>
      <w:r w:rsidR="00A10FB4">
        <w:rPr>
          <w:bCs/>
          <w:sz w:val="24"/>
          <w:lang w:val="da-DK"/>
        </w:rPr>
        <w:t xml:space="preserve"> </w:t>
      </w:r>
      <w:r w:rsidR="00365DC4">
        <w:rPr>
          <w:bCs/>
          <w:sz w:val="24"/>
          <w:lang w:val="da-DK"/>
        </w:rPr>
        <w:t>Kursgevinster og kurstab indgår i opsparingen på etableringskontoen eller iværksætterkontoen.</w:t>
      </w:r>
      <w:r w:rsidR="00D851E6">
        <w:rPr>
          <w:bCs/>
          <w:sz w:val="24"/>
          <w:lang w:val="da-DK"/>
        </w:rPr>
        <w:t xml:space="preserve"> </w:t>
      </w:r>
      <w:r w:rsidR="00C020A4">
        <w:rPr>
          <w:bCs/>
          <w:sz w:val="24"/>
          <w:lang w:val="da-DK"/>
        </w:rPr>
        <w:t xml:space="preserve">Kursgevinster og kurstab medregnes </w:t>
      </w:r>
      <w:r w:rsidR="00D851E6">
        <w:rPr>
          <w:bCs/>
          <w:sz w:val="24"/>
          <w:lang w:val="da-DK"/>
        </w:rPr>
        <w:t>ved opgørelsen af</w:t>
      </w:r>
      <w:r w:rsidR="00C020A4">
        <w:rPr>
          <w:bCs/>
          <w:sz w:val="24"/>
          <w:lang w:val="da-DK"/>
        </w:rPr>
        <w:t xml:space="preserve"> etableringskontoens </w:t>
      </w:r>
      <w:r w:rsidR="00365DC4">
        <w:rPr>
          <w:bCs/>
          <w:sz w:val="24"/>
          <w:lang w:val="da-DK"/>
        </w:rPr>
        <w:t>eller</w:t>
      </w:r>
      <w:r w:rsidR="00C020A4">
        <w:rPr>
          <w:bCs/>
          <w:sz w:val="24"/>
          <w:lang w:val="da-DK"/>
        </w:rPr>
        <w:t xml:space="preserve"> iværksætterkontoens indestående</w:t>
      </w:r>
      <w:r w:rsidR="0066074A">
        <w:rPr>
          <w:bCs/>
          <w:sz w:val="24"/>
          <w:lang w:val="da-DK"/>
        </w:rPr>
        <w:t xml:space="preserve"> og påvirker ikke størrelsen af </w:t>
      </w:r>
      <w:r w:rsidR="00173F89">
        <w:rPr>
          <w:bCs/>
          <w:sz w:val="24"/>
          <w:lang w:val="da-DK"/>
        </w:rPr>
        <w:t>de</w:t>
      </w:r>
      <w:r w:rsidR="0066074A">
        <w:rPr>
          <w:bCs/>
          <w:sz w:val="24"/>
          <w:lang w:val="da-DK"/>
        </w:rPr>
        <w:t xml:space="preserve"> foretag</w:t>
      </w:r>
      <w:r w:rsidR="00173F89">
        <w:rPr>
          <w:bCs/>
          <w:sz w:val="24"/>
          <w:lang w:val="da-DK"/>
        </w:rPr>
        <w:t>ne</w:t>
      </w:r>
      <w:r w:rsidR="0066074A">
        <w:rPr>
          <w:bCs/>
          <w:sz w:val="24"/>
          <w:lang w:val="da-DK"/>
        </w:rPr>
        <w:t xml:space="preserve"> indskud</w:t>
      </w:r>
      <w:r w:rsidR="00C020A4">
        <w:rPr>
          <w:bCs/>
          <w:sz w:val="24"/>
          <w:lang w:val="da-DK"/>
        </w:rPr>
        <w:t>.</w:t>
      </w:r>
      <w:r w:rsidR="0066074A">
        <w:rPr>
          <w:bCs/>
          <w:sz w:val="24"/>
          <w:lang w:val="da-DK"/>
        </w:rPr>
        <w:t xml:space="preserve"> </w:t>
      </w:r>
      <w:r w:rsidR="00BD2E11">
        <w:rPr>
          <w:bCs/>
          <w:sz w:val="24"/>
          <w:lang w:val="da-DK"/>
        </w:rPr>
        <w:t>Nettok</w:t>
      </w:r>
      <w:r w:rsidR="005C6E9B">
        <w:rPr>
          <w:bCs/>
          <w:sz w:val="24"/>
          <w:lang w:val="da-DK"/>
        </w:rPr>
        <w:t xml:space="preserve">ursgevinst </w:t>
      </w:r>
      <w:r w:rsidR="00BD2E11">
        <w:rPr>
          <w:bCs/>
          <w:sz w:val="24"/>
          <w:lang w:val="da-DK"/>
        </w:rPr>
        <w:t>eller</w:t>
      </w:r>
      <w:r w:rsidR="005C6E9B">
        <w:rPr>
          <w:bCs/>
          <w:sz w:val="24"/>
          <w:lang w:val="da-DK"/>
        </w:rPr>
        <w:t xml:space="preserve"> </w:t>
      </w:r>
      <w:r w:rsidR="00BD2E11">
        <w:rPr>
          <w:bCs/>
          <w:sz w:val="24"/>
          <w:lang w:val="da-DK"/>
        </w:rPr>
        <w:t>netto</w:t>
      </w:r>
      <w:r w:rsidR="005C6E9B">
        <w:rPr>
          <w:bCs/>
          <w:sz w:val="24"/>
          <w:lang w:val="da-DK"/>
        </w:rPr>
        <w:t>kurstab</w:t>
      </w:r>
      <w:r w:rsidR="00BD2E11">
        <w:rPr>
          <w:bCs/>
          <w:sz w:val="24"/>
          <w:lang w:val="da-DK"/>
        </w:rPr>
        <w:t xml:space="preserve"> medregnes ved opgørelsen af </w:t>
      </w:r>
      <w:r w:rsidR="00365DC4">
        <w:rPr>
          <w:bCs/>
          <w:sz w:val="24"/>
          <w:lang w:val="da-DK"/>
        </w:rPr>
        <w:t xml:space="preserve">kontohaverens </w:t>
      </w:r>
      <w:r w:rsidR="00BD2E11">
        <w:rPr>
          <w:bCs/>
          <w:sz w:val="24"/>
          <w:lang w:val="da-DK"/>
        </w:rPr>
        <w:t>skattepligtige indkomst</w:t>
      </w:r>
      <w:r w:rsidR="006210A9">
        <w:rPr>
          <w:bCs/>
          <w:sz w:val="24"/>
          <w:lang w:val="da-DK"/>
        </w:rPr>
        <w:t xml:space="preserve"> efter </w:t>
      </w:r>
      <w:r w:rsidR="005C6E9B">
        <w:rPr>
          <w:bCs/>
          <w:sz w:val="24"/>
          <w:lang w:val="da-DK"/>
        </w:rPr>
        <w:t>kursgevinstlovens § 14, stk. 1,</w:t>
      </w:r>
      <w:r w:rsidR="005E4EBB">
        <w:rPr>
          <w:bCs/>
          <w:sz w:val="24"/>
          <w:lang w:val="da-DK"/>
        </w:rPr>
        <w:t xml:space="preserve"> 1. pkt.,</w:t>
      </w:r>
      <w:r w:rsidR="006210A9">
        <w:rPr>
          <w:bCs/>
          <w:sz w:val="24"/>
          <w:lang w:val="da-DK"/>
        </w:rPr>
        <w:t xml:space="preserve"> og stk. 2,</w:t>
      </w:r>
      <w:r w:rsidR="005C6E9B">
        <w:rPr>
          <w:bCs/>
          <w:sz w:val="24"/>
          <w:lang w:val="da-DK"/>
        </w:rPr>
        <w:t xml:space="preserve"> </w:t>
      </w:r>
      <w:r w:rsidR="006210A9">
        <w:rPr>
          <w:bCs/>
          <w:sz w:val="24"/>
          <w:lang w:val="da-DK"/>
        </w:rPr>
        <w:t>jf.</w:t>
      </w:r>
      <w:r w:rsidR="005C6E9B">
        <w:rPr>
          <w:bCs/>
          <w:sz w:val="24"/>
          <w:lang w:val="da-DK"/>
        </w:rPr>
        <w:t xml:space="preserve"> personskattelovens § 4, stk. 1</w:t>
      </w:r>
      <w:r w:rsidR="00AD7F18">
        <w:rPr>
          <w:bCs/>
          <w:sz w:val="24"/>
          <w:lang w:val="da-DK"/>
        </w:rPr>
        <w:t xml:space="preserve">, nr. </w:t>
      </w:r>
      <w:r w:rsidR="001F6E08">
        <w:rPr>
          <w:bCs/>
          <w:sz w:val="24"/>
          <w:lang w:val="da-DK"/>
        </w:rPr>
        <w:t>2</w:t>
      </w:r>
      <w:r w:rsidR="004D268F">
        <w:rPr>
          <w:bCs/>
          <w:sz w:val="24"/>
          <w:lang w:val="da-DK"/>
        </w:rPr>
        <w:t>.</w:t>
      </w:r>
      <w:r w:rsidR="004D687D">
        <w:rPr>
          <w:bCs/>
          <w:sz w:val="24"/>
          <w:lang w:val="da-DK"/>
        </w:rPr>
        <w:t xml:space="preserve"> </w:t>
      </w:r>
      <w:r w:rsidR="004D268F">
        <w:rPr>
          <w:bCs/>
          <w:sz w:val="24"/>
          <w:lang w:val="da-DK"/>
        </w:rPr>
        <w:t>Nettokursgevinst</w:t>
      </w:r>
      <w:r w:rsidR="00810366">
        <w:rPr>
          <w:bCs/>
          <w:sz w:val="24"/>
          <w:lang w:val="da-DK"/>
        </w:rPr>
        <w:t xml:space="preserve"> </w:t>
      </w:r>
      <w:r w:rsidR="004D687D">
        <w:rPr>
          <w:bCs/>
          <w:sz w:val="24"/>
          <w:lang w:val="da-DK"/>
        </w:rPr>
        <w:t>eller</w:t>
      </w:r>
      <w:r w:rsidR="00810366">
        <w:rPr>
          <w:bCs/>
          <w:sz w:val="24"/>
          <w:lang w:val="da-DK"/>
        </w:rPr>
        <w:t xml:space="preserve"> nettokurstab</w:t>
      </w:r>
      <w:r w:rsidR="004D268F">
        <w:rPr>
          <w:bCs/>
          <w:sz w:val="24"/>
          <w:lang w:val="da-DK"/>
        </w:rPr>
        <w:t xml:space="preserve"> medregnes ved opgørelsen af </w:t>
      </w:r>
      <w:r w:rsidR="00F0586D">
        <w:rPr>
          <w:bCs/>
          <w:sz w:val="24"/>
          <w:lang w:val="da-DK"/>
        </w:rPr>
        <w:t>kontohaverens</w:t>
      </w:r>
      <w:r w:rsidR="004D268F">
        <w:rPr>
          <w:bCs/>
          <w:sz w:val="24"/>
          <w:lang w:val="da-DK"/>
        </w:rPr>
        <w:t xml:space="preserve"> skattepligtige indkomst</w:t>
      </w:r>
      <w:r w:rsidR="00BD2E11">
        <w:rPr>
          <w:bCs/>
          <w:sz w:val="24"/>
          <w:lang w:val="da-DK"/>
        </w:rPr>
        <w:t xml:space="preserve"> for</w:t>
      </w:r>
      <w:r w:rsidR="00555B0F">
        <w:rPr>
          <w:bCs/>
          <w:sz w:val="24"/>
          <w:lang w:val="da-DK"/>
        </w:rPr>
        <w:t xml:space="preserve"> det</w:t>
      </w:r>
      <w:r w:rsidR="005E6DD1">
        <w:rPr>
          <w:bCs/>
          <w:sz w:val="24"/>
          <w:lang w:val="da-DK"/>
        </w:rPr>
        <w:t xml:space="preserve"> førstkommende af følgende indkomstår:</w:t>
      </w:r>
    </w:p>
    <w:p w:rsidR="00DB0A3D" w:rsidRDefault="00DB0A3D" w:rsidP="00DB0A3D">
      <w:pPr>
        <w:pStyle w:val="Listeafsnit"/>
        <w:numPr>
          <w:ilvl w:val="0"/>
          <w:numId w:val="46"/>
        </w:numPr>
        <w:spacing w:line="288" w:lineRule="auto"/>
        <w:rPr>
          <w:bCs/>
          <w:sz w:val="24"/>
          <w:lang w:val="da-DK"/>
        </w:rPr>
      </w:pPr>
      <w:r>
        <w:rPr>
          <w:bCs/>
          <w:sz w:val="24"/>
          <w:lang w:val="da-DK"/>
        </w:rPr>
        <w:t>Det indkomstår, hvori det sidste indskud hæves.</w:t>
      </w:r>
    </w:p>
    <w:p w:rsidR="00DB0A3D" w:rsidRDefault="00DB0A3D" w:rsidP="00DB0A3D">
      <w:pPr>
        <w:pStyle w:val="Listeafsnit"/>
        <w:numPr>
          <w:ilvl w:val="0"/>
          <w:numId w:val="46"/>
        </w:numPr>
        <w:spacing w:line="288" w:lineRule="auto"/>
        <w:rPr>
          <w:bCs/>
          <w:sz w:val="24"/>
          <w:lang w:val="da-DK"/>
        </w:rPr>
      </w:pPr>
      <w:r>
        <w:rPr>
          <w:bCs/>
          <w:sz w:val="24"/>
          <w:lang w:val="da-DK"/>
        </w:rPr>
        <w:t>Det indkomstår, hvori det sidste indestående hæves.</w:t>
      </w:r>
    </w:p>
    <w:p w:rsidR="00DB0A3D" w:rsidRDefault="00DB0A3D" w:rsidP="00DB0A3D">
      <w:pPr>
        <w:pStyle w:val="Listeafsnit"/>
        <w:numPr>
          <w:ilvl w:val="0"/>
          <w:numId w:val="46"/>
        </w:numPr>
        <w:spacing w:line="288" w:lineRule="auto"/>
        <w:rPr>
          <w:bCs/>
          <w:sz w:val="24"/>
          <w:lang w:val="da-DK"/>
        </w:rPr>
      </w:pPr>
      <w:r>
        <w:rPr>
          <w:bCs/>
          <w:sz w:val="24"/>
          <w:lang w:val="da-DK"/>
        </w:rPr>
        <w:t>Det indkomstår, hvori fristen for etablering efter § 8 udløber.</w:t>
      </w:r>
    </w:p>
    <w:p w:rsidR="00DB0A3D" w:rsidRDefault="00DB0A3D" w:rsidP="00DB0A3D">
      <w:pPr>
        <w:pStyle w:val="Listeafsnit"/>
        <w:numPr>
          <w:ilvl w:val="0"/>
          <w:numId w:val="46"/>
        </w:numPr>
        <w:spacing w:line="288" w:lineRule="auto"/>
        <w:rPr>
          <w:bCs/>
          <w:sz w:val="24"/>
          <w:lang w:val="da-DK"/>
        </w:rPr>
      </w:pPr>
      <w:r>
        <w:rPr>
          <w:bCs/>
          <w:sz w:val="24"/>
          <w:lang w:val="da-DK"/>
        </w:rPr>
        <w:t>Det indkomstår, hvori kontohaveren går konkurs.</w:t>
      </w:r>
    </w:p>
    <w:p w:rsidR="00DB0A3D" w:rsidRDefault="00DB0A3D" w:rsidP="00DB0A3D">
      <w:pPr>
        <w:pStyle w:val="Listeafsnit"/>
        <w:numPr>
          <w:ilvl w:val="0"/>
          <w:numId w:val="46"/>
        </w:numPr>
        <w:spacing w:line="288" w:lineRule="auto"/>
        <w:rPr>
          <w:bCs/>
          <w:sz w:val="24"/>
          <w:lang w:val="da-DK"/>
        </w:rPr>
      </w:pPr>
      <w:r>
        <w:rPr>
          <w:bCs/>
          <w:sz w:val="24"/>
          <w:lang w:val="da-DK"/>
        </w:rPr>
        <w:t>Det indkomstår, hvori kontohaveren dør.</w:t>
      </w:r>
    </w:p>
    <w:p w:rsidR="00DB0A3D" w:rsidRDefault="00DB0A3D" w:rsidP="00DB0A3D">
      <w:pPr>
        <w:pStyle w:val="Listeafsnit"/>
        <w:numPr>
          <w:ilvl w:val="0"/>
          <w:numId w:val="46"/>
        </w:numPr>
        <w:spacing w:line="288" w:lineRule="auto"/>
        <w:rPr>
          <w:bCs/>
          <w:sz w:val="24"/>
          <w:lang w:val="da-DK"/>
        </w:rPr>
      </w:pPr>
      <w:proofErr w:type="gramStart"/>
      <w:r>
        <w:rPr>
          <w:bCs/>
          <w:sz w:val="24"/>
          <w:lang w:val="da-DK"/>
        </w:rPr>
        <w:t>Det</w:t>
      </w:r>
      <w:proofErr w:type="gramEnd"/>
      <w:r>
        <w:rPr>
          <w:bCs/>
          <w:sz w:val="24"/>
          <w:lang w:val="da-DK"/>
        </w:rPr>
        <w:t xml:space="preserve"> niende </w:t>
      </w:r>
      <w:proofErr w:type="gramStart"/>
      <w:r>
        <w:rPr>
          <w:bCs/>
          <w:sz w:val="24"/>
          <w:lang w:val="da-DK"/>
        </w:rPr>
        <w:t>indkomstår</w:t>
      </w:r>
      <w:proofErr w:type="gramEnd"/>
      <w:r>
        <w:rPr>
          <w:bCs/>
          <w:sz w:val="24"/>
          <w:lang w:val="da-DK"/>
        </w:rPr>
        <w:t xml:space="preserve"> efter udløbet af det indkomstår, hvori etablering er fundet sted.</w:t>
      </w:r>
      <w:r w:rsidR="00741FD3">
        <w:rPr>
          <w:bCs/>
          <w:sz w:val="24"/>
          <w:lang w:val="da-DK"/>
        </w:rPr>
        <w:t>”</w:t>
      </w:r>
    </w:p>
    <w:p w:rsidR="00DB0A3D" w:rsidRDefault="00DB0A3D" w:rsidP="00DB0A3D">
      <w:pPr>
        <w:spacing w:line="288" w:lineRule="auto"/>
        <w:rPr>
          <w:bCs/>
          <w:sz w:val="24"/>
          <w:lang w:val="da-DK"/>
        </w:rPr>
      </w:pPr>
    </w:p>
    <w:p w:rsidR="0095376C" w:rsidRPr="00BC1AE3" w:rsidRDefault="00EB79C3" w:rsidP="0095376C">
      <w:pPr>
        <w:spacing w:line="288" w:lineRule="auto"/>
        <w:jc w:val="center"/>
        <w:rPr>
          <w:b/>
          <w:bCs/>
          <w:sz w:val="24"/>
          <w:lang w:val="da-DK"/>
        </w:rPr>
      </w:pPr>
      <w:r w:rsidRPr="00BC1AE3">
        <w:rPr>
          <w:b/>
          <w:bCs/>
          <w:sz w:val="24"/>
          <w:lang w:val="da-DK"/>
        </w:rPr>
        <w:t xml:space="preserve">§ </w:t>
      </w:r>
      <w:r w:rsidR="00C173FE" w:rsidRPr="00BC1AE3">
        <w:rPr>
          <w:b/>
          <w:bCs/>
          <w:sz w:val="24"/>
          <w:lang w:val="da-DK"/>
        </w:rPr>
        <w:t>2</w:t>
      </w:r>
    </w:p>
    <w:p w:rsidR="00C776F9" w:rsidRDefault="00C776F9">
      <w:pPr>
        <w:spacing w:line="288" w:lineRule="auto"/>
        <w:rPr>
          <w:bCs/>
          <w:sz w:val="24"/>
          <w:lang w:val="da-DK"/>
        </w:rPr>
      </w:pPr>
    </w:p>
    <w:p w:rsidR="00C776F9" w:rsidRDefault="00EB79C3">
      <w:pPr>
        <w:spacing w:line="288" w:lineRule="auto"/>
        <w:rPr>
          <w:bCs/>
          <w:sz w:val="24"/>
          <w:lang w:val="da-DK"/>
        </w:rPr>
      </w:pPr>
      <w:r>
        <w:rPr>
          <w:bCs/>
          <w:sz w:val="24"/>
          <w:lang w:val="da-DK"/>
        </w:rPr>
        <w:t>I</w:t>
      </w:r>
      <w:r w:rsidR="00864AA4">
        <w:rPr>
          <w:bCs/>
          <w:sz w:val="24"/>
          <w:lang w:val="da-DK"/>
        </w:rPr>
        <w:t xml:space="preserve"> lov om skattemæssig behandling af gevinst og tab</w:t>
      </w:r>
      <w:r>
        <w:rPr>
          <w:bCs/>
          <w:sz w:val="24"/>
          <w:lang w:val="da-DK"/>
        </w:rPr>
        <w:t xml:space="preserve"> </w:t>
      </w:r>
      <w:r w:rsidR="00864AA4">
        <w:rPr>
          <w:bCs/>
          <w:sz w:val="24"/>
          <w:lang w:val="da-DK"/>
        </w:rPr>
        <w:t>(</w:t>
      </w:r>
      <w:r>
        <w:rPr>
          <w:bCs/>
          <w:sz w:val="24"/>
          <w:lang w:val="da-DK"/>
        </w:rPr>
        <w:t>kursgevinstloven</w:t>
      </w:r>
      <w:r w:rsidR="00864AA4">
        <w:rPr>
          <w:bCs/>
          <w:sz w:val="24"/>
          <w:lang w:val="da-DK"/>
        </w:rPr>
        <w:t>)</w:t>
      </w:r>
      <w:r>
        <w:rPr>
          <w:bCs/>
          <w:sz w:val="24"/>
          <w:lang w:val="da-DK"/>
        </w:rPr>
        <w:t>, jf. lovbekendtgørelse nr. 1002 af 26. oktober 2009</w:t>
      </w:r>
      <w:r w:rsidR="001442ED">
        <w:rPr>
          <w:bCs/>
          <w:sz w:val="24"/>
          <w:lang w:val="da-DK"/>
        </w:rPr>
        <w:t xml:space="preserve">, som ændret ved lov nr. 724 af 25. </w:t>
      </w:r>
      <w:r w:rsidR="00D9740E">
        <w:rPr>
          <w:bCs/>
          <w:sz w:val="24"/>
          <w:lang w:val="da-DK"/>
        </w:rPr>
        <w:t>j</w:t>
      </w:r>
      <w:r w:rsidR="001442ED">
        <w:rPr>
          <w:bCs/>
          <w:sz w:val="24"/>
          <w:lang w:val="da-DK"/>
        </w:rPr>
        <w:t>uni 2010.</w:t>
      </w:r>
      <w:r>
        <w:rPr>
          <w:bCs/>
          <w:sz w:val="24"/>
          <w:lang w:val="da-DK"/>
        </w:rPr>
        <w:t xml:space="preserve"> </w:t>
      </w:r>
    </w:p>
    <w:p w:rsidR="00C776F9" w:rsidRDefault="00C776F9">
      <w:pPr>
        <w:spacing w:line="288" w:lineRule="auto"/>
        <w:rPr>
          <w:bCs/>
          <w:sz w:val="24"/>
          <w:lang w:val="da-DK"/>
        </w:rPr>
      </w:pPr>
    </w:p>
    <w:p w:rsidR="00EB79C3" w:rsidRDefault="00EB79C3" w:rsidP="00EB79C3">
      <w:pPr>
        <w:spacing w:line="288" w:lineRule="auto"/>
        <w:rPr>
          <w:sz w:val="24"/>
          <w:lang w:val="da-DK"/>
        </w:rPr>
      </w:pPr>
      <w:r>
        <w:rPr>
          <w:b/>
          <w:bCs/>
          <w:sz w:val="24"/>
          <w:lang w:val="da-DK"/>
        </w:rPr>
        <w:t>1</w:t>
      </w:r>
      <w:r w:rsidRPr="0080300E">
        <w:rPr>
          <w:b/>
          <w:bCs/>
          <w:sz w:val="24"/>
          <w:lang w:val="da-DK"/>
        </w:rPr>
        <w:t>.</w:t>
      </w:r>
      <w:r w:rsidR="0095376C" w:rsidRPr="0095376C">
        <w:rPr>
          <w:bCs/>
          <w:sz w:val="24"/>
          <w:lang w:val="da-DK"/>
        </w:rPr>
        <w:t xml:space="preserve"> I</w:t>
      </w:r>
      <w:r w:rsidRPr="004B23AD">
        <w:rPr>
          <w:i/>
          <w:sz w:val="24"/>
          <w:lang w:val="da-DK"/>
        </w:rPr>
        <w:t>§</w:t>
      </w:r>
      <w:r w:rsidR="001442ED">
        <w:rPr>
          <w:i/>
          <w:sz w:val="24"/>
          <w:lang w:val="da-DK"/>
        </w:rPr>
        <w:t xml:space="preserve"> 35</w:t>
      </w:r>
      <w:r w:rsidRPr="004B23AD">
        <w:rPr>
          <w:i/>
          <w:sz w:val="24"/>
          <w:lang w:val="da-DK"/>
        </w:rPr>
        <w:t>,</w:t>
      </w:r>
      <w:r w:rsidR="00D11559">
        <w:rPr>
          <w:i/>
          <w:sz w:val="24"/>
          <w:lang w:val="da-DK"/>
        </w:rPr>
        <w:t xml:space="preserve"> </w:t>
      </w:r>
      <w:r w:rsidR="0095376C" w:rsidRPr="0095376C">
        <w:rPr>
          <w:i/>
          <w:sz w:val="24"/>
          <w:lang w:val="da-DK"/>
        </w:rPr>
        <w:t>1. pkt.</w:t>
      </w:r>
      <w:r w:rsidR="001442ED">
        <w:rPr>
          <w:i/>
          <w:sz w:val="24"/>
          <w:lang w:val="da-DK"/>
        </w:rPr>
        <w:t>,</w:t>
      </w:r>
      <w:r w:rsidR="0095376C" w:rsidRPr="0095376C">
        <w:rPr>
          <w:i/>
          <w:sz w:val="24"/>
          <w:lang w:val="da-DK"/>
        </w:rPr>
        <w:t xml:space="preserve"> </w:t>
      </w:r>
      <w:r w:rsidR="001442ED">
        <w:rPr>
          <w:sz w:val="24"/>
          <w:lang w:val="da-DK"/>
        </w:rPr>
        <w:t>indsættes</w:t>
      </w:r>
      <w:r w:rsidR="0038542E">
        <w:rPr>
          <w:sz w:val="24"/>
          <w:lang w:val="da-DK"/>
        </w:rPr>
        <w:t xml:space="preserve"> efter</w:t>
      </w:r>
      <w:r w:rsidR="001442ED">
        <w:rPr>
          <w:sz w:val="24"/>
          <w:lang w:val="da-DK"/>
        </w:rPr>
        <w:t xml:space="preserve"> ”</w:t>
      </w:r>
      <w:proofErr w:type="gramStart"/>
      <w:r w:rsidR="001442ED">
        <w:rPr>
          <w:sz w:val="24"/>
          <w:lang w:val="da-DK"/>
        </w:rPr>
        <w:t>pensionsbeskatningsloven,”</w:t>
      </w:r>
      <w:r>
        <w:rPr>
          <w:sz w:val="24"/>
          <w:lang w:val="da-DK"/>
        </w:rPr>
        <w:t>:</w:t>
      </w:r>
      <w:r w:rsidR="001442ED">
        <w:rPr>
          <w:sz w:val="24"/>
          <w:lang w:val="da-DK"/>
        </w:rPr>
        <w:t xml:space="preserve"> ”</w:t>
      </w:r>
      <w:proofErr w:type="gramEnd"/>
      <w:r w:rsidR="001442ED">
        <w:rPr>
          <w:sz w:val="24"/>
          <w:lang w:val="da-DK"/>
        </w:rPr>
        <w:t>og indskud af en obligation på en e</w:t>
      </w:r>
      <w:r w:rsidR="002D2DDA">
        <w:rPr>
          <w:sz w:val="24"/>
          <w:lang w:val="da-DK"/>
        </w:rPr>
        <w:t>tableringskonto eller iværksætterkonto efter lov om indskud på etableringskonto og iværksætterkonto”.</w:t>
      </w:r>
    </w:p>
    <w:p w:rsidR="00EB79C3" w:rsidRDefault="00EB79C3" w:rsidP="00EB79C3">
      <w:pPr>
        <w:spacing w:line="288" w:lineRule="auto"/>
        <w:rPr>
          <w:sz w:val="24"/>
          <w:lang w:val="da-DK"/>
        </w:rPr>
      </w:pPr>
    </w:p>
    <w:p w:rsidR="002D2DDA" w:rsidRDefault="002D2DDA" w:rsidP="002D2DDA">
      <w:pPr>
        <w:spacing w:line="288" w:lineRule="auto"/>
        <w:rPr>
          <w:sz w:val="24"/>
          <w:lang w:val="da-DK"/>
        </w:rPr>
      </w:pPr>
      <w:r>
        <w:rPr>
          <w:b/>
          <w:bCs/>
          <w:sz w:val="24"/>
          <w:lang w:val="da-DK"/>
        </w:rPr>
        <w:t>2</w:t>
      </w:r>
      <w:r w:rsidRPr="0080300E">
        <w:rPr>
          <w:b/>
          <w:bCs/>
          <w:sz w:val="24"/>
          <w:lang w:val="da-DK"/>
        </w:rPr>
        <w:t xml:space="preserve">. </w:t>
      </w:r>
      <w:r w:rsidR="0095376C" w:rsidRPr="0095376C">
        <w:rPr>
          <w:bCs/>
          <w:sz w:val="24"/>
          <w:lang w:val="da-DK"/>
        </w:rPr>
        <w:t xml:space="preserve">I </w:t>
      </w:r>
      <w:r w:rsidRPr="004B23AD">
        <w:rPr>
          <w:i/>
          <w:sz w:val="24"/>
          <w:lang w:val="da-DK"/>
        </w:rPr>
        <w:t xml:space="preserve">§ </w:t>
      </w:r>
      <w:r>
        <w:rPr>
          <w:i/>
          <w:sz w:val="24"/>
          <w:lang w:val="da-DK"/>
        </w:rPr>
        <w:t>35</w:t>
      </w:r>
      <w:r w:rsidR="0095376C" w:rsidRPr="0095376C">
        <w:rPr>
          <w:sz w:val="24"/>
          <w:lang w:val="da-DK"/>
        </w:rPr>
        <w:t xml:space="preserve"> indsættes som </w:t>
      </w:r>
      <w:r w:rsidR="00257C41">
        <w:rPr>
          <w:i/>
          <w:sz w:val="24"/>
          <w:lang w:val="da-DK"/>
        </w:rPr>
        <w:t>3</w:t>
      </w:r>
      <w:r w:rsidRPr="004B23AD">
        <w:rPr>
          <w:i/>
          <w:sz w:val="24"/>
          <w:lang w:val="da-DK"/>
        </w:rPr>
        <w:t>. pkt.</w:t>
      </w:r>
      <w:r>
        <w:rPr>
          <w:sz w:val="24"/>
          <w:lang w:val="da-DK"/>
        </w:rPr>
        <w:t>:</w:t>
      </w:r>
    </w:p>
    <w:p w:rsidR="002D2DDA" w:rsidRDefault="005A519B" w:rsidP="002D2DDA">
      <w:pPr>
        <w:spacing w:line="288" w:lineRule="auto"/>
        <w:rPr>
          <w:bCs/>
          <w:sz w:val="24"/>
          <w:lang w:val="da-DK"/>
        </w:rPr>
      </w:pPr>
      <w:r>
        <w:rPr>
          <w:bCs/>
          <w:sz w:val="24"/>
          <w:lang w:val="da-DK"/>
        </w:rPr>
        <w:t>”Udlodning af en obligation fra en etableringskonto eller iværksætterkonto efter lov om indskud på etableringskonto og iværksætterkonto sidestilles med erhvervelse.”</w:t>
      </w:r>
    </w:p>
    <w:p w:rsidR="0038542E" w:rsidRDefault="0038542E">
      <w:pPr>
        <w:spacing w:line="288" w:lineRule="auto"/>
        <w:rPr>
          <w:bCs/>
          <w:sz w:val="24"/>
          <w:lang w:val="da-DK"/>
        </w:rPr>
      </w:pPr>
    </w:p>
    <w:p w:rsidR="0095376C" w:rsidRPr="00BC1AE3" w:rsidRDefault="0038542E" w:rsidP="0095376C">
      <w:pPr>
        <w:spacing w:line="288" w:lineRule="auto"/>
        <w:jc w:val="center"/>
        <w:rPr>
          <w:b/>
          <w:bCs/>
          <w:sz w:val="24"/>
          <w:lang w:val="da-DK"/>
        </w:rPr>
      </w:pPr>
      <w:r w:rsidRPr="00BC1AE3">
        <w:rPr>
          <w:b/>
          <w:bCs/>
          <w:sz w:val="24"/>
          <w:lang w:val="da-DK"/>
        </w:rPr>
        <w:t xml:space="preserve">§ </w:t>
      </w:r>
      <w:r w:rsidR="00C173FE" w:rsidRPr="00BC1AE3">
        <w:rPr>
          <w:b/>
          <w:bCs/>
          <w:sz w:val="24"/>
          <w:lang w:val="da-DK"/>
        </w:rPr>
        <w:t>3</w:t>
      </w:r>
    </w:p>
    <w:p w:rsidR="0038542E" w:rsidRDefault="0038542E">
      <w:pPr>
        <w:spacing w:line="288" w:lineRule="auto"/>
        <w:rPr>
          <w:bCs/>
          <w:sz w:val="24"/>
          <w:lang w:val="da-DK"/>
        </w:rPr>
      </w:pPr>
    </w:p>
    <w:p w:rsidR="00445E58" w:rsidRDefault="00BD6C98" w:rsidP="00E73885">
      <w:pPr>
        <w:spacing w:line="288" w:lineRule="auto"/>
        <w:rPr>
          <w:sz w:val="24"/>
          <w:lang w:val="da-DK"/>
        </w:rPr>
      </w:pPr>
      <w:r w:rsidRPr="0080300E">
        <w:rPr>
          <w:i/>
          <w:iCs/>
          <w:sz w:val="24"/>
          <w:lang w:val="da-DK"/>
        </w:rPr>
        <w:t xml:space="preserve">Stk. 1. </w:t>
      </w:r>
      <w:r w:rsidRPr="0080300E">
        <w:rPr>
          <w:sz w:val="24"/>
          <w:lang w:val="da-DK"/>
        </w:rPr>
        <w:t>Loven træder i kraft</w:t>
      </w:r>
      <w:r w:rsidR="007356F3">
        <w:rPr>
          <w:sz w:val="24"/>
          <w:lang w:val="da-DK"/>
        </w:rPr>
        <w:t xml:space="preserve"> </w:t>
      </w:r>
      <w:r w:rsidR="004F0D8A">
        <w:rPr>
          <w:sz w:val="24"/>
          <w:lang w:val="da-DK"/>
        </w:rPr>
        <w:t>dagen efter bekendtgørelsen i Lovtidende</w:t>
      </w:r>
      <w:r w:rsidR="007356F3">
        <w:rPr>
          <w:sz w:val="24"/>
          <w:lang w:val="da-DK"/>
        </w:rPr>
        <w:t>.</w:t>
      </w:r>
    </w:p>
    <w:p w:rsidR="00BD6C98" w:rsidRDefault="00380F75" w:rsidP="00BD6C98">
      <w:pPr>
        <w:spacing w:line="288" w:lineRule="auto"/>
        <w:ind w:left="360"/>
        <w:rPr>
          <w:sz w:val="24"/>
          <w:lang w:val="da-DK"/>
        </w:rPr>
      </w:pPr>
      <w:r>
        <w:rPr>
          <w:sz w:val="24"/>
          <w:lang w:val="da-DK"/>
        </w:rPr>
        <w:br w:type="page"/>
      </w:r>
      <w:r w:rsidR="00A7259B">
        <w:rPr>
          <w:sz w:val="24"/>
          <w:lang w:val="da-DK"/>
        </w:rPr>
        <w:lastRenderedPageBreak/>
        <w:t xml:space="preserve"> </w:t>
      </w:r>
    </w:p>
    <w:p w:rsidR="004F5D0B" w:rsidRPr="0080300E" w:rsidRDefault="004F5D0B" w:rsidP="00BD6C98">
      <w:pPr>
        <w:spacing w:line="288" w:lineRule="auto"/>
        <w:ind w:left="360"/>
        <w:rPr>
          <w:sz w:val="24"/>
          <w:lang w:val="da-DK"/>
        </w:rPr>
      </w:pPr>
    </w:p>
    <w:p w:rsidR="00BD6C98" w:rsidRPr="0080300E" w:rsidRDefault="00BD6C98" w:rsidP="00BD6C98">
      <w:pPr>
        <w:ind w:right="1"/>
        <w:jc w:val="both"/>
        <w:rPr>
          <w:sz w:val="24"/>
          <w:lang w:val="da-DK"/>
        </w:rPr>
      </w:pPr>
    </w:p>
    <w:p w:rsidR="00BD6C98" w:rsidRPr="00941FE8" w:rsidRDefault="00BD6C98" w:rsidP="00BD6C98">
      <w:pPr>
        <w:spacing w:line="288" w:lineRule="auto"/>
        <w:jc w:val="center"/>
        <w:rPr>
          <w:i/>
          <w:iCs/>
          <w:sz w:val="28"/>
          <w:lang w:val="da-DK"/>
        </w:rPr>
      </w:pPr>
      <w:r w:rsidRPr="00941FE8">
        <w:rPr>
          <w:i/>
          <w:iCs/>
          <w:sz w:val="28"/>
          <w:lang w:val="da-DK"/>
        </w:rPr>
        <w:t>Bemærkninger til lovforslaget</w:t>
      </w:r>
    </w:p>
    <w:p w:rsidR="00BD6C98" w:rsidRDefault="00BD6C98" w:rsidP="00BD6C98">
      <w:pPr>
        <w:pStyle w:val="Overskrift2"/>
        <w:jc w:val="center"/>
        <w:rPr>
          <w:rFonts w:ascii="Times New Roman" w:hAnsi="Times New Roman" w:cs="Times New Roman"/>
          <w:b/>
          <w:sz w:val="24"/>
        </w:rPr>
      </w:pPr>
      <w:bookmarkStart w:id="1" w:name="_Toc207591963"/>
      <w:bookmarkStart w:id="2" w:name="_Toc207684794"/>
    </w:p>
    <w:p w:rsidR="00BD6C98" w:rsidRPr="0080300E" w:rsidRDefault="00BD6C98" w:rsidP="00BD6C98">
      <w:pPr>
        <w:jc w:val="center"/>
        <w:rPr>
          <w:i/>
          <w:sz w:val="24"/>
          <w:lang w:val="da-DK"/>
        </w:rPr>
      </w:pPr>
      <w:r w:rsidRPr="0080300E">
        <w:rPr>
          <w:i/>
          <w:sz w:val="24"/>
          <w:lang w:val="da-DK"/>
        </w:rPr>
        <w:t>Almindelige bemærkninger</w:t>
      </w:r>
      <w:bookmarkEnd w:id="1"/>
      <w:bookmarkEnd w:id="2"/>
    </w:p>
    <w:p w:rsidR="00BD6C98" w:rsidRPr="0080300E" w:rsidRDefault="00BD6C98" w:rsidP="00BD6C98">
      <w:pPr>
        <w:spacing w:line="288" w:lineRule="auto"/>
        <w:jc w:val="center"/>
        <w:rPr>
          <w:i/>
          <w:iCs/>
          <w:sz w:val="24"/>
          <w:lang w:val="da-DK"/>
        </w:rPr>
      </w:pPr>
    </w:p>
    <w:p w:rsidR="00BD6C98" w:rsidRPr="0080300E" w:rsidRDefault="00A33695" w:rsidP="00BD6C98">
      <w:pPr>
        <w:spacing w:line="288" w:lineRule="auto"/>
        <w:rPr>
          <w:i/>
          <w:iCs/>
          <w:sz w:val="24"/>
          <w:lang w:val="da-DK"/>
        </w:rPr>
      </w:pPr>
      <w:r>
        <w:rPr>
          <w:i/>
          <w:iCs/>
          <w:sz w:val="24"/>
          <w:lang w:val="da-DK"/>
        </w:rPr>
        <w:t>1</w:t>
      </w:r>
      <w:r w:rsidR="00BD6C98" w:rsidRPr="0080300E">
        <w:rPr>
          <w:i/>
          <w:iCs/>
          <w:sz w:val="24"/>
          <w:lang w:val="da-DK"/>
        </w:rPr>
        <w:t>. Gældende re</w:t>
      </w:r>
      <w:r w:rsidR="00BD6C98">
        <w:rPr>
          <w:i/>
          <w:iCs/>
          <w:sz w:val="24"/>
          <w:lang w:val="da-DK"/>
        </w:rPr>
        <w:t>t</w:t>
      </w:r>
    </w:p>
    <w:p w:rsidR="00241DCA" w:rsidRDefault="00986233" w:rsidP="00241DCA">
      <w:pPr>
        <w:spacing w:line="288" w:lineRule="auto"/>
        <w:rPr>
          <w:iCs/>
          <w:sz w:val="24"/>
          <w:lang w:val="da-DK"/>
        </w:rPr>
      </w:pPr>
      <w:r>
        <w:rPr>
          <w:iCs/>
          <w:sz w:val="24"/>
          <w:lang w:val="da-DK"/>
        </w:rPr>
        <w:t>En</w:t>
      </w:r>
      <w:r w:rsidR="004D687D">
        <w:rPr>
          <w:iCs/>
          <w:sz w:val="24"/>
          <w:lang w:val="da-DK"/>
        </w:rPr>
        <w:t xml:space="preserve"> tidligere</w:t>
      </w:r>
      <w:r>
        <w:rPr>
          <w:iCs/>
          <w:sz w:val="24"/>
          <w:lang w:val="da-DK"/>
        </w:rPr>
        <w:t xml:space="preserve"> a</w:t>
      </w:r>
      <w:r w:rsidR="00241DCA">
        <w:rPr>
          <w:iCs/>
          <w:sz w:val="24"/>
          <w:lang w:val="da-DK"/>
        </w:rPr>
        <w:t>dgang til at anbringe etablerings- og iværksætterkontoindskud i obligationer</w:t>
      </w:r>
      <w:r>
        <w:rPr>
          <w:iCs/>
          <w:sz w:val="24"/>
          <w:lang w:val="da-DK"/>
        </w:rPr>
        <w:t xml:space="preserve"> </w:t>
      </w:r>
      <w:r w:rsidR="004D687D">
        <w:rPr>
          <w:iCs/>
          <w:sz w:val="24"/>
          <w:lang w:val="da-DK"/>
        </w:rPr>
        <w:t>blev</w:t>
      </w:r>
      <w:r>
        <w:rPr>
          <w:iCs/>
          <w:sz w:val="24"/>
          <w:lang w:val="da-DK"/>
        </w:rPr>
        <w:t xml:space="preserve"> </w:t>
      </w:r>
      <w:r w:rsidR="00241DCA">
        <w:rPr>
          <w:iCs/>
          <w:sz w:val="24"/>
          <w:lang w:val="da-DK"/>
        </w:rPr>
        <w:t>ophævet med virkning fra</w:t>
      </w:r>
      <w:r w:rsidR="00DB17CD">
        <w:rPr>
          <w:iCs/>
          <w:sz w:val="24"/>
          <w:lang w:val="da-DK"/>
        </w:rPr>
        <w:t xml:space="preserve"> den</w:t>
      </w:r>
      <w:r w:rsidR="00241DCA">
        <w:rPr>
          <w:iCs/>
          <w:sz w:val="24"/>
          <w:lang w:val="da-DK"/>
        </w:rPr>
        <w:t xml:space="preserve"> 27. januar 2010</w:t>
      </w:r>
      <w:r>
        <w:rPr>
          <w:iCs/>
          <w:sz w:val="24"/>
          <w:lang w:val="da-DK"/>
        </w:rPr>
        <w:t>. Det skete</w:t>
      </w:r>
      <w:r w:rsidR="00241DCA">
        <w:rPr>
          <w:iCs/>
          <w:sz w:val="24"/>
          <w:lang w:val="da-DK"/>
        </w:rPr>
        <w:t xml:space="preserve"> i forbindelse med ophævelse af </w:t>
      </w:r>
      <w:r w:rsidR="00EA5FCC">
        <w:rPr>
          <w:iCs/>
          <w:sz w:val="24"/>
          <w:lang w:val="da-DK"/>
        </w:rPr>
        <w:t>mi</w:t>
      </w:r>
      <w:r w:rsidR="00241DCA">
        <w:rPr>
          <w:iCs/>
          <w:sz w:val="24"/>
          <w:lang w:val="da-DK"/>
        </w:rPr>
        <w:t>ndsterente</w:t>
      </w:r>
      <w:r w:rsidR="00EA5FCC">
        <w:rPr>
          <w:iCs/>
          <w:sz w:val="24"/>
          <w:lang w:val="da-DK"/>
        </w:rPr>
        <w:t>reglen</w:t>
      </w:r>
      <w:r w:rsidR="00241DCA">
        <w:rPr>
          <w:iCs/>
          <w:sz w:val="24"/>
          <w:lang w:val="da-DK"/>
        </w:rPr>
        <w:t>, jf. § 5 i lov nr. 724 af 25. juni 2010 om ændring af kursgevinstloven og forskellige andre love (Harmonisering af beskatningen af fordringer i danske kroner og fremmed valuta og nedsættelse af beskatningen af kapitalindkomst m.v.).</w:t>
      </w:r>
    </w:p>
    <w:p w:rsidR="00241DCA" w:rsidRDefault="00241DCA" w:rsidP="00241DCA">
      <w:pPr>
        <w:spacing w:line="288" w:lineRule="auto"/>
        <w:rPr>
          <w:iCs/>
          <w:sz w:val="24"/>
          <w:lang w:val="da-DK"/>
        </w:rPr>
      </w:pPr>
    </w:p>
    <w:p w:rsidR="000E0CA7" w:rsidRDefault="0006031C" w:rsidP="00241DCA">
      <w:pPr>
        <w:spacing w:line="288" w:lineRule="auto"/>
        <w:rPr>
          <w:iCs/>
          <w:sz w:val="24"/>
          <w:lang w:val="da-DK"/>
        </w:rPr>
      </w:pPr>
      <w:r>
        <w:rPr>
          <w:iCs/>
          <w:sz w:val="24"/>
          <w:lang w:val="da-DK"/>
        </w:rPr>
        <w:t>A</w:t>
      </w:r>
      <w:r w:rsidR="00986233">
        <w:rPr>
          <w:iCs/>
          <w:sz w:val="24"/>
          <w:lang w:val="da-DK"/>
        </w:rPr>
        <w:t>dgang</w:t>
      </w:r>
      <w:r>
        <w:rPr>
          <w:iCs/>
          <w:sz w:val="24"/>
          <w:lang w:val="da-DK"/>
        </w:rPr>
        <w:t>en</w:t>
      </w:r>
      <w:r w:rsidR="00986233">
        <w:rPr>
          <w:iCs/>
          <w:sz w:val="24"/>
          <w:lang w:val="da-DK"/>
        </w:rPr>
        <w:t xml:space="preserve"> blev ophævet</w:t>
      </w:r>
      <w:r w:rsidR="00BD2E11">
        <w:rPr>
          <w:iCs/>
          <w:sz w:val="24"/>
          <w:lang w:val="da-DK"/>
        </w:rPr>
        <w:t xml:space="preserve"> </w:t>
      </w:r>
      <w:r w:rsidR="00610E2A">
        <w:rPr>
          <w:iCs/>
          <w:sz w:val="24"/>
          <w:lang w:val="da-DK"/>
        </w:rPr>
        <w:t>som følge af, at mindsterentereglen blev ophævet</w:t>
      </w:r>
      <w:r w:rsidR="00BD2E11">
        <w:rPr>
          <w:iCs/>
          <w:sz w:val="24"/>
          <w:lang w:val="da-DK"/>
        </w:rPr>
        <w:t>,</w:t>
      </w:r>
      <w:r w:rsidR="00610E2A">
        <w:rPr>
          <w:iCs/>
          <w:sz w:val="24"/>
          <w:lang w:val="da-DK"/>
        </w:rPr>
        <w:t xml:space="preserve"> og</w:t>
      </w:r>
      <w:r w:rsidR="00BD2E11">
        <w:rPr>
          <w:iCs/>
          <w:sz w:val="24"/>
          <w:lang w:val="da-DK"/>
        </w:rPr>
        <w:t xml:space="preserve"> at</w:t>
      </w:r>
      <w:r w:rsidR="00986233">
        <w:rPr>
          <w:iCs/>
          <w:sz w:val="24"/>
          <w:lang w:val="da-DK"/>
        </w:rPr>
        <w:t xml:space="preserve"> kontoindskud </w:t>
      </w:r>
      <w:r w:rsidR="00241DCA">
        <w:rPr>
          <w:iCs/>
          <w:sz w:val="24"/>
          <w:lang w:val="da-DK"/>
        </w:rPr>
        <w:t>alene kunne placeres i obligationer, der var omfattet af mindsterentereglen, dvs. såkaldte blåstemplede obligationer.</w:t>
      </w:r>
    </w:p>
    <w:p w:rsidR="00241DCA" w:rsidRDefault="000E0CA7" w:rsidP="00241DCA">
      <w:pPr>
        <w:spacing w:line="288" w:lineRule="auto"/>
        <w:rPr>
          <w:sz w:val="24"/>
          <w:lang w:val="da-DK"/>
        </w:rPr>
      </w:pPr>
      <w:r>
        <w:rPr>
          <w:sz w:val="24"/>
          <w:lang w:val="da-DK"/>
        </w:rPr>
        <w:t xml:space="preserve"> </w:t>
      </w:r>
    </w:p>
    <w:p w:rsidR="004A50B7" w:rsidRDefault="0006031C" w:rsidP="00241DCA">
      <w:pPr>
        <w:pStyle w:val="Brdtekst"/>
        <w:spacing w:after="0" w:line="288" w:lineRule="auto"/>
        <w:rPr>
          <w:rFonts w:ascii="Times New Roman" w:hAnsi="Times New Roman"/>
        </w:rPr>
      </w:pPr>
      <w:r>
        <w:rPr>
          <w:rFonts w:ascii="Times New Roman" w:hAnsi="Times New Roman"/>
        </w:rPr>
        <w:t>Efter de tidligere regler kunne k</w:t>
      </w:r>
      <w:r w:rsidR="00241DCA">
        <w:rPr>
          <w:rFonts w:ascii="Times New Roman" w:hAnsi="Times New Roman"/>
        </w:rPr>
        <w:t>onto</w:t>
      </w:r>
      <w:r w:rsidR="004A50B7">
        <w:rPr>
          <w:rFonts w:ascii="Times New Roman" w:hAnsi="Times New Roman"/>
        </w:rPr>
        <w:t>indskuddene</w:t>
      </w:r>
      <w:r w:rsidR="00241DCA">
        <w:rPr>
          <w:rFonts w:ascii="Times New Roman" w:hAnsi="Times New Roman"/>
        </w:rPr>
        <w:t xml:space="preserve"> alene anbringes i blåstemplede obligationer optaget til handel på et reguleret marked.</w:t>
      </w:r>
      <w:r w:rsidR="004A50B7">
        <w:rPr>
          <w:rFonts w:ascii="Times New Roman" w:hAnsi="Times New Roman"/>
        </w:rPr>
        <w:t xml:space="preserve"> Indskuddene kunne dog ikke anbringes i konvertible obligationer, </w:t>
      </w:r>
      <w:r w:rsidR="009E6F31">
        <w:rPr>
          <w:rFonts w:ascii="Times New Roman" w:hAnsi="Times New Roman"/>
        </w:rPr>
        <w:t>dvs.</w:t>
      </w:r>
      <w:r w:rsidR="004A50B7">
        <w:rPr>
          <w:rFonts w:ascii="Times New Roman" w:hAnsi="Times New Roman"/>
        </w:rPr>
        <w:t xml:space="preserve"> obligationer, der kan konverteres til aktier.</w:t>
      </w:r>
    </w:p>
    <w:p w:rsidR="004A50B7" w:rsidRDefault="004A50B7" w:rsidP="00241DCA">
      <w:pPr>
        <w:pStyle w:val="Brdtekst"/>
        <w:spacing w:after="0" w:line="288" w:lineRule="auto"/>
        <w:rPr>
          <w:rFonts w:ascii="Times New Roman" w:hAnsi="Times New Roman"/>
        </w:rPr>
      </w:pPr>
    </w:p>
    <w:p w:rsidR="00CA3EFF" w:rsidRDefault="00610E2A" w:rsidP="00CA3EFF">
      <w:pPr>
        <w:pStyle w:val="Brdtekst"/>
        <w:spacing w:after="0" w:line="288" w:lineRule="auto"/>
        <w:rPr>
          <w:rFonts w:ascii="Times New Roman" w:hAnsi="Times New Roman"/>
        </w:rPr>
      </w:pPr>
      <w:r>
        <w:rPr>
          <w:rFonts w:ascii="Times New Roman" w:hAnsi="Times New Roman"/>
        </w:rPr>
        <w:t>K</w:t>
      </w:r>
      <w:r w:rsidR="00CA3EFF">
        <w:rPr>
          <w:rFonts w:ascii="Times New Roman" w:hAnsi="Times New Roman"/>
        </w:rPr>
        <w:t>ursgevinster</w:t>
      </w:r>
      <w:r>
        <w:rPr>
          <w:rFonts w:ascii="Times New Roman" w:hAnsi="Times New Roman"/>
        </w:rPr>
        <w:t xml:space="preserve"> og kurstab</w:t>
      </w:r>
      <w:r w:rsidR="00767ECC">
        <w:rPr>
          <w:rFonts w:ascii="Times New Roman" w:hAnsi="Times New Roman"/>
        </w:rPr>
        <w:t xml:space="preserve"> </w:t>
      </w:r>
      <w:r>
        <w:rPr>
          <w:rFonts w:ascii="Times New Roman" w:hAnsi="Times New Roman"/>
        </w:rPr>
        <w:t>på</w:t>
      </w:r>
      <w:r w:rsidR="00767ECC">
        <w:rPr>
          <w:rFonts w:ascii="Times New Roman" w:hAnsi="Times New Roman"/>
        </w:rPr>
        <w:t xml:space="preserve"> </w:t>
      </w:r>
      <w:r>
        <w:rPr>
          <w:rFonts w:ascii="Times New Roman" w:hAnsi="Times New Roman"/>
        </w:rPr>
        <w:t>blåstemplede</w:t>
      </w:r>
      <w:r w:rsidR="00767ECC">
        <w:rPr>
          <w:rFonts w:ascii="Times New Roman" w:hAnsi="Times New Roman"/>
        </w:rPr>
        <w:t xml:space="preserve"> obligationer</w:t>
      </w:r>
      <w:r w:rsidR="00CA3EFF">
        <w:rPr>
          <w:rFonts w:ascii="Times New Roman" w:hAnsi="Times New Roman"/>
        </w:rPr>
        <w:t xml:space="preserve"> vedrørte</w:t>
      </w:r>
      <w:r>
        <w:rPr>
          <w:rFonts w:ascii="Times New Roman" w:hAnsi="Times New Roman"/>
        </w:rPr>
        <w:t xml:space="preserve"> ikke</w:t>
      </w:r>
      <w:r w:rsidR="00CA3EFF">
        <w:rPr>
          <w:rFonts w:ascii="Times New Roman" w:hAnsi="Times New Roman"/>
        </w:rPr>
        <w:t xml:space="preserve"> den skattepligtige indkomst. Reglerne</w:t>
      </w:r>
      <w:r>
        <w:rPr>
          <w:rFonts w:ascii="Times New Roman" w:hAnsi="Times New Roman"/>
        </w:rPr>
        <w:t xml:space="preserve"> i etablerings- og iværksætterkontoloven</w:t>
      </w:r>
      <w:r w:rsidR="00CA3EFF">
        <w:rPr>
          <w:rFonts w:ascii="Times New Roman" w:hAnsi="Times New Roman"/>
        </w:rPr>
        <w:t xml:space="preserve"> var</w:t>
      </w:r>
      <w:r>
        <w:rPr>
          <w:rFonts w:ascii="Times New Roman" w:hAnsi="Times New Roman"/>
        </w:rPr>
        <w:t xml:space="preserve"> dog</w:t>
      </w:r>
      <w:r w:rsidR="00CA3EFF">
        <w:rPr>
          <w:rFonts w:ascii="Times New Roman" w:hAnsi="Times New Roman"/>
        </w:rPr>
        <w:t xml:space="preserve"> ikke til hinder for</w:t>
      </w:r>
      <w:r w:rsidR="00767ECC">
        <w:rPr>
          <w:rFonts w:ascii="Times New Roman" w:hAnsi="Times New Roman"/>
        </w:rPr>
        <w:t xml:space="preserve"> at</w:t>
      </w:r>
      <w:r w:rsidR="00CA3EFF">
        <w:rPr>
          <w:rFonts w:ascii="Times New Roman" w:hAnsi="Times New Roman"/>
        </w:rPr>
        <w:t xml:space="preserve"> placer</w:t>
      </w:r>
      <w:r w:rsidR="00767ECC">
        <w:rPr>
          <w:rFonts w:ascii="Times New Roman" w:hAnsi="Times New Roman"/>
        </w:rPr>
        <w:t>e indskud</w:t>
      </w:r>
      <w:r w:rsidR="00CA3EFF">
        <w:rPr>
          <w:rFonts w:ascii="Times New Roman" w:hAnsi="Times New Roman"/>
        </w:rPr>
        <w:t xml:space="preserve"> i obligationer i udenlandsk valuta. </w:t>
      </w:r>
      <w:r>
        <w:rPr>
          <w:rFonts w:ascii="Times New Roman" w:hAnsi="Times New Roman"/>
        </w:rPr>
        <w:t>D</w:t>
      </w:r>
      <w:r w:rsidR="00CA3EFF">
        <w:rPr>
          <w:rFonts w:ascii="Times New Roman" w:hAnsi="Times New Roman"/>
        </w:rPr>
        <w:t>et</w:t>
      </w:r>
      <w:r>
        <w:rPr>
          <w:rFonts w:ascii="Times New Roman" w:hAnsi="Times New Roman"/>
        </w:rPr>
        <w:t xml:space="preserve"> fulgte</w:t>
      </w:r>
      <w:r w:rsidR="00CA3EFF">
        <w:rPr>
          <w:rFonts w:ascii="Times New Roman" w:hAnsi="Times New Roman"/>
        </w:rPr>
        <w:t xml:space="preserve"> af kursgevinstloven, at kursgevinster</w:t>
      </w:r>
      <w:r w:rsidR="007B7408">
        <w:rPr>
          <w:rFonts w:ascii="Times New Roman" w:hAnsi="Times New Roman"/>
        </w:rPr>
        <w:t xml:space="preserve"> og kurstab</w:t>
      </w:r>
      <w:r>
        <w:rPr>
          <w:rFonts w:ascii="Times New Roman" w:hAnsi="Times New Roman"/>
        </w:rPr>
        <w:t xml:space="preserve"> på obligationer i udenlandsk valuta</w:t>
      </w:r>
      <w:r w:rsidR="00CA3EFF">
        <w:rPr>
          <w:rFonts w:ascii="Times New Roman" w:hAnsi="Times New Roman"/>
        </w:rPr>
        <w:t xml:space="preserve"> </w:t>
      </w:r>
      <w:r>
        <w:rPr>
          <w:rFonts w:ascii="Times New Roman" w:hAnsi="Times New Roman"/>
        </w:rPr>
        <w:t>var</w:t>
      </w:r>
      <w:r w:rsidR="00CA3EFF">
        <w:rPr>
          <w:rFonts w:ascii="Times New Roman" w:hAnsi="Times New Roman"/>
        </w:rPr>
        <w:t xml:space="preserve"> skattepligtige.</w:t>
      </w:r>
    </w:p>
    <w:p w:rsidR="00CA3EFF" w:rsidRDefault="00CA3EFF" w:rsidP="00241DCA">
      <w:pPr>
        <w:pStyle w:val="Brdtekst"/>
        <w:spacing w:after="0" w:line="288" w:lineRule="auto"/>
        <w:rPr>
          <w:rFonts w:ascii="Times New Roman" w:hAnsi="Times New Roman"/>
        </w:rPr>
      </w:pPr>
    </w:p>
    <w:p w:rsidR="00C70193" w:rsidRDefault="00F8587B" w:rsidP="00241DCA">
      <w:pPr>
        <w:pStyle w:val="Brdtekst"/>
        <w:spacing w:after="0" w:line="288" w:lineRule="auto"/>
        <w:rPr>
          <w:rFonts w:ascii="Times New Roman" w:hAnsi="Times New Roman"/>
        </w:rPr>
      </w:pPr>
      <w:r>
        <w:rPr>
          <w:rFonts w:ascii="Times New Roman" w:hAnsi="Times New Roman"/>
        </w:rPr>
        <w:t>I lighed med, hvad der fortsat gælder for bankbogsrenter, vedrørte de forfaldne obligationsrenter ikke opsparingen</w:t>
      </w:r>
      <w:r w:rsidR="00610E2A">
        <w:rPr>
          <w:rFonts w:ascii="Times New Roman" w:hAnsi="Times New Roman"/>
        </w:rPr>
        <w:t xml:space="preserve"> på etablerings- eller iværksætterkontoen</w:t>
      </w:r>
      <w:r>
        <w:rPr>
          <w:rFonts w:ascii="Times New Roman" w:hAnsi="Times New Roman"/>
        </w:rPr>
        <w:t>, men tilfaldt kontohaveren til dennes fri rådighed</w:t>
      </w:r>
      <w:r w:rsidR="007B7408">
        <w:rPr>
          <w:rFonts w:ascii="Times New Roman" w:hAnsi="Times New Roman"/>
        </w:rPr>
        <w:t xml:space="preserve"> og beskatning efter de almindelige regler</w:t>
      </w:r>
      <w:r>
        <w:rPr>
          <w:rFonts w:ascii="Times New Roman" w:hAnsi="Times New Roman"/>
        </w:rPr>
        <w:t>.</w:t>
      </w:r>
      <w:r w:rsidR="00C70193">
        <w:rPr>
          <w:rFonts w:ascii="Times New Roman" w:hAnsi="Times New Roman"/>
        </w:rPr>
        <w:t xml:space="preserve"> Ligesom bankbogsrenter blev obligationsrenter </w:t>
      </w:r>
      <w:r w:rsidR="007B7408">
        <w:rPr>
          <w:rFonts w:ascii="Times New Roman" w:hAnsi="Times New Roman"/>
        </w:rPr>
        <w:t>altså</w:t>
      </w:r>
      <w:r w:rsidR="00C70193">
        <w:rPr>
          <w:rFonts w:ascii="Times New Roman" w:hAnsi="Times New Roman"/>
        </w:rPr>
        <w:t xml:space="preserve"> ikke anset for automatisk indskudt i ordningen.</w:t>
      </w:r>
    </w:p>
    <w:p w:rsidR="00C70193" w:rsidRDefault="00C70193" w:rsidP="00241DCA">
      <w:pPr>
        <w:pStyle w:val="Brdtekst"/>
        <w:spacing w:after="0" w:line="288" w:lineRule="auto"/>
        <w:rPr>
          <w:rFonts w:ascii="Times New Roman" w:hAnsi="Times New Roman"/>
        </w:rPr>
      </w:pPr>
    </w:p>
    <w:p w:rsidR="00241DCA" w:rsidRPr="00795BFC" w:rsidRDefault="00C70193" w:rsidP="00241DCA">
      <w:pPr>
        <w:pStyle w:val="Brdtekst"/>
        <w:spacing w:after="0" w:line="288" w:lineRule="auto"/>
        <w:rPr>
          <w:rFonts w:ascii="Times New Roman" w:hAnsi="Times New Roman"/>
        </w:rPr>
      </w:pPr>
      <w:r>
        <w:rPr>
          <w:rFonts w:ascii="Times New Roman" w:hAnsi="Times New Roman"/>
        </w:rPr>
        <w:t xml:space="preserve">Kursgevinster og kurstab på obligationerne skulle regulere værdien af opsparingen i depotet. Der var altså ikke regler om, at kontohaveren kunne hæve kursgevinster og skulle indskyde kurstab. </w:t>
      </w:r>
    </w:p>
    <w:p w:rsidR="004E26DE" w:rsidRDefault="004E26DE" w:rsidP="00137CF5">
      <w:pPr>
        <w:spacing w:line="288" w:lineRule="auto"/>
        <w:rPr>
          <w:sz w:val="24"/>
          <w:lang w:val="da-DK"/>
        </w:rPr>
      </w:pPr>
    </w:p>
    <w:p w:rsidR="00BD6C98" w:rsidRPr="0080300E" w:rsidRDefault="004D687D" w:rsidP="00BD6C98">
      <w:pPr>
        <w:spacing w:line="288" w:lineRule="auto"/>
        <w:rPr>
          <w:i/>
          <w:iCs/>
          <w:sz w:val="24"/>
          <w:lang w:val="da-DK"/>
        </w:rPr>
      </w:pPr>
      <w:r>
        <w:rPr>
          <w:i/>
          <w:iCs/>
          <w:sz w:val="24"/>
          <w:lang w:val="da-DK"/>
        </w:rPr>
        <w:t>2</w:t>
      </w:r>
      <w:r w:rsidR="00BD6C98" w:rsidRPr="0080300E">
        <w:rPr>
          <w:i/>
          <w:iCs/>
          <w:sz w:val="24"/>
          <w:lang w:val="da-DK"/>
        </w:rPr>
        <w:t>. Lovforslaget</w:t>
      </w:r>
    </w:p>
    <w:p w:rsidR="00A910C0" w:rsidRDefault="00C624C8" w:rsidP="00C624C8">
      <w:pPr>
        <w:spacing w:line="288" w:lineRule="auto"/>
        <w:rPr>
          <w:sz w:val="24"/>
          <w:lang w:val="da-DK"/>
        </w:rPr>
      </w:pPr>
      <w:r>
        <w:rPr>
          <w:sz w:val="24"/>
          <w:lang w:val="da-DK"/>
        </w:rPr>
        <w:t>Det foreslås, at de</w:t>
      </w:r>
      <w:r w:rsidR="0000731A">
        <w:rPr>
          <w:sz w:val="24"/>
          <w:lang w:val="da-DK"/>
        </w:rPr>
        <w:t>r</w:t>
      </w:r>
      <w:r>
        <w:rPr>
          <w:sz w:val="24"/>
          <w:lang w:val="da-DK"/>
        </w:rPr>
        <w:t xml:space="preserve"> igen bliver </w:t>
      </w:r>
      <w:r w:rsidR="0000731A">
        <w:rPr>
          <w:sz w:val="24"/>
          <w:lang w:val="da-DK"/>
        </w:rPr>
        <w:t>adgang til</w:t>
      </w:r>
      <w:r>
        <w:rPr>
          <w:sz w:val="24"/>
          <w:lang w:val="da-DK"/>
        </w:rPr>
        <w:t xml:space="preserve"> at anbringe etablerings- og iværksætterkontomidler i obligationer.</w:t>
      </w:r>
    </w:p>
    <w:p w:rsidR="00A910C0" w:rsidRDefault="00A910C0" w:rsidP="00C624C8">
      <w:pPr>
        <w:spacing w:line="288" w:lineRule="auto"/>
        <w:rPr>
          <w:sz w:val="24"/>
          <w:lang w:val="da-DK"/>
        </w:rPr>
      </w:pPr>
    </w:p>
    <w:p w:rsidR="00EA5FCC" w:rsidRDefault="00C624C8" w:rsidP="00C624C8">
      <w:pPr>
        <w:spacing w:line="288" w:lineRule="auto"/>
        <w:rPr>
          <w:sz w:val="24"/>
          <w:lang w:val="da-DK"/>
        </w:rPr>
      </w:pPr>
      <w:r>
        <w:rPr>
          <w:sz w:val="24"/>
          <w:lang w:val="da-DK"/>
        </w:rPr>
        <w:t xml:space="preserve">Efter forslaget vil der kunne </w:t>
      </w:r>
      <w:r w:rsidR="00EA5FCC">
        <w:rPr>
          <w:sz w:val="24"/>
          <w:lang w:val="da-DK"/>
        </w:rPr>
        <w:t>placeres kontoindskud</w:t>
      </w:r>
      <w:r>
        <w:rPr>
          <w:sz w:val="24"/>
          <w:lang w:val="da-DK"/>
        </w:rPr>
        <w:t xml:space="preserve"> i alle </w:t>
      </w:r>
      <w:r w:rsidR="00D304B6">
        <w:rPr>
          <w:sz w:val="24"/>
          <w:lang w:val="da-DK"/>
        </w:rPr>
        <w:t>slags</w:t>
      </w:r>
      <w:r>
        <w:rPr>
          <w:sz w:val="24"/>
          <w:lang w:val="da-DK"/>
        </w:rPr>
        <w:t xml:space="preserve"> obligationer</w:t>
      </w:r>
      <w:r w:rsidR="00A910C0">
        <w:rPr>
          <w:sz w:val="24"/>
          <w:lang w:val="da-DK"/>
        </w:rPr>
        <w:t xml:space="preserve">, der er optaget til </w:t>
      </w:r>
      <w:r w:rsidR="00A910C0">
        <w:rPr>
          <w:sz w:val="24"/>
          <w:lang w:val="da-DK"/>
        </w:rPr>
        <w:lastRenderedPageBreak/>
        <w:t>handel på et reguleret marked,</w:t>
      </w:r>
      <w:r w:rsidR="00A43986">
        <w:rPr>
          <w:sz w:val="24"/>
          <w:lang w:val="da-DK"/>
        </w:rPr>
        <w:t xml:space="preserve"> bortset fra strukturerede obligationer, </w:t>
      </w:r>
      <w:r w:rsidR="00EA5FCC">
        <w:rPr>
          <w:sz w:val="24"/>
          <w:lang w:val="da-DK"/>
        </w:rPr>
        <w:t xml:space="preserve">præmieobligationer og konvertible </w:t>
      </w:r>
      <w:r w:rsidR="00FC0F46">
        <w:rPr>
          <w:sz w:val="24"/>
          <w:lang w:val="da-DK"/>
        </w:rPr>
        <w:t>obligationer</w:t>
      </w:r>
      <w:r>
        <w:rPr>
          <w:sz w:val="24"/>
          <w:lang w:val="da-DK"/>
        </w:rPr>
        <w:t>.</w:t>
      </w:r>
    </w:p>
    <w:p w:rsidR="00EA5FCC" w:rsidRDefault="00EA5FCC" w:rsidP="00C624C8">
      <w:pPr>
        <w:spacing w:line="288" w:lineRule="auto"/>
        <w:rPr>
          <w:sz w:val="24"/>
          <w:lang w:val="da-DK"/>
        </w:rPr>
      </w:pPr>
    </w:p>
    <w:p w:rsidR="00F06FB9" w:rsidRDefault="00E22798" w:rsidP="00BD6C98">
      <w:pPr>
        <w:spacing w:line="288" w:lineRule="auto"/>
        <w:rPr>
          <w:bCs/>
          <w:sz w:val="24"/>
          <w:lang w:val="da-DK"/>
        </w:rPr>
      </w:pPr>
      <w:r>
        <w:rPr>
          <w:bCs/>
          <w:sz w:val="24"/>
          <w:lang w:val="da-DK"/>
        </w:rPr>
        <w:t xml:space="preserve">Kursgevinster og kurstab indgår i opsparingen på etablerings- eller iværksætterkontoen. </w:t>
      </w:r>
      <w:r w:rsidR="00C624C8">
        <w:rPr>
          <w:bCs/>
          <w:sz w:val="24"/>
          <w:lang w:val="da-DK"/>
        </w:rPr>
        <w:t>Kursgevinster og kurstab medregnes til etablerings- og iværksætterkontoens indestående</w:t>
      </w:r>
      <w:r w:rsidR="00F06FB9">
        <w:rPr>
          <w:bCs/>
          <w:sz w:val="24"/>
          <w:lang w:val="da-DK"/>
        </w:rPr>
        <w:t>, men påvirker ikke indskuddene</w:t>
      </w:r>
      <w:r w:rsidR="00C624C8">
        <w:rPr>
          <w:bCs/>
          <w:sz w:val="24"/>
          <w:lang w:val="da-DK"/>
        </w:rPr>
        <w:t>.</w:t>
      </w:r>
    </w:p>
    <w:p w:rsidR="00F06FB9" w:rsidRDefault="00F06FB9" w:rsidP="00BD6C98">
      <w:pPr>
        <w:spacing w:line="288" w:lineRule="auto"/>
        <w:rPr>
          <w:bCs/>
          <w:sz w:val="24"/>
          <w:lang w:val="da-DK"/>
        </w:rPr>
      </w:pPr>
    </w:p>
    <w:p w:rsidR="009E235B" w:rsidRDefault="00A910C0" w:rsidP="00A910C0">
      <w:pPr>
        <w:spacing w:line="288" w:lineRule="auto"/>
        <w:rPr>
          <w:bCs/>
          <w:sz w:val="24"/>
          <w:lang w:val="da-DK"/>
        </w:rPr>
      </w:pPr>
      <w:r>
        <w:rPr>
          <w:bCs/>
          <w:sz w:val="24"/>
          <w:lang w:val="da-DK"/>
        </w:rPr>
        <w:t>K</w:t>
      </w:r>
      <w:r w:rsidR="00A43986">
        <w:rPr>
          <w:bCs/>
          <w:sz w:val="24"/>
          <w:lang w:val="da-DK"/>
        </w:rPr>
        <w:t>ursgevinst</w:t>
      </w:r>
      <w:r>
        <w:rPr>
          <w:bCs/>
          <w:sz w:val="24"/>
          <w:lang w:val="da-DK"/>
        </w:rPr>
        <w:t>er</w:t>
      </w:r>
      <w:r w:rsidR="00A43986">
        <w:rPr>
          <w:bCs/>
          <w:sz w:val="24"/>
          <w:lang w:val="da-DK"/>
        </w:rPr>
        <w:t xml:space="preserve"> </w:t>
      </w:r>
      <w:r>
        <w:rPr>
          <w:bCs/>
          <w:sz w:val="24"/>
          <w:lang w:val="da-DK"/>
        </w:rPr>
        <w:t xml:space="preserve">og </w:t>
      </w:r>
      <w:r w:rsidR="00A43986">
        <w:rPr>
          <w:bCs/>
          <w:sz w:val="24"/>
          <w:lang w:val="da-DK"/>
        </w:rPr>
        <w:t>kurstab</w:t>
      </w:r>
      <w:r w:rsidR="00B43689">
        <w:rPr>
          <w:bCs/>
          <w:sz w:val="24"/>
          <w:lang w:val="da-DK"/>
        </w:rPr>
        <w:t xml:space="preserve"> beskattes ikke løbende, men</w:t>
      </w:r>
      <w:r>
        <w:rPr>
          <w:bCs/>
          <w:sz w:val="24"/>
          <w:lang w:val="da-DK"/>
        </w:rPr>
        <w:t xml:space="preserve"> først</w:t>
      </w:r>
      <w:r w:rsidR="00B43689">
        <w:rPr>
          <w:bCs/>
          <w:sz w:val="24"/>
          <w:lang w:val="da-DK"/>
        </w:rPr>
        <w:t xml:space="preserve"> på </w:t>
      </w:r>
      <w:r>
        <w:rPr>
          <w:bCs/>
          <w:sz w:val="24"/>
          <w:lang w:val="da-DK"/>
        </w:rPr>
        <w:t>det tidspunkt, hvor</w:t>
      </w:r>
      <w:r w:rsidR="009E235B">
        <w:rPr>
          <w:bCs/>
          <w:sz w:val="24"/>
          <w:lang w:val="da-DK"/>
        </w:rPr>
        <w:t xml:space="preserve"> det sidste indskud eller indestående hæves fra etablerings- eller iværksætterkontoen, eller hvor </w:t>
      </w:r>
      <w:r>
        <w:rPr>
          <w:bCs/>
          <w:sz w:val="24"/>
          <w:lang w:val="da-DK"/>
        </w:rPr>
        <w:t>anvendelsen af etablerings</w:t>
      </w:r>
      <w:r w:rsidR="009E235B">
        <w:rPr>
          <w:bCs/>
          <w:sz w:val="24"/>
          <w:lang w:val="da-DK"/>
        </w:rPr>
        <w:t xml:space="preserve">- </w:t>
      </w:r>
      <w:r>
        <w:rPr>
          <w:bCs/>
          <w:sz w:val="24"/>
          <w:lang w:val="da-DK"/>
        </w:rPr>
        <w:t>eller iværksætterkonto</w:t>
      </w:r>
      <w:r w:rsidR="009E235B">
        <w:rPr>
          <w:bCs/>
          <w:sz w:val="24"/>
          <w:lang w:val="da-DK"/>
        </w:rPr>
        <w:t>en</w:t>
      </w:r>
      <w:r>
        <w:rPr>
          <w:bCs/>
          <w:sz w:val="24"/>
          <w:lang w:val="da-DK"/>
        </w:rPr>
        <w:t xml:space="preserve"> skal ophøre efter lovens</w:t>
      </w:r>
      <w:r w:rsidR="00B43689">
        <w:rPr>
          <w:bCs/>
          <w:sz w:val="24"/>
          <w:lang w:val="da-DK"/>
        </w:rPr>
        <w:t xml:space="preserve"> regler</w:t>
      </w:r>
      <w:r w:rsidR="009E235B">
        <w:rPr>
          <w:bCs/>
          <w:sz w:val="24"/>
          <w:lang w:val="da-DK"/>
        </w:rPr>
        <w:t xml:space="preserve"> herom</w:t>
      </w:r>
      <w:r>
        <w:rPr>
          <w:bCs/>
          <w:sz w:val="24"/>
          <w:lang w:val="da-DK"/>
        </w:rPr>
        <w:t>.</w:t>
      </w:r>
    </w:p>
    <w:p w:rsidR="009E235B" w:rsidRDefault="009E235B" w:rsidP="00A910C0">
      <w:pPr>
        <w:spacing w:line="288" w:lineRule="auto"/>
        <w:rPr>
          <w:bCs/>
          <w:sz w:val="24"/>
          <w:lang w:val="da-DK"/>
        </w:rPr>
      </w:pPr>
    </w:p>
    <w:p w:rsidR="0095376C" w:rsidRPr="0095376C" w:rsidRDefault="00A910C0" w:rsidP="00A910C0">
      <w:pPr>
        <w:spacing w:line="288" w:lineRule="auto"/>
      </w:pPr>
      <w:r>
        <w:rPr>
          <w:bCs/>
          <w:sz w:val="24"/>
          <w:lang w:val="da-DK"/>
        </w:rPr>
        <w:t xml:space="preserve">På dette tidspunkt </w:t>
      </w:r>
      <w:r w:rsidR="00A43986">
        <w:rPr>
          <w:bCs/>
          <w:sz w:val="24"/>
          <w:lang w:val="da-DK"/>
        </w:rPr>
        <w:t>medregnes</w:t>
      </w:r>
      <w:r>
        <w:rPr>
          <w:bCs/>
          <w:sz w:val="24"/>
          <w:lang w:val="da-DK"/>
        </w:rPr>
        <w:t xml:space="preserve"> nettokursgevinsten eller nettokurstabet som kapitalindkomst</w:t>
      </w:r>
      <w:r w:rsidR="00A43986">
        <w:rPr>
          <w:bCs/>
          <w:sz w:val="24"/>
          <w:lang w:val="da-DK"/>
        </w:rPr>
        <w:t xml:space="preserve"> ved opgørelsen af kontohaverens skattepligtige indkomst</w:t>
      </w:r>
      <w:r>
        <w:rPr>
          <w:bCs/>
          <w:sz w:val="24"/>
          <w:lang w:val="da-DK"/>
        </w:rPr>
        <w:t>.</w:t>
      </w:r>
      <w:r w:rsidR="0095376C" w:rsidRPr="0095376C">
        <w:rPr>
          <w:sz w:val="24"/>
        </w:rPr>
        <w:t xml:space="preserve"> </w:t>
      </w:r>
    </w:p>
    <w:p w:rsidR="00BD6C98" w:rsidRPr="005358FE" w:rsidRDefault="00B829F6" w:rsidP="00BD6C98">
      <w:pPr>
        <w:ind w:right="1"/>
        <w:rPr>
          <w:b/>
          <w:sz w:val="24"/>
          <w:lang w:val="da-DK"/>
        </w:rPr>
      </w:pPr>
      <w:r>
        <w:rPr>
          <w:b/>
          <w:sz w:val="24"/>
          <w:lang w:val="da-DK"/>
        </w:rPr>
        <w:br w:type="page"/>
      </w:r>
    </w:p>
    <w:p w:rsidR="001C16EC" w:rsidRDefault="001C16EC" w:rsidP="00BD6C98">
      <w:pPr>
        <w:ind w:right="1"/>
        <w:jc w:val="both"/>
        <w:rPr>
          <w:sz w:val="24"/>
          <w:lang w:val="da-DK"/>
        </w:rPr>
      </w:pPr>
    </w:p>
    <w:p w:rsidR="001C16EC" w:rsidRPr="00A840B5" w:rsidRDefault="001C16EC" w:rsidP="00BD6C98">
      <w:pPr>
        <w:ind w:right="1"/>
        <w:jc w:val="both"/>
        <w:rPr>
          <w:sz w:val="24"/>
          <w:lang w:val="da-DK"/>
        </w:rPr>
      </w:pPr>
    </w:p>
    <w:p w:rsidR="00BD6C98" w:rsidRPr="00A840B5" w:rsidRDefault="00BD6C98" w:rsidP="00BD6C98">
      <w:pPr>
        <w:spacing w:line="288" w:lineRule="auto"/>
        <w:jc w:val="center"/>
        <w:rPr>
          <w:i/>
          <w:iCs/>
          <w:sz w:val="24"/>
          <w:lang w:val="da-DK"/>
        </w:rPr>
      </w:pPr>
      <w:r w:rsidRPr="00A840B5">
        <w:rPr>
          <w:i/>
          <w:iCs/>
          <w:sz w:val="24"/>
          <w:lang w:val="da-DK"/>
        </w:rPr>
        <w:t>Bemærkninger til lovforslagets enkelte bestemmelser</w:t>
      </w:r>
    </w:p>
    <w:p w:rsidR="00BD6C98" w:rsidRPr="00A840B5" w:rsidRDefault="00BD6C98" w:rsidP="00BD6C98">
      <w:pPr>
        <w:spacing w:line="288" w:lineRule="auto"/>
        <w:rPr>
          <w:sz w:val="24"/>
          <w:lang w:val="da-DK"/>
        </w:rPr>
      </w:pPr>
    </w:p>
    <w:p w:rsidR="00BD6C98" w:rsidRPr="00A840B5" w:rsidRDefault="00BD6C98" w:rsidP="00BD6C98">
      <w:pPr>
        <w:spacing w:line="288" w:lineRule="auto"/>
        <w:jc w:val="center"/>
        <w:rPr>
          <w:i/>
          <w:iCs/>
          <w:sz w:val="24"/>
          <w:lang w:val="da-DK"/>
        </w:rPr>
      </w:pPr>
      <w:r w:rsidRPr="00A840B5">
        <w:rPr>
          <w:i/>
          <w:iCs/>
          <w:sz w:val="24"/>
          <w:lang w:val="da-DK"/>
        </w:rPr>
        <w:t>Til § 1</w:t>
      </w:r>
    </w:p>
    <w:p w:rsidR="00BD6C98" w:rsidRDefault="00BD6C98" w:rsidP="00BD6C98">
      <w:pPr>
        <w:spacing w:line="288" w:lineRule="auto"/>
        <w:rPr>
          <w:sz w:val="24"/>
          <w:lang w:val="da-DK"/>
        </w:rPr>
      </w:pPr>
    </w:p>
    <w:p w:rsidR="008E6446" w:rsidRDefault="008E6446" w:rsidP="00610AA0">
      <w:pPr>
        <w:spacing w:line="288" w:lineRule="auto"/>
        <w:rPr>
          <w:sz w:val="24"/>
          <w:lang w:val="da-DK"/>
        </w:rPr>
      </w:pPr>
      <w:r>
        <w:rPr>
          <w:sz w:val="24"/>
          <w:lang w:val="da-DK"/>
        </w:rPr>
        <w:t xml:space="preserve">Til nr. </w:t>
      </w:r>
      <w:r w:rsidR="00A33695">
        <w:rPr>
          <w:sz w:val="24"/>
          <w:lang w:val="da-DK"/>
        </w:rPr>
        <w:t>1</w:t>
      </w:r>
      <w:r w:rsidR="00FA51E4">
        <w:rPr>
          <w:sz w:val="24"/>
          <w:lang w:val="da-DK"/>
        </w:rPr>
        <w:t xml:space="preserve">, </w:t>
      </w:r>
      <w:r w:rsidR="00A33695">
        <w:rPr>
          <w:sz w:val="24"/>
          <w:lang w:val="da-DK"/>
        </w:rPr>
        <w:t>2</w:t>
      </w:r>
      <w:r w:rsidR="00503800">
        <w:rPr>
          <w:sz w:val="24"/>
          <w:lang w:val="da-DK"/>
        </w:rPr>
        <w:t xml:space="preserve"> </w:t>
      </w:r>
      <w:r w:rsidR="00FA51E4">
        <w:rPr>
          <w:sz w:val="24"/>
          <w:lang w:val="da-DK"/>
        </w:rPr>
        <w:t xml:space="preserve">og </w:t>
      </w:r>
      <w:r w:rsidR="00A33695">
        <w:rPr>
          <w:sz w:val="24"/>
          <w:lang w:val="da-DK"/>
        </w:rPr>
        <w:t>4</w:t>
      </w:r>
    </w:p>
    <w:p w:rsidR="008E6446" w:rsidRDefault="008E6446" w:rsidP="008E6446">
      <w:pPr>
        <w:spacing w:line="288" w:lineRule="auto"/>
        <w:rPr>
          <w:sz w:val="24"/>
          <w:lang w:val="da-DK"/>
        </w:rPr>
      </w:pPr>
    </w:p>
    <w:p w:rsidR="00F20C8B" w:rsidRDefault="00BE3E2B" w:rsidP="00943F71">
      <w:pPr>
        <w:spacing w:line="288" w:lineRule="auto"/>
        <w:rPr>
          <w:sz w:val="24"/>
          <w:lang w:val="da-DK"/>
        </w:rPr>
      </w:pPr>
      <w:r>
        <w:rPr>
          <w:sz w:val="24"/>
          <w:lang w:val="da-DK"/>
        </w:rPr>
        <w:t>Det foreslås, at indskud kan</w:t>
      </w:r>
      <w:r w:rsidR="00943F71">
        <w:rPr>
          <w:sz w:val="24"/>
          <w:lang w:val="da-DK"/>
        </w:rPr>
        <w:t xml:space="preserve"> anbringes i et særskilt depot af obligationer, som er omfattet af kursgevinstloven, og som er optaget til handel på et reguleret marked.</w:t>
      </w:r>
      <w:r w:rsidR="00565CBE">
        <w:rPr>
          <w:sz w:val="24"/>
          <w:lang w:val="da-DK"/>
        </w:rPr>
        <w:t xml:space="preserve"> Kontoindskud kan dog ikke anbringes i strukturerede obligationer, jf. kursgevinstlovens § 29. </w:t>
      </w:r>
      <w:r w:rsidR="00F20C8B">
        <w:rPr>
          <w:sz w:val="24"/>
          <w:lang w:val="da-DK"/>
        </w:rPr>
        <w:t>Præmieobligationer</w:t>
      </w:r>
      <w:r w:rsidR="00565CBE">
        <w:rPr>
          <w:sz w:val="24"/>
          <w:lang w:val="da-DK"/>
        </w:rPr>
        <w:t xml:space="preserve"> og </w:t>
      </w:r>
      <w:r w:rsidR="00F20C8B">
        <w:rPr>
          <w:sz w:val="24"/>
          <w:lang w:val="da-DK"/>
        </w:rPr>
        <w:t>konvertible obligationer</w:t>
      </w:r>
      <w:r w:rsidR="00565CBE">
        <w:rPr>
          <w:sz w:val="24"/>
          <w:lang w:val="da-DK"/>
        </w:rPr>
        <w:t xml:space="preserve"> </w:t>
      </w:r>
      <w:r w:rsidR="00F20C8B">
        <w:rPr>
          <w:sz w:val="24"/>
          <w:lang w:val="da-DK"/>
        </w:rPr>
        <w:t>er ikke omfattet af kursgevinstloven. Kontoindskud kan således</w:t>
      </w:r>
      <w:r w:rsidR="00565CBE">
        <w:rPr>
          <w:sz w:val="24"/>
          <w:lang w:val="da-DK"/>
        </w:rPr>
        <w:t xml:space="preserve"> heller</w:t>
      </w:r>
      <w:r w:rsidR="00F20C8B">
        <w:rPr>
          <w:sz w:val="24"/>
          <w:lang w:val="da-DK"/>
        </w:rPr>
        <w:t xml:space="preserve"> ikke anbringes i denne type obligationer.</w:t>
      </w:r>
    </w:p>
    <w:p w:rsidR="00F20C8B" w:rsidRDefault="00F20C8B" w:rsidP="00943F71">
      <w:pPr>
        <w:spacing w:line="288" w:lineRule="auto"/>
        <w:rPr>
          <w:sz w:val="24"/>
          <w:lang w:val="da-DK"/>
        </w:rPr>
      </w:pPr>
    </w:p>
    <w:p w:rsidR="00943F71" w:rsidRDefault="00943F71" w:rsidP="00943F71">
      <w:pPr>
        <w:spacing w:line="288" w:lineRule="auto"/>
        <w:rPr>
          <w:sz w:val="24"/>
          <w:lang w:val="da-DK"/>
        </w:rPr>
      </w:pPr>
      <w:r>
        <w:rPr>
          <w:sz w:val="24"/>
          <w:lang w:val="da-DK"/>
        </w:rPr>
        <w:t xml:space="preserve">Kontantkonto og </w:t>
      </w:r>
      <w:r w:rsidR="006E6C3E">
        <w:rPr>
          <w:sz w:val="24"/>
          <w:lang w:val="da-DK"/>
        </w:rPr>
        <w:t>obligations</w:t>
      </w:r>
      <w:r>
        <w:rPr>
          <w:sz w:val="24"/>
          <w:lang w:val="da-DK"/>
        </w:rPr>
        <w:t>depot skal være oprettet i samme pengeinstitut</w:t>
      </w:r>
      <w:r w:rsidR="00BE3E2B">
        <w:rPr>
          <w:sz w:val="24"/>
          <w:lang w:val="da-DK"/>
        </w:rPr>
        <w:t>, idet i</w:t>
      </w:r>
      <w:r>
        <w:rPr>
          <w:sz w:val="24"/>
          <w:lang w:val="da-DK"/>
        </w:rPr>
        <w:t xml:space="preserve">ndskud kan overføres mellem kontantkonto og depot. </w:t>
      </w:r>
    </w:p>
    <w:p w:rsidR="00FA51E4" w:rsidRDefault="00FA51E4" w:rsidP="008E6446">
      <w:pPr>
        <w:spacing w:line="288" w:lineRule="auto"/>
        <w:rPr>
          <w:sz w:val="24"/>
          <w:lang w:val="da-DK"/>
        </w:rPr>
      </w:pPr>
    </w:p>
    <w:p w:rsidR="00F20C8B" w:rsidRDefault="009756ED" w:rsidP="00BE3E2B">
      <w:pPr>
        <w:spacing w:line="288" w:lineRule="auto"/>
        <w:rPr>
          <w:bCs/>
          <w:sz w:val="24"/>
          <w:lang w:val="da-DK"/>
        </w:rPr>
      </w:pPr>
      <w:r>
        <w:rPr>
          <w:bCs/>
          <w:sz w:val="24"/>
          <w:lang w:val="da-DK"/>
        </w:rPr>
        <w:t xml:space="preserve">Kursgevinster og kurstab indgår i opsparingen på etablerings- eller iværksætterkontoen. </w:t>
      </w:r>
      <w:r w:rsidR="00BE3E2B">
        <w:rPr>
          <w:bCs/>
          <w:sz w:val="24"/>
          <w:lang w:val="da-DK"/>
        </w:rPr>
        <w:t>Kursgevinster og kurstab medregnes til etableringskontoens og iværksætterkontoens indestående og påvirker ikke størrelsen af de foretagne indskud.</w:t>
      </w:r>
    </w:p>
    <w:p w:rsidR="00F20C8B" w:rsidRDefault="00F20C8B" w:rsidP="00BE3E2B">
      <w:pPr>
        <w:spacing w:line="288" w:lineRule="auto"/>
        <w:rPr>
          <w:bCs/>
          <w:sz w:val="24"/>
          <w:lang w:val="da-DK"/>
        </w:rPr>
      </w:pPr>
    </w:p>
    <w:p w:rsidR="00FB556A" w:rsidRDefault="00BE3E2B" w:rsidP="00BE3E2B">
      <w:pPr>
        <w:spacing w:line="288" w:lineRule="auto"/>
        <w:rPr>
          <w:bCs/>
          <w:sz w:val="24"/>
          <w:lang w:val="da-DK"/>
        </w:rPr>
      </w:pPr>
      <w:r>
        <w:rPr>
          <w:bCs/>
          <w:sz w:val="24"/>
          <w:lang w:val="da-DK"/>
        </w:rPr>
        <w:t xml:space="preserve">Nettokursgevinst eller nettokurstab medregnes ved opgørelsen af </w:t>
      </w:r>
      <w:r w:rsidR="004264C3">
        <w:rPr>
          <w:bCs/>
          <w:sz w:val="24"/>
          <w:lang w:val="da-DK"/>
        </w:rPr>
        <w:t>kontohaverens</w:t>
      </w:r>
      <w:r>
        <w:rPr>
          <w:bCs/>
          <w:sz w:val="24"/>
          <w:lang w:val="da-DK"/>
        </w:rPr>
        <w:t xml:space="preserve"> skattepligtige indkomst efter kursgevinstlovens § 14, stk. 1,</w:t>
      </w:r>
      <w:r w:rsidR="00FB556A">
        <w:rPr>
          <w:bCs/>
          <w:sz w:val="24"/>
          <w:lang w:val="da-DK"/>
        </w:rPr>
        <w:t xml:space="preserve"> 1. pkt., og stk. 2, </w:t>
      </w:r>
      <w:r>
        <w:rPr>
          <w:bCs/>
          <w:sz w:val="24"/>
          <w:lang w:val="da-DK"/>
        </w:rPr>
        <w:t xml:space="preserve">jf. personskattelovens § 4, stk. 1, nr. 2. Dette </w:t>
      </w:r>
      <w:r w:rsidR="00F20C8B">
        <w:rPr>
          <w:bCs/>
          <w:sz w:val="24"/>
          <w:lang w:val="da-DK"/>
        </w:rPr>
        <w:t>betyder</w:t>
      </w:r>
      <w:r>
        <w:rPr>
          <w:bCs/>
          <w:sz w:val="24"/>
          <w:lang w:val="da-DK"/>
        </w:rPr>
        <w:t>, at nettokursgevinst og nettokurstab henholdsvis tillægges og fradrages ved opgørelsen af kontohaverens kapitalindkomst.</w:t>
      </w:r>
      <w:r w:rsidR="00FB556A">
        <w:rPr>
          <w:bCs/>
          <w:sz w:val="24"/>
          <w:lang w:val="da-DK"/>
        </w:rPr>
        <w:t xml:space="preserve"> Grænsen for medregning af nettokursgevinst og nettokurstab på 2.000 kr. efter kursgevinstlovens § 14, stk. 1, 2. pkt., gælder ikke ved beskatningen efter etablerings- og iværksætterkontoloven.   </w:t>
      </w:r>
    </w:p>
    <w:p w:rsidR="00F20C8B" w:rsidRDefault="00F20C8B" w:rsidP="00BE3E2B">
      <w:pPr>
        <w:spacing w:line="288" w:lineRule="auto"/>
        <w:rPr>
          <w:bCs/>
          <w:sz w:val="24"/>
          <w:lang w:val="da-DK"/>
        </w:rPr>
      </w:pPr>
    </w:p>
    <w:p w:rsidR="00BE3E2B" w:rsidRDefault="00F20C8B" w:rsidP="00BE3E2B">
      <w:pPr>
        <w:spacing w:line="288" w:lineRule="auto"/>
        <w:rPr>
          <w:bCs/>
          <w:sz w:val="24"/>
          <w:lang w:val="da-DK"/>
        </w:rPr>
      </w:pPr>
      <w:r>
        <w:rPr>
          <w:bCs/>
          <w:sz w:val="24"/>
          <w:lang w:val="da-DK"/>
        </w:rPr>
        <w:t>Beskatningen</w:t>
      </w:r>
      <w:r w:rsidR="004264C3">
        <w:rPr>
          <w:bCs/>
          <w:sz w:val="24"/>
          <w:lang w:val="da-DK"/>
        </w:rPr>
        <w:t xml:space="preserve"> hos kontohaveren</w:t>
      </w:r>
      <w:r w:rsidR="00BE3E2B">
        <w:rPr>
          <w:bCs/>
          <w:sz w:val="24"/>
          <w:lang w:val="da-DK"/>
        </w:rPr>
        <w:t xml:space="preserve"> sker ikke løbende, men</w:t>
      </w:r>
      <w:r w:rsidR="00336E94">
        <w:rPr>
          <w:bCs/>
          <w:sz w:val="24"/>
          <w:lang w:val="da-DK"/>
        </w:rPr>
        <w:t xml:space="preserve"> </w:t>
      </w:r>
      <w:r w:rsidR="005D3A7E">
        <w:rPr>
          <w:bCs/>
          <w:sz w:val="24"/>
          <w:lang w:val="da-DK"/>
        </w:rPr>
        <w:t>ved opfyldelsen af en af betingelser</w:t>
      </w:r>
      <w:r w:rsidR="00336E94">
        <w:rPr>
          <w:bCs/>
          <w:sz w:val="24"/>
          <w:lang w:val="da-DK"/>
        </w:rPr>
        <w:t>ne nedenfor</w:t>
      </w:r>
      <w:r w:rsidR="00BE3E2B">
        <w:rPr>
          <w:bCs/>
          <w:sz w:val="24"/>
          <w:lang w:val="da-DK"/>
        </w:rPr>
        <w:t xml:space="preserve">. </w:t>
      </w:r>
    </w:p>
    <w:p w:rsidR="00BE3E2B" w:rsidRDefault="00BE3E2B" w:rsidP="00BE3E2B">
      <w:pPr>
        <w:spacing w:line="288" w:lineRule="auto"/>
        <w:rPr>
          <w:bCs/>
          <w:sz w:val="24"/>
          <w:lang w:val="da-DK"/>
        </w:rPr>
      </w:pPr>
    </w:p>
    <w:p w:rsidR="00D851E6" w:rsidRDefault="00BE3E2B">
      <w:pPr>
        <w:spacing w:line="288" w:lineRule="auto"/>
        <w:rPr>
          <w:bCs/>
          <w:sz w:val="24"/>
          <w:lang w:val="da-DK"/>
        </w:rPr>
      </w:pPr>
      <w:r>
        <w:rPr>
          <w:bCs/>
          <w:sz w:val="24"/>
          <w:lang w:val="da-DK"/>
        </w:rPr>
        <w:t>Nettokursgevinst</w:t>
      </w:r>
      <w:r w:rsidR="00336E94">
        <w:rPr>
          <w:bCs/>
          <w:sz w:val="24"/>
          <w:lang w:val="da-DK"/>
        </w:rPr>
        <w:t xml:space="preserve"> eller nettokurstab</w:t>
      </w:r>
      <w:r>
        <w:rPr>
          <w:bCs/>
          <w:sz w:val="24"/>
          <w:lang w:val="da-DK"/>
        </w:rPr>
        <w:t xml:space="preserve"> medregnes ved opgørelsen af </w:t>
      </w:r>
      <w:r w:rsidR="00F20C8B">
        <w:rPr>
          <w:bCs/>
          <w:sz w:val="24"/>
          <w:lang w:val="da-DK"/>
        </w:rPr>
        <w:t>kontohaverens</w:t>
      </w:r>
      <w:r>
        <w:rPr>
          <w:bCs/>
          <w:sz w:val="24"/>
          <w:lang w:val="da-DK"/>
        </w:rPr>
        <w:t xml:space="preserve"> skattepligtige indkomst</w:t>
      </w:r>
      <w:r w:rsidR="006F2339">
        <w:rPr>
          <w:bCs/>
          <w:sz w:val="24"/>
          <w:lang w:val="da-DK"/>
        </w:rPr>
        <w:t xml:space="preserve"> for</w:t>
      </w:r>
      <w:r w:rsidR="00F56D00">
        <w:rPr>
          <w:bCs/>
          <w:sz w:val="24"/>
          <w:lang w:val="da-DK"/>
        </w:rPr>
        <w:t xml:space="preserve"> det førstkommende af følgende indkomstår: 1) det indkomstår, hvori det sidste indskud hæves, 2) det indkomstår, hvori det sidste indestående hæves, 3</w:t>
      </w:r>
      <w:r w:rsidR="005D3A7E">
        <w:rPr>
          <w:bCs/>
          <w:sz w:val="24"/>
          <w:lang w:val="da-DK"/>
        </w:rPr>
        <w:t>) det indkomstår, hvori</w:t>
      </w:r>
      <w:r w:rsidR="0095376C" w:rsidRPr="0095376C">
        <w:rPr>
          <w:bCs/>
          <w:sz w:val="24"/>
          <w:lang w:val="da-DK"/>
        </w:rPr>
        <w:t xml:space="preserve"> fristen for etablering efter § 8 er udløbet, dvs.</w:t>
      </w:r>
      <w:r w:rsidR="006F2339">
        <w:rPr>
          <w:bCs/>
          <w:sz w:val="24"/>
          <w:lang w:val="da-DK"/>
        </w:rPr>
        <w:t xml:space="preserve"> det indkomstår, hvori kontohaveren når folkepensionsalderen, jf. lov om social pension, </w:t>
      </w:r>
      <w:r w:rsidR="00F56D00">
        <w:rPr>
          <w:bCs/>
          <w:sz w:val="24"/>
          <w:lang w:val="da-DK"/>
        </w:rPr>
        <w:t>4</w:t>
      </w:r>
      <w:r w:rsidR="006F2339">
        <w:rPr>
          <w:bCs/>
          <w:sz w:val="24"/>
          <w:lang w:val="da-DK"/>
        </w:rPr>
        <w:t>) det indkomstår, hvori</w:t>
      </w:r>
      <w:r w:rsidR="0095376C" w:rsidRPr="0095376C">
        <w:rPr>
          <w:bCs/>
          <w:sz w:val="24"/>
          <w:lang w:val="da-DK"/>
        </w:rPr>
        <w:t xml:space="preserve"> </w:t>
      </w:r>
      <w:r w:rsidR="004264C3">
        <w:rPr>
          <w:bCs/>
          <w:sz w:val="24"/>
          <w:lang w:val="da-DK"/>
        </w:rPr>
        <w:t>kontohaveren</w:t>
      </w:r>
      <w:r w:rsidR="0095376C" w:rsidRPr="0095376C">
        <w:rPr>
          <w:bCs/>
          <w:sz w:val="24"/>
          <w:lang w:val="da-DK"/>
        </w:rPr>
        <w:t xml:space="preserve"> går konkurs</w:t>
      </w:r>
      <w:r w:rsidR="00F56D00">
        <w:rPr>
          <w:bCs/>
          <w:sz w:val="24"/>
          <w:lang w:val="da-DK"/>
        </w:rPr>
        <w:t>,</w:t>
      </w:r>
      <w:r w:rsidR="00EC6907">
        <w:rPr>
          <w:bCs/>
          <w:sz w:val="24"/>
          <w:lang w:val="da-DK"/>
        </w:rPr>
        <w:t xml:space="preserve"> 5)</w:t>
      </w:r>
      <w:r w:rsidR="00F56D00">
        <w:rPr>
          <w:bCs/>
          <w:sz w:val="24"/>
          <w:lang w:val="da-DK"/>
        </w:rPr>
        <w:t xml:space="preserve"> det indkomstår, hvori kontohaveren dør,</w:t>
      </w:r>
      <w:r w:rsidR="00EC6907">
        <w:rPr>
          <w:bCs/>
          <w:sz w:val="24"/>
          <w:lang w:val="da-DK"/>
        </w:rPr>
        <w:t xml:space="preserve"> eller</w:t>
      </w:r>
      <w:r w:rsidR="00F56D00">
        <w:rPr>
          <w:bCs/>
          <w:sz w:val="24"/>
          <w:lang w:val="da-DK"/>
        </w:rPr>
        <w:t xml:space="preserve"> 6</w:t>
      </w:r>
      <w:r w:rsidR="006F2339">
        <w:rPr>
          <w:bCs/>
          <w:sz w:val="24"/>
          <w:lang w:val="da-DK"/>
        </w:rPr>
        <w:t xml:space="preserve">) </w:t>
      </w:r>
      <w:r w:rsidR="0095376C" w:rsidRPr="0095376C">
        <w:rPr>
          <w:bCs/>
          <w:sz w:val="24"/>
          <w:lang w:val="da-DK"/>
        </w:rPr>
        <w:t>det niende indkomstår efter udløbet af det indkomstår, hvori etablering har fundet sted.</w:t>
      </w:r>
    </w:p>
    <w:p w:rsidR="00D851E6" w:rsidRDefault="00D851E6">
      <w:pPr>
        <w:spacing w:line="288" w:lineRule="auto"/>
        <w:rPr>
          <w:bCs/>
          <w:sz w:val="24"/>
          <w:lang w:val="da-DK"/>
        </w:rPr>
      </w:pPr>
    </w:p>
    <w:p w:rsidR="00741FD3" w:rsidRDefault="009F455D" w:rsidP="008E6446">
      <w:pPr>
        <w:spacing w:line="288" w:lineRule="auto"/>
        <w:rPr>
          <w:sz w:val="24"/>
          <w:lang w:val="da-DK"/>
        </w:rPr>
      </w:pPr>
      <w:r>
        <w:rPr>
          <w:sz w:val="24"/>
          <w:lang w:val="da-DK"/>
        </w:rPr>
        <w:t>Obligation</w:t>
      </w:r>
      <w:r w:rsidR="004264C3">
        <w:rPr>
          <w:sz w:val="24"/>
          <w:lang w:val="da-DK"/>
        </w:rPr>
        <w:t>srenter</w:t>
      </w:r>
      <w:r>
        <w:rPr>
          <w:sz w:val="24"/>
          <w:lang w:val="da-DK"/>
        </w:rPr>
        <w:t xml:space="preserve"> beskattes i overensstemmelse med</w:t>
      </w:r>
      <w:r w:rsidR="004264C3">
        <w:rPr>
          <w:sz w:val="24"/>
          <w:lang w:val="da-DK"/>
        </w:rPr>
        <w:t xml:space="preserve"> den skattemæssige</w:t>
      </w:r>
      <w:r>
        <w:rPr>
          <w:sz w:val="24"/>
          <w:lang w:val="da-DK"/>
        </w:rPr>
        <w:t xml:space="preserve"> behandling af renter i forbindelse med en etablerings</w:t>
      </w:r>
      <w:r w:rsidR="00EC6907">
        <w:rPr>
          <w:sz w:val="24"/>
          <w:lang w:val="da-DK"/>
        </w:rPr>
        <w:t>-</w:t>
      </w:r>
      <w:r>
        <w:rPr>
          <w:sz w:val="24"/>
          <w:lang w:val="da-DK"/>
        </w:rPr>
        <w:t xml:space="preserve"> eller iværksætterkonto, jf. den gældende § 14 i etablerings- og </w:t>
      </w:r>
      <w:r>
        <w:rPr>
          <w:sz w:val="24"/>
          <w:lang w:val="da-DK"/>
        </w:rPr>
        <w:lastRenderedPageBreak/>
        <w:t xml:space="preserve">iværksætterkontoloven. Det vil sige, at obligationsrenter behandles ligesom bankbogsrenter, </w:t>
      </w:r>
      <w:r w:rsidR="00EC6907">
        <w:rPr>
          <w:sz w:val="24"/>
          <w:lang w:val="da-DK"/>
        </w:rPr>
        <w:t>der</w:t>
      </w:r>
      <w:r>
        <w:rPr>
          <w:sz w:val="24"/>
          <w:lang w:val="da-DK"/>
        </w:rPr>
        <w:t xml:space="preserve"> </w:t>
      </w:r>
      <w:r w:rsidR="004264C3">
        <w:rPr>
          <w:sz w:val="24"/>
          <w:lang w:val="da-DK"/>
        </w:rPr>
        <w:t>medregnes ved opgørelsen af kontohaverens skattepligtige indkomst</w:t>
      </w:r>
      <w:r>
        <w:rPr>
          <w:sz w:val="24"/>
          <w:lang w:val="da-DK"/>
        </w:rPr>
        <w:t xml:space="preserve"> i det omfang, det følger af skattelovgivningens almindelige regler. Renter påvirker ikke størrelsen af </w:t>
      </w:r>
      <w:r w:rsidR="004264C3">
        <w:rPr>
          <w:sz w:val="24"/>
          <w:lang w:val="da-DK"/>
        </w:rPr>
        <w:t>de</w:t>
      </w:r>
      <w:r>
        <w:rPr>
          <w:sz w:val="24"/>
          <w:lang w:val="da-DK"/>
        </w:rPr>
        <w:t xml:space="preserve"> foretag</w:t>
      </w:r>
      <w:r w:rsidR="004264C3">
        <w:rPr>
          <w:sz w:val="24"/>
          <w:lang w:val="da-DK"/>
        </w:rPr>
        <w:t>ne</w:t>
      </w:r>
      <w:r>
        <w:rPr>
          <w:sz w:val="24"/>
          <w:lang w:val="da-DK"/>
        </w:rPr>
        <w:t xml:space="preserve"> indskud. Renter, der ikke indskydes på ny efter de almindelige regler herom, medregnes</w:t>
      </w:r>
      <w:r w:rsidR="004264C3">
        <w:rPr>
          <w:sz w:val="24"/>
          <w:lang w:val="da-DK"/>
        </w:rPr>
        <w:t xml:space="preserve"> heller</w:t>
      </w:r>
      <w:r>
        <w:rPr>
          <w:sz w:val="24"/>
          <w:lang w:val="da-DK"/>
        </w:rPr>
        <w:t xml:space="preserve"> ikke til etablerings</w:t>
      </w:r>
      <w:r w:rsidR="00EC6907">
        <w:rPr>
          <w:sz w:val="24"/>
          <w:lang w:val="da-DK"/>
        </w:rPr>
        <w:t>-</w:t>
      </w:r>
      <w:r>
        <w:rPr>
          <w:sz w:val="24"/>
          <w:lang w:val="da-DK"/>
        </w:rPr>
        <w:t xml:space="preserve"> eller iværksætterkontoens indestående</w:t>
      </w:r>
      <w:r w:rsidR="004264C3">
        <w:rPr>
          <w:sz w:val="24"/>
          <w:lang w:val="da-DK"/>
        </w:rPr>
        <w:t>.</w:t>
      </w:r>
    </w:p>
    <w:p w:rsidR="00741FD3" w:rsidRDefault="00741FD3" w:rsidP="008E6446">
      <w:pPr>
        <w:spacing w:line="288" w:lineRule="auto"/>
        <w:rPr>
          <w:sz w:val="24"/>
          <w:lang w:val="da-DK"/>
        </w:rPr>
      </w:pPr>
    </w:p>
    <w:p w:rsidR="00F20C8B" w:rsidRDefault="00741FD3" w:rsidP="008E6446">
      <w:pPr>
        <w:spacing w:line="288" w:lineRule="auto"/>
        <w:rPr>
          <w:sz w:val="24"/>
          <w:lang w:val="da-DK"/>
        </w:rPr>
      </w:pPr>
      <w:r>
        <w:rPr>
          <w:sz w:val="24"/>
          <w:lang w:val="da-DK"/>
        </w:rPr>
        <w:t xml:space="preserve">Der foreslås fraflytnings- og henstandsregler for kontoindskud, der er placeret i obligationer, jf. etablerings- og iværksætterkontolovens § 11, stk. 3-8, som affattet ved dette lovforslags § 1, nr. 3. </w:t>
      </w:r>
      <w:r w:rsidR="005E1AFB">
        <w:rPr>
          <w:sz w:val="24"/>
          <w:lang w:val="da-DK"/>
        </w:rPr>
        <w:t>Der henvises til bemærkningerne hertil.</w:t>
      </w:r>
      <w:r w:rsidR="009F455D">
        <w:rPr>
          <w:sz w:val="24"/>
          <w:lang w:val="da-DK"/>
        </w:rPr>
        <w:t xml:space="preserve">  </w:t>
      </w:r>
      <w:r w:rsidR="0035680C">
        <w:rPr>
          <w:sz w:val="24"/>
          <w:lang w:val="da-DK"/>
        </w:rPr>
        <w:t xml:space="preserve">   </w:t>
      </w:r>
    </w:p>
    <w:p w:rsidR="00FA51E4" w:rsidRDefault="00FA51E4" w:rsidP="008E6446">
      <w:pPr>
        <w:spacing w:line="288" w:lineRule="auto"/>
        <w:rPr>
          <w:sz w:val="24"/>
          <w:lang w:val="da-DK"/>
        </w:rPr>
      </w:pPr>
    </w:p>
    <w:p w:rsidR="002F237C" w:rsidRDefault="002F237C" w:rsidP="00BD6C98">
      <w:pPr>
        <w:spacing w:line="288" w:lineRule="auto"/>
        <w:rPr>
          <w:sz w:val="24"/>
          <w:lang w:val="da-DK"/>
        </w:rPr>
      </w:pPr>
      <w:bookmarkStart w:id="3" w:name="LBKG20061012.§7.2"/>
      <w:bookmarkEnd w:id="3"/>
      <w:r>
        <w:rPr>
          <w:sz w:val="24"/>
          <w:lang w:val="da-DK"/>
        </w:rPr>
        <w:t xml:space="preserve">Til nr. </w:t>
      </w:r>
      <w:r w:rsidR="00A33695">
        <w:rPr>
          <w:sz w:val="24"/>
          <w:lang w:val="da-DK"/>
        </w:rPr>
        <w:t>3</w:t>
      </w:r>
    </w:p>
    <w:p w:rsidR="00567A44" w:rsidRDefault="001923A5" w:rsidP="001923A5">
      <w:pPr>
        <w:spacing w:line="288" w:lineRule="auto"/>
        <w:rPr>
          <w:bCs/>
          <w:sz w:val="24"/>
          <w:lang w:val="da-DK"/>
        </w:rPr>
      </w:pPr>
      <w:r>
        <w:rPr>
          <w:bCs/>
          <w:sz w:val="24"/>
          <w:lang w:val="da-DK"/>
        </w:rPr>
        <w:t xml:space="preserve">Der foreslås </w:t>
      </w:r>
      <w:r w:rsidR="00CA7063">
        <w:rPr>
          <w:bCs/>
          <w:sz w:val="24"/>
          <w:lang w:val="da-DK"/>
        </w:rPr>
        <w:t>skattemæssige</w:t>
      </w:r>
      <w:r>
        <w:rPr>
          <w:bCs/>
          <w:sz w:val="24"/>
          <w:lang w:val="da-DK"/>
        </w:rPr>
        <w:t xml:space="preserve"> fraflytningsregler</w:t>
      </w:r>
      <w:r w:rsidR="00567A44">
        <w:rPr>
          <w:bCs/>
          <w:sz w:val="24"/>
          <w:lang w:val="da-DK"/>
        </w:rPr>
        <w:t xml:space="preserve"> for kontohavere både med hensyn til indskud på kontantkonti og indskud, der er placeret i obligationer.</w:t>
      </w:r>
    </w:p>
    <w:p w:rsidR="00567A44" w:rsidRDefault="00567A44" w:rsidP="001923A5">
      <w:pPr>
        <w:spacing w:line="288" w:lineRule="auto"/>
        <w:rPr>
          <w:bCs/>
          <w:sz w:val="24"/>
          <w:lang w:val="da-DK"/>
        </w:rPr>
      </w:pPr>
    </w:p>
    <w:p w:rsidR="001923A5" w:rsidRDefault="00E97332" w:rsidP="001923A5">
      <w:pPr>
        <w:spacing w:line="288" w:lineRule="auto"/>
        <w:rPr>
          <w:bCs/>
          <w:sz w:val="24"/>
          <w:lang w:val="da-DK"/>
        </w:rPr>
      </w:pPr>
      <w:r>
        <w:rPr>
          <w:bCs/>
          <w:sz w:val="24"/>
          <w:lang w:val="da-DK"/>
        </w:rPr>
        <w:t xml:space="preserve">For så vidt angår </w:t>
      </w:r>
      <w:r w:rsidR="001923A5">
        <w:rPr>
          <w:bCs/>
          <w:sz w:val="24"/>
          <w:lang w:val="da-DK"/>
        </w:rPr>
        <w:t>kontoindskud, som er placeret i obligationer</w:t>
      </w:r>
      <w:r>
        <w:rPr>
          <w:bCs/>
          <w:sz w:val="24"/>
          <w:lang w:val="da-DK"/>
        </w:rPr>
        <w:t xml:space="preserve">, betragtes gevinst og tab på disse obligationer som realiseret, hvis </w:t>
      </w:r>
      <w:r w:rsidR="001923A5">
        <w:rPr>
          <w:bCs/>
          <w:sz w:val="24"/>
          <w:lang w:val="da-DK"/>
        </w:rPr>
        <w:t>kontohaverens skattepligt efter kildeskattelovens § 1</w:t>
      </w:r>
      <w:r>
        <w:rPr>
          <w:bCs/>
          <w:sz w:val="24"/>
          <w:lang w:val="da-DK"/>
        </w:rPr>
        <w:t xml:space="preserve"> ophører. </w:t>
      </w:r>
      <w:r w:rsidR="001923A5">
        <w:rPr>
          <w:bCs/>
          <w:sz w:val="24"/>
          <w:lang w:val="da-DK"/>
        </w:rPr>
        <w:t>Værdien ved realisationen træder i stedet for afståelses- eller indfrielsessummen. Endvidere indtræder der beskatning af nettokursgevinster på obligationer, der er realiseret i tidligere indkomstår. Når en kontohaver efter bestemmelserne i en dobbeltbeskatningsoverenskomst indgået mellem Danmark og en fremmed stat, Færøerne eller Grønland bliver hjemmehørende uden for Danmark, sidestilles dette ved anvendelsen af reglerne med ophør af skattepligt efter kildeskattelovens § 1.</w:t>
      </w:r>
    </w:p>
    <w:p w:rsidR="004065B3" w:rsidRDefault="004065B3" w:rsidP="001923A5">
      <w:pPr>
        <w:spacing w:line="288" w:lineRule="auto"/>
        <w:rPr>
          <w:bCs/>
          <w:sz w:val="24"/>
          <w:lang w:val="da-DK"/>
        </w:rPr>
      </w:pPr>
    </w:p>
    <w:p w:rsidR="004065B3" w:rsidRDefault="004065B3" w:rsidP="001923A5">
      <w:pPr>
        <w:spacing w:line="288" w:lineRule="auto"/>
        <w:rPr>
          <w:bCs/>
          <w:sz w:val="24"/>
          <w:lang w:val="da-DK"/>
        </w:rPr>
      </w:pPr>
      <w:r>
        <w:rPr>
          <w:bCs/>
          <w:sz w:val="24"/>
          <w:lang w:val="da-DK"/>
        </w:rPr>
        <w:t xml:space="preserve">Det foreslås, at </w:t>
      </w:r>
      <w:r w:rsidR="00567A44">
        <w:rPr>
          <w:bCs/>
          <w:sz w:val="24"/>
          <w:lang w:val="da-DK"/>
        </w:rPr>
        <w:t xml:space="preserve">kontohaveren ved en senere afståelse eller indfrielse af obligationerne kan vælge at få skatten omberegnet under hensyntagen til den faktiske afståelses- eller </w:t>
      </w:r>
      <w:proofErr w:type="spellStart"/>
      <w:r w:rsidR="00567A44">
        <w:rPr>
          <w:bCs/>
          <w:sz w:val="24"/>
          <w:lang w:val="da-DK"/>
        </w:rPr>
        <w:t>indfrielsessum</w:t>
      </w:r>
      <w:proofErr w:type="spellEnd"/>
      <w:r w:rsidR="00567A44">
        <w:rPr>
          <w:bCs/>
          <w:sz w:val="24"/>
          <w:lang w:val="da-DK"/>
        </w:rPr>
        <w:t xml:space="preserve">. Det samme gælder ved kontohaverens død, hvor boet kan få skatten opgjort på grundlag af værdien af ved selve dødsfaldet. Bestemmelsen har bl.a. betydning, hvis obligationerne falder i værdi efter fraflytningen, og sikrer, at den kontohaver, der beskattes ved fraflytning, ikke stilles ringere end den kontohaver, der afstår sine obligationer i Danmark.  </w:t>
      </w:r>
    </w:p>
    <w:p w:rsidR="001923A5" w:rsidRDefault="001923A5" w:rsidP="001923A5">
      <w:pPr>
        <w:spacing w:line="288" w:lineRule="auto"/>
        <w:rPr>
          <w:bCs/>
          <w:sz w:val="24"/>
          <w:lang w:val="da-DK"/>
        </w:rPr>
      </w:pPr>
    </w:p>
    <w:p w:rsidR="001923A5" w:rsidRDefault="001923A5" w:rsidP="001923A5">
      <w:pPr>
        <w:spacing w:line="288" w:lineRule="auto"/>
        <w:rPr>
          <w:bCs/>
          <w:sz w:val="24"/>
          <w:lang w:val="da-DK"/>
        </w:rPr>
      </w:pPr>
      <w:r>
        <w:rPr>
          <w:bCs/>
          <w:sz w:val="24"/>
          <w:lang w:val="da-DK"/>
        </w:rPr>
        <w:t>Obligationer, der vedrører etablerings- og iværksætterkontoordningerne</w:t>
      </w:r>
      <w:r w:rsidR="00CA7063">
        <w:rPr>
          <w:bCs/>
          <w:sz w:val="24"/>
          <w:lang w:val="da-DK"/>
        </w:rPr>
        <w:t>,</w:t>
      </w:r>
      <w:r>
        <w:rPr>
          <w:bCs/>
          <w:sz w:val="24"/>
          <w:lang w:val="da-DK"/>
        </w:rPr>
        <w:t xml:space="preserve"> skal ikke indgå i 100.000 kr. opgørelsen i forbindelse med fraflytning efter kursgevins</w:t>
      </w:r>
      <w:r w:rsidR="00FB556A">
        <w:rPr>
          <w:bCs/>
          <w:sz w:val="24"/>
          <w:lang w:val="da-DK"/>
        </w:rPr>
        <w:t>t</w:t>
      </w:r>
      <w:r>
        <w:rPr>
          <w:bCs/>
          <w:sz w:val="24"/>
          <w:lang w:val="da-DK"/>
        </w:rPr>
        <w:t xml:space="preserve">loven. </w:t>
      </w:r>
    </w:p>
    <w:p w:rsidR="001923A5" w:rsidRDefault="001923A5" w:rsidP="00BD6C98">
      <w:pPr>
        <w:spacing w:line="288" w:lineRule="auto"/>
        <w:rPr>
          <w:bCs/>
          <w:sz w:val="24"/>
          <w:lang w:val="da-DK"/>
        </w:rPr>
      </w:pPr>
    </w:p>
    <w:p w:rsidR="00F46377" w:rsidRDefault="00CA7063" w:rsidP="00BD6C98">
      <w:pPr>
        <w:spacing w:line="288" w:lineRule="auto"/>
        <w:rPr>
          <w:bCs/>
          <w:sz w:val="24"/>
          <w:lang w:val="da-DK"/>
        </w:rPr>
      </w:pPr>
      <w:r>
        <w:rPr>
          <w:bCs/>
          <w:sz w:val="24"/>
          <w:lang w:val="da-DK"/>
        </w:rPr>
        <w:t>Som supplement til disse regler</w:t>
      </w:r>
      <w:r w:rsidR="00F46377">
        <w:rPr>
          <w:bCs/>
          <w:sz w:val="24"/>
          <w:lang w:val="da-DK"/>
        </w:rPr>
        <w:t xml:space="preserve"> foreslås, at k</w:t>
      </w:r>
      <w:r w:rsidR="00A54CFF">
        <w:rPr>
          <w:bCs/>
          <w:sz w:val="24"/>
          <w:lang w:val="da-DK"/>
        </w:rPr>
        <w:t>ontohaveren kan</w:t>
      </w:r>
      <w:r w:rsidR="00F46377">
        <w:rPr>
          <w:bCs/>
          <w:sz w:val="24"/>
          <w:lang w:val="da-DK"/>
        </w:rPr>
        <w:t xml:space="preserve"> få henstand med betalingen af fraflytningsskatten</w:t>
      </w:r>
      <w:r w:rsidR="001923A5">
        <w:rPr>
          <w:bCs/>
          <w:sz w:val="24"/>
          <w:lang w:val="da-DK"/>
        </w:rPr>
        <w:t xml:space="preserve"> både med hensyn til indskud på kontantkonto og indskud, der er placeret i obligationer</w:t>
      </w:r>
      <w:r w:rsidR="00F46377">
        <w:rPr>
          <w:bCs/>
          <w:sz w:val="24"/>
          <w:lang w:val="da-DK"/>
        </w:rPr>
        <w:t>.</w:t>
      </w:r>
      <w:r w:rsidR="00BC54CB">
        <w:rPr>
          <w:bCs/>
          <w:sz w:val="24"/>
          <w:lang w:val="da-DK"/>
        </w:rPr>
        <w:t xml:space="preserve"> Henstandsbeløbet forfalder til betaling, når fristen for etablering efter etablerings- og iværksætterkontolovens § 8 er udløbe</w:t>
      </w:r>
      <w:r w:rsidR="0034504A">
        <w:rPr>
          <w:bCs/>
          <w:sz w:val="24"/>
          <w:lang w:val="da-DK"/>
        </w:rPr>
        <w:t>t</w:t>
      </w:r>
      <w:r w:rsidR="00BC54CB">
        <w:rPr>
          <w:bCs/>
          <w:sz w:val="24"/>
          <w:lang w:val="da-DK"/>
        </w:rPr>
        <w:t>,</w:t>
      </w:r>
      <w:r w:rsidR="00E97332">
        <w:rPr>
          <w:bCs/>
          <w:sz w:val="24"/>
          <w:lang w:val="da-DK"/>
        </w:rPr>
        <w:t xml:space="preserve"> eller indskud hæves,</w:t>
      </w:r>
      <w:r w:rsidR="00BC54CB">
        <w:rPr>
          <w:bCs/>
          <w:sz w:val="24"/>
          <w:lang w:val="da-DK"/>
        </w:rPr>
        <w:t xml:space="preserve"> eller den skattepligtige dø</w:t>
      </w:r>
      <w:r w:rsidR="00CA2192">
        <w:rPr>
          <w:bCs/>
          <w:sz w:val="24"/>
          <w:lang w:val="da-DK"/>
        </w:rPr>
        <w:t>r</w:t>
      </w:r>
      <w:r w:rsidR="00BC54CB">
        <w:rPr>
          <w:bCs/>
          <w:sz w:val="24"/>
          <w:lang w:val="da-DK"/>
        </w:rPr>
        <w:t>, eller den skattepligtige går konkurs.</w:t>
      </w:r>
    </w:p>
    <w:p w:rsidR="00CA7063" w:rsidRDefault="00CA7063" w:rsidP="00BD6C98">
      <w:pPr>
        <w:spacing w:line="288" w:lineRule="auto"/>
        <w:rPr>
          <w:bCs/>
          <w:sz w:val="24"/>
          <w:lang w:val="da-DK"/>
        </w:rPr>
      </w:pPr>
    </w:p>
    <w:p w:rsidR="00082FF2" w:rsidRDefault="00F46377" w:rsidP="00BD6C98">
      <w:pPr>
        <w:spacing w:line="288" w:lineRule="auto"/>
        <w:rPr>
          <w:bCs/>
          <w:sz w:val="24"/>
          <w:lang w:val="da-DK"/>
        </w:rPr>
      </w:pPr>
      <w:r>
        <w:rPr>
          <w:bCs/>
          <w:sz w:val="24"/>
          <w:lang w:val="da-DK"/>
        </w:rPr>
        <w:lastRenderedPageBreak/>
        <w:t>Desuden foreslås</w:t>
      </w:r>
      <w:r w:rsidR="00AB5960">
        <w:rPr>
          <w:bCs/>
          <w:sz w:val="24"/>
          <w:lang w:val="da-DK"/>
        </w:rPr>
        <w:t xml:space="preserve">, at </w:t>
      </w:r>
      <w:r w:rsidR="00A54CFF">
        <w:rPr>
          <w:bCs/>
          <w:sz w:val="24"/>
          <w:lang w:val="da-DK"/>
        </w:rPr>
        <w:t>beløb, der er indsat på</w:t>
      </w:r>
      <w:r w:rsidR="00446743">
        <w:rPr>
          <w:bCs/>
          <w:sz w:val="24"/>
          <w:lang w:val="da-DK"/>
        </w:rPr>
        <w:t xml:space="preserve"> en</w:t>
      </w:r>
      <w:r w:rsidR="00A54CFF">
        <w:rPr>
          <w:bCs/>
          <w:sz w:val="24"/>
          <w:lang w:val="da-DK"/>
        </w:rPr>
        <w:t xml:space="preserve"> etableringskonto eller</w:t>
      </w:r>
      <w:r w:rsidR="00446743">
        <w:rPr>
          <w:bCs/>
          <w:sz w:val="24"/>
          <w:lang w:val="da-DK"/>
        </w:rPr>
        <w:t xml:space="preserve"> en</w:t>
      </w:r>
      <w:r w:rsidR="00A54CFF">
        <w:rPr>
          <w:bCs/>
          <w:sz w:val="24"/>
          <w:lang w:val="da-DK"/>
        </w:rPr>
        <w:t xml:space="preserve"> iværksætterkonto,</w:t>
      </w:r>
      <w:r w:rsidR="00446743">
        <w:rPr>
          <w:bCs/>
          <w:sz w:val="24"/>
          <w:lang w:val="da-DK"/>
        </w:rPr>
        <w:t xml:space="preserve"> </w:t>
      </w:r>
      <w:r w:rsidR="00A54CFF">
        <w:rPr>
          <w:bCs/>
          <w:sz w:val="24"/>
          <w:lang w:val="da-DK"/>
        </w:rPr>
        <w:t xml:space="preserve">sikrer </w:t>
      </w:r>
      <w:r w:rsidR="00082FF2">
        <w:rPr>
          <w:bCs/>
          <w:sz w:val="24"/>
          <w:lang w:val="da-DK"/>
        </w:rPr>
        <w:t xml:space="preserve">fraflytningsskattekravet </w:t>
      </w:r>
      <w:r w:rsidR="00A54CFF">
        <w:rPr>
          <w:bCs/>
          <w:sz w:val="24"/>
          <w:lang w:val="da-DK"/>
        </w:rPr>
        <w:t>og ikke</w:t>
      </w:r>
      <w:r w:rsidR="00082FF2">
        <w:rPr>
          <w:bCs/>
          <w:sz w:val="24"/>
          <w:lang w:val="da-DK"/>
        </w:rPr>
        <w:t xml:space="preserve"> kan</w:t>
      </w:r>
      <w:r w:rsidR="00A54CFF">
        <w:rPr>
          <w:bCs/>
          <w:sz w:val="24"/>
          <w:lang w:val="da-DK"/>
        </w:rPr>
        <w:t xml:space="preserve"> hæves, før skatten eller afgiften er betalt.</w:t>
      </w:r>
    </w:p>
    <w:p w:rsidR="00082FF2" w:rsidRDefault="00082FF2" w:rsidP="00BD6C98">
      <w:pPr>
        <w:spacing w:line="288" w:lineRule="auto"/>
        <w:rPr>
          <w:bCs/>
          <w:sz w:val="24"/>
          <w:lang w:val="da-DK"/>
        </w:rPr>
      </w:pPr>
    </w:p>
    <w:p w:rsidR="00082FF2" w:rsidRDefault="00503800" w:rsidP="00BD6C98">
      <w:pPr>
        <w:spacing w:line="288" w:lineRule="auto"/>
        <w:rPr>
          <w:bCs/>
          <w:sz w:val="24"/>
          <w:lang w:val="da-DK"/>
        </w:rPr>
      </w:pPr>
      <w:r>
        <w:rPr>
          <w:bCs/>
          <w:sz w:val="24"/>
          <w:lang w:val="da-DK"/>
        </w:rPr>
        <w:t>Det</w:t>
      </w:r>
      <w:r w:rsidR="00082FF2">
        <w:rPr>
          <w:bCs/>
          <w:sz w:val="24"/>
          <w:lang w:val="da-DK"/>
        </w:rPr>
        <w:t xml:space="preserve"> foreslås</w:t>
      </w:r>
      <w:r>
        <w:rPr>
          <w:bCs/>
          <w:sz w:val="24"/>
          <w:lang w:val="da-DK"/>
        </w:rPr>
        <w:t xml:space="preserve"> </w:t>
      </w:r>
      <w:r w:rsidR="001923A5">
        <w:rPr>
          <w:bCs/>
          <w:sz w:val="24"/>
          <w:lang w:val="da-DK"/>
        </w:rPr>
        <w:t>endelig</w:t>
      </w:r>
      <w:r w:rsidR="00082FF2">
        <w:rPr>
          <w:bCs/>
          <w:sz w:val="24"/>
          <w:lang w:val="da-DK"/>
        </w:rPr>
        <w:t xml:space="preserve">, at pligten til at betale fraflytningsskat af </w:t>
      </w:r>
      <w:r w:rsidR="00612A07">
        <w:rPr>
          <w:bCs/>
          <w:sz w:val="24"/>
          <w:lang w:val="da-DK"/>
        </w:rPr>
        <w:t>kontant</w:t>
      </w:r>
      <w:r w:rsidR="00082FF2">
        <w:rPr>
          <w:bCs/>
          <w:sz w:val="24"/>
          <w:lang w:val="da-DK"/>
        </w:rPr>
        <w:t>indskud, der ikke er hævet,</w:t>
      </w:r>
      <w:r w:rsidR="00612A07">
        <w:rPr>
          <w:bCs/>
          <w:sz w:val="24"/>
          <w:lang w:val="da-DK"/>
        </w:rPr>
        <w:t xml:space="preserve"> og af obligationer, der ikke er afstået eller indfriet,</w:t>
      </w:r>
      <w:r w:rsidR="00082FF2">
        <w:rPr>
          <w:bCs/>
          <w:sz w:val="24"/>
          <w:lang w:val="da-DK"/>
        </w:rPr>
        <w:t xml:space="preserve"> bortfalder, hvis </w:t>
      </w:r>
      <w:r w:rsidR="00A54CFF">
        <w:rPr>
          <w:bCs/>
          <w:sz w:val="24"/>
          <w:lang w:val="da-DK"/>
        </w:rPr>
        <w:t>kontohaveren</w:t>
      </w:r>
      <w:r w:rsidR="00477124">
        <w:rPr>
          <w:bCs/>
          <w:sz w:val="24"/>
          <w:lang w:val="da-DK"/>
        </w:rPr>
        <w:t xml:space="preserve"> igen</w:t>
      </w:r>
      <w:r w:rsidR="00A54CFF">
        <w:rPr>
          <w:bCs/>
          <w:sz w:val="24"/>
          <w:lang w:val="da-DK"/>
        </w:rPr>
        <w:t xml:space="preserve"> </w:t>
      </w:r>
      <w:r w:rsidR="00965E51">
        <w:rPr>
          <w:bCs/>
          <w:sz w:val="24"/>
          <w:lang w:val="da-DK"/>
        </w:rPr>
        <w:t>bliver</w:t>
      </w:r>
      <w:r w:rsidR="00D9007D">
        <w:rPr>
          <w:bCs/>
          <w:sz w:val="24"/>
          <w:lang w:val="da-DK"/>
        </w:rPr>
        <w:t xml:space="preserve"> skattemæssigt </w:t>
      </w:r>
      <w:r w:rsidR="00965E51">
        <w:rPr>
          <w:bCs/>
          <w:sz w:val="24"/>
          <w:lang w:val="da-DK"/>
        </w:rPr>
        <w:t>hjemmehørende</w:t>
      </w:r>
      <w:r w:rsidR="00D9007D">
        <w:rPr>
          <w:bCs/>
          <w:sz w:val="24"/>
          <w:lang w:val="da-DK"/>
        </w:rPr>
        <w:t xml:space="preserve"> her i landet</w:t>
      </w:r>
      <w:r w:rsidR="00082FF2">
        <w:rPr>
          <w:bCs/>
          <w:sz w:val="24"/>
          <w:lang w:val="da-DK"/>
        </w:rPr>
        <w:t>.</w:t>
      </w:r>
    </w:p>
    <w:p w:rsidR="00503800" w:rsidRDefault="00503800" w:rsidP="00BD6C98">
      <w:pPr>
        <w:spacing w:line="288" w:lineRule="auto"/>
        <w:rPr>
          <w:bCs/>
          <w:sz w:val="24"/>
          <w:lang w:val="da-DK"/>
        </w:rPr>
      </w:pPr>
    </w:p>
    <w:p w:rsidR="0095376C" w:rsidRPr="0095376C" w:rsidRDefault="0095376C" w:rsidP="0095376C">
      <w:pPr>
        <w:widowControl/>
        <w:autoSpaceDE/>
        <w:autoSpaceDN/>
        <w:adjustRightInd/>
        <w:jc w:val="center"/>
        <w:rPr>
          <w:bCs/>
          <w:i/>
          <w:sz w:val="24"/>
          <w:lang w:val="da-DK"/>
        </w:rPr>
      </w:pPr>
      <w:r w:rsidRPr="0095376C">
        <w:rPr>
          <w:bCs/>
          <w:i/>
          <w:sz w:val="24"/>
          <w:lang w:val="da-DK"/>
        </w:rPr>
        <w:t xml:space="preserve">Til § </w:t>
      </w:r>
      <w:r w:rsidR="00A33695">
        <w:rPr>
          <w:bCs/>
          <w:i/>
          <w:sz w:val="24"/>
          <w:lang w:val="da-DK"/>
        </w:rPr>
        <w:t>2</w:t>
      </w:r>
    </w:p>
    <w:p w:rsidR="0038542E" w:rsidRDefault="0038542E">
      <w:pPr>
        <w:widowControl/>
        <w:autoSpaceDE/>
        <w:autoSpaceDN/>
        <w:adjustRightInd/>
        <w:rPr>
          <w:bCs/>
          <w:sz w:val="24"/>
          <w:lang w:val="da-DK"/>
        </w:rPr>
      </w:pPr>
    </w:p>
    <w:p w:rsidR="0093119F" w:rsidRDefault="00565CBE" w:rsidP="00565CBE">
      <w:pPr>
        <w:spacing w:line="288" w:lineRule="auto"/>
        <w:rPr>
          <w:bCs/>
          <w:sz w:val="24"/>
          <w:lang w:val="da-DK"/>
        </w:rPr>
      </w:pPr>
      <w:r>
        <w:rPr>
          <w:bCs/>
          <w:sz w:val="24"/>
          <w:lang w:val="da-DK"/>
        </w:rPr>
        <w:t xml:space="preserve">Det foreslås, at kursgevinstlovens § 35 ændres således, at </w:t>
      </w:r>
      <w:r w:rsidR="0093119F">
        <w:rPr>
          <w:bCs/>
          <w:sz w:val="24"/>
          <w:lang w:val="da-DK"/>
        </w:rPr>
        <w:t>indskud af en obligation på en etableringskonto eller iværksætterkonto skattemæssigt</w:t>
      </w:r>
      <w:r w:rsidR="007608AE">
        <w:rPr>
          <w:bCs/>
          <w:sz w:val="24"/>
          <w:lang w:val="da-DK"/>
        </w:rPr>
        <w:t xml:space="preserve"> betragtes</w:t>
      </w:r>
      <w:r w:rsidR="0093119F">
        <w:rPr>
          <w:bCs/>
          <w:sz w:val="24"/>
          <w:lang w:val="da-DK"/>
        </w:rPr>
        <w:t xml:space="preserve"> som afståelse.</w:t>
      </w:r>
    </w:p>
    <w:p w:rsidR="0093119F" w:rsidRDefault="0093119F" w:rsidP="00565CBE">
      <w:pPr>
        <w:spacing w:line="288" w:lineRule="auto"/>
        <w:rPr>
          <w:bCs/>
          <w:sz w:val="24"/>
          <w:lang w:val="da-DK"/>
        </w:rPr>
      </w:pPr>
    </w:p>
    <w:p w:rsidR="007F72AF" w:rsidRDefault="0093119F" w:rsidP="00565CBE">
      <w:pPr>
        <w:spacing w:line="288" w:lineRule="auto"/>
        <w:rPr>
          <w:bCs/>
          <w:sz w:val="24"/>
          <w:lang w:val="da-DK"/>
        </w:rPr>
      </w:pPr>
      <w:r>
        <w:rPr>
          <w:bCs/>
          <w:sz w:val="24"/>
          <w:lang w:val="da-DK"/>
        </w:rPr>
        <w:t>Det foreslås endvidere, at udlodning af en obligation fra en etableringskonto eller iværksætterkonto skattemæssigt sidestilles med erhvervelse.</w:t>
      </w:r>
    </w:p>
    <w:p w:rsidR="007F72AF" w:rsidRDefault="007F72AF" w:rsidP="00565CBE">
      <w:pPr>
        <w:spacing w:line="288" w:lineRule="auto"/>
        <w:rPr>
          <w:bCs/>
          <w:sz w:val="24"/>
          <w:lang w:val="da-DK"/>
        </w:rPr>
      </w:pPr>
    </w:p>
    <w:p w:rsidR="00565CBE" w:rsidRPr="007F72AF" w:rsidRDefault="007F72AF" w:rsidP="007F72AF">
      <w:pPr>
        <w:spacing w:line="288" w:lineRule="auto"/>
        <w:jc w:val="center"/>
        <w:rPr>
          <w:bCs/>
          <w:i/>
          <w:sz w:val="24"/>
          <w:lang w:val="da-DK"/>
        </w:rPr>
      </w:pPr>
      <w:r w:rsidRPr="007F72AF">
        <w:rPr>
          <w:bCs/>
          <w:i/>
          <w:sz w:val="24"/>
          <w:lang w:val="da-DK"/>
        </w:rPr>
        <w:t>Til § 3</w:t>
      </w:r>
    </w:p>
    <w:p w:rsidR="007F72AF" w:rsidRDefault="007F72AF" w:rsidP="007F72AF">
      <w:pPr>
        <w:spacing w:line="288" w:lineRule="auto"/>
        <w:rPr>
          <w:bCs/>
          <w:sz w:val="24"/>
          <w:lang w:val="da-DK"/>
        </w:rPr>
      </w:pPr>
    </w:p>
    <w:p w:rsidR="001A6DD5" w:rsidRDefault="00FF4949" w:rsidP="001A6DD5">
      <w:pPr>
        <w:shd w:val="clear" w:color="auto" w:fill="FFFFFF"/>
        <w:spacing w:line="288" w:lineRule="auto"/>
        <w:rPr>
          <w:sz w:val="24"/>
          <w:lang w:val="da-DK"/>
        </w:rPr>
      </w:pPr>
      <w:r>
        <w:rPr>
          <w:sz w:val="24"/>
          <w:lang w:val="da-DK"/>
        </w:rPr>
        <w:t>Det foreslås, at loven træder i kraft dagen efter bekendtgørelsen i Lovtidende</w:t>
      </w:r>
      <w:r w:rsidR="00844731">
        <w:rPr>
          <w:sz w:val="24"/>
          <w:lang w:val="da-DK"/>
        </w:rPr>
        <w:t xml:space="preserve">, </w:t>
      </w:r>
      <w:r w:rsidR="007F72AF">
        <w:rPr>
          <w:sz w:val="24"/>
          <w:lang w:val="da-DK"/>
        </w:rPr>
        <w:t>hvorved</w:t>
      </w:r>
      <w:r w:rsidR="00844731">
        <w:rPr>
          <w:sz w:val="24"/>
          <w:lang w:val="da-DK"/>
        </w:rPr>
        <w:t xml:space="preserve"> loven har virkning fra den</w:t>
      </w:r>
      <w:r w:rsidR="007F72AF">
        <w:rPr>
          <w:sz w:val="24"/>
          <w:lang w:val="da-DK"/>
        </w:rPr>
        <w:t>ne dato.</w:t>
      </w:r>
    </w:p>
    <w:p w:rsidR="0001313E" w:rsidRDefault="0001313E" w:rsidP="001A6DD5">
      <w:pPr>
        <w:shd w:val="clear" w:color="auto" w:fill="FFFFFF"/>
        <w:spacing w:line="288" w:lineRule="auto"/>
        <w:rPr>
          <w:sz w:val="24"/>
          <w:lang w:val="da-DK"/>
        </w:rPr>
      </w:pPr>
    </w:p>
    <w:p w:rsidR="0001313E" w:rsidRDefault="0001313E" w:rsidP="001A6DD5">
      <w:pPr>
        <w:shd w:val="clear" w:color="auto" w:fill="FFFFFF"/>
        <w:spacing w:line="288" w:lineRule="auto"/>
        <w:rPr>
          <w:sz w:val="24"/>
          <w:lang w:val="da-DK"/>
        </w:rPr>
      </w:pPr>
      <w:r>
        <w:rPr>
          <w:sz w:val="24"/>
          <w:lang w:val="da-DK"/>
        </w:rPr>
        <w:t xml:space="preserve">Bestemmelsen indebærer bl.a., at de, der har placeret indskud på en etablerings- eller iværksætterkonto i perioden fra den 27. januar 2010, hvor den tidligere adgang til at placere indskud i obligationer, blev ophævet, og frem til virkningstidspunktet for den foreslåede nye ordning, kan anbringe disse kontantindskud i den nye ordning. </w:t>
      </w:r>
    </w:p>
    <w:sectPr w:rsidR="0001313E" w:rsidSect="00743566">
      <w:headerReference w:type="default" r:id="rId8"/>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A44" w:rsidRPr="008C7957" w:rsidRDefault="00567A44">
      <w:pPr>
        <w:rPr>
          <w:sz w:val="16"/>
        </w:rPr>
      </w:pPr>
      <w:r>
        <w:separator/>
      </w:r>
    </w:p>
  </w:endnote>
  <w:endnote w:type="continuationSeparator" w:id="0">
    <w:p w:rsidR="00567A44" w:rsidRPr="008C7957" w:rsidRDefault="00567A44">
      <w:pPr>
        <w:rPr>
          <w:sz w:val="16"/>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A44" w:rsidRPr="008C7957" w:rsidRDefault="00567A44">
      <w:pPr>
        <w:rPr>
          <w:sz w:val="16"/>
        </w:rPr>
      </w:pPr>
      <w:r>
        <w:separator/>
      </w:r>
    </w:p>
  </w:footnote>
  <w:footnote w:type="continuationSeparator" w:id="0">
    <w:p w:rsidR="00567A44" w:rsidRPr="008C7957" w:rsidRDefault="00567A44">
      <w:pPr>
        <w:rPr>
          <w:sz w:val="16"/>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A44" w:rsidRDefault="00567A44">
    <w:pPr>
      <w:pStyle w:val="Sidehoved"/>
      <w:jc w:val="center"/>
      <w:rPr>
        <w:rStyle w:val="Sidetal"/>
        <w:sz w:val="24"/>
      </w:rPr>
    </w:pPr>
    <w:r>
      <w:rPr>
        <w:sz w:val="24"/>
      </w:rPr>
      <w:t xml:space="preserve">- </w:t>
    </w:r>
    <w:r w:rsidR="001F242B">
      <w:rPr>
        <w:rStyle w:val="Sidetal"/>
        <w:sz w:val="24"/>
      </w:rPr>
      <w:fldChar w:fldCharType="begin"/>
    </w:r>
    <w:r>
      <w:rPr>
        <w:rStyle w:val="Sidetal"/>
        <w:sz w:val="24"/>
      </w:rPr>
      <w:instrText xml:space="preserve"> PAGE </w:instrText>
    </w:r>
    <w:r w:rsidR="001F242B">
      <w:rPr>
        <w:rStyle w:val="Sidetal"/>
        <w:sz w:val="24"/>
      </w:rPr>
      <w:fldChar w:fldCharType="separate"/>
    </w:r>
    <w:r w:rsidR="00F16391">
      <w:rPr>
        <w:rStyle w:val="Sidetal"/>
        <w:noProof/>
        <w:sz w:val="24"/>
      </w:rPr>
      <w:t>8</w:t>
    </w:r>
    <w:r w:rsidR="001F242B">
      <w:rPr>
        <w:rStyle w:val="Sidetal"/>
        <w:sz w:val="24"/>
      </w:rPr>
      <w:fldChar w:fldCharType="end"/>
    </w:r>
    <w:r>
      <w:rPr>
        <w:rStyle w:val="Sidetal"/>
        <w:sz w:val="24"/>
      </w:rPr>
      <w:t xml:space="preserve"> -</w:t>
    </w:r>
  </w:p>
  <w:p w:rsidR="00567A44" w:rsidRDefault="00567A44">
    <w:pPr>
      <w:pStyle w:val="Sidehoved"/>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501"/>
    <w:multiLevelType w:val="hybridMultilevel"/>
    <w:tmpl w:val="4B5C7C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A17436"/>
    <w:multiLevelType w:val="multilevel"/>
    <w:tmpl w:val="A34AEBA4"/>
    <w:lvl w:ilvl="0">
      <w:start w:val="6"/>
      <w:numFmt w:val="decimal"/>
      <w:lvlText w:val="%1."/>
      <w:lvlJc w:val="left"/>
      <w:pPr>
        <w:tabs>
          <w:tab w:val="num" w:pos="72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6D3B4D"/>
    <w:multiLevelType w:val="hybridMultilevel"/>
    <w:tmpl w:val="50D80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A8A72B7"/>
    <w:multiLevelType w:val="hybridMultilevel"/>
    <w:tmpl w:val="F95CCA9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CB24163"/>
    <w:multiLevelType w:val="hybridMultilevel"/>
    <w:tmpl w:val="B3E013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0E8C51AA"/>
    <w:multiLevelType w:val="hybridMultilevel"/>
    <w:tmpl w:val="6EC287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0A41681"/>
    <w:multiLevelType w:val="hybridMultilevel"/>
    <w:tmpl w:val="CCC436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14E20C7"/>
    <w:multiLevelType w:val="multilevel"/>
    <w:tmpl w:val="0002C9AA"/>
    <w:lvl w:ilvl="0">
      <w:start w:val="6"/>
      <w:numFmt w:val="decimal"/>
      <w:lvlText w:val="%1."/>
      <w:lvlJc w:val="left"/>
      <w:pPr>
        <w:tabs>
          <w:tab w:val="num" w:pos="720"/>
        </w:tabs>
        <w:ind w:left="397" w:hanging="39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DB262D"/>
    <w:multiLevelType w:val="hybridMultilevel"/>
    <w:tmpl w:val="544A1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93C37E4"/>
    <w:multiLevelType w:val="hybridMultilevel"/>
    <w:tmpl w:val="EC9A69C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1A891F83"/>
    <w:multiLevelType w:val="hybridMultilevel"/>
    <w:tmpl w:val="5838B40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B4A2B94"/>
    <w:multiLevelType w:val="multilevel"/>
    <w:tmpl w:val="3A70516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D1F5BE2"/>
    <w:multiLevelType w:val="hybridMultilevel"/>
    <w:tmpl w:val="4830B3E6"/>
    <w:lvl w:ilvl="0" w:tplc="CF14E2A0">
      <w:start w:val="1"/>
      <w:numFmt w:val="bullet"/>
      <w:lvlText w:val="o"/>
      <w:lvlJc w:val="left"/>
      <w:pPr>
        <w:tabs>
          <w:tab w:val="num" w:pos="720"/>
        </w:tabs>
        <w:ind w:left="170" w:hanging="17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1E8D40B6"/>
    <w:multiLevelType w:val="multilevel"/>
    <w:tmpl w:val="01BC00AE"/>
    <w:lvl w:ilvl="0">
      <w:start w:val="6"/>
      <w:numFmt w:val="decimal"/>
      <w:lvlText w:val="%1."/>
      <w:lvlJc w:val="left"/>
      <w:pPr>
        <w:tabs>
          <w:tab w:val="num" w:pos="720"/>
        </w:tabs>
        <w:ind w:left="397" w:hanging="397"/>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3A2DA2"/>
    <w:multiLevelType w:val="hybridMultilevel"/>
    <w:tmpl w:val="E062BB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2080169F"/>
    <w:multiLevelType w:val="hybridMultilevel"/>
    <w:tmpl w:val="E84A0B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76747D6"/>
    <w:multiLevelType w:val="multilevel"/>
    <w:tmpl w:val="4830B3E6"/>
    <w:lvl w:ilvl="0">
      <w:start w:val="1"/>
      <w:numFmt w:val="bullet"/>
      <w:lvlText w:val="o"/>
      <w:lvlJc w:val="left"/>
      <w:pPr>
        <w:tabs>
          <w:tab w:val="num" w:pos="720"/>
        </w:tabs>
        <w:ind w:left="170" w:hanging="17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7BF7BB5"/>
    <w:multiLevelType w:val="hybridMultilevel"/>
    <w:tmpl w:val="229077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8F045AB"/>
    <w:multiLevelType w:val="hybridMultilevel"/>
    <w:tmpl w:val="CF10267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nsid w:val="2BC608B9"/>
    <w:multiLevelType w:val="hybridMultilevel"/>
    <w:tmpl w:val="19DC794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2CDE7921"/>
    <w:multiLevelType w:val="hybridMultilevel"/>
    <w:tmpl w:val="53B238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2F28556D"/>
    <w:multiLevelType w:val="hybridMultilevel"/>
    <w:tmpl w:val="0B02B384"/>
    <w:lvl w:ilvl="0" w:tplc="04060003">
      <w:start w:val="1"/>
      <w:numFmt w:val="bullet"/>
      <w:lvlText w:val="o"/>
      <w:lvlJc w:val="left"/>
      <w:pPr>
        <w:tabs>
          <w:tab w:val="num" w:pos="720"/>
        </w:tabs>
        <w:ind w:left="720" w:hanging="360"/>
      </w:pPr>
      <w:rPr>
        <w:rFonts w:ascii="Courier New" w:hAnsi="Courier New" w:cs="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nsid w:val="3C7B09B0"/>
    <w:multiLevelType w:val="hybridMultilevel"/>
    <w:tmpl w:val="E7ECD5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3C8737BF"/>
    <w:multiLevelType w:val="hybridMultilevel"/>
    <w:tmpl w:val="CB78779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nsid w:val="4D213943"/>
    <w:multiLevelType w:val="hybridMultilevel"/>
    <w:tmpl w:val="814A6A6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563F6588"/>
    <w:multiLevelType w:val="hybridMultilevel"/>
    <w:tmpl w:val="498AB6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65B1F1E"/>
    <w:multiLevelType w:val="hybridMultilevel"/>
    <w:tmpl w:val="4E1CFAD6"/>
    <w:lvl w:ilvl="0" w:tplc="0406000F">
      <w:start w:val="1"/>
      <w:numFmt w:val="decimal"/>
      <w:lvlText w:val="%1."/>
      <w:lvlJc w:val="left"/>
      <w:pPr>
        <w:tabs>
          <w:tab w:val="num" w:pos="360"/>
        </w:tabs>
        <w:ind w:left="360" w:hanging="360"/>
      </w:pPr>
      <w:rPr>
        <w:rFonts w:hint="default"/>
        <w:b/>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56CA5035"/>
    <w:multiLevelType w:val="hybridMultilevel"/>
    <w:tmpl w:val="16BC6B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5B03444A"/>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B36006A"/>
    <w:multiLevelType w:val="hybridMultilevel"/>
    <w:tmpl w:val="490EF6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nsid w:val="5B982DFA"/>
    <w:multiLevelType w:val="multilevel"/>
    <w:tmpl w:val="0B02B38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13F7B0E"/>
    <w:multiLevelType w:val="multilevel"/>
    <w:tmpl w:val="49C680D4"/>
    <w:lvl w:ilvl="0">
      <w:start w:val="1"/>
      <w:numFmt w:val="bullet"/>
      <w:lvlText w:val="o"/>
      <w:lvlJc w:val="left"/>
      <w:pPr>
        <w:tabs>
          <w:tab w:val="num" w:pos="720"/>
        </w:tabs>
        <w:ind w:left="397" w:hanging="39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25563D"/>
    <w:multiLevelType w:val="hybridMultilevel"/>
    <w:tmpl w:val="EF8C97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64060BEA"/>
    <w:multiLevelType w:val="hybridMultilevel"/>
    <w:tmpl w:val="56709A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642408EE"/>
    <w:multiLevelType w:val="hybridMultilevel"/>
    <w:tmpl w:val="66F0704E"/>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5">
    <w:nsid w:val="64C94615"/>
    <w:multiLevelType w:val="hybridMultilevel"/>
    <w:tmpl w:val="9C3C5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66E23506"/>
    <w:multiLevelType w:val="multilevel"/>
    <w:tmpl w:val="0D9A3522"/>
    <w:lvl w:ilvl="0">
      <w:start w:val="1"/>
      <w:numFmt w:val="lowerLetter"/>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635510"/>
    <w:multiLevelType w:val="hybridMultilevel"/>
    <w:tmpl w:val="C30C37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nsid w:val="69BB6D6F"/>
    <w:multiLevelType w:val="hybridMultilevel"/>
    <w:tmpl w:val="061E1E8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9">
    <w:nsid w:val="6D9541B9"/>
    <w:multiLevelType w:val="hybridMultilevel"/>
    <w:tmpl w:val="60B695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729F169A"/>
    <w:multiLevelType w:val="hybridMultilevel"/>
    <w:tmpl w:val="6ABAC3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1">
    <w:nsid w:val="74C85E90"/>
    <w:multiLevelType w:val="hybridMultilevel"/>
    <w:tmpl w:val="F36887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7110F6C"/>
    <w:multiLevelType w:val="hybridMultilevel"/>
    <w:tmpl w:val="D2AC8A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3">
    <w:nsid w:val="78C61A35"/>
    <w:multiLevelType w:val="hybridMultilevel"/>
    <w:tmpl w:val="49C680D4"/>
    <w:lvl w:ilvl="0" w:tplc="C860ACC0">
      <w:start w:val="1"/>
      <w:numFmt w:val="bullet"/>
      <w:lvlText w:val="o"/>
      <w:lvlJc w:val="left"/>
      <w:pPr>
        <w:tabs>
          <w:tab w:val="num" w:pos="720"/>
        </w:tabs>
        <w:ind w:left="397" w:hanging="397"/>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nsid w:val="7B5D792F"/>
    <w:multiLevelType w:val="hybridMultilevel"/>
    <w:tmpl w:val="893E77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7E303F85"/>
    <w:multiLevelType w:val="hybridMultilevel"/>
    <w:tmpl w:val="C1D81100"/>
    <w:lvl w:ilvl="0" w:tplc="0EDA1744">
      <w:start w:val="1"/>
      <w:numFmt w:val="lowerLetter"/>
      <w:lvlText w:val="%1)"/>
      <w:lvlJc w:val="left"/>
      <w:pPr>
        <w:tabs>
          <w:tab w:val="num" w:pos="397"/>
        </w:tabs>
        <w:ind w:left="397" w:hanging="39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6"/>
  </w:num>
  <w:num w:numId="2">
    <w:abstractNumId w:val="28"/>
  </w:num>
  <w:num w:numId="3">
    <w:abstractNumId w:val="13"/>
  </w:num>
  <w:num w:numId="4">
    <w:abstractNumId w:val="1"/>
  </w:num>
  <w:num w:numId="5">
    <w:abstractNumId w:val="7"/>
  </w:num>
  <w:num w:numId="6">
    <w:abstractNumId w:val="45"/>
  </w:num>
  <w:num w:numId="7">
    <w:abstractNumId w:val="11"/>
  </w:num>
  <w:num w:numId="8">
    <w:abstractNumId w:val="36"/>
  </w:num>
  <w:num w:numId="9">
    <w:abstractNumId w:val="21"/>
  </w:num>
  <w:num w:numId="10">
    <w:abstractNumId w:val="30"/>
  </w:num>
  <w:num w:numId="11">
    <w:abstractNumId w:val="43"/>
  </w:num>
  <w:num w:numId="12">
    <w:abstractNumId w:val="31"/>
  </w:num>
  <w:num w:numId="13">
    <w:abstractNumId w:val="12"/>
  </w:num>
  <w:num w:numId="14">
    <w:abstractNumId w:val="16"/>
  </w:num>
  <w:num w:numId="15">
    <w:abstractNumId w:val="32"/>
  </w:num>
  <w:num w:numId="16">
    <w:abstractNumId w:val="6"/>
  </w:num>
  <w:num w:numId="17">
    <w:abstractNumId w:val="22"/>
  </w:num>
  <w:num w:numId="18">
    <w:abstractNumId w:val="39"/>
  </w:num>
  <w:num w:numId="19">
    <w:abstractNumId w:val="27"/>
  </w:num>
  <w:num w:numId="20">
    <w:abstractNumId w:val="42"/>
  </w:num>
  <w:num w:numId="21">
    <w:abstractNumId w:val="5"/>
  </w:num>
  <w:num w:numId="22">
    <w:abstractNumId w:val="4"/>
  </w:num>
  <w:num w:numId="23">
    <w:abstractNumId w:val="29"/>
  </w:num>
  <w:num w:numId="24">
    <w:abstractNumId w:val="37"/>
  </w:num>
  <w:num w:numId="25">
    <w:abstractNumId w:val="15"/>
  </w:num>
  <w:num w:numId="26">
    <w:abstractNumId w:val="44"/>
  </w:num>
  <w:num w:numId="27">
    <w:abstractNumId w:val="8"/>
  </w:num>
  <w:num w:numId="28">
    <w:abstractNumId w:val="2"/>
  </w:num>
  <w:num w:numId="29">
    <w:abstractNumId w:val="35"/>
  </w:num>
  <w:num w:numId="30">
    <w:abstractNumId w:val="10"/>
  </w:num>
  <w:num w:numId="31">
    <w:abstractNumId w:val="41"/>
  </w:num>
  <w:num w:numId="32">
    <w:abstractNumId w:val="17"/>
  </w:num>
  <w:num w:numId="33">
    <w:abstractNumId w:val="18"/>
  </w:num>
  <w:num w:numId="34">
    <w:abstractNumId w:val="34"/>
  </w:num>
  <w:num w:numId="35">
    <w:abstractNumId w:val="40"/>
  </w:num>
  <w:num w:numId="36">
    <w:abstractNumId w:val="25"/>
  </w:num>
  <w:num w:numId="37">
    <w:abstractNumId w:val="20"/>
  </w:num>
  <w:num w:numId="38">
    <w:abstractNumId w:val="19"/>
  </w:num>
  <w:num w:numId="39">
    <w:abstractNumId w:val="0"/>
  </w:num>
  <w:num w:numId="40">
    <w:abstractNumId w:val="14"/>
  </w:num>
  <w:num w:numId="41">
    <w:abstractNumId w:val="33"/>
  </w:num>
  <w:num w:numId="42">
    <w:abstractNumId w:val="24"/>
  </w:num>
  <w:num w:numId="43">
    <w:abstractNumId w:val="23"/>
  </w:num>
  <w:num w:numId="44">
    <w:abstractNumId w:val="38"/>
  </w:num>
  <w:num w:numId="45">
    <w:abstractNumId w:val="3"/>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626F60"/>
    <w:rsid w:val="00001AB2"/>
    <w:rsid w:val="000032B2"/>
    <w:rsid w:val="00003CE1"/>
    <w:rsid w:val="00004AF8"/>
    <w:rsid w:val="00005824"/>
    <w:rsid w:val="0000609C"/>
    <w:rsid w:val="000066A1"/>
    <w:rsid w:val="0000731A"/>
    <w:rsid w:val="00007D7A"/>
    <w:rsid w:val="00011BE6"/>
    <w:rsid w:val="0001201D"/>
    <w:rsid w:val="0001313E"/>
    <w:rsid w:val="00014CF2"/>
    <w:rsid w:val="00017B9F"/>
    <w:rsid w:val="00020113"/>
    <w:rsid w:val="0002091D"/>
    <w:rsid w:val="00021269"/>
    <w:rsid w:val="00021557"/>
    <w:rsid w:val="0002185A"/>
    <w:rsid w:val="0002260E"/>
    <w:rsid w:val="00023019"/>
    <w:rsid w:val="0002637C"/>
    <w:rsid w:val="0003042C"/>
    <w:rsid w:val="0003149A"/>
    <w:rsid w:val="00037501"/>
    <w:rsid w:val="0003789F"/>
    <w:rsid w:val="0004311D"/>
    <w:rsid w:val="00045690"/>
    <w:rsid w:val="00046649"/>
    <w:rsid w:val="00047DE4"/>
    <w:rsid w:val="00050810"/>
    <w:rsid w:val="00050A4C"/>
    <w:rsid w:val="00050C4B"/>
    <w:rsid w:val="00051CD9"/>
    <w:rsid w:val="00052289"/>
    <w:rsid w:val="0005363A"/>
    <w:rsid w:val="0005406F"/>
    <w:rsid w:val="00054559"/>
    <w:rsid w:val="00055B00"/>
    <w:rsid w:val="00055C9C"/>
    <w:rsid w:val="00057103"/>
    <w:rsid w:val="00057F03"/>
    <w:rsid w:val="0006031C"/>
    <w:rsid w:val="00060E89"/>
    <w:rsid w:val="00061E0E"/>
    <w:rsid w:val="00062CE2"/>
    <w:rsid w:val="000636AE"/>
    <w:rsid w:val="00065B9F"/>
    <w:rsid w:val="00067C73"/>
    <w:rsid w:val="0007024A"/>
    <w:rsid w:val="00071516"/>
    <w:rsid w:val="000751C8"/>
    <w:rsid w:val="00075658"/>
    <w:rsid w:val="0007568F"/>
    <w:rsid w:val="00076E10"/>
    <w:rsid w:val="00077951"/>
    <w:rsid w:val="00081006"/>
    <w:rsid w:val="0008100B"/>
    <w:rsid w:val="00082605"/>
    <w:rsid w:val="00082FF2"/>
    <w:rsid w:val="00083A3B"/>
    <w:rsid w:val="00084C01"/>
    <w:rsid w:val="00085800"/>
    <w:rsid w:val="00086DB1"/>
    <w:rsid w:val="0009235B"/>
    <w:rsid w:val="0009374C"/>
    <w:rsid w:val="00095C73"/>
    <w:rsid w:val="000A1E19"/>
    <w:rsid w:val="000A22C8"/>
    <w:rsid w:val="000A2EDC"/>
    <w:rsid w:val="000A34BC"/>
    <w:rsid w:val="000A3C41"/>
    <w:rsid w:val="000A3CEC"/>
    <w:rsid w:val="000A4377"/>
    <w:rsid w:val="000A5C7D"/>
    <w:rsid w:val="000A5D5A"/>
    <w:rsid w:val="000A6C6B"/>
    <w:rsid w:val="000B51B9"/>
    <w:rsid w:val="000B5783"/>
    <w:rsid w:val="000B7A1B"/>
    <w:rsid w:val="000B7ED5"/>
    <w:rsid w:val="000C1AD9"/>
    <w:rsid w:val="000C2DD7"/>
    <w:rsid w:val="000C2F37"/>
    <w:rsid w:val="000C6602"/>
    <w:rsid w:val="000C6703"/>
    <w:rsid w:val="000C6E23"/>
    <w:rsid w:val="000D1B19"/>
    <w:rsid w:val="000D1DA7"/>
    <w:rsid w:val="000D2050"/>
    <w:rsid w:val="000D55DC"/>
    <w:rsid w:val="000D5766"/>
    <w:rsid w:val="000D58EA"/>
    <w:rsid w:val="000D5FCE"/>
    <w:rsid w:val="000D64E0"/>
    <w:rsid w:val="000E0CA7"/>
    <w:rsid w:val="000E31AE"/>
    <w:rsid w:val="000E33EA"/>
    <w:rsid w:val="000E398D"/>
    <w:rsid w:val="000E4954"/>
    <w:rsid w:val="000E6250"/>
    <w:rsid w:val="000E7E8C"/>
    <w:rsid w:val="000F03D9"/>
    <w:rsid w:val="000F0697"/>
    <w:rsid w:val="000F0DF8"/>
    <w:rsid w:val="000F2A7F"/>
    <w:rsid w:val="000F321C"/>
    <w:rsid w:val="000F647A"/>
    <w:rsid w:val="000F6783"/>
    <w:rsid w:val="001025E4"/>
    <w:rsid w:val="00102C00"/>
    <w:rsid w:val="001033AA"/>
    <w:rsid w:val="001043D0"/>
    <w:rsid w:val="00104556"/>
    <w:rsid w:val="00104B32"/>
    <w:rsid w:val="0010644E"/>
    <w:rsid w:val="00107DC1"/>
    <w:rsid w:val="00112FE5"/>
    <w:rsid w:val="001143C2"/>
    <w:rsid w:val="00115902"/>
    <w:rsid w:val="00115A9B"/>
    <w:rsid w:val="00115EC8"/>
    <w:rsid w:val="00120ACA"/>
    <w:rsid w:val="00124FDF"/>
    <w:rsid w:val="00125751"/>
    <w:rsid w:val="00127D78"/>
    <w:rsid w:val="0013265A"/>
    <w:rsid w:val="00132B49"/>
    <w:rsid w:val="00134F3C"/>
    <w:rsid w:val="00135203"/>
    <w:rsid w:val="001367A4"/>
    <w:rsid w:val="001373C6"/>
    <w:rsid w:val="001377C4"/>
    <w:rsid w:val="00137A37"/>
    <w:rsid w:val="00137CF5"/>
    <w:rsid w:val="00141DE9"/>
    <w:rsid w:val="00143496"/>
    <w:rsid w:val="001442ED"/>
    <w:rsid w:val="00145B98"/>
    <w:rsid w:val="00146A45"/>
    <w:rsid w:val="00146FFC"/>
    <w:rsid w:val="001474AD"/>
    <w:rsid w:val="00147746"/>
    <w:rsid w:val="00150648"/>
    <w:rsid w:val="00151570"/>
    <w:rsid w:val="001523FA"/>
    <w:rsid w:val="0015299D"/>
    <w:rsid w:val="0015500C"/>
    <w:rsid w:val="00160CD2"/>
    <w:rsid w:val="00161328"/>
    <w:rsid w:val="00163838"/>
    <w:rsid w:val="00164285"/>
    <w:rsid w:val="0016617E"/>
    <w:rsid w:val="0016652D"/>
    <w:rsid w:val="001667E3"/>
    <w:rsid w:val="00167ECE"/>
    <w:rsid w:val="001709C3"/>
    <w:rsid w:val="00170E47"/>
    <w:rsid w:val="0017106A"/>
    <w:rsid w:val="00173F89"/>
    <w:rsid w:val="00175592"/>
    <w:rsid w:val="001777B6"/>
    <w:rsid w:val="00182146"/>
    <w:rsid w:val="00183B4E"/>
    <w:rsid w:val="0018579E"/>
    <w:rsid w:val="00185B39"/>
    <w:rsid w:val="00186637"/>
    <w:rsid w:val="00186AD3"/>
    <w:rsid w:val="00187CF8"/>
    <w:rsid w:val="001923A5"/>
    <w:rsid w:val="001931D2"/>
    <w:rsid w:val="00193E9C"/>
    <w:rsid w:val="00197449"/>
    <w:rsid w:val="001978F1"/>
    <w:rsid w:val="001A1388"/>
    <w:rsid w:val="001A6DD5"/>
    <w:rsid w:val="001A7E3E"/>
    <w:rsid w:val="001B190E"/>
    <w:rsid w:val="001B26C1"/>
    <w:rsid w:val="001B27CC"/>
    <w:rsid w:val="001B42F3"/>
    <w:rsid w:val="001B69E7"/>
    <w:rsid w:val="001B716C"/>
    <w:rsid w:val="001B7D2B"/>
    <w:rsid w:val="001C04F6"/>
    <w:rsid w:val="001C16EC"/>
    <w:rsid w:val="001C2993"/>
    <w:rsid w:val="001C34B8"/>
    <w:rsid w:val="001C474E"/>
    <w:rsid w:val="001D3911"/>
    <w:rsid w:val="001D438E"/>
    <w:rsid w:val="001D5F7F"/>
    <w:rsid w:val="001D7661"/>
    <w:rsid w:val="001E2A44"/>
    <w:rsid w:val="001E42E5"/>
    <w:rsid w:val="001E4A69"/>
    <w:rsid w:val="001E78A1"/>
    <w:rsid w:val="001F11D2"/>
    <w:rsid w:val="001F133E"/>
    <w:rsid w:val="001F1D0E"/>
    <w:rsid w:val="001F242B"/>
    <w:rsid w:val="001F3976"/>
    <w:rsid w:val="001F40D2"/>
    <w:rsid w:val="001F5AD8"/>
    <w:rsid w:val="001F5E09"/>
    <w:rsid w:val="001F6E08"/>
    <w:rsid w:val="001F71DC"/>
    <w:rsid w:val="00201321"/>
    <w:rsid w:val="0020224E"/>
    <w:rsid w:val="00205C37"/>
    <w:rsid w:val="00206BED"/>
    <w:rsid w:val="002073AD"/>
    <w:rsid w:val="00211083"/>
    <w:rsid w:val="002118E2"/>
    <w:rsid w:val="00212FCA"/>
    <w:rsid w:val="00214AA6"/>
    <w:rsid w:val="002167A6"/>
    <w:rsid w:val="00221A52"/>
    <w:rsid w:val="00222905"/>
    <w:rsid w:val="002243E2"/>
    <w:rsid w:val="0023527A"/>
    <w:rsid w:val="00236555"/>
    <w:rsid w:val="00237F0B"/>
    <w:rsid w:val="00240054"/>
    <w:rsid w:val="002419CC"/>
    <w:rsid w:val="00241DCA"/>
    <w:rsid w:val="00243B3F"/>
    <w:rsid w:val="00243C7F"/>
    <w:rsid w:val="002454E4"/>
    <w:rsid w:val="00246374"/>
    <w:rsid w:val="0025046B"/>
    <w:rsid w:val="00250826"/>
    <w:rsid w:val="00250EBF"/>
    <w:rsid w:val="002512FC"/>
    <w:rsid w:val="00253455"/>
    <w:rsid w:val="002536AE"/>
    <w:rsid w:val="00253852"/>
    <w:rsid w:val="002544ED"/>
    <w:rsid w:val="0025691D"/>
    <w:rsid w:val="00256A9B"/>
    <w:rsid w:val="00257481"/>
    <w:rsid w:val="0025771F"/>
    <w:rsid w:val="00257C41"/>
    <w:rsid w:val="0026071E"/>
    <w:rsid w:val="002614B3"/>
    <w:rsid w:val="00262201"/>
    <w:rsid w:val="00264C25"/>
    <w:rsid w:val="002665B9"/>
    <w:rsid w:val="00271395"/>
    <w:rsid w:val="00271597"/>
    <w:rsid w:val="00271B9B"/>
    <w:rsid w:val="00272703"/>
    <w:rsid w:val="00280565"/>
    <w:rsid w:val="0028169A"/>
    <w:rsid w:val="00282B45"/>
    <w:rsid w:val="00285E57"/>
    <w:rsid w:val="00285F85"/>
    <w:rsid w:val="00287B24"/>
    <w:rsid w:val="00290174"/>
    <w:rsid w:val="00290262"/>
    <w:rsid w:val="0029217A"/>
    <w:rsid w:val="00293FD2"/>
    <w:rsid w:val="00294589"/>
    <w:rsid w:val="00295A00"/>
    <w:rsid w:val="00297125"/>
    <w:rsid w:val="002A5FA7"/>
    <w:rsid w:val="002A6387"/>
    <w:rsid w:val="002A7470"/>
    <w:rsid w:val="002B1460"/>
    <w:rsid w:val="002B14C0"/>
    <w:rsid w:val="002B305E"/>
    <w:rsid w:val="002B3A05"/>
    <w:rsid w:val="002B4C6D"/>
    <w:rsid w:val="002B799D"/>
    <w:rsid w:val="002C0239"/>
    <w:rsid w:val="002C0470"/>
    <w:rsid w:val="002C13C8"/>
    <w:rsid w:val="002C1B63"/>
    <w:rsid w:val="002C2774"/>
    <w:rsid w:val="002C28E0"/>
    <w:rsid w:val="002C339B"/>
    <w:rsid w:val="002C414A"/>
    <w:rsid w:val="002C4516"/>
    <w:rsid w:val="002C5A8D"/>
    <w:rsid w:val="002C69B0"/>
    <w:rsid w:val="002C6F97"/>
    <w:rsid w:val="002D281C"/>
    <w:rsid w:val="002D2DDA"/>
    <w:rsid w:val="002D3336"/>
    <w:rsid w:val="002D33F9"/>
    <w:rsid w:val="002D3FBA"/>
    <w:rsid w:val="002D4D70"/>
    <w:rsid w:val="002D5B19"/>
    <w:rsid w:val="002D77A9"/>
    <w:rsid w:val="002E0155"/>
    <w:rsid w:val="002E453D"/>
    <w:rsid w:val="002E4800"/>
    <w:rsid w:val="002E5F78"/>
    <w:rsid w:val="002E68D9"/>
    <w:rsid w:val="002E69E8"/>
    <w:rsid w:val="002E753F"/>
    <w:rsid w:val="002F027D"/>
    <w:rsid w:val="002F1699"/>
    <w:rsid w:val="002F237C"/>
    <w:rsid w:val="002F2C72"/>
    <w:rsid w:val="002F428E"/>
    <w:rsid w:val="002F4E43"/>
    <w:rsid w:val="002F5366"/>
    <w:rsid w:val="002F5EB2"/>
    <w:rsid w:val="002F6816"/>
    <w:rsid w:val="002F6A29"/>
    <w:rsid w:val="002F7C07"/>
    <w:rsid w:val="002F7E87"/>
    <w:rsid w:val="0030075E"/>
    <w:rsid w:val="00300F01"/>
    <w:rsid w:val="0030242D"/>
    <w:rsid w:val="00302638"/>
    <w:rsid w:val="003044EE"/>
    <w:rsid w:val="0030483C"/>
    <w:rsid w:val="00305104"/>
    <w:rsid w:val="0030770D"/>
    <w:rsid w:val="003129DF"/>
    <w:rsid w:val="00314CDB"/>
    <w:rsid w:val="00314E85"/>
    <w:rsid w:val="00315C96"/>
    <w:rsid w:val="00316A56"/>
    <w:rsid w:val="00317E63"/>
    <w:rsid w:val="00317EC0"/>
    <w:rsid w:val="00320EDD"/>
    <w:rsid w:val="00323651"/>
    <w:rsid w:val="00325152"/>
    <w:rsid w:val="003256D0"/>
    <w:rsid w:val="00325CDD"/>
    <w:rsid w:val="003271A6"/>
    <w:rsid w:val="00332C65"/>
    <w:rsid w:val="00335E36"/>
    <w:rsid w:val="00336E94"/>
    <w:rsid w:val="00337313"/>
    <w:rsid w:val="00337BCD"/>
    <w:rsid w:val="00337FDF"/>
    <w:rsid w:val="0034130A"/>
    <w:rsid w:val="0034504A"/>
    <w:rsid w:val="00345B01"/>
    <w:rsid w:val="00345D38"/>
    <w:rsid w:val="00346198"/>
    <w:rsid w:val="00346494"/>
    <w:rsid w:val="0034664B"/>
    <w:rsid w:val="00350594"/>
    <w:rsid w:val="00350D7D"/>
    <w:rsid w:val="00351F5E"/>
    <w:rsid w:val="0035680C"/>
    <w:rsid w:val="003603DF"/>
    <w:rsid w:val="00360560"/>
    <w:rsid w:val="00361061"/>
    <w:rsid w:val="00361770"/>
    <w:rsid w:val="0036566A"/>
    <w:rsid w:val="00365DC4"/>
    <w:rsid w:val="00370311"/>
    <w:rsid w:val="00374506"/>
    <w:rsid w:val="0038080E"/>
    <w:rsid w:val="003808AA"/>
    <w:rsid w:val="00380CC0"/>
    <w:rsid w:val="00380F75"/>
    <w:rsid w:val="00381023"/>
    <w:rsid w:val="003838EE"/>
    <w:rsid w:val="00383BC8"/>
    <w:rsid w:val="00383C5F"/>
    <w:rsid w:val="00384C18"/>
    <w:rsid w:val="00385119"/>
    <w:rsid w:val="0038542E"/>
    <w:rsid w:val="00387FDD"/>
    <w:rsid w:val="00390762"/>
    <w:rsid w:val="00391F14"/>
    <w:rsid w:val="00391F47"/>
    <w:rsid w:val="00394F88"/>
    <w:rsid w:val="00396B65"/>
    <w:rsid w:val="003A0A4E"/>
    <w:rsid w:val="003A127B"/>
    <w:rsid w:val="003A1FE9"/>
    <w:rsid w:val="003A2C77"/>
    <w:rsid w:val="003A4170"/>
    <w:rsid w:val="003A472A"/>
    <w:rsid w:val="003A4AC7"/>
    <w:rsid w:val="003A5233"/>
    <w:rsid w:val="003A597E"/>
    <w:rsid w:val="003A6F6F"/>
    <w:rsid w:val="003A785E"/>
    <w:rsid w:val="003B0561"/>
    <w:rsid w:val="003B0AD7"/>
    <w:rsid w:val="003B19E1"/>
    <w:rsid w:val="003B3ABA"/>
    <w:rsid w:val="003B4387"/>
    <w:rsid w:val="003B4A55"/>
    <w:rsid w:val="003B4D8B"/>
    <w:rsid w:val="003B5376"/>
    <w:rsid w:val="003B7B42"/>
    <w:rsid w:val="003C1D30"/>
    <w:rsid w:val="003C3C64"/>
    <w:rsid w:val="003C5917"/>
    <w:rsid w:val="003C5A11"/>
    <w:rsid w:val="003C607E"/>
    <w:rsid w:val="003C783E"/>
    <w:rsid w:val="003C7FE1"/>
    <w:rsid w:val="003D2DB0"/>
    <w:rsid w:val="003D33C9"/>
    <w:rsid w:val="003D456C"/>
    <w:rsid w:val="003E2E25"/>
    <w:rsid w:val="003E4373"/>
    <w:rsid w:val="003E4892"/>
    <w:rsid w:val="003E5CCD"/>
    <w:rsid w:val="003F17E2"/>
    <w:rsid w:val="003F2A6A"/>
    <w:rsid w:val="003F3473"/>
    <w:rsid w:val="003F60F8"/>
    <w:rsid w:val="003F6F99"/>
    <w:rsid w:val="003F7E39"/>
    <w:rsid w:val="004059D0"/>
    <w:rsid w:val="004065B3"/>
    <w:rsid w:val="004120B8"/>
    <w:rsid w:val="004149EF"/>
    <w:rsid w:val="00415FC0"/>
    <w:rsid w:val="0041624E"/>
    <w:rsid w:val="00420CF7"/>
    <w:rsid w:val="004218F6"/>
    <w:rsid w:val="00422321"/>
    <w:rsid w:val="004229FE"/>
    <w:rsid w:val="00422DE7"/>
    <w:rsid w:val="004237E9"/>
    <w:rsid w:val="00423A0E"/>
    <w:rsid w:val="0042435C"/>
    <w:rsid w:val="004264C3"/>
    <w:rsid w:val="00427121"/>
    <w:rsid w:val="00430072"/>
    <w:rsid w:val="0043143F"/>
    <w:rsid w:val="0043239B"/>
    <w:rsid w:val="00435751"/>
    <w:rsid w:val="00435ABF"/>
    <w:rsid w:val="004372C4"/>
    <w:rsid w:val="0044115B"/>
    <w:rsid w:val="0044249A"/>
    <w:rsid w:val="00445E58"/>
    <w:rsid w:val="00446743"/>
    <w:rsid w:val="00446A25"/>
    <w:rsid w:val="0044712B"/>
    <w:rsid w:val="004501A4"/>
    <w:rsid w:val="004505AE"/>
    <w:rsid w:val="00450FB0"/>
    <w:rsid w:val="00451D33"/>
    <w:rsid w:val="00451D79"/>
    <w:rsid w:val="00452D42"/>
    <w:rsid w:val="004555DF"/>
    <w:rsid w:val="00455D67"/>
    <w:rsid w:val="00456845"/>
    <w:rsid w:val="004574BD"/>
    <w:rsid w:val="00457647"/>
    <w:rsid w:val="00457B87"/>
    <w:rsid w:val="00457FDE"/>
    <w:rsid w:val="00460150"/>
    <w:rsid w:val="00461C84"/>
    <w:rsid w:val="0046348D"/>
    <w:rsid w:val="00465139"/>
    <w:rsid w:val="004658DD"/>
    <w:rsid w:val="00465CDE"/>
    <w:rsid w:val="00465D55"/>
    <w:rsid w:val="00466547"/>
    <w:rsid w:val="00470231"/>
    <w:rsid w:val="00472576"/>
    <w:rsid w:val="00474159"/>
    <w:rsid w:val="004766DC"/>
    <w:rsid w:val="00476AFE"/>
    <w:rsid w:val="00477124"/>
    <w:rsid w:val="00480CC3"/>
    <w:rsid w:val="00482A36"/>
    <w:rsid w:val="00483F45"/>
    <w:rsid w:val="0048560C"/>
    <w:rsid w:val="00490287"/>
    <w:rsid w:val="00492333"/>
    <w:rsid w:val="0049279E"/>
    <w:rsid w:val="00494A7A"/>
    <w:rsid w:val="00496C17"/>
    <w:rsid w:val="0049768F"/>
    <w:rsid w:val="004A0964"/>
    <w:rsid w:val="004A0A6D"/>
    <w:rsid w:val="004A20E7"/>
    <w:rsid w:val="004A25EF"/>
    <w:rsid w:val="004A2C8B"/>
    <w:rsid w:val="004A333F"/>
    <w:rsid w:val="004A3DA1"/>
    <w:rsid w:val="004A4640"/>
    <w:rsid w:val="004A4853"/>
    <w:rsid w:val="004A4D85"/>
    <w:rsid w:val="004A50B7"/>
    <w:rsid w:val="004A5D9A"/>
    <w:rsid w:val="004A65FB"/>
    <w:rsid w:val="004A6EF9"/>
    <w:rsid w:val="004B1C9C"/>
    <w:rsid w:val="004B23AD"/>
    <w:rsid w:val="004B3079"/>
    <w:rsid w:val="004B35E0"/>
    <w:rsid w:val="004B3662"/>
    <w:rsid w:val="004B46A2"/>
    <w:rsid w:val="004B4919"/>
    <w:rsid w:val="004B56E0"/>
    <w:rsid w:val="004B5D8C"/>
    <w:rsid w:val="004B631B"/>
    <w:rsid w:val="004C0A0F"/>
    <w:rsid w:val="004C0C9C"/>
    <w:rsid w:val="004C1442"/>
    <w:rsid w:val="004C6605"/>
    <w:rsid w:val="004C66E0"/>
    <w:rsid w:val="004D1B22"/>
    <w:rsid w:val="004D268F"/>
    <w:rsid w:val="004D37A9"/>
    <w:rsid w:val="004D687D"/>
    <w:rsid w:val="004D69E1"/>
    <w:rsid w:val="004D6BCB"/>
    <w:rsid w:val="004D796F"/>
    <w:rsid w:val="004E198A"/>
    <w:rsid w:val="004E26DE"/>
    <w:rsid w:val="004E2D50"/>
    <w:rsid w:val="004E345D"/>
    <w:rsid w:val="004E54E8"/>
    <w:rsid w:val="004E5739"/>
    <w:rsid w:val="004E70AC"/>
    <w:rsid w:val="004F0077"/>
    <w:rsid w:val="004F0D8A"/>
    <w:rsid w:val="004F2341"/>
    <w:rsid w:val="004F42DB"/>
    <w:rsid w:val="004F5D0B"/>
    <w:rsid w:val="004F6C84"/>
    <w:rsid w:val="00501AD0"/>
    <w:rsid w:val="005023DC"/>
    <w:rsid w:val="00503800"/>
    <w:rsid w:val="00504BA0"/>
    <w:rsid w:val="005072F3"/>
    <w:rsid w:val="00507917"/>
    <w:rsid w:val="00510ACE"/>
    <w:rsid w:val="00513D84"/>
    <w:rsid w:val="005155E6"/>
    <w:rsid w:val="00516D80"/>
    <w:rsid w:val="005179CC"/>
    <w:rsid w:val="005212F2"/>
    <w:rsid w:val="00522A6F"/>
    <w:rsid w:val="00524CFE"/>
    <w:rsid w:val="00525131"/>
    <w:rsid w:val="00525341"/>
    <w:rsid w:val="00525E34"/>
    <w:rsid w:val="005358FE"/>
    <w:rsid w:val="005412C9"/>
    <w:rsid w:val="00541B8B"/>
    <w:rsid w:val="00541E4D"/>
    <w:rsid w:val="00543BB4"/>
    <w:rsid w:val="00544C90"/>
    <w:rsid w:val="0054548F"/>
    <w:rsid w:val="00546685"/>
    <w:rsid w:val="00550077"/>
    <w:rsid w:val="005521EF"/>
    <w:rsid w:val="005522E2"/>
    <w:rsid w:val="00553E75"/>
    <w:rsid w:val="005544E3"/>
    <w:rsid w:val="00555B0F"/>
    <w:rsid w:val="005606EA"/>
    <w:rsid w:val="00561391"/>
    <w:rsid w:val="00565CBE"/>
    <w:rsid w:val="00567352"/>
    <w:rsid w:val="005677EE"/>
    <w:rsid w:val="0056787A"/>
    <w:rsid w:val="00567A44"/>
    <w:rsid w:val="00570010"/>
    <w:rsid w:val="00571993"/>
    <w:rsid w:val="00572D32"/>
    <w:rsid w:val="00576C7E"/>
    <w:rsid w:val="005834C6"/>
    <w:rsid w:val="00583786"/>
    <w:rsid w:val="00584E0F"/>
    <w:rsid w:val="0058677D"/>
    <w:rsid w:val="0058794B"/>
    <w:rsid w:val="00592D71"/>
    <w:rsid w:val="005949EA"/>
    <w:rsid w:val="00595183"/>
    <w:rsid w:val="00597548"/>
    <w:rsid w:val="00597B05"/>
    <w:rsid w:val="005A01AE"/>
    <w:rsid w:val="005A519B"/>
    <w:rsid w:val="005A6301"/>
    <w:rsid w:val="005A6304"/>
    <w:rsid w:val="005A7605"/>
    <w:rsid w:val="005B0A6D"/>
    <w:rsid w:val="005B1A7B"/>
    <w:rsid w:val="005B2F5B"/>
    <w:rsid w:val="005B302F"/>
    <w:rsid w:val="005B6777"/>
    <w:rsid w:val="005B689F"/>
    <w:rsid w:val="005B777A"/>
    <w:rsid w:val="005C050A"/>
    <w:rsid w:val="005C0B5D"/>
    <w:rsid w:val="005C2E1A"/>
    <w:rsid w:val="005C32CD"/>
    <w:rsid w:val="005C4E80"/>
    <w:rsid w:val="005C53E0"/>
    <w:rsid w:val="005C5FD0"/>
    <w:rsid w:val="005C6CD0"/>
    <w:rsid w:val="005C6E9B"/>
    <w:rsid w:val="005D02C9"/>
    <w:rsid w:val="005D0BC0"/>
    <w:rsid w:val="005D3802"/>
    <w:rsid w:val="005D3A7E"/>
    <w:rsid w:val="005D453E"/>
    <w:rsid w:val="005D5835"/>
    <w:rsid w:val="005D5F22"/>
    <w:rsid w:val="005D75F0"/>
    <w:rsid w:val="005D76EF"/>
    <w:rsid w:val="005E10ED"/>
    <w:rsid w:val="005E1825"/>
    <w:rsid w:val="005E19CD"/>
    <w:rsid w:val="005E1AE2"/>
    <w:rsid w:val="005E1AFB"/>
    <w:rsid w:val="005E1BBF"/>
    <w:rsid w:val="005E28C5"/>
    <w:rsid w:val="005E2CD3"/>
    <w:rsid w:val="005E2F0A"/>
    <w:rsid w:val="005E4AEB"/>
    <w:rsid w:val="005E4DAF"/>
    <w:rsid w:val="005E4EBB"/>
    <w:rsid w:val="005E6DD1"/>
    <w:rsid w:val="005F3396"/>
    <w:rsid w:val="005F3912"/>
    <w:rsid w:val="005F5E5D"/>
    <w:rsid w:val="006034A3"/>
    <w:rsid w:val="00604E6A"/>
    <w:rsid w:val="006052E4"/>
    <w:rsid w:val="00606960"/>
    <w:rsid w:val="00610123"/>
    <w:rsid w:val="00610AA0"/>
    <w:rsid w:val="00610E2A"/>
    <w:rsid w:val="00611BAF"/>
    <w:rsid w:val="00611F84"/>
    <w:rsid w:val="006124EF"/>
    <w:rsid w:val="00612A07"/>
    <w:rsid w:val="00616D70"/>
    <w:rsid w:val="006210A9"/>
    <w:rsid w:val="00621E52"/>
    <w:rsid w:val="00622A9B"/>
    <w:rsid w:val="006245E7"/>
    <w:rsid w:val="00625C05"/>
    <w:rsid w:val="00626F60"/>
    <w:rsid w:val="00630A7E"/>
    <w:rsid w:val="00630C41"/>
    <w:rsid w:val="00632617"/>
    <w:rsid w:val="00632CD8"/>
    <w:rsid w:val="00633330"/>
    <w:rsid w:val="00633ED4"/>
    <w:rsid w:val="006360B7"/>
    <w:rsid w:val="00637329"/>
    <w:rsid w:val="006373C3"/>
    <w:rsid w:val="00641EC6"/>
    <w:rsid w:val="006423F1"/>
    <w:rsid w:val="00642BB9"/>
    <w:rsid w:val="00643C74"/>
    <w:rsid w:val="00643F9F"/>
    <w:rsid w:val="006456C4"/>
    <w:rsid w:val="006465EC"/>
    <w:rsid w:val="00652592"/>
    <w:rsid w:val="00653EE6"/>
    <w:rsid w:val="00654383"/>
    <w:rsid w:val="006548C2"/>
    <w:rsid w:val="0065529B"/>
    <w:rsid w:val="00656138"/>
    <w:rsid w:val="0066074A"/>
    <w:rsid w:val="006664A1"/>
    <w:rsid w:val="00666977"/>
    <w:rsid w:val="00672FE8"/>
    <w:rsid w:val="00680923"/>
    <w:rsid w:val="00681534"/>
    <w:rsid w:val="0068254D"/>
    <w:rsid w:val="00683749"/>
    <w:rsid w:val="00683A2C"/>
    <w:rsid w:val="00683E67"/>
    <w:rsid w:val="00684650"/>
    <w:rsid w:val="00685737"/>
    <w:rsid w:val="00690040"/>
    <w:rsid w:val="006901B2"/>
    <w:rsid w:val="006966EE"/>
    <w:rsid w:val="00696B70"/>
    <w:rsid w:val="0069726F"/>
    <w:rsid w:val="006A0630"/>
    <w:rsid w:val="006A1E6E"/>
    <w:rsid w:val="006A3D3A"/>
    <w:rsid w:val="006A4831"/>
    <w:rsid w:val="006A4E23"/>
    <w:rsid w:val="006A6341"/>
    <w:rsid w:val="006B0E3D"/>
    <w:rsid w:val="006B3619"/>
    <w:rsid w:val="006B375E"/>
    <w:rsid w:val="006B39CA"/>
    <w:rsid w:val="006B41CC"/>
    <w:rsid w:val="006B4724"/>
    <w:rsid w:val="006C0D88"/>
    <w:rsid w:val="006C1739"/>
    <w:rsid w:val="006C3B63"/>
    <w:rsid w:val="006C3CCA"/>
    <w:rsid w:val="006C4DEE"/>
    <w:rsid w:val="006C5491"/>
    <w:rsid w:val="006C6E74"/>
    <w:rsid w:val="006C7EDF"/>
    <w:rsid w:val="006D1A78"/>
    <w:rsid w:val="006D3C3D"/>
    <w:rsid w:val="006D51DF"/>
    <w:rsid w:val="006E11CB"/>
    <w:rsid w:val="006E3E8C"/>
    <w:rsid w:val="006E4688"/>
    <w:rsid w:val="006E6C3E"/>
    <w:rsid w:val="006E7163"/>
    <w:rsid w:val="006E7A9A"/>
    <w:rsid w:val="006F020B"/>
    <w:rsid w:val="006F04A0"/>
    <w:rsid w:val="006F0CA8"/>
    <w:rsid w:val="006F2339"/>
    <w:rsid w:val="006F2E16"/>
    <w:rsid w:val="006F3134"/>
    <w:rsid w:val="006F3DFF"/>
    <w:rsid w:val="006F4182"/>
    <w:rsid w:val="006F6315"/>
    <w:rsid w:val="006F7D74"/>
    <w:rsid w:val="007008CF"/>
    <w:rsid w:val="00700E58"/>
    <w:rsid w:val="00705986"/>
    <w:rsid w:val="00705D3A"/>
    <w:rsid w:val="007063C4"/>
    <w:rsid w:val="0070663B"/>
    <w:rsid w:val="0071145B"/>
    <w:rsid w:val="00711D90"/>
    <w:rsid w:val="00711E56"/>
    <w:rsid w:val="0071213B"/>
    <w:rsid w:val="007124E8"/>
    <w:rsid w:val="00712E52"/>
    <w:rsid w:val="00714219"/>
    <w:rsid w:val="00715270"/>
    <w:rsid w:val="00715C14"/>
    <w:rsid w:val="007164D7"/>
    <w:rsid w:val="00716B8A"/>
    <w:rsid w:val="00717A33"/>
    <w:rsid w:val="007201C6"/>
    <w:rsid w:val="0072052A"/>
    <w:rsid w:val="007217D6"/>
    <w:rsid w:val="00723674"/>
    <w:rsid w:val="00723E93"/>
    <w:rsid w:val="007254C6"/>
    <w:rsid w:val="0072614D"/>
    <w:rsid w:val="007279D7"/>
    <w:rsid w:val="00727A71"/>
    <w:rsid w:val="00730ED3"/>
    <w:rsid w:val="007317F5"/>
    <w:rsid w:val="00731E2A"/>
    <w:rsid w:val="00734D21"/>
    <w:rsid w:val="007356F3"/>
    <w:rsid w:val="0073729A"/>
    <w:rsid w:val="007375A7"/>
    <w:rsid w:val="007416BF"/>
    <w:rsid w:val="00741FD3"/>
    <w:rsid w:val="00742A9E"/>
    <w:rsid w:val="00743566"/>
    <w:rsid w:val="00745121"/>
    <w:rsid w:val="00745206"/>
    <w:rsid w:val="00745B1F"/>
    <w:rsid w:val="0074653A"/>
    <w:rsid w:val="00746EBE"/>
    <w:rsid w:val="0074718C"/>
    <w:rsid w:val="0075220D"/>
    <w:rsid w:val="007544C7"/>
    <w:rsid w:val="00754838"/>
    <w:rsid w:val="00754E2A"/>
    <w:rsid w:val="00755EA9"/>
    <w:rsid w:val="00756269"/>
    <w:rsid w:val="007564A2"/>
    <w:rsid w:val="00756D94"/>
    <w:rsid w:val="0075775A"/>
    <w:rsid w:val="007608AE"/>
    <w:rsid w:val="007610D1"/>
    <w:rsid w:val="007610D3"/>
    <w:rsid w:val="00761ADA"/>
    <w:rsid w:val="00761F96"/>
    <w:rsid w:val="007627B1"/>
    <w:rsid w:val="00767ECC"/>
    <w:rsid w:val="00771224"/>
    <w:rsid w:val="0077425E"/>
    <w:rsid w:val="0077468F"/>
    <w:rsid w:val="007804C2"/>
    <w:rsid w:val="00782525"/>
    <w:rsid w:val="00782DCC"/>
    <w:rsid w:val="007830EC"/>
    <w:rsid w:val="007837B3"/>
    <w:rsid w:val="007844A4"/>
    <w:rsid w:val="00787747"/>
    <w:rsid w:val="00792E75"/>
    <w:rsid w:val="007951A1"/>
    <w:rsid w:val="00795BFC"/>
    <w:rsid w:val="007A1221"/>
    <w:rsid w:val="007A1264"/>
    <w:rsid w:val="007A2093"/>
    <w:rsid w:val="007A6823"/>
    <w:rsid w:val="007A720A"/>
    <w:rsid w:val="007B1885"/>
    <w:rsid w:val="007B35EE"/>
    <w:rsid w:val="007B45A5"/>
    <w:rsid w:val="007B4750"/>
    <w:rsid w:val="007B7408"/>
    <w:rsid w:val="007C1D72"/>
    <w:rsid w:val="007C34EC"/>
    <w:rsid w:val="007D1D84"/>
    <w:rsid w:val="007D2109"/>
    <w:rsid w:val="007D2345"/>
    <w:rsid w:val="007D2F61"/>
    <w:rsid w:val="007D436B"/>
    <w:rsid w:val="007D6313"/>
    <w:rsid w:val="007D74A9"/>
    <w:rsid w:val="007E1081"/>
    <w:rsid w:val="007E12AA"/>
    <w:rsid w:val="007E298D"/>
    <w:rsid w:val="007E2DAD"/>
    <w:rsid w:val="007E4B28"/>
    <w:rsid w:val="007E536C"/>
    <w:rsid w:val="007E5482"/>
    <w:rsid w:val="007F0CD0"/>
    <w:rsid w:val="007F72AF"/>
    <w:rsid w:val="008011F4"/>
    <w:rsid w:val="008017CF"/>
    <w:rsid w:val="0080212D"/>
    <w:rsid w:val="00802A15"/>
    <w:rsid w:val="00802F0A"/>
    <w:rsid w:val="00802F57"/>
    <w:rsid w:val="00802FE1"/>
    <w:rsid w:val="0080300E"/>
    <w:rsid w:val="00803D23"/>
    <w:rsid w:val="00804412"/>
    <w:rsid w:val="00804BAC"/>
    <w:rsid w:val="00804FBB"/>
    <w:rsid w:val="00805750"/>
    <w:rsid w:val="00810366"/>
    <w:rsid w:val="008127C2"/>
    <w:rsid w:val="00815882"/>
    <w:rsid w:val="00816239"/>
    <w:rsid w:val="00821D92"/>
    <w:rsid w:val="0082383D"/>
    <w:rsid w:val="00823D5C"/>
    <w:rsid w:val="00826048"/>
    <w:rsid w:val="00826D9A"/>
    <w:rsid w:val="0083115A"/>
    <w:rsid w:val="00832199"/>
    <w:rsid w:val="008353C5"/>
    <w:rsid w:val="00836966"/>
    <w:rsid w:val="008402E9"/>
    <w:rsid w:val="00840528"/>
    <w:rsid w:val="008418FD"/>
    <w:rsid w:val="008419C4"/>
    <w:rsid w:val="00843199"/>
    <w:rsid w:val="00844731"/>
    <w:rsid w:val="00844829"/>
    <w:rsid w:val="00844C1E"/>
    <w:rsid w:val="00844F70"/>
    <w:rsid w:val="008453EB"/>
    <w:rsid w:val="00845EA6"/>
    <w:rsid w:val="008461B3"/>
    <w:rsid w:val="00847155"/>
    <w:rsid w:val="00850BB4"/>
    <w:rsid w:val="00851303"/>
    <w:rsid w:val="00853E14"/>
    <w:rsid w:val="00855086"/>
    <w:rsid w:val="00856E7E"/>
    <w:rsid w:val="00860615"/>
    <w:rsid w:val="0086068C"/>
    <w:rsid w:val="00864AA4"/>
    <w:rsid w:val="0086522F"/>
    <w:rsid w:val="0086640A"/>
    <w:rsid w:val="00867C36"/>
    <w:rsid w:val="00871D75"/>
    <w:rsid w:val="00872F2C"/>
    <w:rsid w:val="008736B1"/>
    <w:rsid w:val="00874EC1"/>
    <w:rsid w:val="00874F3E"/>
    <w:rsid w:val="0087629A"/>
    <w:rsid w:val="008779B9"/>
    <w:rsid w:val="00880CA9"/>
    <w:rsid w:val="00880EE7"/>
    <w:rsid w:val="00881657"/>
    <w:rsid w:val="00881D25"/>
    <w:rsid w:val="00881ECB"/>
    <w:rsid w:val="008827A6"/>
    <w:rsid w:val="00882D94"/>
    <w:rsid w:val="00883288"/>
    <w:rsid w:val="0088363D"/>
    <w:rsid w:val="00883D74"/>
    <w:rsid w:val="00884744"/>
    <w:rsid w:val="008957B8"/>
    <w:rsid w:val="008970FA"/>
    <w:rsid w:val="0089711E"/>
    <w:rsid w:val="008977D6"/>
    <w:rsid w:val="008A4CAD"/>
    <w:rsid w:val="008A65AB"/>
    <w:rsid w:val="008A7B18"/>
    <w:rsid w:val="008B00A7"/>
    <w:rsid w:val="008B00D9"/>
    <w:rsid w:val="008B044A"/>
    <w:rsid w:val="008B3F9F"/>
    <w:rsid w:val="008B625A"/>
    <w:rsid w:val="008B6B50"/>
    <w:rsid w:val="008C1CF6"/>
    <w:rsid w:val="008C2AA2"/>
    <w:rsid w:val="008C3D25"/>
    <w:rsid w:val="008C3D4B"/>
    <w:rsid w:val="008C4D3F"/>
    <w:rsid w:val="008C4DEB"/>
    <w:rsid w:val="008C51C9"/>
    <w:rsid w:val="008C5B49"/>
    <w:rsid w:val="008C795E"/>
    <w:rsid w:val="008D031B"/>
    <w:rsid w:val="008D1063"/>
    <w:rsid w:val="008D1805"/>
    <w:rsid w:val="008D5362"/>
    <w:rsid w:val="008D7DCC"/>
    <w:rsid w:val="008E2228"/>
    <w:rsid w:val="008E50E8"/>
    <w:rsid w:val="008E6446"/>
    <w:rsid w:val="008F08EA"/>
    <w:rsid w:val="008F2283"/>
    <w:rsid w:val="008F229B"/>
    <w:rsid w:val="009002DC"/>
    <w:rsid w:val="009019BB"/>
    <w:rsid w:val="00902C29"/>
    <w:rsid w:val="00904391"/>
    <w:rsid w:val="00906D49"/>
    <w:rsid w:val="00907318"/>
    <w:rsid w:val="009074DB"/>
    <w:rsid w:val="00907745"/>
    <w:rsid w:val="0090790A"/>
    <w:rsid w:val="00907A5A"/>
    <w:rsid w:val="009105FC"/>
    <w:rsid w:val="00910DA9"/>
    <w:rsid w:val="00912010"/>
    <w:rsid w:val="0091358B"/>
    <w:rsid w:val="00913AD8"/>
    <w:rsid w:val="009161F9"/>
    <w:rsid w:val="00922C58"/>
    <w:rsid w:val="00926428"/>
    <w:rsid w:val="00927E55"/>
    <w:rsid w:val="0093119F"/>
    <w:rsid w:val="00931C11"/>
    <w:rsid w:val="00931D9A"/>
    <w:rsid w:val="00933B56"/>
    <w:rsid w:val="00935626"/>
    <w:rsid w:val="00935797"/>
    <w:rsid w:val="00935D0E"/>
    <w:rsid w:val="009378A7"/>
    <w:rsid w:val="0094046C"/>
    <w:rsid w:val="00941FE8"/>
    <w:rsid w:val="00942B99"/>
    <w:rsid w:val="00942ECE"/>
    <w:rsid w:val="00943F71"/>
    <w:rsid w:val="00945769"/>
    <w:rsid w:val="00946B3A"/>
    <w:rsid w:val="00947BD6"/>
    <w:rsid w:val="009519A3"/>
    <w:rsid w:val="0095322A"/>
    <w:rsid w:val="0095376C"/>
    <w:rsid w:val="00954BCC"/>
    <w:rsid w:val="00955D37"/>
    <w:rsid w:val="00955ED9"/>
    <w:rsid w:val="009563A1"/>
    <w:rsid w:val="009579F9"/>
    <w:rsid w:val="00961B1E"/>
    <w:rsid w:val="009635F0"/>
    <w:rsid w:val="00965E51"/>
    <w:rsid w:val="009665FB"/>
    <w:rsid w:val="0096664D"/>
    <w:rsid w:val="00967610"/>
    <w:rsid w:val="009713AF"/>
    <w:rsid w:val="00971A30"/>
    <w:rsid w:val="00973E31"/>
    <w:rsid w:val="009756ED"/>
    <w:rsid w:val="00976E6F"/>
    <w:rsid w:val="009775B8"/>
    <w:rsid w:val="00981585"/>
    <w:rsid w:val="0098344A"/>
    <w:rsid w:val="009834C0"/>
    <w:rsid w:val="00983CE7"/>
    <w:rsid w:val="00986233"/>
    <w:rsid w:val="0098625F"/>
    <w:rsid w:val="0099431F"/>
    <w:rsid w:val="00995843"/>
    <w:rsid w:val="00995ADF"/>
    <w:rsid w:val="009A1287"/>
    <w:rsid w:val="009A2270"/>
    <w:rsid w:val="009A2586"/>
    <w:rsid w:val="009A2CCA"/>
    <w:rsid w:val="009A56C2"/>
    <w:rsid w:val="009A5A80"/>
    <w:rsid w:val="009A6120"/>
    <w:rsid w:val="009A62F3"/>
    <w:rsid w:val="009A7E11"/>
    <w:rsid w:val="009B1C5E"/>
    <w:rsid w:val="009B2A02"/>
    <w:rsid w:val="009B4A11"/>
    <w:rsid w:val="009B523D"/>
    <w:rsid w:val="009B6561"/>
    <w:rsid w:val="009C1048"/>
    <w:rsid w:val="009C1B05"/>
    <w:rsid w:val="009C5FD9"/>
    <w:rsid w:val="009C689C"/>
    <w:rsid w:val="009C7039"/>
    <w:rsid w:val="009C70AF"/>
    <w:rsid w:val="009C795E"/>
    <w:rsid w:val="009D030A"/>
    <w:rsid w:val="009D0FD8"/>
    <w:rsid w:val="009D1227"/>
    <w:rsid w:val="009D1912"/>
    <w:rsid w:val="009D4218"/>
    <w:rsid w:val="009D62AA"/>
    <w:rsid w:val="009E040A"/>
    <w:rsid w:val="009E0CD5"/>
    <w:rsid w:val="009E2025"/>
    <w:rsid w:val="009E235B"/>
    <w:rsid w:val="009E3551"/>
    <w:rsid w:val="009E35DC"/>
    <w:rsid w:val="009E4344"/>
    <w:rsid w:val="009E53D0"/>
    <w:rsid w:val="009E55EC"/>
    <w:rsid w:val="009E6F31"/>
    <w:rsid w:val="009E7A4A"/>
    <w:rsid w:val="009F0F64"/>
    <w:rsid w:val="009F2518"/>
    <w:rsid w:val="009F4360"/>
    <w:rsid w:val="009F455D"/>
    <w:rsid w:val="009F4D08"/>
    <w:rsid w:val="009F6813"/>
    <w:rsid w:val="009F6A8B"/>
    <w:rsid w:val="00A00785"/>
    <w:rsid w:val="00A00B6B"/>
    <w:rsid w:val="00A00EC4"/>
    <w:rsid w:val="00A013F2"/>
    <w:rsid w:val="00A066EB"/>
    <w:rsid w:val="00A10FB4"/>
    <w:rsid w:val="00A15675"/>
    <w:rsid w:val="00A20476"/>
    <w:rsid w:val="00A204A9"/>
    <w:rsid w:val="00A21A6E"/>
    <w:rsid w:val="00A22015"/>
    <w:rsid w:val="00A226C0"/>
    <w:rsid w:val="00A251A0"/>
    <w:rsid w:val="00A27F62"/>
    <w:rsid w:val="00A3097C"/>
    <w:rsid w:val="00A33695"/>
    <w:rsid w:val="00A36BC3"/>
    <w:rsid w:val="00A40EC0"/>
    <w:rsid w:val="00A42C3B"/>
    <w:rsid w:val="00A42E8B"/>
    <w:rsid w:val="00A437D8"/>
    <w:rsid w:val="00A43986"/>
    <w:rsid w:val="00A45129"/>
    <w:rsid w:val="00A45889"/>
    <w:rsid w:val="00A45E3F"/>
    <w:rsid w:val="00A46051"/>
    <w:rsid w:val="00A52261"/>
    <w:rsid w:val="00A5251F"/>
    <w:rsid w:val="00A54616"/>
    <w:rsid w:val="00A54CFF"/>
    <w:rsid w:val="00A55B60"/>
    <w:rsid w:val="00A563B6"/>
    <w:rsid w:val="00A56DD2"/>
    <w:rsid w:val="00A57781"/>
    <w:rsid w:val="00A6368C"/>
    <w:rsid w:val="00A63710"/>
    <w:rsid w:val="00A63EB3"/>
    <w:rsid w:val="00A67641"/>
    <w:rsid w:val="00A722D8"/>
    <w:rsid w:val="00A7259B"/>
    <w:rsid w:val="00A73107"/>
    <w:rsid w:val="00A751C5"/>
    <w:rsid w:val="00A75946"/>
    <w:rsid w:val="00A7623C"/>
    <w:rsid w:val="00A7696B"/>
    <w:rsid w:val="00A76E79"/>
    <w:rsid w:val="00A7726A"/>
    <w:rsid w:val="00A805BF"/>
    <w:rsid w:val="00A8297C"/>
    <w:rsid w:val="00A8673A"/>
    <w:rsid w:val="00A90877"/>
    <w:rsid w:val="00A90A9B"/>
    <w:rsid w:val="00A910C0"/>
    <w:rsid w:val="00A918D0"/>
    <w:rsid w:val="00A91A0D"/>
    <w:rsid w:val="00A97279"/>
    <w:rsid w:val="00A97752"/>
    <w:rsid w:val="00AA0373"/>
    <w:rsid w:val="00AA3AFD"/>
    <w:rsid w:val="00AA3E17"/>
    <w:rsid w:val="00AA460C"/>
    <w:rsid w:val="00AA5C92"/>
    <w:rsid w:val="00AA633D"/>
    <w:rsid w:val="00AB337E"/>
    <w:rsid w:val="00AB406E"/>
    <w:rsid w:val="00AB52BD"/>
    <w:rsid w:val="00AB54E2"/>
    <w:rsid w:val="00AB5960"/>
    <w:rsid w:val="00AB6194"/>
    <w:rsid w:val="00AB722C"/>
    <w:rsid w:val="00AC3183"/>
    <w:rsid w:val="00AC407D"/>
    <w:rsid w:val="00AC4E83"/>
    <w:rsid w:val="00AC6BBD"/>
    <w:rsid w:val="00AD0059"/>
    <w:rsid w:val="00AD0EFA"/>
    <w:rsid w:val="00AD2218"/>
    <w:rsid w:val="00AD2ACF"/>
    <w:rsid w:val="00AD3FBE"/>
    <w:rsid w:val="00AD4268"/>
    <w:rsid w:val="00AD53C8"/>
    <w:rsid w:val="00AD7F18"/>
    <w:rsid w:val="00AE2453"/>
    <w:rsid w:val="00AE2D11"/>
    <w:rsid w:val="00AE5294"/>
    <w:rsid w:val="00AE61C4"/>
    <w:rsid w:val="00AF0D9C"/>
    <w:rsid w:val="00AF222F"/>
    <w:rsid w:val="00AF2478"/>
    <w:rsid w:val="00AF2538"/>
    <w:rsid w:val="00AF32AB"/>
    <w:rsid w:val="00AF3DAD"/>
    <w:rsid w:val="00AF4659"/>
    <w:rsid w:val="00AF50E2"/>
    <w:rsid w:val="00B00817"/>
    <w:rsid w:val="00B01329"/>
    <w:rsid w:val="00B019D1"/>
    <w:rsid w:val="00B02904"/>
    <w:rsid w:val="00B04208"/>
    <w:rsid w:val="00B04DB0"/>
    <w:rsid w:val="00B055E7"/>
    <w:rsid w:val="00B11462"/>
    <w:rsid w:val="00B11FE9"/>
    <w:rsid w:val="00B159C4"/>
    <w:rsid w:val="00B15B4F"/>
    <w:rsid w:val="00B15CE8"/>
    <w:rsid w:val="00B16B7E"/>
    <w:rsid w:val="00B17BCC"/>
    <w:rsid w:val="00B20457"/>
    <w:rsid w:val="00B2058D"/>
    <w:rsid w:val="00B2184A"/>
    <w:rsid w:val="00B21BEB"/>
    <w:rsid w:val="00B23197"/>
    <w:rsid w:val="00B232E4"/>
    <w:rsid w:val="00B251D4"/>
    <w:rsid w:val="00B27796"/>
    <w:rsid w:val="00B31794"/>
    <w:rsid w:val="00B31AC6"/>
    <w:rsid w:val="00B325A0"/>
    <w:rsid w:val="00B32795"/>
    <w:rsid w:val="00B33CA1"/>
    <w:rsid w:val="00B34932"/>
    <w:rsid w:val="00B34F1B"/>
    <w:rsid w:val="00B36795"/>
    <w:rsid w:val="00B40A0D"/>
    <w:rsid w:val="00B42F3A"/>
    <w:rsid w:val="00B4305A"/>
    <w:rsid w:val="00B43689"/>
    <w:rsid w:val="00B43B65"/>
    <w:rsid w:val="00B502E6"/>
    <w:rsid w:val="00B53851"/>
    <w:rsid w:val="00B548DA"/>
    <w:rsid w:val="00B550FA"/>
    <w:rsid w:val="00B570B4"/>
    <w:rsid w:val="00B62BED"/>
    <w:rsid w:val="00B654D5"/>
    <w:rsid w:val="00B66749"/>
    <w:rsid w:val="00B675E0"/>
    <w:rsid w:val="00B676AF"/>
    <w:rsid w:val="00B72386"/>
    <w:rsid w:val="00B75A1D"/>
    <w:rsid w:val="00B809FA"/>
    <w:rsid w:val="00B829F6"/>
    <w:rsid w:val="00B84D1C"/>
    <w:rsid w:val="00B85576"/>
    <w:rsid w:val="00B85DB7"/>
    <w:rsid w:val="00B86B4A"/>
    <w:rsid w:val="00B90B68"/>
    <w:rsid w:val="00B90BEE"/>
    <w:rsid w:val="00B92A7D"/>
    <w:rsid w:val="00B93223"/>
    <w:rsid w:val="00B950B8"/>
    <w:rsid w:val="00B952CE"/>
    <w:rsid w:val="00B97287"/>
    <w:rsid w:val="00B974A9"/>
    <w:rsid w:val="00BA3C83"/>
    <w:rsid w:val="00BA42BC"/>
    <w:rsid w:val="00BA499F"/>
    <w:rsid w:val="00BA6605"/>
    <w:rsid w:val="00BA6E1E"/>
    <w:rsid w:val="00BA712F"/>
    <w:rsid w:val="00BA73BF"/>
    <w:rsid w:val="00BA775D"/>
    <w:rsid w:val="00BB2581"/>
    <w:rsid w:val="00BB5594"/>
    <w:rsid w:val="00BB7AFF"/>
    <w:rsid w:val="00BB7F16"/>
    <w:rsid w:val="00BC05EF"/>
    <w:rsid w:val="00BC12CC"/>
    <w:rsid w:val="00BC1AE3"/>
    <w:rsid w:val="00BC31B0"/>
    <w:rsid w:val="00BC54CB"/>
    <w:rsid w:val="00BC7CCD"/>
    <w:rsid w:val="00BD0FC8"/>
    <w:rsid w:val="00BD2E11"/>
    <w:rsid w:val="00BD3744"/>
    <w:rsid w:val="00BD486E"/>
    <w:rsid w:val="00BD4A23"/>
    <w:rsid w:val="00BD5570"/>
    <w:rsid w:val="00BD5C32"/>
    <w:rsid w:val="00BD5D2D"/>
    <w:rsid w:val="00BD63BD"/>
    <w:rsid w:val="00BD6C98"/>
    <w:rsid w:val="00BD7130"/>
    <w:rsid w:val="00BD777C"/>
    <w:rsid w:val="00BD77D0"/>
    <w:rsid w:val="00BD7BFC"/>
    <w:rsid w:val="00BE01FA"/>
    <w:rsid w:val="00BE2807"/>
    <w:rsid w:val="00BE3E2B"/>
    <w:rsid w:val="00BE5CB3"/>
    <w:rsid w:val="00BF0A2E"/>
    <w:rsid w:val="00BF232C"/>
    <w:rsid w:val="00BF7846"/>
    <w:rsid w:val="00C00488"/>
    <w:rsid w:val="00C0124A"/>
    <w:rsid w:val="00C01583"/>
    <w:rsid w:val="00C020A4"/>
    <w:rsid w:val="00C027E7"/>
    <w:rsid w:val="00C029BA"/>
    <w:rsid w:val="00C03800"/>
    <w:rsid w:val="00C038F1"/>
    <w:rsid w:val="00C05383"/>
    <w:rsid w:val="00C05C04"/>
    <w:rsid w:val="00C05F4C"/>
    <w:rsid w:val="00C06053"/>
    <w:rsid w:val="00C07F88"/>
    <w:rsid w:val="00C1207B"/>
    <w:rsid w:val="00C14372"/>
    <w:rsid w:val="00C173FE"/>
    <w:rsid w:val="00C17A7B"/>
    <w:rsid w:val="00C20D80"/>
    <w:rsid w:val="00C2141E"/>
    <w:rsid w:val="00C23B0F"/>
    <w:rsid w:val="00C2633C"/>
    <w:rsid w:val="00C26E70"/>
    <w:rsid w:val="00C30073"/>
    <w:rsid w:val="00C31196"/>
    <w:rsid w:val="00C3140E"/>
    <w:rsid w:val="00C320EB"/>
    <w:rsid w:val="00C33492"/>
    <w:rsid w:val="00C34A87"/>
    <w:rsid w:val="00C35535"/>
    <w:rsid w:val="00C35AD9"/>
    <w:rsid w:val="00C36688"/>
    <w:rsid w:val="00C37C7A"/>
    <w:rsid w:val="00C42B59"/>
    <w:rsid w:val="00C438AD"/>
    <w:rsid w:val="00C45D98"/>
    <w:rsid w:val="00C466EA"/>
    <w:rsid w:val="00C47B4E"/>
    <w:rsid w:val="00C47EA3"/>
    <w:rsid w:val="00C5298E"/>
    <w:rsid w:val="00C56CF5"/>
    <w:rsid w:val="00C61EC6"/>
    <w:rsid w:val="00C624C8"/>
    <w:rsid w:val="00C64783"/>
    <w:rsid w:val="00C657BE"/>
    <w:rsid w:val="00C66889"/>
    <w:rsid w:val="00C66CA7"/>
    <w:rsid w:val="00C671B8"/>
    <w:rsid w:val="00C70193"/>
    <w:rsid w:val="00C731EF"/>
    <w:rsid w:val="00C776F9"/>
    <w:rsid w:val="00C80372"/>
    <w:rsid w:val="00C803C1"/>
    <w:rsid w:val="00C81BA0"/>
    <w:rsid w:val="00C860AF"/>
    <w:rsid w:val="00C86170"/>
    <w:rsid w:val="00C87A49"/>
    <w:rsid w:val="00C9031C"/>
    <w:rsid w:val="00C90361"/>
    <w:rsid w:val="00C91B69"/>
    <w:rsid w:val="00C91C5C"/>
    <w:rsid w:val="00C93499"/>
    <w:rsid w:val="00C94DB8"/>
    <w:rsid w:val="00C950A8"/>
    <w:rsid w:val="00C96255"/>
    <w:rsid w:val="00C96476"/>
    <w:rsid w:val="00CA2192"/>
    <w:rsid w:val="00CA3EFF"/>
    <w:rsid w:val="00CA5328"/>
    <w:rsid w:val="00CA59B9"/>
    <w:rsid w:val="00CA7063"/>
    <w:rsid w:val="00CA757C"/>
    <w:rsid w:val="00CA7600"/>
    <w:rsid w:val="00CA7FF6"/>
    <w:rsid w:val="00CB1A30"/>
    <w:rsid w:val="00CB3EAB"/>
    <w:rsid w:val="00CB58B2"/>
    <w:rsid w:val="00CB62CD"/>
    <w:rsid w:val="00CB68C7"/>
    <w:rsid w:val="00CB7FC7"/>
    <w:rsid w:val="00CC0EE4"/>
    <w:rsid w:val="00CC102C"/>
    <w:rsid w:val="00CC139C"/>
    <w:rsid w:val="00CC63BE"/>
    <w:rsid w:val="00CC69E7"/>
    <w:rsid w:val="00CC6A39"/>
    <w:rsid w:val="00CC7391"/>
    <w:rsid w:val="00CC7ED6"/>
    <w:rsid w:val="00CD071F"/>
    <w:rsid w:val="00CD0A90"/>
    <w:rsid w:val="00CD2172"/>
    <w:rsid w:val="00CD315F"/>
    <w:rsid w:val="00CD34DB"/>
    <w:rsid w:val="00CD5F08"/>
    <w:rsid w:val="00CD6718"/>
    <w:rsid w:val="00CD6F9A"/>
    <w:rsid w:val="00CD75E1"/>
    <w:rsid w:val="00CE28B6"/>
    <w:rsid w:val="00CE35CD"/>
    <w:rsid w:val="00CE5078"/>
    <w:rsid w:val="00CE53C1"/>
    <w:rsid w:val="00CE5EBC"/>
    <w:rsid w:val="00CF0019"/>
    <w:rsid w:val="00CF36C4"/>
    <w:rsid w:val="00CF3994"/>
    <w:rsid w:val="00CF4669"/>
    <w:rsid w:val="00CF472E"/>
    <w:rsid w:val="00CF4AB6"/>
    <w:rsid w:val="00CF677C"/>
    <w:rsid w:val="00CF68A8"/>
    <w:rsid w:val="00CF6BB1"/>
    <w:rsid w:val="00D00C9A"/>
    <w:rsid w:val="00D03889"/>
    <w:rsid w:val="00D04782"/>
    <w:rsid w:val="00D0721E"/>
    <w:rsid w:val="00D100DC"/>
    <w:rsid w:val="00D11559"/>
    <w:rsid w:val="00D14A64"/>
    <w:rsid w:val="00D14F46"/>
    <w:rsid w:val="00D150BB"/>
    <w:rsid w:val="00D15568"/>
    <w:rsid w:val="00D16892"/>
    <w:rsid w:val="00D1704E"/>
    <w:rsid w:val="00D1733A"/>
    <w:rsid w:val="00D263FA"/>
    <w:rsid w:val="00D30229"/>
    <w:rsid w:val="00D304B6"/>
    <w:rsid w:val="00D32029"/>
    <w:rsid w:val="00D33177"/>
    <w:rsid w:val="00D34922"/>
    <w:rsid w:val="00D36B14"/>
    <w:rsid w:val="00D42D74"/>
    <w:rsid w:val="00D43987"/>
    <w:rsid w:val="00D47E7B"/>
    <w:rsid w:val="00D509A1"/>
    <w:rsid w:val="00D52FB0"/>
    <w:rsid w:val="00D53D4B"/>
    <w:rsid w:val="00D572F1"/>
    <w:rsid w:val="00D5735A"/>
    <w:rsid w:val="00D60785"/>
    <w:rsid w:val="00D61630"/>
    <w:rsid w:val="00D6465F"/>
    <w:rsid w:val="00D65436"/>
    <w:rsid w:val="00D656CC"/>
    <w:rsid w:val="00D66581"/>
    <w:rsid w:val="00D66F90"/>
    <w:rsid w:val="00D6704D"/>
    <w:rsid w:val="00D71522"/>
    <w:rsid w:val="00D728C8"/>
    <w:rsid w:val="00D73FF2"/>
    <w:rsid w:val="00D74466"/>
    <w:rsid w:val="00D8055B"/>
    <w:rsid w:val="00D809E4"/>
    <w:rsid w:val="00D81104"/>
    <w:rsid w:val="00D8362A"/>
    <w:rsid w:val="00D851E6"/>
    <w:rsid w:val="00D855E3"/>
    <w:rsid w:val="00D86751"/>
    <w:rsid w:val="00D86A0E"/>
    <w:rsid w:val="00D9007D"/>
    <w:rsid w:val="00D90278"/>
    <w:rsid w:val="00D90328"/>
    <w:rsid w:val="00D92D3C"/>
    <w:rsid w:val="00D92DE7"/>
    <w:rsid w:val="00D93521"/>
    <w:rsid w:val="00D9382C"/>
    <w:rsid w:val="00D94189"/>
    <w:rsid w:val="00D962DF"/>
    <w:rsid w:val="00D9740E"/>
    <w:rsid w:val="00DA24C6"/>
    <w:rsid w:val="00DA2AF1"/>
    <w:rsid w:val="00DA3C3A"/>
    <w:rsid w:val="00DA3F88"/>
    <w:rsid w:val="00DA42E8"/>
    <w:rsid w:val="00DA4A36"/>
    <w:rsid w:val="00DA6153"/>
    <w:rsid w:val="00DA6166"/>
    <w:rsid w:val="00DA61FE"/>
    <w:rsid w:val="00DA6DD7"/>
    <w:rsid w:val="00DA737D"/>
    <w:rsid w:val="00DA7CB7"/>
    <w:rsid w:val="00DB0161"/>
    <w:rsid w:val="00DB0A3D"/>
    <w:rsid w:val="00DB15C0"/>
    <w:rsid w:val="00DB17CD"/>
    <w:rsid w:val="00DB2645"/>
    <w:rsid w:val="00DB2D2F"/>
    <w:rsid w:val="00DB2EDC"/>
    <w:rsid w:val="00DB3BC6"/>
    <w:rsid w:val="00DC0116"/>
    <w:rsid w:val="00DC059E"/>
    <w:rsid w:val="00DC2CB2"/>
    <w:rsid w:val="00DC4CD5"/>
    <w:rsid w:val="00DC6FF8"/>
    <w:rsid w:val="00DD0086"/>
    <w:rsid w:val="00DD1775"/>
    <w:rsid w:val="00DD4410"/>
    <w:rsid w:val="00DD65CE"/>
    <w:rsid w:val="00DD7390"/>
    <w:rsid w:val="00DE0985"/>
    <w:rsid w:val="00DE1650"/>
    <w:rsid w:val="00DE1A6D"/>
    <w:rsid w:val="00DE4253"/>
    <w:rsid w:val="00DE42C0"/>
    <w:rsid w:val="00DE51E5"/>
    <w:rsid w:val="00DE5A65"/>
    <w:rsid w:val="00DE6144"/>
    <w:rsid w:val="00DF1CB8"/>
    <w:rsid w:val="00DF2C2D"/>
    <w:rsid w:val="00DF30BA"/>
    <w:rsid w:val="00DF4672"/>
    <w:rsid w:val="00DF49EB"/>
    <w:rsid w:val="00DF4C83"/>
    <w:rsid w:val="00DF6F9A"/>
    <w:rsid w:val="00E00611"/>
    <w:rsid w:val="00E00F03"/>
    <w:rsid w:val="00E028A3"/>
    <w:rsid w:val="00E03751"/>
    <w:rsid w:val="00E047D4"/>
    <w:rsid w:val="00E053F8"/>
    <w:rsid w:val="00E06139"/>
    <w:rsid w:val="00E1040D"/>
    <w:rsid w:val="00E115AB"/>
    <w:rsid w:val="00E13882"/>
    <w:rsid w:val="00E14197"/>
    <w:rsid w:val="00E14927"/>
    <w:rsid w:val="00E17076"/>
    <w:rsid w:val="00E1761E"/>
    <w:rsid w:val="00E22798"/>
    <w:rsid w:val="00E24A14"/>
    <w:rsid w:val="00E26197"/>
    <w:rsid w:val="00E2692F"/>
    <w:rsid w:val="00E3011B"/>
    <w:rsid w:val="00E3356B"/>
    <w:rsid w:val="00E34213"/>
    <w:rsid w:val="00E34870"/>
    <w:rsid w:val="00E37F21"/>
    <w:rsid w:val="00E40DA2"/>
    <w:rsid w:val="00E40E57"/>
    <w:rsid w:val="00E41A6E"/>
    <w:rsid w:val="00E42C49"/>
    <w:rsid w:val="00E44405"/>
    <w:rsid w:val="00E46399"/>
    <w:rsid w:val="00E470BE"/>
    <w:rsid w:val="00E50317"/>
    <w:rsid w:val="00E51B4D"/>
    <w:rsid w:val="00E526A6"/>
    <w:rsid w:val="00E53D4B"/>
    <w:rsid w:val="00E55DC6"/>
    <w:rsid w:val="00E57207"/>
    <w:rsid w:val="00E578C6"/>
    <w:rsid w:val="00E60772"/>
    <w:rsid w:val="00E62276"/>
    <w:rsid w:val="00E634FA"/>
    <w:rsid w:val="00E636BE"/>
    <w:rsid w:val="00E63C4F"/>
    <w:rsid w:val="00E64E7D"/>
    <w:rsid w:val="00E6560D"/>
    <w:rsid w:val="00E70B65"/>
    <w:rsid w:val="00E70B6D"/>
    <w:rsid w:val="00E716AC"/>
    <w:rsid w:val="00E729C2"/>
    <w:rsid w:val="00E72CF4"/>
    <w:rsid w:val="00E73885"/>
    <w:rsid w:val="00E73C7E"/>
    <w:rsid w:val="00E764E4"/>
    <w:rsid w:val="00E7654C"/>
    <w:rsid w:val="00E77995"/>
    <w:rsid w:val="00E82838"/>
    <w:rsid w:val="00E82B49"/>
    <w:rsid w:val="00E839C5"/>
    <w:rsid w:val="00E87745"/>
    <w:rsid w:val="00E910C5"/>
    <w:rsid w:val="00E92F2C"/>
    <w:rsid w:val="00E96E45"/>
    <w:rsid w:val="00E971A4"/>
    <w:rsid w:val="00E97332"/>
    <w:rsid w:val="00EA4A68"/>
    <w:rsid w:val="00EA5FCC"/>
    <w:rsid w:val="00EA6A6F"/>
    <w:rsid w:val="00EB051D"/>
    <w:rsid w:val="00EB0ABE"/>
    <w:rsid w:val="00EB0FC5"/>
    <w:rsid w:val="00EB402B"/>
    <w:rsid w:val="00EB5E9C"/>
    <w:rsid w:val="00EB79C3"/>
    <w:rsid w:val="00EB7FEF"/>
    <w:rsid w:val="00EC0199"/>
    <w:rsid w:val="00EC171E"/>
    <w:rsid w:val="00EC37AA"/>
    <w:rsid w:val="00EC5A09"/>
    <w:rsid w:val="00EC6907"/>
    <w:rsid w:val="00EC6FA3"/>
    <w:rsid w:val="00EC72BB"/>
    <w:rsid w:val="00ED07AD"/>
    <w:rsid w:val="00ED0F40"/>
    <w:rsid w:val="00ED1443"/>
    <w:rsid w:val="00ED182E"/>
    <w:rsid w:val="00ED2399"/>
    <w:rsid w:val="00ED3576"/>
    <w:rsid w:val="00ED3BBE"/>
    <w:rsid w:val="00ED4705"/>
    <w:rsid w:val="00ED5817"/>
    <w:rsid w:val="00ED5DE2"/>
    <w:rsid w:val="00ED7860"/>
    <w:rsid w:val="00EE0BE0"/>
    <w:rsid w:val="00EE0CDF"/>
    <w:rsid w:val="00EE23DB"/>
    <w:rsid w:val="00EE7BF8"/>
    <w:rsid w:val="00EF07F9"/>
    <w:rsid w:val="00EF2124"/>
    <w:rsid w:val="00EF353A"/>
    <w:rsid w:val="00EF355F"/>
    <w:rsid w:val="00EF50B8"/>
    <w:rsid w:val="00EF6164"/>
    <w:rsid w:val="00EF71CF"/>
    <w:rsid w:val="00F0057C"/>
    <w:rsid w:val="00F011C6"/>
    <w:rsid w:val="00F02E5A"/>
    <w:rsid w:val="00F040F1"/>
    <w:rsid w:val="00F0586D"/>
    <w:rsid w:val="00F06830"/>
    <w:rsid w:val="00F069ED"/>
    <w:rsid w:val="00F06FB9"/>
    <w:rsid w:val="00F07447"/>
    <w:rsid w:val="00F07535"/>
    <w:rsid w:val="00F10C6C"/>
    <w:rsid w:val="00F11551"/>
    <w:rsid w:val="00F119DA"/>
    <w:rsid w:val="00F15742"/>
    <w:rsid w:val="00F16391"/>
    <w:rsid w:val="00F175C8"/>
    <w:rsid w:val="00F20C8B"/>
    <w:rsid w:val="00F20DAA"/>
    <w:rsid w:val="00F26365"/>
    <w:rsid w:val="00F303CC"/>
    <w:rsid w:val="00F30E0A"/>
    <w:rsid w:val="00F31FA3"/>
    <w:rsid w:val="00F33C60"/>
    <w:rsid w:val="00F362A8"/>
    <w:rsid w:val="00F36866"/>
    <w:rsid w:val="00F372CA"/>
    <w:rsid w:val="00F41B92"/>
    <w:rsid w:val="00F43A03"/>
    <w:rsid w:val="00F43D92"/>
    <w:rsid w:val="00F44D52"/>
    <w:rsid w:val="00F45CC3"/>
    <w:rsid w:val="00F46100"/>
    <w:rsid w:val="00F46377"/>
    <w:rsid w:val="00F522FA"/>
    <w:rsid w:val="00F548EC"/>
    <w:rsid w:val="00F566DD"/>
    <w:rsid w:val="00F56D00"/>
    <w:rsid w:val="00F5716D"/>
    <w:rsid w:val="00F6038A"/>
    <w:rsid w:val="00F62EAB"/>
    <w:rsid w:val="00F634FE"/>
    <w:rsid w:val="00F66176"/>
    <w:rsid w:val="00F70219"/>
    <w:rsid w:val="00F73B08"/>
    <w:rsid w:val="00F76E32"/>
    <w:rsid w:val="00F82A45"/>
    <w:rsid w:val="00F848FD"/>
    <w:rsid w:val="00F85402"/>
    <w:rsid w:val="00F8587B"/>
    <w:rsid w:val="00F90110"/>
    <w:rsid w:val="00F9081F"/>
    <w:rsid w:val="00F91BEB"/>
    <w:rsid w:val="00F92F54"/>
    <w:rsid w:val="00F9427D"/>
    <w:rsid w:val="00F95FC9"/>
    <w:rsid w:val="00F9726B"/>
    <w:rsid w:val="00F972CC"/>
    <w:rsid w:val="00F975B5"/>
    <w:rsid w:val="00FA0D8B"/>
    <w:rsid w:val="00FA29CA"/>
    <w:rsid w:val="00FA44E0"/>
    <w:rsid w:val="00FA51E4"/>
    <w:rsid w:val="00FA6F9E"/>
    <w:rsid w:val="00FB3F6A"/>
    <w:rsid w:val="00FB4D8C"/>
    <w:rsid w:val="00FB556A"/>
    <w:rsid w:val="00FB7199"/>
    <w:rsid w:val="00FB74EA"/>
    <w:rsid w:val="00FB7C7B"/>
    <w:rsid w:val="00FC0179"/>
    <w:rsid w:val="00FC08D4"/>
    <w:rsid w:val="00FC0F46"/>
    <w:rsid w:val="00FC3449"/>
    <w:rsid w:val="00FC4D79"/>
    <w:rsid w:val="00FC51A8"/>
    <w:rsid w:val="00FC6C0B"/>
    <w:rsid w:val="00FD0589"/>
    <w:rsid w:val="00FD10BC"/>
    <w:rsid w:val="00FD13F8"/>
    <w:rsid w:val="00FD6E83"/>
    <w:rsid w:val="00FD7504"/>
    <w:rsid w:val="00FD7E82"/>
    <w:rsid w:val="00FE1602"/>
    <w:rsid w:val="00FE2435"/>
    <w:rsid w:val="00FE3787"/>
    <w:rsid w:val="00FE5151"/>
    <w:rsid w:val="00FE592E"/>
    <w:rsid w:val="00FE6A75"/>
    <w:rsid w:val="00FF1461"/>
    <w:rsid w:val="00FF31F1"/>
    <w:rsid w:val="00FF4949"/>
    <w:rsid w:val="00FF5EAB"/>
    <w:rsid w:val="00FF72A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0A7"/>
    <w:pPr>
      <w:widowControl w:val="0"/>
      <w:autoSpaceDE w:val="0"/>
      <w:autoSpaceDN w:val="0"/>
      <w:adjustRightInd w:val="0"/>
    </w:pPr>
    <w:rPr>
      <w:szCs w:val="24"/>
      <w:lang w:val="en-US"/>
    </w:rPr>
  </w:style>
  <w:style w:type="paragraph" w:styleId="Overskrift2">
    <w:name w:val="heading 2"/>
    <w:basedOn w:val="Normal"/>
    <w:next w:val="Normal"/>
    <w:qFormat/>
    <w:rsid w:val="00CD6F9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8B00A7"/>
  </w:style>
  <w:style w:type="paragraph" w:styleId="Sidehoved">
    <w:name w:val="header"/>
    <w:basedOn w:val="Normal"/>
    <w:rsid w:val="008B00A7"/>
    <w:pPr>
      <w:tabs>
        <w:tab w:val="center" w:pos="4819"/>
        <w:tab w:val="right" w:pos="9638"/>
      </w:tabs>
    </w:pPr>
  </w:style>
  <w:style w:type="paragraph" w:styleId="Sidefod">
    <w:name w:val="footer"/>
    <w:basedOn w:val="Normal"/>
    <w:rsid w:val="008B00A7"/>
    <w:pPr>
      <w:tabs>
        <w:tab w:val="center" w:pos="4819"/>
        <w:tab w:val="right" w:pos="9638"/>
      </w:tabs>
    </w:pPr>
  </w:style>
  <w:style w:type="character" w:styleId="Sidetal">
    <w:name w:val="page number"/>
    <w:basedOn w:val="Standardskrifttypeiafsnit"/>
    <w:rsid w:val="008B00A7"/>
  </w:style>
  <w:style w:type="character" w:styleId="Hyperlink">
    <w:name w:val="Hyperlink"/>
    <w:basedOn w:val="Standardskrifttypeiafsnit"/>
    <w:rsid w:val="00021557"/>
    <w:rPr>
      <w:color w:val="0000FF"/>
      <w:u w:val="single"/>
    </w:rPr>
  </w:style>
  <w:style w:type="paragraph" w:styleId="Brdtekst">
    <w:name w:val="Body Text"/>
    <w:basedOn w:val="Normal"/>
    <w:rsid w:val="007254C6"/>
    <w:pPr>
      <w:widowControl/>
      <w:autoSpaceDE/>
      <w:autoSpaceDN/>
      <w:adjustRightInd/>
      <w:spacing w:after="60" w:line="280" w:lineRule="atLeast"/>
    </w:pPr>
    <w:rPr>
      <w:rFonts w:ascii="Garamond" w:hAnsi="Garamond"/>
      <w:sz w:val="24"/>
      <w:lang w:val="da-DK"/>
    </w:rPr>
  </w:style>
  <w:style w:type="paragraph" w:styleId="Markeringsbobletekst">
    <w:name w:val="Balloon Text"/>
    <w:basedOn w:val="Normal"/>
    <w:link w:val="MarkeringsbobletekstTegn"/>
    <w:rsid w:val="00F303CC"/>
    <w:rPr>
      <w:rFonts w:ascii="Tahoma" w:hAnsi="Tahoma" w:cs="Tahoma"/>
      <w:sz w:val="16"/>
      <w:szCs w:val="16"/>
    </w:rPr>
  </w:style>
  <w:style w:type="character" w:customStyle="1" w:styleId="MarkeringsbobletekstTegn">
    <w:name w:val="Markeringsbobletekst Tegn"/>
    <w:basedOn w:val="Standardskrifttypeiafsnit"/>
    <w:link w:val="Markeringsbobletekst"/>
    <w:rsid w:val="00F303CC"/>
    <w:rPr>
      <w:rFonts w:ascii="Tahoma" w:hAnsi="Tahoma" w:cs="Tahoma"/>
      <w:sz w:val="16"/>
      <w:szCs w:val="16"/>
      <w:lang w:val="en-US"/>
    </w:rPr>
  </w:style>
  <w:style w:type="paragraph" w:styleId="Korrektur">
    <w:name w:val="Revision"/>
    <w:hidden/>
    <w:uiPriority w:val="99"/>
    <w:semiHidden/>
    <w:rsid w:val="00A63710"/>
    <w:rPr>
      <w:szCs w:val="24"/>
      <w:lang w:val="en-US"/>
    </w:rPr>
  </w:style>
  <w:style w:type="paragraph" w:styleId="Listeafsnit">
    <w:name w:val="List Paragraph"/>
    <w:basedOn w:val="Normal"/>
    <w:uiPriority w:val="34"/>
    <w:qFormat/>
    <w:rsid w:val="00422DE7"/>
    <w:pPr>
      <w:ind w:left="720"/>
      <w:contextualSpacing/>
    </w:pPr>
  </w:style>
  <w:style w:type="paragraph" w:customStyle="1" w:styleId="stykkealm">
    <w:name w:val="stykkealm"/>
    <w:basedOn w:val="Normal"/>
    <w:rsid w:val="006D1A78"/>
    <w:pPr>
      <w:widowControl/>
      <w:overflowPunct w:val="0"/>
      <w:adjustRightInd/>
      <w:jc w:val="both"/>
    </w:pPr>
    <w:rPr>
      <w:sz w:val="24"/>
      <w:lang w:val="da-DK"/>
    </w:rPr>
  </w:style>
  <w:style w:type="paragraph" w:customStyle="1" w:styleId="paragrafalm">
    <w:name w:val="paragrafalm"/>
    <w:basedOn w:val="Normal"/>
    <w:rsid w:val="006D1A78"/>
    <w:pPr>
      <w:widowControl/>
      <w:overflowPunct w:val="0"/>
      <w:adjustRightInd/>
      <w:jc w:val="both"/>
    </w:pPr>
    <w:rPr>
      <w:sz w:val="24"/>
      <w:lang w:val="da-DK"/>
    </w:rPr>
  </w:style>
  <w:style w:type="paragraph" w:customStyle="1" w:styleId="punktopstalm">
    <w:name w:val="punktopstalm"/>
    <w:basedOn w:val="Normal"/>
    <w:rsid w:val="006D1A78"/>
    <w:pPr>
      <w:widowControl/>
      <w:overflowPunct w:val="0"/>
      <w:adjustRightInd/>
      <w:ind w:left="397" w:hanging="397"/>
      <w:jc w:val="both"/>
    </w:pPr>
    <w:rPr>
      <w:sz w:val="24"/>
      <w:lang w:val="da-DK"/>
    </w:rPr>
  </w:style>
  <w:style w:type="character" w:customStyle="1" w:styleId="fed">
    <w:name w:val="fed"/>
    <w:basedOn w:val="Standardskrifttypeiafsnit"/>
    <w:rsid w:val="006D1A78"/>
    <w:rPr>
      <w:b/>
      <w:bCs/>
    </w:rPr>
  </w:style>
  <w:style w:type="character" w:customStyle="1" w:styleId="kursiv">
    <w:name w:val="kursiv"/>
    <w:basedOn w:val="Standardskrifttypeiafsnit"/>
    <w:rsid w:val="006D1A78"/>
    <w:rPr>
      <w:i/>
      <w:iCs/>
    </w:rPr>
  </w:style>
</w:styles>
</file>

<file path=word/webSettings.xml><?xml version="1.0" encoding="utf-8"?>
<w:webSettings xmlns:r="http://schemas.openxmlformats.org/officeDocument/2006/relationships" xmlns:w="http://schemas.openxmlformats.org/wordprocessingml/2006/main">
  <w:divs>
    <w:div w:id="655576990">
      <w:bodyDiv w:val="1"/>
      <w:marLeft w:val="0"/>
      <w:marRight w:val="0"/>
      <w:marTop w:val="0"/>
      <w:marBottom w:val="0"/>
      <w:divBdr>
        <w:top w:val="none" w:sz="0" w:space="0" w:color="auto"/>
        <w:left w:val="none" w:sz="0" w:space="0" w:color="auto"/>
        <w:bottom w:val="none" w:sz="0" w:space="0" w:color="auto"/>
        <w:right w:val="none" w:sz="0" w:space="0" w:color="auto"/>
      </w:divBdr>
    </w:div>
    <w:div w:id="1164004392">
      <w:bodyDiv w:val="1"/>
      <w:marLeft w:val="0"/>
      <w:marRight w:val="0"/>
      <w:marTop w:val="0"/>
      <w:marBottom w:val="0"/>
      <w:divBdr>
        <w:top w:val="none" w:sz="0" w:space="0" w:color="auto"/>
        <w:left w:val="none" w:sz="0" w:space="0" w:color="auto"/>
        <w:bottom w:val="none" w:sz="0" w:space="0" w:color="auto"/>
        <w:right w:val="none" w:sz="0" w:space="0" w:color="auto"/>
      </w:divBdr>
      <w:divsChild>
        <w:div w:id="220215739">
          <w:marLeft w:val="0"/>
          <w:marRight w:val="0"/>
          <w:marTop w:val="0"/>
          <w:marBottom w:val="0"/>
          <w:divBdr>
            <w:top w:val="none" w:sz="0" w:space="0" w:color="auto"/>
            <w:left w:val="none" w:sz="0" w:space="0" w:color="auto"/>
            <w:bottom w:val="none" w:sz="0" w:space="0" w:color="auto"/>
            <w:right w:val="none" w:sz="0" w:space="0" w:color="auto"/>
          </w:divBdr>
          <w:divsChild>
            <w:div w:id="1453745253">
              <w:marLeft w:val="0"/>
              <w:marRight w:val="0"/>
              <w:marTop w:val="0"/>
              <w:marBottom w:val="0"/>
              <w:divBdr>
                <w:top w:val="none" w:sz="0" w:space="0" w:color="auto"/>
                <w:left w:val="none" w:sz="0" w:space="0" w:color="auto"/>
                <w:bottom w:val="none" w:sz="0" w:space="0" w:color="auto"/>
                <w:right w:val="none" w:sz="0" w:space="0" w:color="auto"/>
              </w:divBdr>
              <w:divsChild>
                <w:div w:id="627399645">
                  <w:marLeft w:val="120"/>
                  <w:marRight w:val="120"/>
                  <w:marTop w:val="0"/>
                  <w:marBottom w:val="0"/>
                  <w:divBdr>
                    <w:top w:val="none" w:sz="0" w:space="0" w:color="auto"/>
                    <w:left w:val="none" w:sz="0" w:space="0" w:color="auto"/>
                    <w:bottom w:val="none" w:sz="0" w:space="0" w:color="auto"/>
                    <w:right w:val="none" w:sz="0" w:space="0" w:color="auto"/>
                  </w:divBdr>
                  <w:divsChild>
                    <w:div w:id="361170155">
                      <w:marLeft w:val="1"/>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sChild>
                            <w:div w:id="943657878">
                              <w:marLeft w:val="0"/>
                              <w:marRight w:val="0"/>
                              <w:marTop w:val="0"/>
                              <w:marBottom w:val="0"/>
                              <w:divBdr>
                                <w:top w:val="none" w:sz="0" w:space="0" w:color="auto"/>
                                <w:left w:val="none" w:sz="0" w:space="0" w:color="auto"/>
                                <w:bottom w:val="none" w:sz="0" w:space="0" w:color="auto"/>
                                <w:right w:val="none" w:sz="0" w:space="0" w:color="auto"/>
                              </w:divBdr>
                              <w:divsChild>
                                <w:div w:id="323776564">
                                  <w:marLeft w:val="0"/>
                                  <w:marRight w:val="0"/>
                                  <w:marTop w:val="0"/>
                                  <w:marBottom w:val="0"/>
                                  <w:divBdr>
                                    <w:top w:val="none" w:sz="0" w:space="0" w:color="auto"/>
                                    <w:left w:val="none" w:sz="0" w:space="0" w:color="auto"/>
                                    <w:bottom w:val="none" w:sz="0" w:space="0" w:color="auto"/>
                                    <w:right w:val="none" w:sz="0" w:space="0" w:color="auto"/>
                                  </w:divBdr>
                                </w:div>
                                <w:div w:id="868565945">
                                  <w:marLeft w:val="0"/>
                                  <w:marRight w:val="0"/>
                                  <w:marTop w:val="0"/>
                                  <w:marBottom w:val="0"/>
                                  <w:divBdr>
                                    <w:top w:val="none" w:sz="0" w:space="0" w:color="auto"/>
                                    <w:left w:val="none" w:sz="0" w:space="0" w:color="auto"/>
                                    <w:bottom w:val="none" w:sz="0" w:space="0" w:color="auto"/>
                                    <w:right w:val="none" w:sz="0" w:space="0" w:color="auto"/>
                                  </w:divBdr>
                                </w:div>
                                <w:div w:id="896550766">
                                  <w:marLeft w:val="0"/>
                                  <w:marRight w:val="0"/>
                                  <w:marTop w:val="0"/>
                                  <w:marBottom w:val="0"/>
                                  <w:divBdr>
                                    <w:top w:val="none" w:sz="0" w:space="0" w:color="auto"/>
                                    <w:left w:val="none" w:sz="0" w:space="0" w:color="auto"/>
                                    <w:bottom w:val="none" w:sz="0" w:space="0" w:color="auto"/>
                                    <w:right w:val="none" w:sz="0" w:space="0" w:color="auto"/>
                                  </w:divBdr>
                                </w:div>
                                <w:div w:id="1589463850">
                                  <w:marLeft w:val="0"/>
                                  <w:marRight w:val="0"/>
                                  <w:marTop w:val="0"/>
                                  <w:marBottom w:val="0"/>
                                  <w:divBdr>
                                    <w:top w:val="none" w:sz="0" w:space="0" w:color="auto"/>
                                    <w:left w:val="none" w:sz="0" w:space="0" w:color="auto"/>
                                    <w:bottom w:val="none" w:sz="0" w:space="0" w:color="auto"/>
                                    <w:right w:val="none" w:sz="0" w:space="0" w:color="auto"/>
                                  </w:divBdr>
                                </w:div>
                                <w:div w:id="19877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249092">
      <w:bodyDiv w:val="1"/>
      <w:marLeft w:val="0"/>
      <w:marRight w:val="0"/>
      <w:marTop w:val="0"/>
      <w:marBottom w:val="0"/>
      <w:divBdr>
        <w:top w:val="none" w:sz="0" w:space="0" w:color="auto"/>
        <w:left w:val="none" w:sz="0" w:space="0" w:color="auto"/>
        <w:bottom w:val="none" w:sz="0" w:space="0" w:color="auto"/>
        <w:right w:val="none" w:sz="0" w:space="0" w:color="auto"/>
      </w:divBdr>
      <w:divsChild>
        <w:div w:id="1176269243">
          <w:marLeft w:val="0"/>
          <w:marRight w:val="0"/>
          <w:marTop w:val="0"/>
          <w:marBottom w:val="0"/>
          <w:divBdr>
            <w:top w:val="none" w:sz="0" w:space="0" w:color="auto"/>
            <w:left w:val="none" w:sz="0" w:space="0" w:color="auto"/>
            <w:bottom w:val="none" w:sz="0" w:space="0" w:color="auto"/>
            <w:right w:val="none" w:sz="0" w:space="0" w:color="auto"/>
          </w:divBdr>
          <w:divsChild>
            <w:div w:id="1998920998">
              <w:marLeft w:val="0"/>
              <w:marRight w:val="0"/>
              <w:marTop w:val="0"/>
              <w:marBottom w:val="0"/>
              <w:divBdr>
                <w:top w:val="none" w:sz="0" w:space="0" w:color="auto"/>
                <w:left w:val="none" w:sz="0" w:space="0" w:color="auto"/>
                <w:bottom w:val="none" w:sz="0" w:space="0" w:color="auto"/>
                <w:right w:val="none" w:sz="0" w:space="0" w:color="auto"/>
              </w:divBdr>
              <w:divsChild>
                <w:div w:id="1055616681">
                  <w:marLeft w:val="120"/>
                  <w:marRight w:val="120"/>
                  <w:marTop w:val="0"/>
                  <w:marBottom w:val="0"/>
                  <w:divBdr>
                    <w:top w:val="none" w:sz="0" w:space="0" w:color="auto"/>
                    <w:left w:val="none" w:sz="0" w:space="0" w:color="auto"/>
                    <w:bottom w:val="none" w:sz="0" w:space="0" w:color="auto"/>
                    <w:right w:val="none" w:sz="0" w:space="0" w:color="auto"/>
                  </w:divBdr>
                  <w:divsChild>
                    <w:div w:id="987317141">
                      <w:marLeft w:val="1"/>
                      <w:marRight w:val="0"/>
                      <w:marTop w:val="0"/>
                      <w:marBottom w:val="0"/>
                      <w:divBdr>
                        <w:top w:val="none" w:sz="0" w:space="0" w:color="auto"/>
                        <w:left w:val="none" w:sz="0" w:space="0" w:color="auto"/>
                        <w:bottom w:val="none" w:sz="0" w:space="0" w:color="auto"/>
                        <w:right w:val="none" w:sz="0" w:space="0" w:color="auto"/>
                      </w:divBdr>
                      <w:divsChild>
                        <w:div w:id="1030571364">
                          <w:marLeft w:val="0"/>
                          <w:marRight w:val="0"/>
                          <w:marTop w:val="0"/>
                          <w:marBottom w:val="0"/>
                          <w:divBdr>
                            <w:top w:val="none" w:sz="0" w:space="0" w:color="auto"/>
                            <w:left w:val="none" w:sz="0" w:space="0" w:color="auto"/>
                            <w:bottom w:val="none" w:sz="0" w:space="0" w:color="auto"/>
                            <w:right w:val="none" w:sz="0" w:space="0" w:color="auto"/>
                          </w:divBdr>
                          <w:divsChild>
                            <w:div w:id="1608082237">
                              <w:marLeft w:val="0"/>
                              <w:marRight w:val="0"/>
                              <w:marTop w:val="0"/>
                              <w:marBottom w:val="0"/>
                              <w:divBdr>
                                <w:top w:val="none" w:sz="0" w:space="0" w:color="auto"/>
                                <w:left w:val="none" w:sz="0" w:space="0" w:color="auto"/>
                                <w:bottom w:val="none" w:sz="0" w:space="0" w:color="auto"/>
                                <w:right w:val="none" w:sz="0" w:space="0" w:color="auto"/>
                              </w:divBdr>
                              <w:divsChild>
                                <w:div w:id="119034424">
                                  <w:marLeft w:val="0"/>
                                  <w:marRight w:val="0"/>
                                  <w:marTop w:val="0"/>
                                  <w:marBottom w:val="0"/>
                                  <w:divBdr>
                                    <w:top w:val="none" w:sz="0" w:space="0" w:color="auto"/>
                                    <w:left w:val="none" w:sz="0" w:space="0" w:color="auto"/>
                                    <w:bottom w:val="none" w:sz="0" w:space="0" w:color="auto"/>
                                    <w:right w:val="none" w:sz="0" w:space="0" w:color="auto"/>
                                  </w:divBdr>
                                </w:div>
                                <w:div w:id="838161436">
                                  <w:marLeft w:val="0"/>
                                  <w:marRight w:val="0"/>
                                  <w:marTop w:val="0"/>
                                  <w:marBottom w:val="0"/>
                                  <w:divBdr>
                                    <w:top w:val="none" w:sz="0" w:space="0" w:color="auto"/>
                                    <w:left w:val="none" w:sz="0" w:space="0" w:color="auto"/>
                                    <w:bottom w:val="none" w:sz="0" w:space="0" w:color="auto"/>
                                    <w:right w:val="none" w:sz="0" w:space="0" w:color="auto"/>
                                  </w:divBdr>
                                </w:div>
                                <w:div w:id="1327316622">
                                  <w:marLeft w:val="0"/>
                                  <w:marRight w:val="0"/>
                                  <w:marTop w:val="0"/>
                                  <w:marBottom w:val="0"/>
                                  <w:divBdr>
                                    <w:top w:val="none" w:sz="0" w:space="0" w:color="auto"/>
                                    <w:left w:val="none" w:sz="0" w:space="0" w:color="auto"/>
                                    <w:bottom w:val="none" w:sz="0" w:space="0" w:color="auto"/>
                                    <w:right w:val="none" w:sz="0" w:space="0" w:color="auto"/>
                                  </w:divBdr>
                                </w:div>
                                <w:div w:id="1387610450">
                                  <w:marLeft w:val="0"/>
                                  <w:marRight w:val="0"/>
                                  <w:marTop w:val="0"/>
                                  <w:marBottom w:val="0"/>
                                  <w:divBdr>
                                    <w:top w:val="none" w:sz="0" w:space="0" w:color="auto"/>
                                    <w:left w:val="none" w:sz="0" w:space="0" w:color="auto"/>
                                    <w:bottom w:val="none" w:sz="0" w:space="0" w:color="auto"/>
                                    <w:right w:val="none" w:sz="0" w:space="0" w:color="auto"/>
                                  </w:divBdr>
                                </w:div>
                                <w:div w:id="19500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934387774">
      <w:bodyDiv w:val="1"/>
      <w:marLeft w:val="0"/>
      <w:marRight w:val="0"/>
      <w:marTop w:val="0"/>
      <w:marBottom w:val="0"/>
      <w:divBdr>
        <w:top w:val="none" w:sz="0" w:space="0" w:color="auto"/>
        <w:left w:val="none" w:sz="0" w:space="0" w:color="auto"/>
        <w:bottom w:val="none" w:sz="0" w:space="0" w:color="auto"/>
        <w:right w:val="none" w:sz="0" w:space="0" w:color="auto"/>
      </w:divBdr>
      <w:divsChild>
        <w:div w:id="1174684162">
          <w:marLeft w:val="0"/>
          <w:marRight w:val="0"/>
          <w:marTop w:val="0"/>
          <w:marBottom w:val="0"/>
          <w:divBdr>
            <w:top w:val="none" w:sz="0" w:space="0" w:color="auto"/>
            <w:left w:val="none" w:sz="0" w:space="0" w:color="auto"/>
            <w:bottom w:val="none" w:sz="0" w:space="0" w:color="auto"/>
            <w:right w:val="none" w:sz="0" w:space="0" w:color="auto"/>
          </w:divBdr>
          <w:divsChild>
            <w:div w:id="2365467">
              <w:marLeft w:val="0"/>
              <w:marRight w:val="0"/>
              <w:marTop w:val="0"/>
              <w:marBottom w:val="0"/>
              <w:divBdr>
                <w:top w:val="none" w:sz="0" w:space="0" w:color="auto"/>
                <w:left w:val="none" w:sz="0" w:space="0" w:color="auto"/>
                <w:bottom w:val="none" w:sz="0" w:space="0" w:color="auto"/>
                <w:right w:val="none" w:sz="0" w:space="0" w:color="auto"/>
              </w:divBdr>
              <w:divsChild>
                <w:div w:id="1649245590">
                  <w:marLeft w:val="120"/>
                  <w:marRight w:val="120"/>
                  <w:marTop w:val="0"/>
                  <w:marBottom w:val="0"/>
                  <w:divBdr>
                    <w:top w:val="none" w:sz="0" w:space="0" w:color="auto"/>
                    <w:left w:val="none" w:sz="0" w:space="0" w:color="auto"/>
                    <w:bottom w:val="none" w:sz="0" w:space="0" w:color="auto"/>
                    <w:right w:val="none" w:sz="0" w:space="0" w:color="auto"/>
                  </w:divBdr>
                  <w:divsChild>
                    <w:div w:id="1917935492">
                      <w:marLeft w:val="1"/>
                      <w:marRight w:val="0"/>
                      <w:marTop w:val="0"/>
                      <w:marBottom w:val="0"/>
                      <w:divBdr>
                        <w:top w:val="none" w:sz="0" w:space="0" w:color="auto"/>
                        <w:left w:val="none" w:sz="0" w:space="0" w:color="auto"/>
                        <w:bottom w:val="none" w:sz="0" w:space="0" w:color="auto"/>
                        <w:right w:val="none" w:sz="0" w:space="0" w:color="auto"/>
                      </w:divBdr>
                      <w:divsChild>
                        <w:div w:id="902256265">
                          <w:marLeft w:val="0"/>
                          <w:marRight w:val="0"/>
                          <w:marTop w:val="0"/>
                          <w:marBottom w:val="0"/>
                          <w:divBdr>
                            <w:top w:val="none" w:sz="0" w:space="0" w:color="auto"/>
                            <w:left w:val="none" w:sz="0" w:space="0" w:color="auto"/>
                            <w:bottom w:val="none" w:sz="0" w:space="0" w:color="auto"/>
                            <w:right w:val="none" w:sz="0" w:space="0" w:color="auto"/>
                          </w:divBdr>
                          <w:divsChild>
                            <w:div w:id="1688557569">
                              <w:marLeft w:val="0"/>
                              <w:marRight w:val="0"/>
                              <w:marTop w:val="0"/>
                              <w:marBottom w:val="0"/>
                              <w:divBdr>
                                <w:top w:val="none" w:sz="0" w:space="0" w:color="auto"/>
                                <w:left w:val="none" w:sz="0" w:space="0" w:color="auto"/>
                                <w:bottom w:val="none" w:sz="0" w:space="0" w:color="auto"/>
                                <w:right w:val="none" w:sz="0" w:space="0" w:color="auto"/>
                              </w:divBdr>
                              <w:divsChild>
                                <w:div w:id="233783783">
                                  <w:marLeft w:val="0"/>
                                  <w:marRight w:val="0"/>
                                  <w:marTop w:val="0"/>
                                  <w:marBottom w:val="0"/>
                                  <w:divBdr>
                                    <w:top w:val="none" w:sz="0" w:space="0" w:color="auto"/>
                                    <w:left w:val="none" w:sz="0" w:space="0" w:color="auto"/>
                                    <w:bottom w:val="none" w:sz="0" w:space="0" w:color="auto"/>
                                    <w:right w:val="none" w:sz="0" w:space="0" w:color="auto"/>
                                  </w:divBdr>
                                </w:div>
                                <w:div w:id="601425477">
                                  <w:marLeft w:val="0"/>
                                  <w:marRight w:val="0"/>
                                  <w:marTop w:val="0"/>
                                  <w:marBottom w:val="0"/>
                                  <w:divBdr>
                                    <w:top w:val="none" w:sz="0" w:space="0" w:color="auto"/>
                                    <w:left w:val="none" w:sz="0" w:space="0" w:color="auto"/>
                                    <w:bottom w:val="none" w:sz="0" w:space="0" w:color="auto"/>
                                    <w:right w:val="none" w:sz="0" w:space="0" w:color="auto"/>
                                  </w:divBdr>
                                </w:div>
                                <w:div w:id="1645042310">
                                  <w:marLeft w:val="0"/>
                                  <w:marRight w:val="0"/>
                                  <w:marTop w:val="0"/>
                                  <w:marBottom w:val="0"/>
                                  <w:divBdr>
                                    <w:top w:val="none" w:sz="0" w:space="0" w:color="auto"/>
                                    <w:left w:val="none" w:sz="0" w:space="0" w:color="auto"/>
                                    <w:bottom w:val="none" w:sz="0" w:space="0" w:color="auto"/>
                                    <w:right w:val="none" w:sz="0" w:space="0" w:color="auto"/>
                                  </w:divBdr>
                                </w:div>
                                <w:div w:id="172910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9F6E-2C12-4887-9997-38EF96821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2394</Words>
  <Characters>14602</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subject/>
  <dc:creator>Peter Bak</dc:creator>
  <cp:keywords/>
  <dc:description/>
  <cp:lastModifiedBy>Susanne Poulsen</cp:lastModifiedBy>
  <cp:revision>2</cp:revision>
  <cp:lastPrinted>2010-12-14T12:45:00Z</cp:lastPrinted>
  <dcterms:created xsi:type="dcterms:W3CDTF">2010-12-17T13:08:00Z</dcterms:created>
  <dcterms:modified xsi:type="dcterms:W3CDTF">2010-12-17T13:08:00Z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C:\DOCUME~1\w17741\LOKALE~1\Temp\SJ20100929134105684 [DOK382883].DOT</vt:lpwstr>
  </property>
  <property fmtid="{D5CDD505-2E9C-101B-9397-08002B2CF9AE}" pid="3" name="title">
    <vt:lpwstr>Forslag til lov om ændring af lov om indskud på etableringskonto og iværksætterkonto og kildeskatteloven (Forbedring af etablerings- og iværksætterkontoordningerne)</vt:lpwstr>
  </property>
  <property fmtid="{D5CDD505-2E9C-101B-9397-08002B2CF9AE}" pid="4" name="command">
    <vt:lpwstr>&amp;x_infoflet=1</vt:lpwstr>
  </property>
  <property fmtid="{D5CDD505-2E9C-101B-9397-08002B2CF9AE}" pid="5" name="_AdHocReviewCycleID">
    <vt:i4>1228398148</vt:i4>
  </property>
  <property fmtid="{D5CDD505-2E9C-101B-9397-08002B2CF9AE}" pid="6" name="_NewReviewCycle">
    <vt:lpwstr/>
  </property>
  <property fmtid="{D5CDD505-2E9C-101B-9397-08002B2CF9AE}" pid="7" name="_EmailSubject">
    <vt:lpwstr>Høringsmateriale til hjemmesiden nu</vt:lpwstr>
  </property>
  <property fmtid="{D5CDD505-2E9C-101B-9397-08002B2CF9AE}" pid="8" name="_AuthorEmail">
    <vt:lpwstr>Peter.Bak@skat.dk</vt:lpwstr>
  </property>
  <property fmtid="{D5CDD505-2E9C-101B-9397-08002B2CF9AE}" pid="9" name="_AuthorEmailDisplayName">
    <vt:lpwstr>Peter Bak</vt:lpwstr>
  </property>
  <property fmtid="{D5CDD505-2E9C-101B-9397-08002B2CF9AE}" pid="10" name="_ReviewingToolsShownOnce">
    <vt:lpwstr/>
  </property>
</Properties>
</file>