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8492" w14:textId="0B6F2828" w:rsidR="00C36E0D" w:rsidRDefault="00141E7E" w:rsidP="007E2C40">
      <w:pPr>
        <w:pStyle w:val="Pagedecouverture"/>
      </w:pPr>
      <w:r>
        <w:rPr>
          <w:noProof/>
          <w:lang w:val="da-DK" w:eastAsia="da-DK"/>
        </w:rPr>
        <w:drawing>
          <wp:inline distT="0" distB="0" distL="0" distR="0" wp14:anchorId="5CC721D4" wp14:editId="7FD0E1B0">
            <wp:extent cx="5779135" cy="7929880"/>
            <wp:effectExtent l="0" t="0" r="0" b="0"/>
            <wp:docPr id="2" name="Billede 1" descr="E6300DC8-D1CE-4F51-A26B-44AE329F4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300DC8-D1CE-4F51-A26B-44AE329F44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135" cy="7929880"/>
                    </a:xfrm>
                    <a:prstGeom prst="rect">
                      <a:avLst/>
                    </a:prstGeom>
                    <a:noFill/>
                    <a:ln>
                      <a:noFill/>
                    </a:ln>
                  </pic:spPr>
                </pic:pic>
              </a:graphicData>
            </a:graphic>
          </wp:inline>
        </w:drawing>
      </w:r>
    </w:p>
    <w:p w14:paraId="24628A77" w14:textId="77777777" w:rsidR="002C1F49" w:rsidRPr="00922C91" w:rsidRDefault="002C1F49">
      <w:pPr>
        <w:sectPr w:rsidR="002C1F49" w:rsidRPr="00922C91" w:rsidSect="007E2C40">
          <w:headerReference w:type="default" r:id="rId9"/>
          <w:footerReference w:type="default" r:id="rId10"/>
          <w:pgSz w:w="11907" w:h="16839"/>
          <w:pgMar w:top="1134" w:right="1417" w:bottom="1134" w:left="1417" w:header="709" w:footer="709" w:gutter="0"/>
          <w:pgNumType w:start="0"/>
          <w:cols w:space="720"/>
          <w:docGrid w:linePitch="360"/>
        </w:sectPr>
      </w:pPr>
    </w:p>
    <w:p w14:paraId="7366BE42" w14:textId="7FF26B1E" w:rsidR="002C1F49" w:rsidRPr="00922C91" w:rsidRDefault="009B4B02" w:rsidP="009B4B02">
      <w:pPr>
        <w:pStyle w:val="Typedudocument"/>
      </w:pPr>
      <w:r w:rsidRPr="009B4B02">
        <w:lastRenderedPageBreak/>
        <w:t>COMMISSION IMPLEMENTING REGULATION (EU) …/...</w:t>
      </w:r>
    </w:p>
    <w:p w14:paraId="479DF1AC" w14:textId="2DF0DA0B" w:rsidR="002C1F49" w:rsidRPr="00922C91" w:rsidRDefault="009B4B02" w:rsidP="009B4B02">
      <w:pPr>
        <w:pStyle w:val="Datedadoption"/>
      </w:pPr>
      <w:r w:rsidRPr="009B4B02">
        <w:t xml:space="preserve">of </w:t>
      </w:r>
      <w:r w:rsidRPr="009B4B02">
        <w:rPr>
          <w:rStyle w:val="Marker2"/>
        </w:rPr>
        <w:t>XXX</w:t>
      </w:r>
    </w:p>
    <w:p w14:paraId="114D2B87" w14:textId="486E6E8F" w:rsidR="002C1F49" w:rsidRPr="00922C91" w:rsidRDefault="009B4B02" w:rsidP="009B4B02">
      <w:pPr>
        <w:pStyle w:val="Titreobjet"/>
      </w:pPr>
      <w:bookmarkStart w:id="0" w:name="_GoBack"/>
      <w:r w:rsidRPr="009B4B02">
        <w:t>concerning a coordinated multiannual control programme of the Union for 2024, 2025 and 2026 to ensure compliance with maximum residue levels of pesticides and to assess the consumer exposure to pesticide residues in and on food of plant and animal origin and repealing Implementing Regulation (EU) 2022/741</w:t>
      </w:r>
    </w:p>
    <w:bookmarkEnd w:id="0"/>
    <w:p w14:paraId="588B9DED" w14:textId="5A3A6C48" w:rsidR="002C1F49" w:rsidRPr="002C1F49" w:rsidRDefault="009B4B02" w:rsidP="009B4B02">
      <w:pPr>
        <w:pStyle w:val="IntrtEEE"/>
      </w:pPr>
      <w:r w:rsidRPr="009B4B02">
        <w:t>(Text with EEA relevance)</w:t>
      </w:r>
    </w:p>
    <w:p w14:paraId="7F367CAA" w14:textId="77777777" w:rsidR="002C1F49" w:rsidRDefault="002C1F49" w:rsidP="004E1EF9">
      <w:pPr>
        <w:pStyle w:val="Institutionquiagit"/>
      </w:pPr>
      <w:r w:rsidRPr="00922C91">
        <w:t>THE EUROPEAN COMMISSION,</w:t>
      </w:r>
    </w:p>
    <w:p w14:paraId="6859715A" w14:textId="77777777" w:rsidR="002C1F49" w:rsidRPr="00857655" w:rsidRDefault="002C1F49" w:rsidP="002C1F49">
      <w:pPr>
        <w:rPr>
          <w:szCs w:val="24"/>
        </w:rPr>
      </w:pPr>
      <w:r w:rsidRPr="00857655">
        <w:rPr>
          <w:szCs w:val="24"/>
        </w:rPr>
        <w:t>Having regard to the Treaty on the Functioning of the European Union,</w:t>
      </w:r>
    </w:p>
    <w:p w14:paraId="4A5E839A" w14:textId="42369229" w:rsidR="002C1F49" w:rsidRPr="00857655" w:rsidRDefault="002C1F49" w:rsidP="002C1F49">
      <w:pPr>
        <w:rPr>
          <w:szCs w:val="24"/>
        </w:rPr>
      </w:pPr>
      <w:r w:rsidRPr="00857655">
        <w:rPr>
          <w:szCs w:val="24"/>
        </w:rPr>
        <w:t>Having regard to Regulation (EC) No 396/2005 of the European Parliament and of the Council of 23 February 2005 on maximum residue levels of pesticides in or on food and feed of plant and animal origin and amending Council Directive 91/414/EEC</w:t>
      </w:r>
      <w:r w:rsidRPr="00857655">
        <w:rPr>
          <w:rStyle w:val="Fodnotehenvisning"/>
          <w:szCs w:val="24"/>
        </w:rPr>
        <w:footnoteReference w:id="1"/>
      </w:r>
      <w:r w:rsidRPr="00857655">
        <w:rPr>
          <w:szCs w:val="24"/>
        </w:rPr>
        <w:t xml:space="preserve">, </w:t>
      </w:r>
      <w:r w:rsidR="009F0626">
        <w:rPr>
          <w:szCs w:val="24"/>
        </w:rPr>
        <w:t xml:space="preserve">and </w:t>
      </w:r>
      <w:r w:rsidRPr="00857655">
        <w:rPr>
          <w:szCs w:val="24"/>
        </w:rPr>
        <w:t>in particular Article 29(2) thereof,</w:t>
      </w:r>
    </w:p>
    <w:p w14:paraId="26EB9917" w14:textId="77777777" w:rsidR="002C1F49" w:rsidRPr="00857655" w:rsidRDefault="002C1F49" w:rsidP="002C1F49">
      <w:pPr>
        <w:rPr>
          <w:rFonts w:ascii="Tahoma" w:hAnsi="Tahoma" w:cs="Tahoma"/>
          <w:szCs w:val="24"/>
        </w:rPr>
      </w:pPr>
      <w:r w:rsidRPr="00857655">
        <w:rPr>
          <w:szCs w:val="24"/>
        </w:rPr>
        <w:t xml:space="preserve">Whereas: </w:t>
      </w:r>
    </w:p>
    <w:p w14:paraId="375CE1A5" w14:textId="685CFE1D" w:rsidR="002C1F49" w:rsidRPr="00F364F2" w:rsidRDefault="002C1F49" w:rsidP="00F6264C">
      <w:pPr>
        <w:pStyle w:val="Considrant"/>
        <w:numPr>
          <w:ilvl w:val="0"/>
          <w:numId w:val="1"/>
        </w:numPr>
      </w:pPr>
      <w:r w:rsidRPr="00F364F2">
        <w:t>Commission Regulation (EC) No 1213/2008</w:t>
      </w:r>
      <w:r w:rsidRPr="00F364F2">
        <w:rPr>
          <w:rStyle w:val="Fodnotehenvisning"/>
        </w:rPr>
        <w:footnoteReference w:id="2"/>
      </w:r>
      <w:r w:rsidRPr="00F364F2">
        <w:t xml:space="preserve"> </w:t>
      </w:r>
      <w:r w:rsidR="00CA5323">
        <w:t xml:space="preserve">established </w:t>
      </w:r>
      <w:r w:rsidRPr="00F364F2">
        <w:t xml:space="preserve">a first coordinated multiannual Community control programme, covering the years 2009, 2010 and 2011. That programme </w:t>
      </w:r>
      <w:r w:rsidR="00DA45CF">
        <w:t xml:space="preserve">has </w:t>
      </w:r>
      <w:r w:rsidRPr="00F364F2">
        <w:t xml:space="preserve">continued under consecutive </w:t>
      </w:r>
      <w:r w:rsidR="00DA45CF">
        <w:t>r</w:t>
      </w:r>
      <w:r w:rsidRPr="00F364F2">
        <w:t>egulations</w:t>
      </w:r>
      <w:r w:rsidR="00DA45CF">
        <w:t>, of which t</w:t>
      </w:r>
      <w:r w:rsidRPr="00F364F2">
        <w:t xml:space="preserve">he latest one </w:t>
      </w:r>
      <w:r w:rsidR="004A1520">
        <w:t xml:space="preserve">is </w:t>
      </w:r>
      <w:r w:rsidRPr="00F364F2">
        <w:t>Commission Imp</w:t>
      </w:r>
      <w:r>
        <w:t>lementing Regulation (EU) 20</w:t>
      </w:r>
      <w:r w:rsidR="004B1D7A">
        <w:t>2</w:t>
      </w:r>
      <w:r w:rsidR="00DA70C6">
        <w:t>2</w:t>
      </w:r>
      <w:r>
        <w:t>/</w:t>
      </w:r>
      <w:r w:rsidR="00DA70C6">
        <w:t>74</w:t>
      </w:r>
      <w:r w:rsidR="004B1D7A">
        <w:t>1</w:t>
      </w:r>
      <w:r w:rsidRPr="00F364F2">
        <w:rPr>
          <w:rStyle w:val="Fodnotehenvisning"/>
        </w:rPr>
        <w:footnoteReference w:id="3"/>
      </w:r>
      <w:r w:rsidRPr="00F364F2">
        <w:t>.</w:t>
      </w:r>
    </w:p>
    <w:p w14:paraId="01494C10" w14:textId="5CFD95D4" w:rsidR="002C1F49" w:rsidRPr="00F364F2" w:rsidRDefault="002C1F49" w:rsidP="002C1F49">
      <w:pPr>
        <w:pStyle w:val="Considrant"/>
      </w:pPr>
      <w:r w:rsidRPr="00F364F2">
        <w:lastRenderedPageBreak/>
        <w:t xml:space="preserve">Thirty to forty </w:t>
      </w:r>
      <w:r w:rsidR="004A1520">
        <w:t>products</w:t>
      </w:r>
      <w:r w:rsidRPr="00F364F2">
        <w:t xml:space="preserve"> constitute the major components of </w:t>
      </w:r>
      <w:r w:rsidR="00624807">
        <w:t xml:space="preserve">people’s </w:t>
      </w:r>
      <w:r w:rsidRPr="00F364F2">
        <w:t xml:space="preserve">diet in the Union. Since pesticide uses show significant changes over a period of three years, pesticides </w:t>
      </w:r>
      <w:r w:rsidR="00BF2559">
        <w:t>needs to be</w:t>
      </w:r>
      <w:r w:rsidR="00813CEB">
        <w:t xml:space="preserve"> </w:t>
      </w:r>
      <w:r w:rsidRPr="00F364F2">
        <w:t xml:space="preserve">monitored in those </w:t>
      </w:r>
      <w:r w:rsidR="00BF2559">
        <w:t>products</w:t>
      </w:r>
      <w:r w:rsidRPr="00F364F2">
        <w:t xml:space="preserve"> over a series of three-year cycles to allow </w:t>
      </w:r>
      <w:r w:rsidR="001F73C5">
        <w:t xml:space="preserve">the assessment of both </w:t>
      </w:r>
      <w:r w:rsidRPr="00F364F2">
        <w:t>consumer exposure and application of Union legislation.</w:t>
      </w:r>
    </w:p>
    <w:p w14:paraId="73F7C279" w14:textId="51948303" w:rsidR="002C1F49" w:rsidRDefault="002C1F49" w:rsidP="000C1C2F">
      <w:pPr>
        <w:pStyle w:val="Considrant"/>
      </w:pPr>
      <w:r w:rsidRPr="00F364F2">
        <w:t xml:space="preserve">The European Food Safety Authority </w:t>
      </w:r>
      <w:r w:rsidR="00E753FF">
        <w:t>(</w:t>
      </w:r>
      <w:r w:rsidR="00DA45CF">
        <w:t>‘</w:t>
      </w:r>
      <w:r w:rsidRPr="00F364F2">
        <w:t>the Authority</w:t>
      </w:r>
      <w:r w:rsidR="00DA45CF">
        <w:t>’</w:t>
      </w:r>
      <w:r w:rsidR="00E753FF">
        <w:t>)</w:t>
      </w:r>
      <w:r w:rsidRPr="00F364F2">
        <w:t xml:space="preserve"> submitted a scientific report on </w:t>
      </w:r>
      <w:r w:rsidR="00BF2559">
        <w:t>the</w:t>
      </w:r>
      <w:r w:rsidRPr="00F364F2">
        <w:t xml:space="preserve"> design assessment of the pesticide monitoring program</w:t>
      </w:r>
      <w:r w:rsidR="00813CEB">
        <w:t>me</w:t>
      </w:r>
      <w:r w:rsidR="009C5518" w:rsidRPr="00F364F2">
        <w:rPr>
          <w:rStyle w:val="Fodnotehenvisning"/>
        </w:rPr>
        <w:footnoteReference w:id="4"/>
      </w:r>
      <w:r w:rsidRPr="00F364F2">
        <w:t>.</w:t>
      </w:r>
      <w:r w:rsidR="00BF2559">
        <w:t xml:space="preserve"> </w:t>
      </w:r>
      <w:r w:rsidRPr="00F364F2">
        <w:t xml:space="preserve">It concluded that a </w:t>
      </w:r>
      <w:r w:rsidR="00FF78B7">
        <w:t xml:space="preserve">maximum residue level </w:t>
      </w:r>
      <w:r w:rsidRPr="00F364F2">
        <w:t>exceedance rate above 1% could be estimated with a margin of error of 0</w:t>
      </w:r>
      <w:r>
        <w:t>,</w:t>
      </w:r>
      <w:r w:rsidRPr="00F364F2">
        <w:t>75% by selecting 683</w:t>
      </w:r>
      <w:r>
        <w:t> </w:t>
      </w:r>
      <w:r w:rsidRPr="00F364F2">
        <w:t xml:space="preserve">sample units for </w:t>
      </w:r>
      <w:r>
        <w:t xml:space="preserve">a minimum of </w:t>
      </w:r>
      <w:r w:rsidRPr="00F364F2">
        <w:t>32</w:t>
      </w:r>
      <w:r>
        <w:t> </w:t>
      </w:r>
      <w:r w:rsidRPr="00F364F2">
        <w:t xml:space="preserve">different </w:t>
      </w:r>
      <w:r w:rsidR="00BF2559">
        <w:t>products</w:t>
      </w:r>
      <w:r w:rsidRPr="00F364F2">
        <w:t>.</w:t>
      </w:r>
      <w:r>
        <w:t xml:space="preserve"> </w:t>
      </w:r>
      <w:r w:rsidR="000C1C2F">
        <w:t>Collection of tho</w:t>
      </w:r>
      <w:r w:rsidR="000C1C2F" w:rsidRPr="00F364F2">
        <w:t>se samples should be apportioned among Member States</w:t>
      </w:r>
      <w:r w:rsidR="000C1C2F">
        <w:t xml:space="preserve"> </w:t>
      </w:r>
      <w:r w:rsidR="001F73C5">
        <w:t xml:space="preserve">in relation </w:t>
      </w:r>
      <w:r w:rsidR="00C573C0">
        <w:t xml:space="preserve">to </w:t>
      </w:r>
      <w:r w:rsidR="000C1C2F" w:rsidRPr="00F364F2">
        <w:t xml:space="preserve">population </w:t>
      </w:r>
      <w:r w:rsidR="001F73C5">
        <w:t>figures</w:t>
      </w:r>
      <w:r w:rsidR="000C1C2F" w:rsidRPr="0020568D">
        <w:t>, with a minimum of 12</w:t>
      </w:r>
      <w:r w:rsidR="00375AAF">
        <w:t> </w:t>
      </w:r>
      <w:r w:rsidR="000C1C2F" w:rsidRPr="0020568D">
        <w:t>s</w:t>
      </w:r>
      <w:r w:rsidR="000C1C2F">
        <w:t xml:space="preserve">amples per </w:t>
      </w:r>
      <w:r w:rsidR="000C1C2F" w:rsidRPr="00BF2559">
        <w:t>product</w:t>
      </w:r>
      <w:r w:rsidR="000C1C2F">
        <w:t xml:space="preserve"> and per year.</w:t>
      </w:r>
      <w:r w:rsidR="009C5518">
        <w:t xml:space="preserve"> </w:t>
      </w:r>
    </w:p>
    <w:p w14:paraId="02EC92CC" w14:textId="6A1D1D65" w:rsidR="002C1F49" w:rsidRPr="00F364F2" w:rsidRDefault="002C1F49" w:rsidP="00FF78B7">
      <w:pPr>
        <w:pStyle w:val="Considrant"/>
      </w:pPr>
      <w:r w:rsidRPr="00F364F2">
        <w:t>Analytical results from</w:t>
      </w:r>
      <w:r w:rsidR="00FF78B7">
        <w:t xml:space="preserve"> </w:t>
      </w:r>
      <w:r w:rsidR="003111AA">
        <w:t>t</w:t>
      </w:r>
      <w:r w:rsidR="00FF78B7">
        <w:t>he previous</w:t>
      </w:r>
      <w:r w:rsidR="003111AA">
        <w:t xml:space="preserve"> </w:t>
      </w:r>
      <w:r w:rsidR="001F73C5">
        <w:t>Union</w:t>
      </w:r>
      <w:r w:rsidRPr="00F364F2">
        <w:t xml:space="preserve"> official control programmes </w:t>
      </w:r>
      <w:r w:rsidRPr="00C573C0">
        <w:t>have been taken into account</w:t>
      </w:r>
      <w:r w:rsidRPr="00F364F2">
        <w:t xml:space="preserve"> to ensure that the range of pesticides covered by the control programme is representative </w:t>
      </w:r>
      <w:r w:rsidR="00FF78B7">
        <w:t>o</w:t>
      </w:r>
      <w:r w:rsidRPr="00F364F2">
        <w:t>f the pesticides used.</w:t>
      </w:r>
    </w:p>
    <w:p w14:paraId="48C85E45" w14:textId="68799372" w:rsidR="002C1F49" w:rsidRPr="00B75672" w:rsidRDefault="002C1F49" w:rsidP="002C1F49">
      <w:pPr>
        <w:pStyle w:val="Considrant"/>
      </w:pPr>
      <w:r w:rsidRPr="00B75672">
        <w:t xml:space="preserve">Guidance concerning </w:t>
      </w:r>
      <w:r w:rsidR="00DA45CF" w:rsidRPr="00B75672">
        <w:t>‘</w:t>
      </w:r>
      <w:r w:rsidRPr="00B75672">
        <w:t>Analytical quality control and validation procedures for pesticide residues analysis in food and feed</w:t>
      </w:r>
      <w:r w:rsidR="00DA45CF" w:rsidRPr="00B75672">
        <w:t>’</w:t>
      </w:r>
      <w:r w:rsidR="001F1DF0" w:rsidRPr="00B75672">
        <w:rPr>
          <w:rStyle w:val="Fodnotehenvisning"/>
        </w:rPr>
        <w:footnoteReference w:id="5"/>
      </w:r>
      <w:r w:rsidRPr="00B75672">
        <w:t xml:space="preserve"> is published </w:t>
      </w:r>
      <w:bookmarkStart w:id="1" w:name="_Ref500152120"/>
      <w:r w:rsidRPr="00B75672">
        <w:t>on the Commission website</w:t>
      </w:r>
      <w:bookmarkEnd w:id="1"/>
      <w:r w:rsidRPr="00B75672">
        <w:t>.</w:t>
      </w:r>
    </w:p>
    <w:p w14:paraId="49D565D1" w14:textId="4CCBE56E" w:rsidR="002C1F49" w:rsidRPr="009939AD" w:rsidRDefault="002C1F49" w:rsidP="002C1F49">
      <w:pPr>
        <w:pStyle w:val="Considrant"/>
      </w:pPr>
      <w:r w:rsidRPr="009939AD">
        <w:t>Where the residue definition of a pesticide includes other active substances, metabolites</w:t>
      </w:r>
      <w:r w:rsidR="00A17997">
        <w:t xml:space="preserve"> and/or</w:t>
      </w:r>
      <w:r w:rsidRPr="009939AD">
        <w:t xml:space="preserve"> breakdown or reaction products, those compounds should be reported separately as far as they are measured individually</w:t>
      </w:r>
      <w:r w:rsidR="00EC608C">
        <w:rPr>
          <w:rStyle w:val="Fodnotehenvisning"/>
        </w:rPr>
        <w:footnoteReference w:id="6"/>
      </w:r>
      <w:r w:rsidRPr="009939AD">
        <w:t>.</w:t>
      </w:r>
      <w:r w:rsidR="001F1DF0">
        <w:t xml:space="preserve"> </w:t>
      </w:r>
    </w:p>
    <w:p w14:paraId="1AAFF139" w14:textId="2D60222A" w:rsidR="002C1F49" w:rsidRPr="00F364F2" w:rsidRDefault="002C1F49" w:rsidP="002C1F49">
      <w:pPr>
        <w:pStyle w:val="Considrant"/>
      </w:pPr>
      <w:r w:rsidRPr="009939AD">
        <w:t xml:space="preserve">Implementing measures, such as the </w:t>
      </w:r>
      <w:r w:rsidRPr="006866B1">
        <w:rPr>
          <w:spacing w:val="-3"/>
        </w:rPr>
        <w:t>Standard Sample Description</w:t>
      </w:r>
      <w:r w:rsidR="00CD6684" w:rsidRPr="006866B1">
        <w:rPr>
          <w:spacing w:val="-3"/>
        </w:rPr>
        <w:t xml:space="preserve"> </w:t>
      </w:r>
      <w:r w:rsidR="00EC608C" w:rsidRPr="006866B1">
        <w:rPr>
          <w:spacing w:val="-3"/>
        </w:rPr>
        <w:t xml:space="preserve">version </w:t>
      </w:r>
      <w:r w:rsidR="00CD6684" w:rsidRPr="006866B1">
        <w:rPr>
          <w:spacing w:val="-3"/>
        </w:rPr>
        <w:t>2</w:t>
      </w:r>
      <w:r w:rsidR="00B55313" w:rsidRPr="006866B1">
        <w:t xml:space="preserve"> </w:t>
      </w:r>
      <w:r w:rsidR="00E8547A" w:rsidRPr="006866B1">
        <w:rPr>
          <w:spacing w:val="-3"/>
        </w:rPr>
        <w:t>and the Chemical Monitoring Reporting Guideline</w:t>
      </w:r>
      <w:r w:rsidR="00E8547A" w:rsidRPr="000C1C2F">
        <w:rPr>
          <w:spacing w:val="-3"/>
        </w:rPr>
        <w:t>,</w:t>
      </w:r>
      <w:r w:rsidR="000C1C2F">
        <w:t xml:space="preserve"> </w:t>
      </w:r>
      <w:r w:rsidRPr="009939AD">
        <w:rPr>
          <w:spacing w:val="-3"/>
        </w:rPr>
        <w:t xml:space="preserve">for submitting results of pesticide residues analysis, </w:t>
      </w:r>
      <w:r w:rsidRPr="009939AD">
        <w:t>relating to the submission of information by Member States</w:t>
      </w:r>
      <w:r w:rsidR="006138B3">
        <w:t>,</w:t>
      </w:r>
      <w:r w:rsidRPr="009939AD">
        <w:t xml:space="preserve"> have been agreed by Member States, </w:t>
      </w:r>
      <w:r>
        <w:t xml:space="preserve">the </w:t>
      </w:r>
      <w:r w:rsidRPr="009939AD">
        <w:t xml:space="preserve">Commission </w:t>
      </w:r>
      <w:r w:rsidRPr="00F364F2">
        <w:t>and the Authority.</w:t>
      </w:r>
    </w:p>
    <w:p w14:paraId="6AC5D991" w14:textId="64F0CC66" w:rsidR="002C1F49" w:rsidRPr="00F364F2" w:rsidRDefault="002C1F49" w:rsidP="002C1F49">
      <w:pPr>
        <w:pStyle w:val="Considrant"/>
      </w:pPr>
      <w:r w:rsidRPr="00F364F2">
        <w:lastRenderedPageBreak/>
        <w:t>For the sampling procedures</w:t>
      </w:r>
      <w:r>
        <w:t>,</w:t>
      </w:r>
      <w:r w:rsidRPr="00F364F2">
        <w:t xml:space="preserve"> Commission Directive 2002/63/EC</w:t>
      </w:r>
      <w:r w:rsidRPr="00F364F2">
        <w:rPr>
          <w:rStyle w:val="Fodnotehenvisning"/>
        </w:rPr>
        <w:footnoteReference w:id="7"/>
      </w:r>
      <w:r w:rsidRPr="00F364F2">
        <w:rPr>
          <w:rStyle w:val="Fodnotehenvisning"/>
        </w:rPr>
        <w:t xml:space="preserve"> </w:t>
      </w:r>
      <w:r w:rsidRPr="00F364F2">
        <w:t>which incorporates the sampling methods and procedures recommended by the Codex Alimentarius Commission</w:t>
      </w:r>
      <w:r>
        <w:t>,</w:t>
      </w:r>
      <w:r w:rsidRPr="00F364F2">
        <w:t xml:space="preserve"> should apply</w:t>
      </w:r>
      <w:r w:rsidR="00180949">
        <w:t>.</w:t>
      </w:r>
    </w:p>
    <w:p w14:paraId="433882EA" w14:textId="4AEEE370" w:rsidR="002C1F49" w:rsidRPr="00F364F2" w:rsidRDefault="002C1F49" w:rsidP="009C7A6B">
      <w:pPr>
        <w:pStyle w:val="Considrant"/>
      </w:pPr>
      <w:r w:rsidRPr="00F364F2">
        <w:t xml:space="preserve">It is necessary to </w:t>
      </w:r>
      <w:r w:rsidRPr="002524A4">
        <w:t xml:space="preserve">assess whether maximum residue levels for </w:t>
      </w:r>
      <w:r w:rsidRPr="00180949">
        <w:t>food</w:t>
      </w:r>
      <w:r w:rsidRPr="002524A4">
        <w:t xml:space="preserve"> for infants and young children provided for in</w:t>
      </w:r>
      <w:r w:rsidR="006C3F57">
        <w:t xml:space="preserve"> </w:t>
      </w:r>
      <w:r w:rsidR="006C3F57" w:rsidRPr="002524A4">
        <w:t>Article 4 of Commission Delegated Regulation (EU) 2016/127</w:t>
      </w:r>
      <w:r w:rsidR="006C3F57" w:rsidRPr="002524A4">
        <w:rPr>
          <w:rStyle w:val="Fodnotehenvisning"/>
        </w:rPr>
        <w:footnoteReference w:id="8"/>
      </w:r>
      <w:r w:rsidR="001F613E">
        <w:t>, Article 3 of Commission Delegated Regulation (EU) 2016/128</w:t>
      </w:r>
      <w:r w:rsidR="001F613E">
        <w:rPr>
          <w:rStyle w:val="Fodnotehenvisning"/>
        </w:rPr>
        <w:footnoteReference w:id="9"/>
      </w:r>
      <w:r w:rsidR="001F613E">
        <w:t xml:space="preserve"> </w:t>
      </w:r>
      <w:r w:rsidR="006C3F57">
        <w:t>and</w:t>
      </w:r>
      <w:r w:rsidRPr="002524A4">
        <w:t xml:space="preserve"> Article</w:t>
      </w:r>
      <w:r w:rsidR="00F329A0" w:rsidRPr="002524A4">
        <w:t> </w:t>
      </w:r>
      <w:r w:rsidRPr="002524A4">
        <w:t>7 of Commission Directive 2006/125/EC</w:t>
      </w:r>
      <w:r w:rsidR="00805AE8">
        <w:rPr>
          <w:rStyle w:val="Fodnotehenvisning"/>
        </w:rPr>
        <w:footnoteReference w:id="10"/>
      </w:r>
      <w:r w:rsidR="00932DAD" w:rsidRPr="002524A4">
        <w:t xml:space="preserve"> </w:t>
      </w:r>
      <w:r w:rsidRPr="006D51FC">
        <w:t xml:space="preserve">are </w:t>
      </w:r>
      <w:r w:rsidR="001F73C5">
        <w:t>complied with</w:t>
      </w:r>
      <w:r w:rsidRPr="00F364F2">
        <w:t xml:space="preserve">, taking into account only the residue definitions set out in Regulation (EC) No 396/2005. </w:t>
      </w:r>
    </w:p>
    <w:p w14:paraId="6A0332EE" w14:textId="40689290" w:rsidR="002C1F49" w:rsidRPr="00F364F2" w:rsidRDefault="002C1F49" w:rsidP="002C1F49">
      <w:pPr>
        <w:pStyle w:val="Considrant"/>
      </w:pPr>
      <w:r w:rsidRPr="00F364F2">
        <w:t xml:space="preserve">As regards single residue methods, Member States </w:t>
      </w:r>
      <w:r w:rsidR="001F73C5">
        <w:t>should</w:t>
      </w:r>
      <w:r w:rsidR="001F73C5" w:rsidRPr="00334A92">
        <w:t xml:space="preserve"> </w:t>
      </w:r>
      <w:r w:rsidRPr="00334A92">
        <w:t>be able to meet</w:t>
      </w:r>
      <w:r w:rsidRPr="00F364F2">
        <w:t xml:space="preserve"> their</w:t>
      </w:r>
      <w:r w:rsidR="00334A92">
        <w:t xml:space="preserve"> obligations</w:t>
      </w:r>
      <w:r w:rsidRPr="00F364F2">
        <w:t xml:space="preserve"> of analysis by having recourse to official laboratories already having the </w:t>
      </w:r>
      <w:r w:rsidR="00C73E80">
        <w:t xml:space="preserve">required </w:t>
      </w:r>
      <w:r w:rsidRPr="00F364F2">
        <w:t>validated methods</w:t>
      </w:r>
      <w:r w:rsidR="00050377">
        <w:t>.</w:t>
      </w:r>
      <w:r w:rsidR="00960065">
        <w:t xml:space="preserve"> </w:t>
      </w:r>
    </w:p>
    <w:p w14:paraId="17C5D232" w14:textId="2067DB9E" w:rsidR="002C1F49" w:rsidRPr="00F364F2" w:rsidRDefault="002C1F49" w:rsidP="0076268F">
      <w:pPr>
        <w:pStyle w:val="Considrant"/>
      </w:pPr>
      <w:r w:rsidRPr="00F364F2">
        <w:t>Member States should submit by 31</w:t>
      </w:r>
      <w:r>
        <w:t> </w:t>
      </w:r>
      <w:r w:rsidR="00244DA0">
        <w:t>August of each year</w:t>
      </w:r>
      <w:r w:rsidR="00244DA0" w:rsidRPr="00244DA0">
        <w:t xml:space="preserve"> </w:t>
      </w:r>
      <w:r w:rsidRPr="00244DA0">
        <w:t>the information</w:t>
      </w:r>
      <w:r w:rsidRPr="00F364F2">
        <w:t xml:space="preserve"> concern</w:t>
      </w:r>
      <w:r>
        <w:t>ing the previous calendar year</w:t>
      </w:r>
      <w:r w:rsidR="00244DA0">
        <w:t>.</w:t>
      </w:r>
    </w:p>
    <w:p w14:paraId="1B1D73B3" w14:textId="40EB1712" w:rsidR="002C1F49" w:rsidRPr="002524A4" w:rsidRDefault="002C1F49" w:rsidP="002C1F49">
      <w:pPr>
        <w:pStyle w:val="Considrant"/>
      </w:pPr>
      <w:r w:rsidRPr="00F364F2">
        <w:t xml:space="preserve">In order to avoid any confusion due to an overlap between consecutive multiannual programmes, </w:t>
      </w:r>
      <w:r>
        <w:t xml:space="preserve">Implementing </w:t>
      </w:r>
      <w:r w:rsidRPr="00F364F2">
        <w:t xml:space="preserve">Regulation </w:t>
      </w:r>
      <w:r w:rsidRPr="009939AD">
        <w:t>(EU)</w:t>
      </w:r>
      <w:r>
        <w:t> 20</w:t>
      </w:r>
      <w:r w:rsidR="004B1D7A">
        <w:t>2</w:t>
      </w:r>
      <w:r w:rsidR="00DF5AF5">
        <w:t>2</w:t>
      </w:r>
      <w:r>
        <w:t>/</w:t>
      </w:r>
      <w:r w:rsidR="00DF5AF5">
        <w:t>74</w:t>
      </w:r>
      <w:r w:rsidR="004B1D7A">
        <w:t>1</w:t>
      </w:r>
      <w:r w:rsidRPr="004A0C6C">
        <w:t xml:space="preserve"> </w:t>
      </w:r>
      <w:r w:rsidRPr="00D96E86">
        <w:t>should be repealed.</w:t>
      </w:r>
      <w:r w:rsidR="003E1391">
        <w:t xml:space="preserve"> </w:t>
      </w:r>
      <w:r w:rsidR="00AC01FD" w:rsidRPr="002524A4">
        <w:t>It should, however, continue to apply to samples tested in</w:t>
      </w:r>
      <w:r w:rsidR="004B1D7A">
        <w:t xml:space="preserve"> 202</w:t>
      </w:r>
      <w:r w:rsidR="00DF5AF5">
        <w:t>3</w:t>
      </w:r>
      <w:r w:rsidR="00AC01FD">
        <w:t>.</w:t>
      </w:r>
      <w:r w:rsidR="004B1661">
        <w:t xml:space="preserve"> </w:t>
      </w:r>
    </w:p>
    <w:p w14:paraId="53EC61F5" w14:textId="77777777" w:rsidR="002C1F49" w:rsidRPr="009939AD" w:rsidRDefault="002C1F49" w:rsidP="002C1F49">
      <w:pPr>
        <w:pStyle w:val="Considrant"/>
      </w:pPr>
      <w:r w:rsidRPr="009939AD">
        <w:t xml:space="preserve">The measures provided for in this Regulation are in accordance with the opinion of the Standing Committee </w:t>
      </w:r>
      <w:r w:rsidRPr="009939AD">
        <w:rPr>
          <w:noProof/>
        </w:rPr>
        <w:t xml:space="preserve">on </w:t>
      </w:r>
      <w:r w:rsidRPr="009939AD">
        <w:t>Plants, Animals, Food and Feed,</w:t>
      </w:r>
    </w:p>
    <w:p w14:paraId="2E76DC3B" w14:textId="77777777" w:rsidR="002C1F49" w:rsidRPr="007E0EBF" w:rsidRDefault="002C1F49" w:rsidP="002C1F49">
      <w:pPr>
        <w:pStyle w:val="Formuledadoption"/>
        <w:rPr>
          <w:szCs w:val="24"/>
        </w:rPr>
      </w:pPr>
      <w:r w:rsidRPr="007E0EBF">
        <w:rPr>
          <w:szCs w:val="24"/>
        </w:rPr>
        <w:lastRenderedPageBreak/>
        <w:t>HAS ADOPTED THIS REGULATION:</w:t>
      </w:r>
    </w:p>
    <w:p w14:paraId="20EB9050" w14:textId="77777777" w:rsidR="002C1F49" w:rsidRPr="007E0EBF" w:rsidRDefault="002C1F49" w:rsidP="002C1F49">
      <w:pPr>
        <w:pStyle w:val="Titrearticle"/>
        <w:rPr>
          <w:szCs w:val="24"/>
        </w:rPr>
      </w:pPr>
      <w:r w:rsidRPr="007E0EBF">
        <w:rPr>
          <w:szCs w:val="24"/>
        </w:rPr>
        <w:t>Article 1</w:t>
      </w:r>
    </w:p>
    <w:p w14:paraId="080C0E7B" w14:textId="284713B0" w:rsidR="00A071F1" w:rsidRPr="009350DD" w:rsidRDefault="009136A9" w:rsidP="002C1F49">
      <w:pPr>
        <w:rPr>
          <w:i/>
          <w:highlight w:val="yellow"/>
        </w:rPr>
      </w:pPr>
      <w:r>
        <w:rPr>
          <w:szCs w:val="24"/>
        </w:rPr>
        <w:t>Member States</w:t>
      </w:r>
      <w:r w:rsidR="009350DD">
        <w:rPr>
          <w:rStyle w:val="Fodnotehenvisning"/>
          <w:szCs w:val="24"/>
        </w:rPr>
        <w:footnoteReference w:id="11"/>
      </w:r>
      <w:r w:rsidR="009350DD">
        <w:rPr>
          <w:rStyle w:val="Fodnotehenvisning"/>
          <w:szCs w:val="24"/>
        </w:rPr>
        <w:t xml:space="preserve"> </w:t>
      </w:r>
      <w:r w:rsidR="002C1F49" w:rsidRPr="007E0EBF">
        <w:rPr>
          <w:szCs w:val="24"/>
        </w:rPr>
        <w:t>shall, during the years 20</w:t>
      </w:r>
      <w:r w:rsidR="006D2246">
        <w:rPr>
          <w:szCs w:val="24"/>
        </w:rPr>
        <w:t>2</w:t>
      </w:r>
      <w:r w:rsidR="00DF5AF5">
        <w:rPr>
          <w:szCs w:val="24"/>
        </w:rPr>
        <w:t>4</w:t>
      </w:r>
      <w:r w:rsidR="006D2246">
        <w:rPr>
          <w:szCs w:val="24"/>
        </w:rPr>
        <w:t>, 202</w:t>
      </w:r>
      <w:r w:rsidR="00DF5AF5">
        <w:rPr>
          <w:szCs w:val="24"/>
        </w:rPr>
        <w:t>5</w:t>
      </w:r>
      <w:r w:rsidR="006D2246">
        <w:rPr>
          <w:szCs w:val="24"/>
        </w:rPr>
        <w:t xml:space="preserve"> and 202</w:t>
      </w:r>
      <w:r w:rsidR="00DF5AF5">
        <w:rPr>
          <w:szCs w:val="24"/>
        </w:rPr>
        <w:t>6</w:t>
      </w:r>
      <w:r w:rsidR="002C1F49" w:rsidRPr="007E0EBF">
        <w:rPr>
          <w:szCs w:val="24"/>
        </w:rPr>
        <w:t xml:space="preserve">, take and analyse samples for the pesticide/product combinations as set out in Annex I. </w:t>
      </w:r>
    </w:p>
    <w:p w14:paraId="519427C0" w14:textId="3A1A6FBD" w:rsidR="006D2246" w:rsidRPr="007E0EBF" w:rsidRDefault="002C1F49" w:rsidP="002C1F49">
      <w:pPr>
        <w:rPr>
          <w:szCs w:val="24"/>
        </w:rPr>
      </w:pPr>
      <w:r w:rsidRPr="007E0EBF">
        <w:rPr>
          <w:szCs w:val="24"/>
        </w:rPr>
        <w:t xml:space="preserve">The number of samples of each product </w:t>
      </w:r>
      <w:r w:rsidR="0088010A">
        <w:rPr>
          <w:szCs w:val="24"/>
        </w:rPr>
        <w:t xml:space="preserve">to be taken and analysed </w:t>
      </w:r>
      <w:r w:rsidRPr="007E0EBF">
        <w:rPr>
          <w:szCs w:val="24"/>
        </w:rPr>
        <w:t xml:space="preserve">shall be as set out in Annex II. </w:t>
      </w:r>
    </w:p>
    <w:p w14:paraId="3BC5CAE4" w14:textId="77777777" w:rsidR="002C1F49" w:rsidRPr="007E0EBF" w:rsidRDefault="002C1F49" w:rsidP="002C1F49">
      <w:pPr>
        <w:pStyle w:val="Titrearticle"/>
        <w:rPr>
          <w:szCs w:val="24"/>
        </w:rPr>
      </w:pPr>
      <w:r w:rsidRPr="007E0EBF">
        <w:rPr>
          <w:szCs w:val="24"/>
        </w:rPr>
        <w:t>Article 2</w:t>
      </w:r>
    </w:p>
    <w:p w14:paraId="2E055403" w14:textId="77777777" w:rsidR="002C1F49" w:rsidRPr="007E0EBF" w:rsidRDefault="002C1F49" w:rsidP="00F6264C">
      <w:pPr>
        <w:pStyle w:val="NumPar1"/>
        <w:numPr>
          <w:ilvl w:val="0"/>
          <w:numId w:val="2"/>
        </w:numPr>
        <w:rPr>
          <w:szCs w:val="24"/>
        </w:rPr>
      </w:pPr>
      <w:r w:rsidRPr="007E0EBF">
        <w:rPr>
          <w:szCs w:val="24"/>
        </w:rPr>
        <w:t>The lot to be sampled shall be chosen randomly.</w:t>
      </w:r>
    </w:p>
    <w:p w14:paraId="1D74BFFF" w14:textId="027F206B" w:rsidR="002C1F49" w:rsidRPr="007E0EBF" w:rsidRDefault="002C1F49" w:rsidP="002C1F49">
      <w:pPr>
        <w:pStyle w:val="Text1"/>
        <w:rPr>
          <w:szCs w:val="24"/>
        </w:rPr>
      </w:pPr>
      <w:r w:rsidRPr="007E0EBF">
        <w:rPr>
          <w:szCs w:val="24"/>
        </w:rPr>
        <w:t>The sampling procedure, including the number of units, shall comply with Directive 2002/63/EC</w:t>
      </w:r>
      <w:r w:rsidR="005A3C63">
        <w:rPr>
          <w:szCs w:val="24"/>
        </w:rPr>
        <w:t>.</w:t>
      </w:r>
    </w:p>
    <w:p w14:paraId="22F6695D" w14:textId="01D87BBD" w:rsidR="002C1F49" w:rsidRPr="009350DD" w:rsidRDefault="002C1F49" w:rsidP="002C1F49">
      <w:pPr>
        <w:pStyle w:val="NumPar1"/>
        <w:ind w:left="851" w:hanging="851"/>
        <w:rPr>
          <w:szCs w:val="24"/>
        </w:rPr>
      </w:pPr>
      <w:r w:rsidRPr="007E0EBF">
        <w:rPr>
          <w:szCs w:val="24"/>
        </w:rPr>
        <w:t xml:space="preserve">All samples, </w:t>
      </w:r>
      <w:r w:rsidRPr="009350DD">
        <w:rPr>
          <w:szCs w:val="24"/>
        </w:rPr>
        <w:t>including those of foods intended for infants and young children</w:t>
      </w:r>
      <w:r w:rsidR="00A071F1" w:rsidRPr="009350DD">
        <w:rPr>
          <w:szCs w:val="24"/>
        </w:rPr>
        <w:t xml:space="preserve"> and products originating from organic farming</w:t>
      </w:r>
      <w:r w:rsidR="009350DD">
        <w:rPr>
          <w:szCs w:val="24"/>
        </w:rPr>
        <w:t>,</w:t>
      </w:r>
      <w:r w:rsidRPr="009350DD">
        <w:rPr>
          <w:szCs w:val="24"/>
        </w:rPr>
        <w:t xml:space="preserve"> shall be analysed for the pesticides </w:t>
      </w:r>
      <w:r w:rsidR="00960065" w:rsidRPr="009350DD">
        <w:rPr>
          <w:szCs w:val="24"/>
        </w:rPr>
        <w:t>referred to</w:t>
      </w:r>
      <w:r w:rsidR="00BD2E03" w:rsidRPr="009350DD">
        <w:rPr>
          <w:szCs w:val="24"/>
        </w:rPr>
        <w:t xml:space="preserve"> </w:t>
      </w:r>
      <w:r w:rsidRPr="009350DD">
        <w:rPr>
          <w:szCs w:val="24"/>
        </w:rPr>
        <w:t xml:space="preserve">in Annex I </w:t>
      </w:r>
      <w:r w:rsidR="00CB6D08" w:rsidRPr="009350DD">
        <w:rPr>
          <w:szCs w:val="24"/>
        </w:rPr>
        <w:t xml:space="preserve">to this Regulation </w:t>
      </w:r>
      <w:r w:rsidRPr="009350DD">
        <w:rPr>
          <w:szCs w:val="24"/>
        </w:rPr>
        <w:t>in accordance with</w:t>
      </w:r>
      <w:r w:rsidR="009350DD">
        <w:rPr>
          <w:szCs w:val="24"/>
        </w:rPr>
        <w:t xml:space="preserve"> the residue definitions set out in </w:t>
      </w:r>
      <w:r w:rsidR="00F329A0" w:rsidRPr="009350DD">
        <w:rPr>
          <w:szCs w:val="24"/>
        </w:rPr>
        <w:t>Regulation (EC) No </w:t>
      </w:r>
      <w:r w:rsidRPr="009350DD">
        <w:rPr>
          <w:szCs w:val="24"/>
        </w:rPr>
        <w:t>396/2005.</w:t>
      </w:r>
    </w:p>
    <w:p w14:paraId="6234D273" w14:textId="660C7A13" w:rsidR="002C1F49" w:rsidRPr="007E0EBF" w:rsidRDefault="002C1F49" w:rsidP="002C1F49">
      <w:pPr>
        <w:pStyle w:val="NumPar1"/>
        <w:ind w:left="851" w:hanging="851"/>
        <w:rPr>
          <w:szCs w:val="24"/>
        </w:rPr>
      </w:pPr>
      <w:r w:rsidRPr="009350DD">
        <w:rPr>
          <w:szCs w:val="24"/>
        </w:rPr>
        <w:t>For foods intended for infants and young children, samples shall be evaluated on the products as proposed ready for consumption or as reconstituted according to the instructions of the manufacturers, taking into accoun</w:t>
      </w:r>
      <w:r w:rsidR="00F5306C" w:rsidRPr="009350DD">
        <w:rPr>
          <w:szCs w:val="24"/>
        </w:rPr>
        <w:t xml:space="preserve">t the </w:t>
      </w:r>
      <w:r w:rsidR="00CB6D08" w:rsidRPr="009350DD">
        <w:rPr>
          <w:szCs w:val="24"/>
        </w:rPr>
        <w:t xml:space="preserve">maximum residue </w:t>
      </w:r>
      <w:r w:rsidR="005705AF">
        <w:rPr>
          <w:szCs w:val="24"/>
        </w:rPr>
        <w:t>levels</w:t>
      </w:r>
      <w:r w:rsidR="005705AF" w:rsidRPr="009350DD">
        <w:rPr>
          <w:szCs w:val="24"/>
        </w:rPr>
        <w:t xml:space="preserve"> </w:t>
      </w:r>
      <w:r w:rsidR="00F5306C" w:rsidRPr="009350DD">
        <w:rPr>
          <w:szCs w:val="24"/>
        </w:rPr>
        <w:t>set out in Directive</w:t>
      </w:r>
      <w:r w:rsidRPr="009350DD">
        <w:rPr>
          <w:szCs w:val="24"/>
        </w:rPr>
        <w:t> 2006/125/</w:t>
      </w:r>
      <w:r w:rsidR="00F5306C" w:rsidRPr="009350DD">
        <w:rPr>
          <w:color w:val="000000" w:themeColor="text1"/>
          <w:szCs w:val="24"/>
        </w:rPr>
        <w:t>EC</w:t>
      </w:r>
      <w:r w:rsidR="00551CBA" w:rsidRPr="009350DD">
        <w:rPr>
          <w:color w:val="000000" w:themeColor="text1"/>
          <w:szCs w:val="24"/>
        </w:rPr>
        <w:t xml:space="preserve"> and</w:t>
      </w:r>
      <w:r w:rsidR="00F5306C">
        <w:rPr>
          <w:color w:val="000000" w:themeColor="text1"/>
          <w:szCs w:val="24"/>
        </w:rPr>
        <w:t xml:space="preserve"> </w:t>
      </w:r>
      <w:r w:rsidR="00E8547A" w:rsidRPr="00E8547A">
        <w:rPr>
          <w:color w:val="000000" w:themeColor="text1"/>
          <w:szCs w:val="24"/>
        </w:rPr>
        <w:t>D</w:t>
      </w:r>
      <w:r w:rsidR="00F329A0">
        <w:rPr>
          <w:color w:val="000000" w:themeColor="text1"/>
          <w:szCs w:val="24"/>
        </w:rPr>
        <w:t>elegated Regulation</w:t>
      </w:r>
      <w:r w:rsidR="00551CBA">
        <w:rPr>
          <w:color w:val="000000" w:themeColor="text1"/>
          <w:szCs w:val="24"/>
        </w:rPr>
        <w:t>s</w:t>
      </w:r>
      <w:r w:rsidR="00F329A0">
        <w:rPr>
          <w:color w:val="000000" w:themeColor="text1"/>
          <w:szCs w:val="24"/>
        </w:rPr>
        <w:t xml:space="preserve"> (EU) </w:t>
      </w:r>
      <w:r w:rsidR="00E8547A" w:rsidRPr="00E8547A">
        <w:rPr>
          <w:color w:val="000000" w:themeColor="text1"/>
          <w:szCs w:val="24"/>
        </w:rPr>
        <w:t>2016/127</w:t>
      </w:r>
      <w:r w:rsidR="00F5306C">
        <w:rPr>
          <w:color w:val="000000" w:themeColor="text1"/>
          <w:szCs w:val="24"/>
        </w:rPr>
        <w:t xml:space="preserve"> and (EU) 2016/128</w:t>
      </w:r>
      <w:r w:rsidRPr="00E8547A">
        <w:rPr>
          <w:color w:val="000000" w:themeColor="text1"/>
          <w:szCs w:val="24"/>
        </w:rPr>
        <w:t>. W</w:t>
      </w:r>
      <w:r w:rsidRPr="007E0EBF">
        <w:rPr>
          <w:szCs w:val="24"/>
        </w:rPr>
        <w:t>here such foods can be consumed both as sold and as reconstituted, the results shall be reported on the product as sold.</w:t>
      </w:r>
    </w:p>
    <w:p w14:paraId="1F7A726D" w14:textId="77777777" w:rsidR="002C1F49" w:rsidRPr="007E0EBF" w:rsidRDefault="002C1F49" w:rsidP="002C1F49">
      <w:pPr>
        <w:pStyle w:val="Titrearticle"/>
        <w:rPr>
          <w:szCs w:val="24"/>
        </w:rPr>
      </w:pPr>
      <w:r w:rsidRPr="007E0EBF">
        <w:rPr>
          <w:szCs w:val="24"/>
        </w:rPr>
        <w:t>Article 3</w:t>
      </w:r>
    </w:p>
    <w:p w14:paraId="3784819C" w14:textId="3D196DCE" w:rsidR="002C1F49" w:rsidRPr="007E0EBF" w:rsidRDefault="002C1F49" w:rsidP="002C1F49">
      <w:pPr>
        <w:rPr>
          <w:szCs w:val="24"/>
        </w:rPr>
      </w:pPr>
      <w:r w:rsidRPr="007E0EBF">
        <w:rPr>
          <w:szCs w:val="24"/>
        </w:rPr>
        <w:t xml:space="preserve">Member </w:t>
      </w:r>
      <w:r w:rsidR="000C1C2F" w:rsidRPr="007E0EBF">
        <w:rPr>
          <w:szCs w:val="24"/>
        </w:rPr>
        <w:t>States</w:t>
      </w:r>
      <w:r w:rsidR="000C1C2F">
        <w:rPr>
          <w:szCs w:val="24"/>
        </w:rPr>
        <w:t xml:space="preserve"> </w:t>
      </w:r>
      <w:r w:rsidR="000C1C2F" w:rsidRPr="007E0EBF">
        <w:rPr>
          <w:szCs w:val="24"/>
        </w:rPr>
        <w:t>shall</w:t>
      </w:r>
      <w:r w:rsidRPr="007E0EBF">
        <w:rPr>
          <w:szCs w:val="24"/>
        </w:rPr>
        <w:t xml:space="preserve"> submit the results of the analysis of samples tested in </w:t>
      </w:r>
      <w:r w:rsidR="00A071F1" w:rsidRPr="007E0EBF">
        <w:rPr>
          <w:szCs w:val="24"/>
        </w:rPr>
        <w:t>20</w:t>
      </w:r>
      <w:r w:rsidR="00A071F1">
        <w:rPr>
          <w:szCs w:val="24"/>
        </w:rPr>
        <w:t>2</w:t>
      </w:r>
      <w:r w:rsidR="00DF5AF5">
        <w:rPr>
          <w:szCs w:val="24"/>
        </w:rPr>
        <w:t>4</w:t>
      </w:r>
      <w:r w:rsidRPr="007E0EBF">
        <w:rPr>
          <w:szCs w:val="24"/>
        </w:rPr>
        <w:t xml:space="preserve">, </w:t>
      </w:r>
      <w:r w:rsidR="00A071F1" w:rsidRPr="007E0EBF">
        <w:rPr>
          <w:szCs w:val="24"/>
        </w:rPr>
        <w:t>202</w:t>
      </w:r>
      <w:r w:rsidR="00DF5AF5">
        <w:rPr>
          <w:szCs w:val="24"/>
        </w:rPr>
        <w:t>5</w:t>
      </w:r>
      <w:r w:rsidR="00A071F1" w:rsidRPr="007E0EBF">
        <w:rPr>
          <w:szCs w:val="24"/>
        </w:rPr>
        <w:t xml:space="preserve"> </w:t>
      </w:r>
      <w:r w:rsidRPr="007E0EBF">
        <w:rPr>
          <w:szCs w:val="24"/>
        </w:rPr>
        <w:t xml:space="preserve">and </w:t>
      </w:r>
      <w:r w:rsidR="00A071F1" w:rsidRPr="007E0EBF">
        <w:rPr>
          <w:szCs w:val="24"/>
        </w:rPr>
        <w:t>202</w:t>
      </w:r>
      <w:r w:rsidR="00DF5AF5">
        <w:rPr>
          <w:szCs w:val="24"/>
        </w:rPr>
        <w:t>6</w:t>
      </w:r>
      <w:r w:rsidR="00A071F1" w:rsidRPr="007E0EBF">
        <w:rPr>
          <w:szCs w:val="24"/>
        </w:rPr>
        <w:t xml:space="preserve"> </w:t>
      </w:r>
      <w:r w:rsidRPr="007E0EBF">
        <w:rPr>
          <w:szCs w:val="24"/>
        </w:rPr>
        <w:t>by 31</w:t>
      </w:r>
      <w:r w:rsidR="00F329A0">
        <w:rPr>
          <w:szCs w:val="24"/>
        </w:rPr>
        <w:t> </w:t>
      </w:r>
      <w:r w:rsidRPr="007E0EBF">
        <w:rPr>
          <w:szCs w:val="24"/>
        </w:rPr>
        <w:t>August</w:t>
      </w:r>
      <w:r w:rsidR="00F329A0">
        <w:rPr>
          <w:szCs w:val="24"/>
        </w:rPr>
        <w:t> </w:t>
      </w:r>
      <w:r w:rsidR="00A071F1" w:rsidRPr="007E0EBF">
        <w:rPr>
          <w:szCs w:val="24"/>
        </w:rPr>
        <w:t>202</w:t>
      </w:r>
      <w:r w:rsidR="00DF5AF5">
        <w:rPr>
          <w:szCs w:val="24"/>
        </w:rPr>
        <w:t>5</w:t>
      </w:r>
      <w:r w:rsidRPr="007E0EBF">
        <w:rPr>
          <w:szCs w:val="24"/>
        </w:rPr>
        <w:t xml:space="preserve">, </w:t>
      </w:r>
      <w:r w:rsidR="00A071F1" w:rsidRPr="007E0EBF">
        <w:rPr>
          <w:szCs w:val="24"/>
        </w:rPr>
        <w:t>202</w:t>
      </w:r>
      <w:r w:rsidR="00DF5AF5">
        <w:rPr>
          <w:szCs w:val="24"/>
        </w:rPr>
        <w:t>6</w:t>
      </w:r>
      <w:r w:rsidR="00A071F1" w:rsidRPr="007E0EBF">
        <w:rPr>
          <w:szCs w:val="24"/>
        </w:rPr>
        <w:t xml:space="preserve"> </w:t>
      </w:r>
      <w:r w:rsidRPr="007E0EBF">
        <w:rPr>
          <w:szCs w:val="24"/>
        </w:rPr>
        <w:t xml:space="preserve">and </w:t>
      </w:r>
      <w:r w:rsidR="00A071F1" w:rsidRPr="007E0EBF">
        <w:rPr>
          <w:szCs w:val="24"/>
        </w:rPr>
        <w:t>202</w:t>
      </w:r>
      <w:r w:rsidR="00DF5AF5">
        <w:rPr>
          <w:szCs w:val="24"/>
        </w:rPr>
        <w:t>7</w:t>
      </w:r>
      <w:r w:rsidR="00A071F1" w:rsidRPr="007E0EBF">
        <w:rPr>
          <w:szCs w:val="24"/>
        </w:rPr>
        <w:t xml:space="preserve"> </w:t>
      </w:r>
      <w:r w:rsidRPr="007E0EBF">
        <w:rPr>
          <w:szCs w:val="24"/>
        </w:rPr>
        <w:t>respectively</w:t>
      </w:r>
      <w:r w:rsidR="00BC3482">
        <w:rPr>
          <w:szCs w:val="24"/>
        </w:rPr>
        <w:t xml:space="preserve"> </w:t>
      </w:r>
      <w:r w:rsidR="003F5A8B">
        <w:t xml:space="preserve">in the electronic reporting format as set out by </w:t>
      </w:r>
      <w:r w:rsidR="001A0E76">
        <w:t xml:space="preserve">the </w:t>
      </w:r>
      <w:r w:rsidR="007733E7" w:rsidRPr="00F364F2">
        <w:t>Authority</w:t>
      </w:r>
      <w:r w:rsidR="003F5A8B">
        <w:t xml:space="preserve">. </w:t>
      </w:r>
    </w:p>
    <w:p w14:paraId="716D187B" w14:textId="6F5F0A0C" w:rsidR="002C1F49" w:rsidRPr="00391EC3" w:rsidRDefault="002C1F49" w:rsidP="002C1F49">
      <w:pPr>
        <w:rPr>
          <w:szCs w:val="24"/>
        </w:rPr>
      </w:pPr>
      <w:r w:rsidRPr="007E0EBF">
        <w:rPr>
          <w:szCs w:val="24"/>
        </w:rPr>
        <w:lastRenderedPageBreak/>
        <w:t xml:space="preserve">Where the </w:t>
      </w:r>
      <w:r w:rsidRPr="00A17997">
        <w:rPr>
          <w:szCs w:val="24"/>
        </w:rPr>
        <w:t>residue definition of a pesticide</w:t>
      </w:r>
      <w:r w:rsidRPr="007E0EBF">
        <w:rPr>
          <w:szCs w:val="24"/>
        </w:rPr>
        <w:t xml:space="preserve"> includes more than one compound (active substance</w:t>
      </w:r>
      <w:r w:rsidR="00A17997">
        <w:rPr>
          <w:szCs w:val="24"/>
        </w:rPr>
        <w:t xml:space="preserve"> and/or</w:t>
      </w:r>
      <w:r w:rsidRPr="007E0EBF">
        <w:rPr>
          <w:szCs w:val="24"/>
        </w:rPr>
        <w:t xml:space="preserve"> metabolite or breakdown or reaction product), Member States</w:t>
      </w:r>
      <w:r w:rsidR="00391EC3">
        <w:rPr>
          <w:szCs w:val="24"/>
        </w:rPr>
        <w:t xml:space="preserve"> </w:t>
      </w:r>
      <w:r w:rsidRPr="007E0EBF">
        <w:rPr>
          <w:szCs w:val="24"/>
        </w:rPr>
        <w:t xml:space="preserve">shall report the analysis results in accordance with the full residue definition. </w:t>
      </w:r>
      <w:r w:rsidR="007733E7">
        <w:rPr>
          <w:szCs w:val="24"/>
        </w:rPr>
        <w:t>T</w:t>
      </w:r>
      <w:r w:rsidRPr="007E0EBF">
        <w:rPr>
          <w:szCs w:val="24"/>
        </w:rPr>
        <w:t xml:space="preserve">he results of all </w:t>
      </w:r>
      <w:r w:rsidRPr="009350DD">
        <w:rPr>
          <w:szCs w:val="24"/>
        </w:rPr>
        <w:t xml:space="preserve">analytes </w:t>
      </w:r>
      <w:r w:rsidRPr="007E0EBF">
        <w:rPr>
          <w:szCs w:val="24"/>
        </w:rPr>
        <w:t>that are part of the residue definition shall be submitted separately, as far as they ar</w:t>
      </w:r>
      <w:r w:rsidR="005A3C63">
        <w:rPr>
          <w:szCs w:val="24"/>
        </w:rPr>
        <w:t>e measured individually.</w:t>
      </w:r>
    </w:p>
    <w:p w14:paraId="01512C96" w14:textId="77777777" w:rsidR="002C1F49" w:rsidRPr="007E0EBF" w:rsidRDefault="002C1F49" w:rsidP="002C1F49">
      <w:pPr>
        <w:pStyle w:val="Titrearticle"/>
        <w:rPr>
          <w:szCs w:val="24"/>
        </w:rPr>
      </w:pPr>
      <w:r w:rsidRPr="007E0EBF">
        <w:rPr>
          <w:szCs w:val="24"/>
        </w:rPr>
        <w:t>Article 4</w:t>
      </w:r>
    </w:p>
    <w:p w14:paraId="22281A63" w14:textId="59AD94FA" w:rsidR="002C1F49" w:rsidRDefault="002C1F49" w:rsidP="002C1F49">
      <w:pPr>
        <w:rPr>
          <w:szCs w:val="24"/>
        </w:rPr>
      </w:pPr>
      <w:r w:rsidRPr="007E0EBF">
        <w:rPr>
          <w:szCs w:val="24"/>
        </w:rPr>
        <w:t xml:space="preserve">Implementing Regulation (EU) </w:t>
      </w:r>
      <w:r w:rsidR="004B1D7A">
        <w:rPr>
          <w:szCs w:val="24"/>
        </w:rPr>
        <w:t>202</w:t>
      </w:r>
      <w:r w:rsidR="00DF5AF5">
        <w:rPr>
          <w:szCs w:val="24"/>
        </w:rPr>
        <w:t>2</w:t>
      </w:r>
      <w:r w:rsidRPr="007E0EBF">
        <w:rPr>
          <w:szCs w:val="24"/>
        </w:rPr>
        <w:t>/</w:t>
      </w:r>
      <w:r w:rsidR="00DF5AF5">
        <w:rPr>
          <w:szCs w:val="24"/>
        </w:rPr>
        <w:t>74</w:t>
      </w:r>
      <w:r w:rsidR="004B1D7A">
        <w:rPr>
          <w:szCs w:val="24"/>
        </w:rPr>
        <w:t>1</w:t>
      </w:r>
      <w:r w:rsidR="00A071F1" w:rsidRPr="007E0EBF">
        <w:rPr>
          <w:szCs w:val="24"/>
        </w:rPr>
        <w:t xml:space="preserve"> </w:t>
      </w:r>
      <w:r w:rsidRPr="007E0EBF">
        <w:rPr>
          <w:szCs w:val="24"/>
        </w:rPr>
        <w:t>is repealed.</w:t>
      </w:r>
    </w:p>
    <w:p w14:paraId="7788FBAA" w14:textId="4DBA90FC" w:rsidR="002C1F49" w:rsidRPr="00A17997" w:rsidRDefault="00A17997" w:rsidP="002C1F49">
      <w:r w:rsidRPr="002524A4">
        <w:t xml:space="preserve">However, </w:t>
      </w:r>
      <w:r w:rsidRPr="008269F5">
        <w:t xml:space="preserve">as regards samples tested in </w:t>
      </w:r>
      <w:r w:rsidR="00A071F1" w:rsidRPr="008269F5">
        <w:t>20</w:t>
      </w:r>
      <w:r w:rsidR="004B3825" w:rsidRPr="008269F5">
        <w:t>2</w:t>
      </w:r>
      <w:r w:rsidR="00DF5AF5">
        <w:t>3</w:t>
      </w:r>
      <w:r w:rsidRPr="002524A4">
        <w:t xml:space="preserve">, </w:t>
      </w:r>
      <w:r w:rsidR="00AC01FD">
        <w:t>it</w:t>
      </w:r>
      <w:r w:rsidRPr="002524A4">
        <w:t xml:space="preserve"> shall continue to apply </w:t>
      </w:r>
      <w:r w:rsidRPr="008269F5">
        <w:t>until 1</w:t>
      </w:r>
      <w:r w:rsidR="00F329A0" w:rsidRPr="008269F5">
        <w:t> </w:t>
      </w:r>
      <w:r w:rsidRPr="008269F5">
        <w:t>September</w:t>
      </w:r>
      <w:r w:rsidR="00F329A0" w:rsidRPr="008269F5">
        <w:t> </w:t>
      </w:r>
      <w:r w:rsidR="00A071F1" w:rsidRPr="008269F5">
        <w:t>202</w:t>
      </w:r>
      <w:r w:rsidR="00DF5AF5">
        <w:t>4</w:t>
      </w:r>
      <w:r w:rsidR="002524A4" w:rsidRPr="002524A4">
        <w:t>.</w:t>
      </w:r>
    </w:p>
    <w:p w14:paraId="5D2B9AD6" w14:textId="77777777" w:rsidR="002C1F49" w:rsidRPr="007E0EBF" w:rsidRDefault="002C1F49" w:rsidP="002C1F49">
      <w:pPr>
        <w:pStyle w:val="Titrearticle"/>
        <w:rPr>
          <w:szCs w:val="24"/>
        </w:rPr>
      </w:pPr>
      <w:r w:rsidRPr="007E0EBF">
        <w:rPr>
          <w:szCs w:val="24"/>
        </w:rPr>
        <w:t>Article 5</w:t>
      </w:r>
    </w:p>
    <w:p w14:paraId="6CDFDF87" w14:textId="62DD8D95" w:rsidR="002C1F49" w:rsidRDefault="002C1F49" w:rsidP="002C1F49">
      <w:pPr>
        <w:keepNext/>
        <w:keepLines/>
        <w:rPr>
          <w:szCs w:val="24"/>
        </w:rPr>
      </w:pPr>
      <w:r w:rsidRPr="007E0EBF">
        <w:rPr>
          <w:szCs w:val="24"/>
        </w:rPr>
        <w:t xml:space="preserve">This Regulation shall </w:t>
      </w:r>
      <w:r w:rsidRPr="00D93304">
        <w:rPr>
          <w:szCs w:val="24"/>
        </w:rPr>
        <w:t>enter into force on 1</w:t>
      </w:r>
      <w:r w:rsidR="00F329A0" w:rsidRPr="00D93304">
        <w:rPr>
          <w:szCs w:val="24"/>
        </w:rPr>
        <w:t> </w:t>
      </w:r>
      <w:r w:rsidRPr="00D93304">
        <w:rPr>
          <w:szCs w:val="24"/>
        </w:rPr>
        <w:t>January</w:t>
      </w:r>
      <w:r w:rsidR="00F329A0" w:rsidRPr="00D93304">
        <w:rPr>
          <w:szCs w:val="24"/>
        </w:rPr>
        <w:t> </w:t>
      </w:r>
      <w:r w:rsidR="00A071F1" w:rsidRPr="00D93304">
        <w:rPr>
          <w:szCs w:val="24"/>
        </w:rPr>
        <w:t>202</w:t>
      </w:r>
      <w:r w:rsidR="00DF5AF5">
        <w:rPr>
          <w:szCs w:val="24"/>
        </w:rPr>
        <w:t>4</w:t>
      </w:r>
      <w:r w:rsidR="002524A4" w:rsidRPr="002524A4">
        <w:rPr>
          <w:szCs w:val="24"/>
        </w:rPr>
        <w:t>.</w:t>
      </w:r>
    </w:p>
    <w:p w14:paraId="638F2B70" w14:textId="77777777" w:rsidR="000C1C2F" w:rsidRDefault="002C1F49" w:rsidP="009350DD">
      <w:pPr>
        <w:pStyle w:val="Applicationdirecte"/>
      </w:pPr>
      <w:r w:rsidRPr="00584A70">
        <w:t>This Regulation shall be binding in its entirety and directly applicable in all Member States</w:t>
      </w:r>
      <w:r w:rsidRPr="000C1C2F">
        <w:t>.</w:t>
      </w:r>
    </w:p>
    <w:p w14:paraId="4F381CC8" w14:textId="5ABEF163" w:rsidR="002C1F49" w:rsidRPr="009939AD" w:rsidRDefault="009B4B02" w:rsidP="009B4B02">
      <w:pPr>
        <w:pStyle w:val="Fait"/>
      </w:pPr>
      <w:r w:rsidRPr="009B4B02">
        <w:t>Done at Brussels,</w:t>
      </w:r>
    </w:p>
    <w:p w14:paraId="36B507F0" w14:textId="77777777" w:rsidR="002C1F49" w:rsidRPr="009939AD" w:rsidRDefault="002C1F49" w:rsidP="002C1F49">
      <w:pPr>
        <w:pStyle w:val="Institutionquisigne"/>
      </w:pPr>
      <w:r w:rsidRPr="009939AD">
        <w:tab/>
        <w:t xml:space="preserve">For the Commission </w:t>
      </w:r>
    </w:p>
    <w:p w14:paraId="59FE4F83" w14:textId="77777777" w:rsidR="002C1F49" w:rsidRPr="009939AD" w:rsidRDefault="002C1F49" w:rsidP="002C1F49">
      <w:pPr>
        <w:pStyle w:val="Personnequisigne"/>
        <w:rPr>
          <w:lang w:val="pt-PT"/>
        </w:rPr>
      </w:pPr>
      <w:r w:rsidRPr="009939AD">
        <w:tab/>
      </w:r>
      <w:r w:rsidRPr="009939AD">
        <w:rPr>
          <w:lang w:val="pt-PT"/>
        </w:rPr>
        <w:t>The President</w:t>
      </w:r>
    </w:p>
    <w:p w14:paraId="0C3D3FD1" w14:textId="77777777" w:rsidR="002C1F49" w:rsidRPr="00375AAF" w:rsidRDefault="002C1F49" w:rsidP="00C67BC2">
      <w:pPr>
        <w:pStyle w:val="Personnequisigne"/>
        <w:rPr>
          <w:lang w:val="de-DE"/>
        </w:rPr>
      </w:pPr>
      <w:r w:rsidRPr="009939AD">
        <w:rPr>
          <w:lang w:val="pt-PT"/>
        </w:rPr>
        <w:tab/>
      </w:r>
      <w:r w:rsidR="00F329A0">
        <w:rPr>
          <w:lang w:val="pt-PT"/>
        </w:rPr>
        <w:t>Ursula VON DER LEYEN</w:t>
      </w:r>
    </w:p>
    <w:sectPr w:rsidR="002C1F49" w:rsidRPr="00375AAF" w:rsidSect="007E2C40">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2434" w14:textId="77777777" w:rsidR="003C3387" w:rsidRDefault="003C3387" w:rsidP="002C1F49">
      <w:pPr>
        <w:spacing w:before="0" w:after="0"/>
      </w:pPr>
      <w:r>
        <w:separator/>
      </w:r>
    </w:p>
  </w:endnote>
  <w:endnote w:type="continuationSeparator" w:id="0">
    <w:p w14:paraId="7DBD26C0" w14:textId="77777777" w:rsidR="003C3387" w:rsidRDefault="003C3387" w:rsidP="002C1F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0146" w14:textId="28F117A9" w:rsidR="007E2C40" w:rsidRPr="007E2C40" w:rsidRDefault="007E2C40" w:rsidP="007E2C40">
    <w:pPr>
      <w:pStyle w:val="Sidefod"/>
      <w:rPr>
        <w:rFonts w:ascii="Arial" w:hAnsi="Arial" w:cs="Arial"/>
        <w:b/>
        <w:sz w:val="48"/>
      </w:rPr>
    </w:pPr>
    <w:r w:rsidRPr="007E2C40">
      <w:rPr>
        <w:rFonts w:ascii="Arial" w:hAnsi="Arial" w:cs="Arial"/>
        <w:b/>
        <w:sz w:val="48"/>
      </w:rPr>
      <w:t>EN</w:t>
    </w:r>
    <w:r w:rsidRPr="007E2C40">
      <w:rPr>
        <w:rFonts w:ascii="Arial" w:hAnsi="Arial" w:cs="Arial"/>
        <w:b/>
        <w:sz w:val="48"/>
      </w:rPr>
      <w:tab/>
    </w:r>
    <w:r w:rsidRPr="007E2C40">
      <w:rPr>
        <w:rFonts w:ascii="Arial" w:hAnsi="Arial" w:cs="Arial"/>
        <w:b/>
        <w:sz w:val="48"/>
      </w:rPr>
      <w:tab/>
    </w:r>
    <w:r w:rsidRPr="007E2C40">
      <w:tab/>
    </w:r>
    <w:r w:rsidRPr="007E2C40">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4067" w14:textId="3E6AB17C" w:rsidR="007E2C40" w:rsidRPr="007E2C40" w:rsidRDefault="007E2C40" w:rsidP="007E2C40">
    <w:pPr>
      <w:pStyle w:val="Sidefod"/>
      <w:rPr>
        <w:rFonts w:ascii="Arial" w:hAnsi="Arial" w:cs="Arial"/>
        <w:b/>
        <w:sz w:val="48"/>
      </w:rPr>
    </w:pPr>
    <w:r w:rsidRPr="007E2C40">
      <w:rPr>
        <w:rFonts w:ascii="Arial" w:hAnsi="Arial" w:cs="Arial"/>
        <w:b/>
        <w:sz w:val="48"/>
      </w:rPr>
      <w:t>EN</w:t>
    </w:r>
    <w:r w:rsidRPr="007E2C40">
      <w:rPr>
        <w:rFonts w:ascii="Arial" w:hAnsi="Arial" w:cs="Arial"/>
        <w:b/>
        <w:sz w:val="48"/>
      </w:rPr>
      <w:tab/>
    </w:r>
    <w:r>
      <w:fldChar w:fldCharType="begin"/>
    </w:r>
    <w:r>
      <w:instrText xml:space="preserve"> PAGE  \* MERGEFORMAT </w:instrText>
    </w:r>
    <w:r>
      <w:fldChar w:fldCharType="separate"/>
    </w:r>
    <w:r w:rsidR="00141E7E">
      <w:rPr>
        <w:noProof/>
      </w:rPr>
      <w:t>1</w:t>
    </w:r>
    <w:r>
      <w:fldChar w:fldCharType="end"/>
    </w:r>
    <w:r>
      <w:tab/>
    </w:r>
    <w:r w:rsidRPr="007E2C40">
      <w:tab/>
    </w:r>
    <w:r w:rsidRPr="007E2C4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982F" w14:textId="77777777" w:rsidR="007E2C40" w:rsidRPr="007E2C40" w:rsidRDefault="007E2C40" w:rsidP="007E2C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97C3" w14:textId="77777777" w:rsidR="003C3387" w:rsidRDefault="003C3387" w:rsidP="002C1F49">
      <w:pPr>
        <w:spacing w:before="0" w:after="0"/>
      </w:pPr>
      <w:r>
        <w:separator/>
      </w:r>
    </w:p>
  </w:footnote>
  <w:footnote w:type="continuationSeparator" w:id="0">
    <w:p w14:paraId="7503C2AE" w14:textId="77777777" w:rsidR="003C3387" w:rsidRDefault="003C3387" w:rsidP="002C1F49">
      <w:pPr>
        <w:spacing w:before="0" w:after="0"/>
      </w:pPr>
      <w:r>
        <w:continuationSeparator/>
      </w:r>
    </w:p>
  </w:footnote>
  <w:footnote w:id="1">
    <w:p w14:paraId="1C312DDF" w14:textId="77777777" w:rsidR="002C1F49" w:rsidRPr="00CE43C1" w:rsidRDefault="002C1F49" w:rsidP="002C1F49">
      <w:pPr>
        <w:pStyle w:val="Fodnotetekst"/>
      </w:pPr>
      <w:r w:rsidRPr="00E314D4">
        <w:rPr>
          <w:rStyle w:val="Fodnotehenvisning"/>
        </w:rPr>
        <w:footnoteRef/>
      </w:r>
      <w:r w:rsidRPr="00CE43C1">
        <w:tab/>
      </w:r>
      <w:r>
        <w:t>OJ L 70, 16.3.2005, p. 1.</w:t>
      </w:r>
    </w:p>
  </w:footnote>
  <w:footnote w:id="2">
    <w:p w14:paraId="25B98DAB" w14:textId="77777777" w:rsidR="002C1F49" w:rsidRPr="004A3661" w:rsidRDefault="002C1F49" w:rsidP="002C1F49">
      <w:pPr>
        <w:pStyle w:val="Fodnotetekst"/>
      </w:pPr>
      <w:r w:rsidRPr="004A3661">
        <w:rPr>
          <w:rStyle w:val="Fodnotehenvisning"/>
        </w:rPr>
        <w:footnoteRef/>
      </w:r>
      <w:r w:rsidRPr="004A3661">
        <w:rPr>
          <w:rStyle w:val="Fodnotehenvisning"/>
        </w:rPr>
        <w:tab/>
      </w:r>
      <w:r>
        <w:t>Commission Regulation (EC) No 1213/2008 of 5 December 2008 concerning a coordinated multiannual Community control programme for 2009, 2010 and 2011 to ensure compliance with maximum residue levels of and to assess the consumer exposure to pesticide residues in and on food of plant and animal origin (</w:t>
      </w:r>
      <w:r w:rsidRPr="004A3661">
        <w:t>OJ L 328, 6.12.2008, p.</w:t>
      </w:r>
      <w:r w:rsidR="00F329A0">
        <w:t> </w:t>
      </w:r>
      <w:r w:rsidRPr="004A3661">
        <w:t>9</w:t>
      </w:r>
      <w:r>
        <w:t>)</w:t>
      </w:r>
      <w:r w:rsidRPr="004A3661">
        <w:t>.</w:t>
      </w:r>
    </w:p>
  </w:footnote>
  <w:footnote w:id="3">
    <w:p w14:paraId="5A7CA1CD" w14:textId="4B0A1EC8" w:rsidR="002C1F49" w:rsidRPr="004A3661" w:rsidRDefault="002C1F49" w:rsidP="002C1F49">
      <w:pPr>
        <w:pStyle w:val="Fodnotetekst"/>
      </w:pPr>
      <w:r w:rsidRPr="004A3661">
        <w:rPr>
          <w:rStyle w:val="Fodnotehenvisning"/>
        </w:rPr>
        <w:footnoteRef/>
      </w:r>
      <w:r w:rsidRPr="004A3661">
        <w:rPr>
          <w:lang w:val="hu-HU"/>
        </w:rPr>
        <w:tab/>
      </w:r>
      <w:r>
        <w:rPr>
          <w:lang w:val="hu-HU"/>
        </w:rPr>
        <w:t xml:space="preserve">Commission Implementing </w:t>
      </w:r>
      <w:r w:rsidRPr="00E314D4">
        <w:t xml:space="preserve">Regulation (EU) </w:t>
      </w:r>
      <w:r>
        <w:t>20</w:t>
      </w:r>
      <w:r w:rsidR="004B1D7A">
        <w:t>2</w:t>
      </w:r>
      <w:r w:rsidR="00DA70C6">
        <w:t>2</w:t>
      </w:r>
      <w:r w:rsidR="004B1D7A">
        <w:t>/</w:t>
      </w:r>
      <w:r w:rsidR="00DA70C6">
        <w:t>74</w:t>
      </w:r>
      <w:r w:rsidR="004B1D7A">
        <w:t>1</w:t>
      </w:r>
      <w:r w:rsidR="00730775">
        <w:t xml:space="preserve"> of </w:t>
      </w:r>
      <w:r w:rsidR="004B1D7A">
        <w:t>13</w:t>
      </w:r>
      <w:r w:rsidR="00730775">
        <w:t xml:space="preserve"> </w:t>
      </w:r>
      <w:r w:rsidR="00DA70C6">
        <w:t>May 2022</w:t>
      </w:r>
      <w:r>
        <w:t xml:space="preserve"> </w:t>
      </w:r>
      <w:r w:rsidRPr="00E314D4">
        <w:t xml:space="preserve">concerning a coordinated multiannual control programme of the Union for </w:t>
      </w:r>
      <w:r>
        <w:t>20</w:t>
      </w:r>
      <w:r w:rsidR="004B1D7A">
        <w:t>2</w:t>
      </w:r>
      <w:r w:rsidR="00DA70C6">
        <w:t>3</w:t>
      </w:r>
      <w:r w:rsidRPr="00594DC9">
        <w:t xml:space="preserve">, </w:t>
      </w:r>
      <w:r>
        <w:t>20</w:t>
      </w:r>
      <w:r w:rsidR="004B1D7A">
        <w:t>2</w:t>
      </w:r>
      <w:r w:rsidR="00DA70C6">
        <w:t>4</w:t>
      </w:r>
      <w:r>
        <w:t xml:space="preserve"> and 202</w:t>
      </w:r>
      <w:r w:rsidR="00DA70C6">
        <w:t>5</w:t>
      </w:r>
      <w:r w:rsidRPr="002C55D0">
        <w:t xml:space="preserve"> to ensure compliance with maximum levels of</w:t>
      </w:r>
      <w:r>
        <w:t xml:space="preserve"> pesticides</w:t>
      </w:r>
      <w:r w:rsidRPr="002C55D0">
        <w:t xml:space="preserve"> and to asses</w:t>
      </w:r>
      <w:r w:rsidRPr="00594DC9">
        <w:t>s the consumer exposure to pesticide residues in and on food of plant and animal origin</w:t>
      </w:r>
      <w:r>
        <w:t xml:space="preserve"> (OJ L </w:t>
      </w:r>
      <w:r w:rsidR="004B1D7A">
        <w:t>1</w:t>
      </w:r>
      <w:r w:rsidR="00DA70C6">
        <w:t>3</w:t>
      </w:r>
      <w:r w:rsidR="004B1D7A">
        <w:t>7</w:t>
      </w:r>
      <w:r>
        <w:t xml:space="preserve">, </w:t>
      </w:r>
      <w:r w:rsidR="004B1D7A">
        <w:t>1</w:t>
      </w:r>
      <w:r w:rsidR="00DA70C6">
        <w:t>6</w:t>
      </w:r>
      <w:r w:rsidR="00EF664C">
        <w:t>.</w:t>
      </w:r>
      <w:r w:rsidR="00DA70C6">
        <w:t>5</w:t>
      </w:r>
      <w:r>
        <w:t>.20</w:t>
      </w:r>
      <w:r w:rsidR="004B1D7A">
        <w:t>2</w:t>
      </w:r>
      <w:r w:rsidR="00DA70C6">
        <w:t>2</w:t>
      </w:r>
      <w:r w:rsidR="00F329A0">
        <w:t>, p. </w:t>
      </w:r>
      <w:r w:rsidR="00DA70C6">
        <w:t>12-24</w:t>
      </w:r>
      <w:r w:rsidR="00B11E9E">
        <w:t>)</w:t>
      </w:r>
      <w:r w:rsidRPr="00B11E9E">
        <w:t>.</w:t>
      </w:r>
    </w:p>
  </w:footnote>
  <w:footnote w:id="4">
    <w:p w14:paraId="33445267" w14:textId="77777777" w:rsidR="009C5518" w:rsidRPr="00B82D06" w:rsidRDefault="009C5518" w:rsidP="009C5518">
      <w:pPr>
        <w:pStyle w:val="Fodnotetekst"/>
        <w:rPr>
          <w:lang w:val="en-US"/>
        </w:rPr>
      </w:pPr>
      <w:r w:rsidRPr="00E314D4">
        <w:rPr>
          <w:rStyle w:val="Fodnotehenvisning"/>
        </w:rPr>
        <w:footnoteRef/>
      </w:r>
      <w:r w:rsidRPr="007443B8">
        <w:rPr>
          <w:rStyle w:val="Fodnotehenvisning"/>
        </w:rPr>
        <w:tab/>
      </w:r>
      <w:r w:rsidRPr="00EB1C7A">
        <w:t xml:space="preserve">European Food Safety Authority; </w:t>
      </w:r>
      <w:r>
        <w:t xml:space="preserve">pesticide monitoring program: design assessment. </w:t>
      </w:r>
      <w:r w:rsidRPr="00B82D06">
        <w:rPr>
          <w:lang w:val="en-US"/>
        </w:rPr>
        <w:t>EFSA Journal 2015;13(2):4005.</w:t>
      </w:r>
    </w:p>
  </w:footnote>
  <w:footnote w:id="5">
    <w:p w14:paraId="1B1A7AAC" w14:textId="0C3A3349" w:rsidR="001F1DF0" w:rsidRPr="00B82D06" w:rsidRDefault="001F1DF0" w:rsidP="001F1DF0">
      <w:pPr>
        <w:pStyle w:val="Fodnotetekst"/>
        <w:rPr>
          <w:lang w:val="en-US"/>
        </w:rPr>
      </w:pPr>
      <w:r w:rsidRPr="00E314D4">
        <w:rPr>
          <w:rStyle w:val="Fodnotehenvisning"/>
        </w:rPr>
        <w:footnoteRef/>
      </w:r>
      <w:r w:rsidRPr="00B82D06">
        <w:rPr>
          <w:rStyle w:val="Fodnotehenvisning"/>
          <w:lang w:val="en-US"/>
        </w:rPr>
        <w:tab/>
      </w:r>
      <w:r w:rsidRPr="00B82D06">
        <w:rPr>
          <w:lang w:val="en-US"/>
        </w:rPr>
        <w:t>Document SANTE/11312/2021</w:t>
      </w:r>
      <w:r w:rsidR="009B4B02">
        <w:rPr>
          <w:lang w:val="en-US"/>
        </w:rPr>
        <w:t>.</w:t>
      </w:r>
    </w:p>
  </w:footnote>
  <w:footnote w:id="6">
    <w:p w14:paraId="2802BC09" w14:textId="77777777" w:rsidR="00EC608C" w:rsidRPr="00EC608C" w:rsidRDefault="00EC608C">
      <w:pPr>
        <w:pStyle w:val="Fodnotetekst"/>
        <w:rPr>
          <w:lang w:val="en-US"/>
        </w:rPr>
      </w:pPr>
      <w:r w:rsidRPr="002219E8">
        <w:rPr>
          <w:rStyle w:val="Fodnotehenvisning"/>
        </w:rPr>
        <w:footnoteRef/>
      </w:r>
      <w:r w:rsidR="002219E8">
        <w:tab/>
      </w:r>
      <w:r w:rsidRPr="00B07650">
        <w:t>SANC</w:t>
      </w:r>
      <w:r>
        <w:t>O/12574/2014, Working Document on the summing up of LOQs in case of complex residue definitions.</w:t>
      </w:r>
    </w:p>
  </w:footnote>
  <w:footnote w:id="7">
    <w:p w14:paraId="0BF4712D" w14:textId="77777777" w:rsidR="002C1F49" w:rsidRPr="00857655" w:rsidRDefault="002C1F49" w:rsidP="002C1F49">
      <w:pPr>
        <w:pStyle w:val="Fodnotetekst"/>
      </w:pPr>
      <w:r w:rsidRPr="00857655">
        <w:rPr>
          <w:rStyle w:val="Fodnotehenvisning"/>
        </w:rPr>
        <w:footnoteRef/>
      </w:r>
      <w:r w:rsidRPr="00857655">
        <w:tab/>
        <w:t>Commission Directive 2002/63/EC of 11 July 2002 establishing Community methods of sampling for the official control of pesticide residues in and on products of plant and animal origin and repealing Directive 79/7</w:t>
      </w:r>
      <w:r w:rsidR="00F329A0">
        <w:t>00/EEC (OJ L 187, 16.7.2002, p. </w:t>
      </w:r>
      <w:r w:rsidRPr="00857655">
        <w:t>30).</w:t>
      </w:r>
    </w:p>
  </w:footnote>
  <w:footnote w:id="8">
    <w:p w14:paraId="65B9E21A" w14:textId="77777777" w:rsidR="006C3F57" w:rsidRPr="00932DAD" w:rsidRDefault="006C3F57" w:rsidP="006C3F57">
      <w:pPr>
        <w:pStyle w:val="Fodnotetekst"/>
      </w:pPr>
      <w:r w:rsidRPr="002219E8">
        <w:rPr>
          <w:rStyle w:val="Fodnotehenvisning"/>
        </w:rPr>
        <w:footnoteRef/>
      </w:r>
      <w:r>
        <w:tab/>
        <w:t xml:space="preserve">Commission Delegated Regulation (EU) 2016/127 of 25 September 2015 </w:t>
      </w:r>
      <w:r w:rsidRPr="00932DAD">
        <w:t>supplementing Regulation (EU) No 609/2013 of the European Parliament and of the Council as regards the specific compositional and information requirements for infant formula and follow-on formula and as regards requirements on information relating to infant and young child feeding</w:t>
      </w:r>
      <w:r>
        <w:t xml:space="preserve"> </w:t>
      </w:r>
      <w:r w:rsidRPr="00857655">
        <w:t xml:space="preserve">(OJ L </w:t>
      </w:r>
      <w:r>
        <w:t>25</w:t>
      </w:r>
      <w:r w:rsidRPr="002524A4">
        <w:t>, 2.2</w:t>
      </w:r>
      <w:r>
        <w:t>.2016, p. 1</w:t>
      </w:r>
      <w:r w:rsidRPr="00857655">
        <w:t>).</w:t>
      </w:r>
    </w:p>
  </w:footnote>
  <w:footnote w:id="9">
    <w:p w14:paraId="0C2E8AA7" w14:textId="3419C91A" w:rsidR="001F613E" w:rsidRPr="001F613E" w:rsidRDefault="001F613E">
      <w:pPr>
        <w:pStyle w:val="Fodnotetekst"/>
        <w:rPr>
          <w:lang w:val="en-US"/>
        </w:rPr>
      </w:pPr>
      <w:r w:rsidRPr="00E7378C">
        <w:rPr>
          <w:rStyle w:val="Fodnotehenvisning"/>
        </w:rPr>
        <w:footnoteRef/>
      </w:r>
      <w:r w:rsidR="00E7378C">
        <w:tab/>
      </w:r>
      <w:r w:rsidRPr="001F613E">
        <w:t>Commission Delegated Regulation (EU) 2016/128 of 25 September 2015 supplementing Regulation (EU) No 609/2013 of the European Parliament and of the Council as regards the specific compositional and information requirements for food for special medical purposes</w:t>
      </w:r>
      <w:r>
        <w:t xml:space="preserve"> </w:t>
      </w:r>
      <w:r w:rsidRPr="00857655">
        <w:t xml:space="preserve">(OJ L </w:t>
      </w:r>
      <w:r>
        <w:t>25</w:t>
      </w:r>
      <w:r w:rsidRPr="002524A4">
        <w:t>, 2.2</w:t>
      </w:r>
      <w:r>
        <w:t>.2016, p. 30</w:t>
      </w:r>
      <w:r w:rsidRPr="00857655">
        <w:t>).</w:t>
      </w:r>
    </w:p>
  </w:footnote>
  <w:footnote w:id="10">
    <w:p w14:paraId="426A3EA1" w14:textId="532D3A72" w:rsidR="00805AE8" w:rsidRPr="00805AE8" w:rsidRDefault="00805AE8">
      <w:pPr>
        <w:pStyle w:val="Fodnotetekst"/>
        <w:rPr>
          <w:lang w:val="en-US"/>
        </w:rPr>
      </w:pPr>
      <w:r>
        <w:rPr>
          <w:rStyle w:val="Fodnotehenvisning"/>
        </w:rPr>
        <w:footnoteRef/>
      </w:r>
      <w:r w:rsidRPr="00805AE8">
        <w:rPr>
          <w:lang w:val="en-US"/>
        </w:rPr>
        <w:tab/>
      </w:r>
      <w:r w:rsidRPr="00F12908">
        <w:t>Commission Directive 2006/125/EC of 5 December 2006 on processed cereal-based foods and baby foods for infants and young children (OJ L 339, 6.12.2006, p.</w:t>
      </w:r>
      <w:r>
        <w:t> </w:t>
      </w:r>
      <w:r w:rsidRPr="00F12908">
        <w:t>16)</w:t>
      </w:r>
      <w:r>
        <w:t>.</w:t>
      </w:r>
    </w:p>
  </w:footnote>
  <w:footnote w:id="11">
    <w:p w14:paraId="7867FB08" w14:textId="27344464" w:rsidR="009350DD" w:rsidRPr="009350DD" w:rsidRDefault="009350DD">
      <w:pPr>
        <w:pStyle w:val="Fodnotetekst"/>
        <w:rPr>
          <w:lang w:val="en-US"/>
        </w:rPr>
      </w:pPr>
      <w:r w:rsidRPr="0064759F">
        <w:rPr>
          <w:rStyle w:val="Fodnotehenvisning"/>
        </w:rPr>
        <w:footnoteRef/>
      </w:r>
      <w:r w:rsidR="0064759F">
        <w:tab/>
      </w:r>
      <w:r w:rsidR="00B9166D" w:rsidRPr="00B9166D">
        <w:t>In accordance with the Agreement on the withdrawal of the United Kingdom of Great Britain and Northern Ireland from the European Union and the European Atomic Energy Community, and in particular Article 5(4) of the Protocol on Ireland / Northern Ireland in conjunction with section 24 of Annex 2 to that Protocol, for the purposes of this Regulation, references to Member States include the United Kingdom in respect of Northern Ireland</w:t>
      </w:r>
      <w:r w:rsidR="00B9166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39299"/>
      <w:lock w:val="sdtContentLocked"/>
      <w:placeholder>
        <w:docPart w:val="DefaultPlaceholder_-1854013440"/>
      </w:placeholder>
      <w:group/>
    </w:sdtPr>
    <w:sdtEndPr/>
    <w:sdtContent>
      <w:p w14:paraId="05CE6F38" w14:textId="1EFCA744" w:rsidR="007E2C40" w:rsidRPr="007E2C40" w:rsidRDefault="00141E7E" w:rsidP="007E2C40">
        <w:pPr>
          <w:pStyle w:val="Sidehoved"/>
        </w:pPr>
        <w:r>
          <w:rPr>
            <w:noProof/>
            <w:lang w:val="da-DK" w:eastAsia="da-DK"/>
          </w:rPr>
          <mc:AlternateContent>
            <mc:Choice Requires="wps">
              <w:drawing>
                <wp:anchor distT="0" distB="0" distL="114300" distR="114300" simplePos="0" relativeHeight="251658240" behindDoc="0" locked="0" layoutInCell="1" allowOverlap="1" wp14:anchorId="767FEE0C" wp14:editId="3DA28608">
                  <wp:simplePos x="0" y="0"/>
                  <wp:positionH relativeFrom="margin">
                    <wp:align>center</wp:align>
                  </wp:positionH>
                  <wp:positionV relativeFrom="margin">
                    <wp:align>center</wp:align>
                  </wp:positionV>
                  <wp:extent cx="5111750" cy="2232025"/>
                  <wp:effectExtent l="47625" t="1485900" r="0" b="1482725"/>
                  <wp:wrapNone/>
                  <wp:docPr id="1" name="Draft_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CD37FE1" w14:textId="77777777" w:rsidR="00141E7E" w:rsidRDefault="00141E7E" w:rsidP="00141E7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7FEE0C"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" filled="f" stroked="f">
                  <v:stroke joinstyle="round"/>
                  <o:lock v:ext="edit" aspectratio="t" shapetype="t"/>
                  <v:textbox style="mso-fit-shape-to-text:t">
                    <w:txbxContent>
                      <w:p w14:paraId="0CD37FE1" w14:textId="77777777" w:rsidR="00141E7E" w:rsidRDefault="00141E7E" w:rsidP="00141E7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EA0FFE"/>
    <w:lvl w:ilvl="0">
      <w:start w:val="1"/>
      <w:numFmt w:val="decimal"/>
      <w:pStyle w:val="Opstilling-talellerbogst4"/>
      <w:lvlText w:val="%1."/>
      <w:lvlJc w:val="left"/>
      <w:pPr>
        <w:tabs>
          <w:tab w:val="num" w:pos="1209"/>
        </w:tabs>
        <w:ind w:left="1209" w:hanging="360"/>
      </w:pPr>
    </w:lvl>
  </w:abstractNum>
  <w:abstractNum w:abstractNumId="1" w15:restartNumberingAfterBreak="0">
    <w:nsid w:val="FFFFFF7E"/>
    <w:multiLevelType w:val="singleLevel"/>
    <w:tmpl w:val="8A5C911E"/>
    <w:lvl w:ilvl="0">
      <w:start w:val="1"/>
      <w:numFmt w:val="decimal"/>
      <w:pStyle w:val="Opstilling-talellerbogst3"/>
      <w:lvlText w:val="%1."/>
      <w:lvlJc w:val="left"/>
      <w:pPr>
        <w:tabs>
          <w:tab w:val="num" w:pos="926"/>
        </w:tabs>
        <w:ind w:left="926" w:hanging="360"/>
      </w:pPr>
    </w:lvl>
  </w:abstractNum>
  <w:abstractNum w:abstractNumId="2" w15:restartNumberingAfterBreak="0">
    <w:nsid w:val="FFFFFF7F"/>
    <w:multiLevelType w:val="singleLevel"/>
    <w:tmpl w:val="D8D4F61E"/>
    <w:lvl w:ilvl="0">
      <w:start w:val="1"/>
      <w:numFmt w:val="decimal"/>
      <w:pStyle w:val="Opstilling-talellerbogst2"/>
      <w:lvlText w:val="%1."/>
      <w:lvlJc w:val="left"/>
      <w:pPr>
        <w:tabs>
          <w:tab w:val="num" w:pos="643"/>
        </w:tabs>
        <w:ind w:left="643" w:hanging="360"/>
      </w:pPr>
    </w:lvl>
  </w:abstractNum>
  <w:abstractNum w:abstractNumId="3" w15:restartNumberingAfterBreak="0">
    <w:nsid w:val="FFFFFF81"/>
    <w:multiLevelType w:val="singleLevel"/>
    <w:tmpl w:val="F954C8C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F2A03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310109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5E0BE60"/>
    <w:lvl w:ilvl="0">
      <w:start w:val="1"/>
      <w:numFmt w:val="decimal"/>
      <w:pStyle w:val="Opstilling-talellerbogst"/>
      <w:lvlText w:val="%1."/>
      <w:lvlJc w:val="left"/>
      <w:pPr>
        <w:tabs>
          <w:tab w:val="num" w:pos="360"/>
        </w:tabs>
        <w:ind w:left="360" w:hanging="360"/>
      </w:pPr>
    </w:lvl>
  </w:abstractNum>
  <w:abstractNum w:abstractNumId="7" w15:restartNumberingAfterBreak="0">
    <w:nsid w:val="FFFFFF89"/>
    <w:multiLevelType w:val="singleLevel"/>
    <w:tmpl w:val="B636E418"/>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21"/>
  </w:num>
  <w:num w:numId="14">
    <w:abstractNumId w:val="11"/>
  </w:num>
  <w:num w:numId="15">
    <w:abstractNumId w:val="13"/>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 w:numId="25">
    <w:abstractNumId w:val="19"/>
  </w:num>
  <w:num w:numId="26">
    <w:abstractNumId w:val="12"/>
  </w:num>
  <w:num w:numId="27">
    <w:abstractNumId w:val="21"/>
  </w:num>
  <w:num w:numId="28">
    <w:abstractNumId w:val="11"/>
  </w:num>
  <w:num w:numId="29">
    <w:abstractNumId w:val="13"/>
  </w:num>
  <w:num w:numId="30">
    <w:abstractNumId w:val="9"/>
  </w:num>
  <w:num w:numId="31">
    <w:abstractNumId w:val="20"/>
  </w:num>
  <w:num w:numId="32">
    <w:abstractNumId w:val="8"/>
  </w:num>
  <w:num w:numId="33">
    <w:abstractNumId w:val="15"/>
  </w:num>
  <w:num w:numId="34">
    <w:abstractNumId w:val="17"/>
  </w:num>
  <w:num w:numId="35">
    <w:abstractNumId w:val="18"/>
  </w:num>
  <w:num w:numId="36">
    <w:abstractNumId w:val="10"/>
  </w:num>
  <w:num w:numId="37">
    <w:abstractNumId w:val="16"/>
  </w:num>
  <w:num w:numId="38">
    <w:abstractNumId w:val="22"/>
  </w:num>
  <w:num w:numId="39">
    <w:abstractNumId w:val="20"/>
  </w:num>
  <w:num w:numId="40">
    <w:abstractNumId w:val="20"/>
  </w:num>
  <w:num w:numId="41">
    <w:abstractNumId w:val="20"/>
  </w:num>
  <w:num w:numId="42">
    <w:abstractNumId w:val="14"/>
  </w:num>
  <w:num w:numId="43">
    <w:abstractNumId w:val="9"/>
  </w:num>
  <w:num w:numId="44">
    <w:abstractNumId w:val="9"/>
  </w:num>
  <w:num w:numId="4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2-02-07 18:25: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E6300DC8-D1CE-4F51-A26B-44AE329F44C1"/>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3) XXX"/>
    <w:docVar w:name="LW_REF.INTERNE" w:val="PLAN/2309/2022 Rev. 2"/>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cerning a coordinated multiannual control programme of the Union for 2024, 2025 and 2026 to ensure compliance with maximum residue levels of pesticides and to assess the consumer exposure to pesticide residues in and on food of plant and animal origin and repealing Implementing Regulation (EU) 2022/741"/>
    <w:docVar w:name="LW_TYPE.DOC.CP" w:val="COMMISSION IMPLEMENTING REGULATION (EU) \u8230?/..."/>
  </w:docVars>
  <w:rsids>
    <w:rsidRoot w:val="002C1F49"/>
    <w:rsid w:val="00030F8A"/>
    <w:rsid w:val="00050377"/>
    <w:rsid w:val="000635EF"/>
    <w:rsid w:val="000723B0"/>
    <w:rsid w:val="000B01FD"/>
    <w:rsid w:val="000B53A0"/>
    <w:rsid w:val="000C1C2F"/>
    <w:rsid w:val="00102C4D"/>
    <w:rsid w:val="00104A09"/>
    <w:rsid w:val="00107FFC"/>
    <w:rsid w:val="00112117"/>
    <w:rsid w:val="00141E7E"/>
    <w:rsid w:val="0015693C"/>
    <w:rsid w:val="00171F60"/>
    <w:rsid w:val="001727A2"/>
    <w:rsid w:val="00180949"/>
    <w:rsid w:val="0019538D"/>
    <w:rsid w:val="001A0E76"/>
    <w:rsid w:val="001B0332"/>
    <w:rsid w:val="001C331B"/>
    <w:rsid w:val="001C48A5"/>
    <w:rsid w:val="001F1DF0"/>
    <w:rsid w:val="001F613E"/>
    <w:rsid w:val="001F73C5"/>
    <w:rsid w:val="002219E8"/>
    <w:rsid w:val="00222D57"/>
    <w:rsid w:val="00232BF7"/>
    <w:rsid w:val="0023626E"/>
    <w:rsid w:val="00242897"/>
    <w:rsid w:val="00244DA0"/>
    <w:rsid w:val="002524A4"/>
    <w:rsid w:val="002757F8"/>
    <w:rsid w:val="002C0C3E"/>
    <w:rsid w:val="002C1F49"/>
    <w:rsid w:val="002C268C"/>
    <w:rsid w:val="002C7B5D"/>
    <w:rsid w:val="002D4C75"/>
    <w:rsid w:val="002E0393"/>
    <w:rsid w:val="002E476B"/>
    <w:rsid w:val="0030061A"/>
    <w:rsid w:val="003111AA"/>
    <w:rsid w:val="0032010D"/>
    <w:rsid w:val="00323FFB"/>
    <w:rsid w:val="0033273F"/>
    <w:rsid w:val="00334A92"/>
    <w:rsid w:val="00341020"/>
    <w:rsid w:val="00352527"/>
    <w:rsid w:val="003607B2"/>
    <w:rsid w:val="00363894"/>
    <w:rsid w:val="00371A02"/>
    <w:rsid w:val="00375AAF"/>
    <w:rsid w:val="00376D9E"/>
    <w:rsid w:val="00377F5B"/>
    <w:rsid w:val="00387253"/>
    <w:rsid w:val="00391EC3"/>
    <w:rsid w:val="003C2FDD"/>
    <w:rsid w:val="003C3387"/>
    <w:rsid w:val="003E1391"/>
    <w:rsid w:val="003F3226"/>
    <w:rsid w:val="003F5A8B"/>
    <w:rsid w:val="0040409B"/>
    <w:rsid w:val="004515BE"/>
    <w:rsid w:val="0046772A"/>
    <w:rsid w:val="004A1520"/>
    <w:rsid w:val="004B1661"/>
    <w:rsid w:val="004B1D7A"/>
    <w:rsid w:val="004B29EA"/>
    <w:rsid w:val="004B3825"/>
    <w:rsid w:val="004D0049"/>
    <w:rsid w:val="004E0F28"/>
    <w:rsid w:val="004E28A7"/>
    <w:rsid w:val="00505CE4"/>
    <w:rsid w:val="0050663B"/>
    <w:rsid w:val="00510329"/>
    <w:rsid w:val="005370E4"/>
    <w:rsid w:val="00551CBA"/>
    <w:rsid w:val="00556B30"/>
    <w:rsid w:val="0056171F"/>
    <w:rsid w:val="00567E34"/>
    <w:rsid w:val="005705AF"/>
    <w:rsid w:val="005713A0"/>
    <w:rsid w:val="00584A70"/>
    <w:rsid w:val="00593DA3"/>
    <w:rsid w:val="005A3C63"/>
    <w:rsid w:val="005A4281"/>
    <w:rsid w:val="005C60CB"/>
    <w:rsid w:val="005C71C7"/>
    <w:rsid w:val="005E0F04"/>
    <w:rsid w:val="006138B3"/>
    <w:rsid w:val="00624807"/>
    <w:rsid w:val="0062499D"/>
    <w:rsid w:val="00646B10"/>
    <w:rsid w:val="0064759F"/>
    <w:rsid w:val="0065489F"/>
    <w:rsid w:val="00655B7A"/>
    <w:rsid w:val="006618E5"/>
    <w:rsid w:val="00663A25"/>
    <w:rsid w:val="00671381"/>
    <w:rsid w:val="00674ADD"/>
    <w:rsid w:val="00677BC0"/>
    <w:rsid w:val="006866B1"/>
    <w:rsid w:val="00690519"/>
    <w:rsid w:val="00695978"/>
    <w:rsid w:val="006C3F57"/>
    <w:rsid w:val="006C5234"/>
    <w:rsid w:val="006D2246"/>
    <w:rsid w:val="006E5819"/>
    <w:rsid w:val="006E5B06"/>
    <w:rsid w:val="006F5061"/>
    <w:rsid w:val="006F7022"/>
    <w:rsid w:val="00707D19"/>
    <w:rsid w:val="00730775"/>
    <w:rsid w:val="00736212"/>
    <w:rsid w:val="00743D10"/>
    <w:rsid w:val="0076268F"/>
    <w:rsid w:val="007733E7"/>
    <w:rsid w:val="007A5093"/>
    <w:rsid w:val="007C6112"/>
    <w:rsid w:val="007D178B"/>
    <w:rsid w:val="007E2C40"/>
    <w:rsid w:val="00805AE8"/>
    <w:rsid w:val="00813CEB"/>
    <w:rsid w:val="0082340A"/>
    <w:rsid w:val="00824D38"/>
    <w:rsid w:val="008269F5"/>
    <w:rsid w:val="008272EB"/>
    <w:rsid w:val="00831995"/>
    <w:rsid w:val="0084574A"/>
    <w:rsid w:val="00855C13"/>
    <w:rsid w:val="00856A5A"/>
    <w:rsid w:val="0087664D"/>
    <w:rsid w:val="00877878"/>
    <w:rsid w:val="00877F53"/>
    <w:rsid w:val="0088010A"/>
    <w:rsid w:val="00886F23"/>
    <w:rsid w:val="00887AF1"/>
    <w:rsid w:val="008910F5"/>
    <w:rsid w:val="00894E25"/>
    <w:rsid w:val="008976FE"/>
    <w:rsid w:val="008C5F8C"/>
    <w:rsid w:val="008E50B0"/>
    <w:rsid w:val="009136A9"/>
    <w:rsid w:val="00932DAD"/>
    <w:rsid w:val="00933450"/>
    <w:rsid w:val="009350DD"/>
    <w:rsid w:val="00955A9D"/>
    <w:rsid w:val="00960065"/>
    <w:rsid w:val="0098526D"/>
    <w:rsid w:val="00987B98"/>
    <w:rsid w:val="009A69B9"/>
    <w:rsid w:val="009B4B02"/>
    <w:rsid w:val="009C5518"/>
    <w:rsid w:val="009C7A6B"/>
    <w:rsid w:val="009D6F36"/>
    <w:rsid w:val="009F0626"/>
    <w:rsid w:val="009F4747"/>
    <w:rsid w:val="00A071F1"/>
    <w:rsid w:val="00A13EB2"/>
    <w:rsid w:val="00A17997"/>
    <w:rsid w:val="00A33535"/>
    <w:rsid w:val="00A77629"/>
    <w:rsid w:val="00A8741D"/>
    <w:rsid w:val="00A927D0"/>
    <w:rsid w:val="00AB335D"/>
    <w:rsid w:val="00AB7D25"/>
    <w:rsid w:val="00AC01FD"/>
    <w:rsid w:val="00AD1803"/>
    <w:rsid w:val="00AD28F1"/>
    <w:rsid w:val="00AD3B2C"/>
    <w:rsid w:val="00AE3C82"/>
    <w:rsid w:val="00AF42A4"/>
    <w:rsid w:val="00AF45D1"/>
    <w:rsid w:val="00B00AE1"/>
    <w:rsid w:val="00B07372"/>
    <w:rsid w:val="00B07373"/>
    <w:rsid w:val="00B11E9E"/>
    <w:rsid w:val="00B1337D"/>
    <w:rsid w:val="00B202BB"/>
    <w:rsid w:val="00B439F5"/>
    <w:rsid w:val="00B55313"/>
    <w:rsid w:val="00B66EA3"/>
    <w:rsid w:val="00B707A0"/>
    <w:rsid w:val="00B75672"/>
    <w:rsid w:val="00B7729A"/>
    <w:rsid w:val="00B82D06"/>
    <w:rsid w:val="00B85DC6"/>
    <w:rsid w:val="00B9166D"/>
    <w:rsid w:val="00B95183"/>
    <w:rsid w:val="00B97CD7"/>
    <w:rsid w:val="00BA50FF"/>
    <w:rsid w:val="00BB2A19"/>
    <w:rsid w:val="00BC3482"/>
    <w:rsid w:val="00BD2E03"/>
    <w:rsid w:val="00BD2EBC"/>
    <w:rsid w:val="00BD521E"/>
    <w:rsid w:val="00BF2559"/>
    <w:rsid w:val="00BF7C84"/>
    <w:rsid w:val="00C067E7"/>
    <w:rsid w:val="00C16EDB"/>
    <w:rsid w:val="00C20CFC"/>
    <w:rsid w:val="00C311FA"/>
    <w:rsid w:val="00C33BA4"/>
    <w:rsid w:val="00C35DBF"/>
    <w:rsid w:val="00C36E0D"/>
    <w:rsid w:val="00C53B3A"/>
    <w:rsid w:val="00C573C0"/>
    <w:rsid w:val="00C60ED7"/>
    <w:rsid w:val="00C67BC2"/>
    <w:rsid w:val="00C731F2"/>
    <w:rsid w:val="00C73E80"/>
    <w:rsid w:val="00C8238C"/>
    <w:rsid w:val="00C911AC"/>
    <w:rsid w:val="00CA5323"/>
    <w:rsid w:val="00CB1159"/>
    <w:rsid w:val="00CB3E80"/>
    <w:rsid w:val="00CB6D08"/>
    <w:rsid w:val="00CD55AD"/>
    <w:rsid w:val="00CD6684"/>
    <w:rsid w:val="00CD79A3"/>
    <w:rsid w:val="00CF46FF"/>
    <w:rsid w:val="00D10168"/>
    <w:rsid w:val="00D10311"/>
    <w:rsid w:val="00D26AB3"/>
    <w:rsid w:val="00D308B6"/>
    <w:rsid w:val="00D4183E"/>
    <w:rsid w:val="00D50DE7"/>
    <w:rsid w:val="00D50E3F"/>
    <w:rsid w:val="00D53A2E"/>
    <w:rsid w:val="00D545A4"/>
    <w:rsid w:val="00D62A36"/>
    <w:rsid w:val="00D80AEC"/>
    <w:rsid w:val="00D93304"/>
    <w:rsid w:val="00D96E86"/>
    <w:rsid w:val="00DA45CF"/>
    <w:rsid w:val="00DA50B0"/>
    <w:rsid w:val="00DA70C6"/>
    <w:rsid w:val="00DE49A1"/>
    <w:rsid w:val="00DF2C5C"/>
    <w:rsid w:val="00DF3086"/>
    <w:rsid w:val="00DF5AF5"/>
    <w:rsid w:val="00E02D8E"/>
    <w:rsid w:val="00E311D3"/>
    <w:rsid w:val="00E353C7"/>
    <w:rsid w:val="00E50901"/>
    <w:rsid w:val="00E512EA"/>
    <w:rsid w:val="00E7378C"/>
    <w:rsid w:val="00E753FF"/>
    <w:rsid w:val="00E82F6A"/>
    <w:rsid w:val="00E8547A"/>
    <w:rsid w:val="00E91213"/>
    <w:rsid w:val="00EA3F16"/>
    <w:rsid w:val="00EC608C"/>
    <w:rsid w:val="00ED7100"/>
    <w:rsid w:val="00EF664C"/>
    <w:rsid w:val="00F12908"/>
    <w:rsid w:val="00F26678"/>
    <w:rsid w:val="00F279FA"/>
    <w:rsid w:val="00F27FA0"/>
    <w:rsid w:val="00F329A0"/>
    <w:rsid w:val="00F5306C"/>
    <w:rsid w:val="00F565CA"/>
    <w:rsid w:val="00F6264C"/>
    <w:rsid w:val="00FA40AE"/>
    <w:rsid w:val="00FD22E8"/>
    <w:rsid w:val="00FE072E"/>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4F6D526A"/>
  <w15:docId w15:val="{413BF712-628F-441F-B8B3-48CEE71D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rsid w:val="009B7138"/>
    <w:pPr>
      <w:keepNext/>
      <w:numPr>
        <w:numId w:val="41"/>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9B7138"/>
    <w:pPr>
      <w:keepNext/>
      <w:numPr>
        <w:ilvl w:val="1"/>
        <w:numId w:val="41"/>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9B7138"/>
    <w:pPr>
      <w:keepNext/>
      <w:numPr>
        <w:ilvl w:val="2"/>
        <w:numId w:val="41"/>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9B7138"/>
    <w:pPr>
      <w:keepNext/>
      <w:numPr>
        <w:ilvl w:val="3"/>
        <w:numId w:val="41"/>
      </w:numPr>
      <w:outlineLvl w:val="3"/>
    </w:pPr>
    <w:rPr>
      <w:rFonts w:eastAsiaTheme="majorEastAsia"/>
      <w:bCs/>
      <w:iCs/>
    </w:rPr>
  </w:style>
  <w:style w:type="paragraph" w:styleId="Overskrift5">
    <w:name w:val="heading 5"/>
    <w:basedOn w:val="Normal"/>
    <w:next w:val="Text2"/>
    <w:link w:val="Overskrift5Tegn"/>
    <w:uiPriority w:val="9"/>
    <w:semiHidden/>
    <w:unhideWhenUsed/>
    <w:qFormat/>
    <w:rsid w:val="00B07373"/>
    <w:pPr>
      <w:keepNext/>
      <w:numPr>
        <w:ilvl w:val="4"/>
        <w:numId w:val="41"/>
      </w:numPr>
      <w:outlineLvl w:val="4"/>
    </w:pPr>
    <w:rPr>
      <w:rFonts w:eastAsiaTheme="majorEastAsia"/>
    </w:rPr>
  </w:style>
  <w:style w:type="paragraph" w:styleId="Overskrift6">
    <w:name w:val="heading 6"/>
    <w:basedOn w:val="Normal"/>
    <w:next w:val="Text2"/>
    <w:link w:val="Overskrift6Tegn"/>
    <w:uiPriority w:val="9"/>
    <w:semiHidden/>
    <w:unhideWhenUsed/>
    <w:qFormat/>
    <w:rsid w:val="00B07373"/>
    <w:pPr>
      <w:keepNext/>
      <w:numPr>
        <w:ilvl w:val="5"/>
        <w:numId w:val="41"/>
      </w:numPr>
      <w:outlineLvl w:val="5"/>
    </w:pPr>
    <w:rPr>
      <w:rFonts w:eastAsiaTheme="majorEastAsia"/>
      <w:iCs/>
    </w:rPr>
  </w:style>
  <w:style w:type="paragraph" w:styleId="Overskrift7">
    <w:name w:val="heading 7"/>
    <w:basedOn w:val="Normal"/>
    <w:next w:val="Text2"/>
    <w:link w:val="Overskrift7Tegn"/>
    <w:uiPriority w:val="9"/>
    <w:semiHidden/>
    <w:unhideWhenUsed/>
    <w:qFormat/>
    <w:rsid w:val="00B07373"/>
    <w:pPr>
      <w:keepNext/>
      <w:numPr>
        <w:ilvl w:val="6"/>
        <w:numId w:val="41"/>
      </w:numPr>
      <w:outlineLvl w:val="6"/>
    </w:pPr>
    <w:rPr>
      <w:rFonts w:eastAsiaTheme="majorEastAsia"/>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semiHidden/>
    <w:unhideWhenUsed/>
    <w:qFormat/>
    <w:rsid w:val="008976FE"/>
    <w:pPr>
      <w:spacing w:before="0" w:after="200"/>
    </w:pPr>
    <w:rPr>
      <w:b/>
      <w:bCs/>
      <w:color w:val="4F81BD" w:themeColor="accent1"/>
      <w:sz w:val="18"/>
      <w:szCs w:val="18"/>
    </w:rPr>
  </w:style>
  <w:style w:type="paragraph" w:styleId="Listeoverfigurer">
    <w:name w:val="table of figures"/>
    <w:basedOn w:val="Normal"/>
    <w:next w:val="Normal"/>
    <w:uiPriority w:val="99"/>
    <w:semiHidden/>
    <w:unhideWhenUsed/>
    <w:rsid w:val="008976FE"/>
    <w:pPr>
      <w:spacing w:after="0"/>
    </w:pPr>
  </w:style>
  <w:style w:type="paragraph" w:styleId="Opstilling-punkttegn">
    <w:name w:val="List Bullet"/>
    <w:basedOn w:val="Normal"/>
    <w:uiPriority w:val="99"/>
    <w:semiHidden/>
    <w:unhideWhenUsed/>
    <w:rsid w:val="008976FE"/>
    <w:pPr>
      <w:numPr>
        <w:numId w:val="3"/>
      </w:numPr>
      <w:contextualSpacing/>
    </w:pPr>
  </w:style>
  <w:style w:type="paragraph" w:styleId="Opstilling-punkttegn2">
    <w:name w:val="List Bullet 2"/>
    <w:basedOn w:val="Normal"/>
    <w:uiPriority w:val="99"/>
    <w:semiHidden/>
    <w:unhideWhenUsed/>
    <w:rsid w:val="008976FE"/>
    <w:pPr>
      <w:numPr>
        <w:numId w:val="4"/>
      </w:numPr>
      <w:contextualSpacing/>
    </w:pPr>
  </w:style>
  <w:style w:type="paragraph" w:styleId="Opstilling-punkttegn3">
    <w:name w:val="List Bullet 3"/>
    <w:basedOn w:val="Normal"/>
    <w:uiPriority w:val="99"/>
    <w:semiHidden/>
    <w:unhideWhenUsed/>
    <w:rsid w:val="008976FE"/>
    <w:pPr>
      <w:numPr>
        <w:numId w:val="5"/>
      </w:numPr>
      <w:contextualSpacing/>
    </w:pPr>
  </w:style>
  <w:style w:type="paragraph" w:styleId="Opstilling-punkttegn4">
    <w:name w:val="List Bullet 4"/>
    <w:basedOn w:val="Normal"/>
    <w:uiPriority w:val="99"/>
    <w:semiHidden/>
    <w:unhideWhenUsed/>
    <w:rsid w:val="008976FE"/>
    <w:pPr>
      <w:numPr>
        <w:numId w:val="6"/>
      </w:numPr>
      <w:contextualSpacing/>
    </w:pPr>
  </w:style>
  <w:style w:type="paragraph" w:styleId="Opstilling-talellerbogst">
    <w:name w:val="List Number"/>
    <w:basedOn w:val="Normal"/>
    <w:uiPriority w:val="99"/>
    <w:semiHidden/>
    <w:unhideWhenUsed/>
    <w:rsid w:val="008976FE"/>
    <w:pPr>
      <w:numPr>
        <w:numId w:val="7"/>
      </w:numPr>
      <w:contextualSpacing/>
    </w:pPr>
  </w:style>
  <w:style w:type="paragraph" w:styleId="Opstilling-talellerbogst2">
    <w:name w:val="List Number 2"/>
    <w:basedOn w:val="Normal"/>
    <w:uiPriority w:val="99"/>
    <w:semiHidden/>
    <w:unhideWhenUsed/>
    <w:rsid w:val="008976FE"/>
    <w:pPr>
      <w:numPr>
        <w:numId w:val="8"/>
      </w:numPr>
      <w:contextualSpacing/>
    </w:pPr>
  </w:style>
  <w:style w:type="paragraph" w:styleId="Opstilling-talellerbogst3">
    <w:name w:val="List Number 3"/>
    <w:basedOn w:val="Normal"/>
    <w:uiPriority w:val="99"/>
    <w:semiHidden/>
    <w:unhideWhenUsed/>
    <w:rsid w:val="008976FE"/>
    <w:pPr>
      <w:numPr>
        <w:numId w:val="9"/>
      </w:numPr>
      <w:contextualSpacing/>
    </w:pPr>
  </w:style>
  <w:style w:type="paragraph" w:styleId="Opstilling-talellerbogst4">
    <w:name w:val="List Number 4"/>
    <w:basedOn w:val="Normal"/>
    <w:uiPriority w:val="99"/>
    <w:semiHidden/>
    <w:unhideWhenUsed/>
    <w:rsid w:val="008976FE"/>
    <w:pPr>
      <w:numPr>
        <w:numId w:val="10"/>
      </w:numPr>
      <w:contextualSpacing/>
    </w:pPr>
  </w:style>
  <w:style w:type="paragraph" w:styleId="Markeringsbobletekst">
    <w:name w:val="Balloon Text"/>
    <w:basedOn w:val="Normal"/>
    <w:link w:val="MarkeringsbobletekstTegn"/>
    <w:uiPriority w:val="99"/>
    <w:semiHidden/>
    <w:unhideWhenUsed/>
    <w:rsid w:val="00E753FF"/>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53FF"/>
    <w:rPr>
      <w:rFonts w:ascii="Tahoma" w:hAnsi="Tahoma" w:cs="Tahoma"/>
      <w:sz w:val="16"/>
      <w:szCs w:val="16"/>
      <w:lang w:val="en-GB"/>
    </w:rPr>
  </w:style>
  <w:style w:type="character" w:styleId="Kommentarhenvisning">
    <w:name w:val="annotation reference"/>
    <w:basedOn w:val="Standardskrifttypeiafsnit"/>
    <w:uiPriority w:val="99"/>
    <w:semiHidden/>
    <w:unhideWhenUsed/>
    <w:rsid w:val="00D26AB3"/>
    <w:rPr>
      <w:sz w:val="16"/>
      <w:szCs w:val="16"/>
    </w:rPr>
  </w:style>
  <w:style w:type="paragraph" w:styleId="Kommentartekst">
    <w:name w:val="annotation text"/>
    <w:basedOn w:val="Normal"/>
    <w:link w:val="KommentartekstTegn"/>
    <w:uiPriority w:val="99"/>
    <w:semiHidden/>
    <w:unhideWhenUsed/>
    <w:rsid w:val="00D26AB3"/>
    <w:rPr>
      <w:sz w:val="20"/>
      <w:szCs w:val="20"/>
    </w:rPr>
  </w:style>
  <w:style w:type="character" w:customStyle="1" w:styleId="KommentartekstTegn">
    <w:name w:val="Kommentartekst Tegn"/>
    <w:basedOn w:val="Standardskrifttypeiafsnit"/>
    <w:link w:val="Kommentartekst"/>
    <w:uiPriority w:val="99"/>
    <w:semiHidden/>
    <w:rsid w:val="00D26AB3"/>
    <w:rPr>
      <w:rFonts w:ascii="Times New Roman" w:hAnsi="Times New Roman" w:cs="Times New Roman"/>
      <w:sz w:val="20"/>
      <w:szCs w:val="20"/>
      <w:lang w:val="en-GB"/>
    </w:rPr>
  </w:style>
  <w:style w:type="paragraph" w:styleId="Kommentaremne">
    <w:name w:val="annotation subject"/>
    <w:basedOn w:val="Kommentartekst"/>
    <w:next w:val="Kommentartekst"/>
    <w:link w:val="KommentaremneTegn"/>
    <w:uiPriority w:val="99"/>
    <w:semiHidden/>
    <w:unhideWhenUsed/>
    <w:rsid w:val="00D26AB3"/>
    <w:rPr>
      <w:b/>
      <w:bCs/>
    </w:rPr>
  </w:style>
  <w:style w:type="character" w:customStyle="1" w:styleId="KommentaremneTegn">
    <w:name w:val="Kommentaremne Tegn"/>
    <w:basedOn w:val="KommentartekstTegn"/>
    <w:link w:val="Kommentaremne"/>
    <w:uiPriority w:val="99"/>
    <w:semiHidden/>
    <w:rsid w:val="00D26AB3"/>
    <w:rPr>
      <w:rFonts w:ascii="Times New Roman" w:hAnsi="Times New Roman" w:cs="Times New Roman"/>
      <w:b/>
      <w:bCs/>
      <w:sz w:val="20"/>
      <w:szCs w:val="20"/>
      <w:lang w:val="en-GB"/>
    </w:rPr>
  </w:style>
  <w:style w:type="character" w:styleId="Pladsholdertekst">
    <w:name w:val="Placeholder Text"/>
    <w:basedOn w:val="Standardskrifttypeiafsnit"/>
    <w:uiPriority w:val="99"/>
    <w:semiHidden/>
    <w:rsid w:val="003F5A8B"/>
    <w:rPr>
      <w:color w:val="808080"/>
    </w:rPr>
  </w:style>
  <w:style w:type="character" w:customStyle="1" w:styleId="italic">
    <w:name w:val="italic"/>
    <w:basedOn w:val="Standardskrifttypeiafsnit"/>
    <w:rsid w:val="00B55313"/>
  </w:style>
  <w:style w:type="character" w:styleId="Hyperlink">
    <w:name w:val="Hyperlink"/>
    <w:basedOn w:val="Standardskrifttypeiafsnit"/>
    <w:uiPriority w:val="99"/>
    <w:unhideWhenUsed/>
    <w:rsid w:val="00F329A0"/>
    <w:rPr>
      <w:color w:val="0000FF" w:themeColor="hyperlink"/>
      <w:u w:val="single"/>
    </w:rPr>
  </w:style>
  <w:style w:type="paragraph" w:styleId="Korrektur">
    <w:name w:val="Revision"/>
    <w:hidden/>
    <w:uiPriority w:val="99"/>
    <w:semiHidden/>
    <w:rsid w:val="00567E34"/>
    <w:pPr>
      <w:spacing w:after="0" w:line="240" w:lineRule="auto"/>
    </w:pPr>
    <w:rPr>
      <w:rFonts w:ascii="Times New Roman" w:hAnsi="Times New Roman" w:cs="Times New Roman"/>
      <w:sz w:val="24"/>
      <w:lang w:val="en-GB"/>
    </w:rPr>
  </w:style>
  <w:style w:type="paragraph" w:customStyle="1" w:styleId="CM1">
    <w:name w:val="CM1"/>
    <w:basedOn w:val="Normal"/>
    <w:next w:val="Normal"/>
    <w:uiPriority w:val="99"/>
    <w:rsid w:val="00B66EA3"/>
    <w:pPr>
      <w:autoSpaceDE w:val="0"/>
      <w:autoSpaceDN w:val="0"/>
      <w:adjustRightInd w:val="0"/>
      <w:spacing w:before="0" w:after="0"/>
      <w:jc w:val="left"/>
    </w:pPr>
    <w:rPr>
      <w:szCs w:val="24"/>
      <w:lang w:val="en-IE"/>
    </w:rPr>
  </w:style>
  <w:style w:type="paragraph" w:customStyle="1" w:styleId="CM3">
    <w:name w:val="CM3"/>
    <w:basedOn w:val="Normal"/>
    <w:next w:val="Normal"/>
    <w:uiPriority w:val="99"/>
    <w:rsid w:val="00B66EA3"/>
    <w:pPr>
      <w:autoSpaceDE w:val="0"/>
      <w:autoSpaceDN w:val="0"/>
      <w:adjustRightInd w:val="0"/>
      <w:spacing w:before="0" w:after="0"/>
      <w:jc w:val="left"/>
    </w:pPr>
    <w:rPr>
      <w:szCs w:val="24"/>
      <w:lang w:val="en-IE"/>
    </w:rPr>
  </w:style>
  <w:style w:type="character" w:styleId="BesgtLink">
    <w:name w:val="FollowedHyperlink"/>
    <w:basedOn w:val="Standardskrifttypeiafsnit"/>
    <w:uiPriority w:val="99"/>
    <w:semiHidden/>
    <w:unhideWhenUsed/>
    <w:rsid w:val="00C60ED7"/>
    <w:rPr>
      <w:color w:val="800080" w:themeColor="followedHyperlink"/>
      <w:u w:val="single"/>
    </w:rPr>
  </w:style>
  <w:style w:type="paragraph" w:styleId="Sidehoved">
    <w:name w:val="header"/>
    <w:basedOn w:val="Normal"/>
    <w:link w:val="SidehovedTegn"/>
    <w:uiPriority w:val="99"/>
    <w:unhideWhenUsed/>
    <w:rsid w:val="007E2C40"/>
    <w:pPr>
      <w:tabs>
        <w:tab w:val="center" w:pos="4535"/>
        <w:tab w:val="right" w:pos="9071"/>
      </w:tabs>
      <w:spacing w:before="0"/>
    </w:pPr>
  </w:style>
  <w:style w:type="character" w:customStyle="1" w:styleId="SidehovedTegn">
    <w:name w:val="Sidehoved Tegn"/>
    <w:basedOn w:val="Standardskrifttypeiafsnit"/>
    <w:link w:val="Sidehoved"/>
    <w:uiPriority w:val="99"/>
    <w:rsid w:val="007E2C40"/>
    <w:rPr>
      <w:rFonts w:ascii="Times New Roman" w:hAnsi="Times New Roman" w:cs="Times New Roman"/>
      <w:sz w:val="24"/>
      <w:lang w:val="en-GB"/>
    </w:rPr>
  </w:style>
  <w:style w:type="paragraph" w:styleId="Sidefod">
    <w:name w:val="footer"/>
    <w:basedOn w:val="Normal"/>
    <w:link w:val="SidefodTegn"/>
    <w:uiPriority w:val="99"/>
    <w:unhideWhenUsed/>
    <w:rsid w:val="007E2C40"/>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rsid w:val="007E2C40"/>
    <w:rPr>
      <w:rFonts w:ascii="Times New Roman" w:hAnsi="Times New Roman" w:cs="Times New Roman"/>
      <w:sz w:val="24"/>
      <w:lang w:val="en-GB"/>
    </w:rPr>
  </w:style>
  <w:style w:type="paragraph" w:styleId="Fodnotetekst">
    <w:name w:val="footnote text"/>
    <w:basedOn w:val="Normal"/>
    <w:link w:val="FodnotetekstTegn"/>
    <w:uiPriority w:val="99"/>
    <w:semiHidden/>
    <w:unhideWhenUsed/>
    <w:rsid w:val="009B7138"/>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9B7138"/>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Overskrift2Tegn">
    <w:name w:val="Overskrift 2 Tegn"/>
    <w:basedOn w:val="Standardskrifttypeiafsnit"/>
    <w:link w:val="Overskrift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Overskrift3Tegn">
    <w:name w:val="Overskrift 3 Tegn"/>
    <w:basedOn w:val="Standardskrifttypeiafsnit"/>
    <w:link w:val="Overskrift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Overskrift4Tegn">
    <w:name w:val="Overskrift 4 Tegn"/>
    <w:basedOn w:val="Standardskrifttypeiafsnit"/>
    <w:link w:val="Overskrift4"/>
    <w:uiPriority w:val="9"/>
    <w:semiHidden/>
    <w:rsid w:val="009B7138"/>
    <w:rPr>
      <w:rFonts w:ascii="Times New Roman" w:eastAsiaTheme="majorEastAsia" w:hAnsi="Times New Roman" w:cs="Times New Roman"/>
      <w:bCs/>
      <w:iCs/>
      <w:sz w:val="24"/>
      <w:shd w:val="clear" w:color="auto" w:fill="auto"/>
      <w:lang w:val="en-GB"/>
    </w:rPr>
  </w:style>
  <w:style w:type="paragraph" w:styleId="Overskrift">
    <w:name w:val="TOC Heading"/>
    <w:basedOn w:val="Normal"/>
    <w:next w:val="Normal"/>
    <w:uiPriority w:val="39"/>
    <w:semiHidden/>
    <w:unhideWhenUsed/>
    <w:qFormat/>
    <w:rsid w:val="009B7138"/>
    <w:pPr>
      <w:spacing w:after="240"/>
      <w:jc w:val="center"/>
    </w:pPr>
    <w:rPr>
      <w:b/>
      <w:sz w:val="28"/>
    </w:rPr>
  </w:style>
  <w:style w:type="paragraph" w:styleId="Indholdsfortegnelse1">
    <w:name w:val="toc 1"/>
    <w:basedOn w:val="Normal"/>
    <w:next w:val="Normal"/>
    <w:uiPriority w:val="39"/>
    <w:semiHidden/>
    <w:unhideWhenUsed/>
    <w:rsid w:val="009B7138"/>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9B7138"/>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9B7138"/>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9B7138"/>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9B7138"/>
    <w:pPr>
      <w:tabs>
        <w:tab w:val="right" w:leader="dot" w:pos="9071"/>
      </w:tabs>
      <w:spacing w:before="300"/>
      <w:jc w:val="left"/>
    </w:pPr>
  </w:style>
  <w:style w:type="paragraph" w:styleId="Indholdsfortegnelse6">
    <w:name w:val="toc 6"/>
    <w:basedOn w:val="Normal"/>
    <w:next w:val="Normal"/>
    <w:uiPriority w:val="39"/>
    <w:semiHidden/>
    <w:unhideWhenUsed/>
    <w:rsid w:val="009B7138"/>
    <w:pPr>
      <w:tabs>
        <w:tab w:val="right" w:leader="dot" w:pos="9071"/>
      </w:tabs>
      <w:spacing w:before="240"/>
      <w:jc w:val="left"/>
    </w:pPr>
  </w:style>
  <w:style w:type="paragraph" w:styleId="Indholdsfortegnelse7">
    <w:name w:val="toc 7"/>
    <w:basedOn w:val="Normal"/>
    <w:next w:val="Normal"/>
    <w:uiPriority w:val="39"/>
    <w:semiHidden/>
    <w:unhideWhenUsed/>
    <w:rsid w:val="009B7138"/>
    <w:pPr>
      <w:tabs>
        <w:tab w:val="right" w:leader="dot" w:pos="9071"/>
      </w:tabs>
      <w:spacing w:before="180"/>
      <w:jc w:val="left"/>
    </w:pPr>
  </w:style>
  <w:style w:type="paragraph" w:styleId="Indholdsfortegnelse8">
    <w:name w:val="toc 8"/>
    <w:basedOn w:val="Normal"/>
    <w:next w:val="Normal"/>
    <w:uiPriority w:val="39"/>
    <w:semiHidden/>
    <w:unhideWhenUsed/>
    <w:rsid w:val="009B7138"/>
    <w:pPr>
      <w:tabs>
        <w:tab w:val="right" w:leader="dot" w:pos="9071"/>
      </w:tabs>
      <w:jc w:val="left"/>
    </w:pPr>
  </w:style>
  <w:style w:type="paragraph" w:styleId="Indholdsfortegnelse9">
    <w:name w:val="toc 9"/>
    <w:basedOn w:val="Normal"/>
    <w:next w:val="Normal"/>
    <w:uiPriority w:val="39"/>
    <w:semiHidden/>
    <w:unhideWhenUsed/>
    <w:rsid w:val="00B07373"/>
    <w:pPr>
      <w:tabs>
        <w:tab w:val="right" w:leader="dot" w:pos="9071"/>
      </w:tabs>
      <w:ind w:left="1417" w:hanging="1417"/>
      <w:jc w:val="left"/>
    </w:pPr>
  </w:style>
  <w:style w:type="paragraph" w:customStyle="1" w:styleId="HeaderLandscape">
    <w:name w:val="HeaderLandscape"/>
    <w:basedOn w:val="Normal"/>
    <w:rsid w:val="007E2C40"/>
    <w:pPr>
      <w:tabs>
        <w:tab w:val="center" w:pos="7285"/>
        <w:tab w:val="right" w:pos="14003"/>
      </w:tabs>
      <w:spacing w:before="0"/>
    </w:pPr>
  </w:style>
  <w:style w:type="paragraph" w:customStyle="1" w:styleId="FooterLandscape">
    <w:name w:val="FooterLandscape"/>
    <w:basedOn w:val="Normal"/>
    <w:rsid w:val="007E2C40"/>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sid w:val="009B7138"/>
    <w:rPr>
      <w:shd w:val="clear" w:color="auto" w:fill="auto"/>
      <w:vertAlign w:val="superscript"/>
    </w:rPr>
  </w:style>
  <w:style w:type="paragraph" w:customStyle="1" w:styleId="HeaderSensitivity">
    <w:name w:val="Header Sensitivity"/>
    <w:basedOn w:val="Normal"/>
    <w:rsid w:val="007E2C4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E2C40"/>
    <w:pPr>
      <w:spacing w:before="0"/>
      <w:jc w:val="right"/>
    </w:pPr>
    <w:rPr>
      <w:sz w:val="28"/>
    </w:rPr>
  </w:style>
  <w:style w:type="paragraph" w:customStyle="1" w:styleId="FooterSensitivity">
    <w:name w:val="Footer Sensitivity"/>
    <w:basedOn w:val="Normal"/>
    <w:rsid w:val="007E2C4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5"/>
      </w:numPr>
    </w:pPr>
  </w:style>
  <w:style w:type="paragraph" w:customStyle="1" w:styleId="Tiret1">
    <w:name w:val="Tiret 1"/>
    <w:basedOn w:val="Point1"/>
    <w:rsid w:val="009B7138"/>
    <w:pPr>
      <w:numPr>
        <w:numId w:val="26"/>
      </w:numPr>
    </w:pPr>
  </w:style>
  <w:style w:type="paragraph" w:customStyle="1" w:styleId="Tiret2">
    <w:name w:val="Tiret 2"/>
    <w:basedOn w:val="Point2"/>
    <w:rsid w:val="009B7138"/>
    <w:pPr>
      <w:numPr>
        <w:numId w:val="27"/>
      </w:numPr>
    </w:pPr>
  </w:style>
  <w:style w:type="paragraph" w:customStyle="1" w:styleId="Tiret3">
    <w:name w:val="Tiret 3"/>
    <w:basedOn w:val="Point3"/>
    <w:rsid w:val="009B7138"/>
    <w:pPr>
      <w:numPr>
        <w:numId w:val="28"/>
      </w:numPr>
    </w:pPr>
  </w:style>
  <w:style w:type="paragraph" w:customStyle="1" w:styleId="Tiret4">
    <w:name w:val="Tiret 4"/>
    <w:basedOn w:val="Point4"/>
    <w:rsid w:val="009B7138"/>
    <w:pPr>
      <w:numPr>
        <w:numId w:val="29"/>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45"/>
      </w:numPr>
    </w:pPr>
  </w:style>
  <w:style w:type="paragraph" w:customStyle="1" w:styleId="NumPar2">
    <w:name w:val="NumPar 2"/>
    <w:basedOn w:val="Normal"/>
    <w:next w:val="Text1"/>
    <w:rsid w:val="009B7138"/>
    <w:pPr>
      <w:numPr>
        <w:ilvl w:val="1"/>
        <w:numId w:val="45"/>
      </w:numPr>
    </w:pPr>
  </w:style>
  <w:style w:type="paragraph" w:customStyle="1" w:styleId="NumPar3">
    <w:name w:val="NumPar 3"/>
    <w:basedOn w:val="Normal"/>
    <w:next w:val="Text1"/>
    <w:rsid w:val="009B7138"/>
    <w:pPr>
      <w:numPr>
        <w:ilvl w:val="2"/>
        <w:numId w:val="45"/>
      </w:numPr>
    </w:pPr>
  </w:style>
  <w:style w:type="paragraph" w:customStyle="1" w:styleId="NumPar4">
    <w:name w:val="NumPar 4"/>
    <w:basedOn w:val="Normal"/>
    <w:next w:val="Text1"/>
    <w:rsid w:val="009B7138"/>
    <w:pPr>
      <w:numPr>
        <w:ilvl w:val="3"/>
        <w:numId w:val="4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Overskrift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Standardskrifttypeiafsnit"/>
    <w:rsid w:val="009B7138"/>
    <w:rPr>
      <w:color w:val="0000FF"/>
      <w:shd w:val="clear" w:color="auto" w:fill="auto"/>
    </w:rPr>
  </w:style>
  <w:style w:type="character" w:customStyle="1" w:styleId="Marker1">
    <w:name w:val="Marker1"/>
    <w:basedOn w:val="Standardskrifttypeiafsnit"/>
    <w:rsid w:val="009B7138"/>
    <w:rPr>
      <w:color w:val="008000"/>
      <w:shd w:val="clear" w:color="auto" w:fill="auto"/>
    </w:rPr>
  </w:style>
  <w:style w:type="character" w:customStyle="1" w:styleId="Marker2">
    <w:name w:val="Marker2"/>
    <w:basedOn w:val="Standardskrifttypeiafsnit"/>
    <w:rsid w:val="009B7138"/>
    <w:rPr>
      <w:color w:val="FF0000"/>
      <w:shd w:val="clear" w:color="auto" w:fill="auto"/>
    </w:rPr>
  </w:style>
  <w:style w:type="paragraph" w:customStyle="1" w:styleId="Point0number">
    <w:name w:val="Point 0 (number)"/>
    <w:basedOn w:val="Normal"/>
    <w:rsid w:val="009B7138"/>
    <w:pPr>
      <w:numPr>
        <w:numId w:val="32"/>
      </w:numPr>
    </w:pPr>
  </w:style>
  <w:style w:type="paragraph" w:customStyle="1" w:styleId="Point1number">
    <w:name w:val="Point 1 (number)"/>
    <w:basedOn w:val="Normal"/>
    <w:rsid w:val="009B7138"/>
    <w:pPr>
      <w:numPr>
        <w:ilvl w:val="2"/>
        <w:numId w:val="32"/>
      </w:numPr>
    </w:pPr>
  </w:style>
  <w:style w:type="paragraph" w:customStyle="1" w:styleId="Point2number">
    <w:name w:val="Point 2 (number)"/>
    <w:basedOn w:val="Normal"/>
    <w:rsid w:val="009B7138"/>
    <w:pPr>
      <w:numPr>
        <w:ilvl w:val="4"/>
        <w:numId w:val="32"/>
      </w:numPr>
    </w:pPr>
  </w:style>
  <w:style w:type="paragraph" w:customStyle="1" w:styleId="Point3number">
    <w:name w:val="Point 3 (number)"/>
    <w:basedOn w:val="Normal"/>
    <w:rsid w:val="009B7138"/>
    <w:pPr>
      <w:numPr>
        <w:ilvl w:val="6"/>
        <w:numId w:val="32"/>
      </w:numPr>
    </w:pPr>
  </w:style>
  <w:style w:type="paragraph" w:customStyle="1" w:styleId="Point0letter">
    <w:name w:val="Point 0 (letter)"/>
    <w:basedOn w:val="Normal"/>
    <w:rsid w:val="009B7138"/>
    <w:pPr>
      <w:numPr>
        <w:ilvl w:val="1"/>
        <w:numId w:val="32"/>
      </w:numPr>
    </w:pPr>
  </w:style>
  <w:style w:type="paragraph" w:customStyle="1" w:styleId="Point1letter">
    <w:name w:val="Point 1 (letter)"/>
    <w:basedOn w:val="Normal"/>
    <w:rsid w:val="009B7138"/>
    <w:pPr>
      <w:numPr>
        <w:ilvl w:val="3"/>
        <w:numId w:val="32"/>
      </w:numPr>
    </w:pPr>
  </w:style>
  <w:style w:type="paragraph" w:customStyle="1" w:styleId="Point2letter">
    <w:name w:val="Point 2 (letter)"/>
    <w:basedOn w:val="Normal"/>
    <w:rsid w:val="009B7138"/>
    <w:pPr>
      <w:numPr>
        <w:ilvl w:val="5"/>
        <w:numId w:val="32"/>
      </w:numPr>
    </w:pPr>
  </w:style>
  <w:style w:type="paragraph" w:customStyle="1" w:styleId="Point3letter">
    <w:name w:val="Point 3 (letter)"/>
    <w:basedOn w:val="Normal"/>
    <w:rsid w:val="009B7138"/>
    <w:pPr>
      <w:numPr>
        <w:ilvl w:val="7"/>
        <w:numId w:val="32"/>
      </w:numPr>
    </w:pPr>
  </w:style>
  <w:style w:type="paragraph" w:customStyle="1" w:styleId="Point4letter">
    <w:name w:val="Point 4 (letter)"/>
    <w:basedOn w:val="Normal"/>
    <w:rsid w:val="009B7138"/>
    <w:pPr>
      <w:numPr>
        <w:ilvl w:val="8"/>
        <w:numId w:val="32"/>
      </w:numPr>
    </w:pPr>
  </w:style>
  <w:style w:type="paragraph" w:customStyle="1" w:styleId="Bullet0">
    <w:name w:val="Bullet 0"/>
    <w:basedOn w:val="Normal"/>
    <w:rsid w:val="009B7138"/>
    <w:pPr>
      <w:numPr>
        <w:numId w:val="33"/>
      </w:numPr>
    </w:pPr>
  </w:style>
  <w:style w:type="paragraph" w:customStyle="1" w:styleId="Bullet1">
    <w:name w:val="Bullet 1"/>
    <w:basedOn w:val="Normal"/>
    <w:rsid w:val="009B7138"/>
    <w:pPr>
      <w:numPr>
        <w:numId w:val="34"/>
      </w:numPr>
    </w:pPr>
  </w:style>
  <w:style w:type="paragraph" w:customStyle="1" w:styleId="Bullet2">
    <w:name w:val="Bullet 2"/>
    <w:basedOn w:val="Normal"/>
    <w:rsid w:val="009B7138"/>
    <w:pPr>
      <w:numPr>
        <w:numId w:val="35"/>
      </w:numPr>
    </w:pPr>
  </w:style>
  <w:style w:type="paragraph" w:customStyle="1" w:styleId="Bullet3">
    <w:name w:val="Bullet 3"/>
    <w:basedOn w:val="Normal"/>
    <w:rsid w:val="009B7138"/>
    <w:pPr>
      <w:numPr>
        <w:numId w:val="36"/>
      </w:numPr>
    </w:pPr>
  </w:style>
  <w:style w:type="paragraph" w:customStyle="1" w:styleId="Bullet4">
    <w:name w:val="Bullet 4"/>
    <w:basedOn w:val="Normal"/>
    <w:rsid w:val="009B7138"/>
    <w:pPr>
      <w:numPr>
        <w:numId w:val="37"/>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8"/>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Standardskrifttypeiafsnit"/>
    <w:rsid w:val="009B7138"/>
    <w:rPr>
      <w:b/>
      <w:u w:val="single"/>
      <w:shd w:val="clear" w:color="auto" w:fill="auto"/>
    </w:rPr>
  </w:style>
  <w:style w:type="character" w:customStyle="1" w:styleId="Deleted">
    <w:name w:val="Deleted"/>
    <w:basedOn w:val="Standardskrifttypeiafsni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customStyle="1" w:styleId="Overskrift5Tegn">
    <w:name w:val="Overskrift 5 Tegn"/>
    <w:basedOn w:val="Standardskrifttypeiafsnit"/>
    <w:link w:val="Overskrift5"/>
    <w:uiPriority w:val="9"/>
    <w:semiHidden/>
    <w:rsid w:val="00B07373"/>
    <w:rPr>
      <w:rFonts w:ascii="Times New Roman" w:eastAsiaTheme="majorEastAsia" w:hAnsi="Times New Roman" w:cs="Times New Roman"/>
      <w:sz w:val="24"/>
      <w:lang w:val="en-GB"/>
    </w:rPr>
  </w:style>
  <w:style w:type="character" w:customStyle="1" w:styleId="Overskrift6Tegn">
    <w:name w:val="Overskrift 6 Tegn"/>
    <w:basedOn w:val="Standardskrifttypeiafsnit"/>
    <w:link w:val="Overskrift6"/>
    <w:uiPriority w:val="9"/>
    <w:semiHidden/>
    <w:rsid w:val="00B07373"/>
    <w:rPr>
      <w:rFonts w:ascii="Times New Roman" w:eastAsiaTheme="majorEastAsia" w:hAnsi="Times New Roman" w:cs="Times New Roman"/>
      <w:iCs/>
      <w:sz w:val="24"/>
      <w:lang w:val="en-GB"/>
    </w:rPr>
  </w:style>
  <w:style w:type="character" w:customStyle="1" w:styleId="Overskrift7Tegn">
    <w:name w:val="Overskrift 7 Tegn"/>
    <w:basedOn w:val="Standardskrifttypeiafsnit"/>
    <w:link w:val="Overskrift7"/>
    <w:uiPriority w:val="9"/>
    <w:semiHidden/>
    <w:rsid w:val="00B07373"/>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B07373"/>
    <w:pPr>
      <w:keepNext/>
      <w:tabs>
        <w:tab w:val="left" w:pos="1417"/>
      </w:tabs>
      <w:ind w:left="1417" w:hanging="1417"/>
      <w:outlineLvl w:val="4"/>
    </w:pPr>
  </w:style>
  <w:style w:type="paragraph" w:customStyle="1" w:styleId="ManualHeading6">
    <w:name w:val="Manual Heading 6"/>
    <w:basedOn w:val="Normal"/>
    <w:next w:val="Text2"/>
    <w:rsid w:val="00B07373"/>
    <w:pPr>
      <w:keepNext/>
      <w:tabs>
        <w:tab w:val="left" w:pos="1417"/>
      </w:tabs>
      <w:ind w:left="1417" w:hanging="1417"/>
      <w:outlineLvl w:val="5"/>
    </w:pPr>
  </w:style>
  <w:style w:type="paragraph" w:customStyle="1" w:styleId="ManualHeading7">
    <w:name w:val="Manual Heading 7"/>
    <w:basedOn w:val="Normal"/>
    <w:next w:val="Text2"/>
    <w:rsid w:val="00B07373"/>
    <w:pPr>
      <w:keepNext/>
      <w:tabs>
        <w:tab w:val="left" w:pos="1417"/>
      </w:tabs>
      <w:ind w:left="1417" w:hanging="1417"/>
      <w:outlineLvl w:val="6"/>
    </w:pPr>
  </w:style>
  <w:style w:type="paragraph" w:customStyle="1" w:styleId="Text5">
    <w:name w:val="Text 5"/>
    <w:basedOn w:val="Normal"/>
    <w:rsid w:val="00B07373"/>
    <w:pPr>
      <w:ind w:left="3118"/>
    </w:pPr>
  </w:style>
  <w:style w:type="paragraph" w:customStyle="1" w:styleId="Text6">
    <w:name w:val="Text 6"/>
    <w:basedOn w:val="Normal"/>
    <w:rsid w:val="00B07373"/>
    <w:pPr>
      <w:ind w:left="3685"/>
    </w:pPr>
  </w:style>
  <w:style w:type="paragraph" w:customStyle="1" w:styleId="Point5">
    <w:name w:val="Point 5"/>
    <w:basedOn w:val="Normal"/>
    <w:rsid w:val="00B07373"/>
    <w:pPr>
      <w:ind w:left="3685" w:hanging="567"/>
    </w:pPr>
  </w:style>
  <w:style w:type="paragraph" w:customStyle="1" w:styleId="Tiret5">
    <w:name w:val="Tiret 5"/>
    <w:basedOn w:val="Point5"/>
    <w:rsid w:val="00B07373"/>
    <w:pPr>
      <w:numPr>
        <w:numId w:val="42"/>
      </w:numPr>
    </w:pPr>
  </w:style>
  <w:style w:type="paragraph" w:customStyle="1" w:styleId="NumPar5">
    <w:name w:val="NumPar 5"/>
    <w:basedOn w:val="Normal"/>
    <w:next w:val="Text2"/>
    <w:rsid w:val="00B07373"/>
    <w:pPr>
      <w:numPr>
        <w:ilvl w:val="4"/>
        <w:numId w:val="45"/>
      </w:numPr>
    </w:pPr>
  </w:style>
  <w:style w:type="paragraph" w:customStyle="1" w:styleId="NumPar6">
    <w:name w:val="NumPar 6"/>
    <w:basedOn w:val="Normal"/>
    <w:next w:val="Text2"/>
    <w:rsid w:val="00B07373"/>
    <w:pPr>
      <w:numPr>
        <w:ilvl w:val="5"/>
        <w:numId w:val="45"/>
      </w:numPr>
    </w:pPr>
  </w:style>
  <w:style w:type="paragraph" w:customStyle="1" w:styleId="NumPar7">
    <w:name w:val="NumPar 7"/>
    <w:basedOn w:val="Normal"/>
    <w:next w:val="Text2"/>
    <w:rsid w:val="00B07373"/>
    <w:pPr>
      <w:numPr>
        <w:ilvl w:val="6"/>
        <w:numId w:val="45"/>
      </w:numPr>
    </w:pPr>
  </w:style>
  <w:style w:type="paragraph" w:customStyle="1" w:styleId="ManualNumPar5">
    <w:name w:val="Manual NumPar 5"/>
    <w:basedOn w:val="Normal"/>
    <w:next w:val="Text2"/>
    <w:rsid w:val="00B07373"/>
    <w:pPr>
      <w:ind w:left="1417" w:hanging="1417"/>
    </w:pPr>
  </w:style>
  <w:style w:type="paragraph" w:customStyle="1" w:styleId="ManualNumPar6">
    <w:name w:val="Manual NumPar 6"/>
    <w:basedOn w:val="Normal"/>
    <w:next w:val="Text2"/>
    <w:rsid w:val="00B07373"/>
    <w:pPr>
      <w:ind w:left="1417" w:hanging="1417"/>
    </w:pPr>
  </w:style>
  <w:style w:type="paragraph" w:customStyle="1" w:styleId="ManualNumPar7">
    <w:name w:val="Manual NumPar 7"/>
    <w:basedOn w:val="Normal"/>
    <w:next w:val="Text2"/>
    <w:rsid w:val="00B07373"/>
    <w:pPr>
      <w:ind w:left="1417" w:hanging="1417"/>
    </w:pPr>
  </w:style>
  <w:style w:type="paragraph" w:styleId="NormalWeb">
    <w:name w:val="Normal (Web)"/>
    <w:basedOn w:val="Normal"/>
    <w:uiPriority w:val="99"/>
    <w:semiHidden/>
    <w:unhideWhenUsed/>
    <w:rsid w:val="00141E7E"/>
    <w:pPr>
      <w:spacing w:before="100" w:beforeAutospacing="1" w:after="100" w:afterAutospacing="1"/>
      <w:jc w:val="left"/>
    </w:pPr>
    <w:rPr>
      <w:rFonts w:eastAsiaTheme="minorEastAsia"/>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DA5521-2182-4DE5-8DAB-69CD0E161478}"/>
      </w:docPartPr>
      <w:docPartBody>
        <w:p w:rsidR="00DE4D39" w:rsidRDefault="001A375A">
          <w:r w:rsidRPr="0077467D">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5A"/>
    <w:rsid w:val="001A375A"/>
    <w:rsid w:val="00D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A37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BAF7-2B81-49BF-BB31-E45ECF16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877</Words>
  <Characters>5352</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DELL'OLIVO Vittoria (SANCO)</dc:creator>
  <cp:lastModifiedBy>Emilie Bak Pedersen</cp:lastModifiedBy>
  <cp:revision>2</cp:revision>
  <cp:lastPrinted>2020-03-09T16:30:00Z</cp:lastPrinted>
  <dcterms:created xsi:type="dcterms:W3CDTF">2023-02-07T09:10:00Z</dcterms:created>
  <dcterms:modified xsi:type="dcterms:W3CDTF">2023-02-07T09:10:00Z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8.1, Build 20220902</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SJ-004</vt:lpwstr>
  </property>
  <property fmtid="{D5CDD505-2E9C-101B-9397-08002B2CF9AE}" pid="10" name="DQCStatus">
    <vt:lpwstr>Yellow (DQC version 03)</vt:lpwstr>
  </property>
</Properties>
</file>