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462" w:rsidRDefault="00745462" w:rsidP="00745462">
      <w:pPr>
        <w:autoSpaceDE w:val="0"/>
        <w:autoSpaceDN w:val="0"/>
        <w:adjustRightInd w:val="0"/>
        <w:spacing w:before="0" w:after="0"/>
        <w:jc w:val="left"/>
        <w:rPr>
          <w:i/>
          <w:iCs/>
          <w:sz w:val="28"/>
          <w:szCs w:val="28"/>
        </w:rPr>
      </w:pPr>
      <w:bookmarkStart w:id="0" w:name="_GoBack"/>
      <w:bookmarkEnd w:id="0"/>
      <w:r>
        <w:rPr>
          <w:i/>
          <w:iCs/>
          <w:sz w:val="28"/>
          <w:szCs w:val="28"/>
        </w:rPr>
        <w:t xml:space="preserve">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w:t>
      </w:r>
      <w:r w:rsidRPr="00834D06">
        <w:rPr>
          <w:i/>
          <w:iCs/>
          <w:sz w:val="28"/>
          <w:szCs w:val="28"/>
        </w:rPr>
        <w:t>contain confidential and/or privileged material.</w:t>
      </w:r>
    </w:p>
    <w:p w:rsidR="00255C94" w:rsidRPr="00255C94" w:rsidRDefault="00745462" w:rsidP="00255C94">
      <w:pPr>
        <w:pStyle w:val="Pagedecouverture"/>
      </w:pPr>
      <w:r>
        <w:rPr>
          <w:i/>
          <w:iCs/>
          <w:sz w:val="28"/>
          <w:szCs w:val="28"/>
        </w:rPr>
        <w:br w:type="page"/>
      </w:r>
    </w:p>
    <w:p w:rsidR="00667C3B" w:rsidRPr="00667C3B" w:rsidRDefault="00667C3B" w:rsidP="00667C3B">
      <w:pPr>
        <w:jc w:val="center"/>
        <w:rPr>
          <w:b/>
        </w:rPr>
      </w:pPr>
      <w:r w:rsidRPr="00667C3B">
        <w:rPr>
          <w:b/>
        </w:rPr>
        <w:lastRenderedPageBreak/>
        <w:t>EN</w:t>
      </w:r>
    </w:p>
    <w:p w:rsidR="00667C3B" w:rsidRPr="00667C3B" w:rsidRDefault="00667C3B" w:rsidP="00667C3B">
      <w:pPr>
        <w:spacing w:before="0" w:after="200" w:line="276" w:lineRule="auto"/>
        <w:jc w:val="center"/>
      </w:pPr>
    </w:p>
    <w:p w:rsidR="00667C3B" w:rsidRPr="00667C3B" w:rsidRDefault="00667C3B" w:rsidP="00667C3B">
      <w:pPr>
        <w:spacing w:before="240" w:after="240"/>
        <w:jc w:val="center"/>
        <w:rPr>
          <w:b/>
          <w:u w:val="single"/>
        </w:rPr>
      </w:pPr>
      <w:r w:rsidRPr="00667C3B">
        <w:rPr>
          <w:b/>
          <w:u w:val="single"/>
        </w:rPr>
        <w:t>ANNEX</w:t>
      </w:r>
    </w:p>
    <w:p w:rsidR="00667C3B" w:rsidRPr="00667C3B" w:rsidRDefault="00667C3B" w:rsidP="00667C3B">
      <w:r w:rsidRPr="00667C3B">
        <w:t>The Annex to Implementing Regulation (EU) 2017/2470 is amended as follows:</w:t>
      </w:r>
    </w:p>
    <w:p w:rsidR="00667C3B" w:rsidRPr="00667C3B" w:rsidRDefault="00667C3B" w:rsidP="00667C3B">
      <w:pPr>
        <w:numPr>
          <w:ilvl w:val="0"/>
          <w:numId w:val="6"/>
        </w:numPr>
        <w:spacing w:before="0" w:after="200" w:line="276" w:lineRule="auto"/>
        <w:ind w:left="567" w:hanging="567"/>
        <w:contextualSpacing/>
        <w:jc w:val="left"/>
      </w:pPr>
      <w:r w:rsidRPr="00667C3B">
        <w:t xml:space="preserve">the following entry is inserted in Table 1 (Authorised novel foods) in alphabetical order: </w:t>
      </w:r>
    </w:p>
    <w:p w:rsidR="00667C3B" w:rsidRPr="00667C3B" w:rsidRDefault="00667C3B" w:rsidP="00667C3B">
      <w:pPr>
        <w:ind w:left="360" w:hanging="360"/>
        <w:rPr>
          <w:b/>
          <w:szCs w:val="24"/>
        </w:rPr>
      </w:pPr>
      <w:r w:rsidRPr="00667C3B">
        <w:rPr>
          <w:b/>
          <w:szCs w:val="24"/>
        </w:rPr>
        <w:t>‘</w:t>
      </w:r>
    </w:p>
    <w:tbl>
      <w:tblPr>
        <w:tblW w:w="14459" w:type="dxa"/>
        <w:tblInd w:w="108" w:type="dxa"/>
        <w:tblLayout w:type="fixed"/>
        <w:tblLook w:val="04A0" w:firstRow="1" w:lastRow="0" w:firstColumn="1" w:lastColumn="0" w:noHBand="0" w:noVBand="1"/>
      </w:tblPr>
      <w:tblGrid>
        <w:gridCol w:w="2268"/>
        <w:gridCol w:w="2552"/>
        <w:gridCol w:w="2835"/>
        <w:gridCol w:w="3402"/>
        <w:gridCol w:w="1134"/>
        <w:gridCol w:w="2268"/>
      </w:tblGrid>
      <w:tr w:rsidR="00667C3B" w:rsidRPr="00E9433A" w:rsidTr="00E9433A">
        <w:trPr>
          <w:trHeight w:val="840"/>
        </w:trPr>
        <w:tc>
          <w:tcPr>
            <w:tcW w:w="2268" w:type="dxa"/>
            <w:tcBorders>
              <w:top w:val="single" w:sz="4" w:space="0" w:color="auto"/>
              <w:left w:val="single" w:sz="4" w:space="0" w:color="auto"/>
              <w:bottom w:val="single" w:sz="4" w:space="0" w:color="auto"/>
              <w:right w:val="single" w:sz="4" w:space="0" w:color="auto"/>
            </w:tcBorders>
            <w:vAlign w:val="center"/>
            <w:hideMark/>
          </w:tcPr>
          <w:p w:rsidR="00667C3B" w:rsidRPr="00E9433A" w:rsidRDefault="00667C3B" w:rsidP="00667C3B">
            <w:pPr>
              <w:spacing w:before="40" w:after="40"/>
              <w:jc w:val="center"/>
              <w:rPr>
                <w:rFonts w:eastAsia="Times New Roman"/>
                <w:b/>
                <w:bCs/>
                <w:szCs w:val="24"/>
              </w:rPr>
            </w:pPr>
            <w:r w:rsidRPr="00E9433A">
              <w:rPr>
                <w:rFonts w:eastAsia="Times New Roman"/>
                <w:b/>
                <w:bCs/>
                <w:szCs w:val="24"/>
              </w:rPr>
              <w:t>Authorised novel food</w:t>
            </w:r>
          </w:p>
        </w:tc>
        <w:tc>
          <w:tcPr>
            <w:tcW w:w="5387" w:type="dxa"/>
            <w:gridSpan w:val="2"/>
            <w:tcBorders>
              <w:top w:val="single" w:sz="4" w:space="0" w:color="auto"/>
              <w:left w:val="nil"/>
              <w:bottom w:val="single" w:sz="4" w:space="0" w:color="auto"/>
              <w:right w:val="single" w:sz="4" w:space="0" w:color="auto"/>
            </w:tcBorders>
            <w:vAlign w:val="center"/>
            <w:hideMark/>
          </w:tcPr>
          <w:p w:rsidR="00667C3B" w:rsidRPr="00E9433A" w:rsidRDefault="00667C3B" w:rsidP="00667C3B">
            <w:pPr>
              <w:spacing w:before="40" w:after="40"/>
              <w:jc w:val="center"/>
              <w:rPr>
                <w:rFonts w:eastAsia="Times New Roman"/>
                <w:b/>
                <w:bCs/>
                <w:szCs w:val="24"/>
              </w:rPr>
            </w:pPr>
            <w:r w:rsidRPr="00E9433A">
              <w:rPr>
                <w:rFonts w:eastAsia="Times New Roman"/>
                <w:b/>
                <w:bCs/>
                <w:szCs w:val="24"/>
              </w:rPr>
              <w:t>Conditions under which the novel food may be used</w:t>
            </w:r>
          </w:p>
        </w:tc>
        <w:tc>
          <w:tcPr>
            <w:tcW w:w="3402" w:type="dxa"/>
            <w:tcBorders>
              <w:top w:val="single" w:sz="4" w:space="0" w:color="auto"/>
              <w:left w:val="nil"/>
              <w:bottom w:val="single" w:sz="4" w:space="0" w:color="auto"/>
              <w:right w:val="single" w:sz="4" w:space="0" w:color="auto"/>
            </w:tcBorders>
            <w:vAlign w:val="center"/>
            <w:hideMark/>
          </w:tcPr>
          <w:p w:rsidR="00667C3B" w:rsidRPr="00E9433A" w:rsidRDefault="00667C3B" w:rsidP="00667C3B">
            <w:pPr>
              <w:spacing w:before="40" w:after="40"/>
              <w:jc w:val="center"/>
              <w:rPr>
                <w:rFonts w:eastAsia="Times New Roman"/>
                <w:b/>
                <w:bCs/>
                <w:szCs w:val="24"/>
              </w:rPr>
            </w:pPr>
            <w:r w:rsidRPr="00E9433A">
              <w:rPr>
                <w:rFonts w:eastAsia="Times New Roman"/>
                <w:b/>
                <w:bCs/>
                <w:szCs w:val="24"/>
              </w:rPr>
              <w:t>Additional specific labelling requirements</w:t>
            </w:r>
          </w:p>
        </w:tc>
        <w:tc>
          <w:tcPr>
            <w:tcW w:w="1134" w:type="dxa"/>
            <w:tcBorders>
              <w:top w:val="single" w:sz="4" w:space="0" w:color="auto"/>
              <w:left w:val="nil"/>
              <w:bottom w:val="single" w:sz="4" w:space="0" w:color="auto"/>
              <w:right w:val="single" w:sz="4" w:space="0" w:color="auto"/>
            </w:tcBorders>
            <w:vAlign w:val="center"/>
            <w:hideMark/>
          </w:tcPr>
          <w:p w:rsidR="00667C3B" w:rsidRPr="00E9433A" w:rsidRDefault="00667C3B" w:rsidP="00667C3B">
            <w:pPr>
              <w:spacing w:before="40" w:after="40"/>
              <w:jc w:val="center"/>
              <w:rPr>
                <w:rFonts w:eastAsia="Times New Roman"/>
                <w:b/>
                <w:bCs/>
                <w:szCs w:val="24"/>
              </w:rPr>
            </w:pPr>
            <w:r w:rsidRPr="00E9433A">
              <w:rPr>
                <w:rFonts w:eastAsia="Times New Roman"/>
                <w:b/>
                <w:bCs/>
                <w:szCs w:val="24"/>
              </w:rPr>
              <w:t>Other requirements</w:t>
            </w:r>
          </w:p>
        </w:tc>
        <w:tc>
          <w:tcPr>
            <w:tcW w:w="2268" w:type="dxa"/>
            <w:tcBorders>
              <w:top w:val="single" w:sz="4" w:space="0" w:color="auto"/>
              <w:left w:val="nil"/>
              <w:bottom w:val="single" w:sz="4" w:space="0" w:color="auto"/>
              <w:right w:val="single" w:sz="4" w:space="0" w:color="auto"/>
            </w:tcBorders>
          </w:tcPr>
          <w:p w:rsidR="00667C3B" w:rsidRPr="00E9433A" w:rsidRDefault="00667C3B" w:rsidP="00667C3B">
            <w:pPr>
              <w:spacing w:before="40" w:after="40"/>
              <w:jc w:val="center"/>
              <w:rPr>
                <w:rFonts w:eastAsia="Times New Roman"/>
                <w:b/>
                <w:bCs/>
                <w:szCs w:val="24"/>
              </w:rPr>
            </w:pPr>
          </w:p>
          <w:p w:rsidR="00667C3B" w:rsidRPr="00E9433A" w:rsidRDefault="00667C3B" w:rsidP="00667C3B">
            <w:pPr>
              <w:spacing w:before="40" w:after="40"/>
              <w:jc w:val="center"/>
              <w:rPr>
                <w:rFonts w:eastAsia="Times New Roman"/>
                <w:b/>
                <w:bCs/>
                <w:szCs w:val="24"/>
                <w:vertAlign w:val="superscript"/>
              </w:rPr>
            </w:pPr>
            <w:r w:rsidRPr="00E9433A">
              <w:rPr>
                <w:rFonts w:eastAsia="Times New Roman"/>
                <w:b/>
                <w:bCs/>
                <w:szCs w:val="24"/>
              </w:rPr>
              <w:t>Data Protection</w:t>
            </w:r>
          </w:p>
        </w:tc>
      </w:tr>
      <w:tr w:rsidR="00DE7C9A" w:rsidRPr="00E9433A" w:rsidTr="00E9433A">
        <w:trPr>
          <w:trHeight w:val="206"/>
        </w:trPr>
        <w:tc>
          <w:tcPr>
            <w:tcW w:w="2268" w:type="dxa"/>
            <w:vMerge w:val="restart"/>
            <w:tcBorders>
              <w:top w:val="nil"/>
              <w:left w:val="single" w:sz="4" w:space="0" w:color="auto"/>
              <w:bottom w:val="single" w:sz="4" w:space="0" w:color="auto"/>
              <w:right w:val="single" w:sz="4" w:space="0" w:color="auto"/>
            </w:tcBorders>
            <w:vAlign w:val="center"/>
            <w:hideMark/>
          </w:tcPr>
          <w:p w:rsidR="00DE7C9A" w:rsidRPr="00765459" w:rsidRDefault="00DE7C9A" w:rsidP="00667C3B">
            <w:pPr>
              <w:spacing w:before="40" w:after="40"/>
              <w:rPr>
                <w:rFonts w:eastAsia="Times New Roman"/>
                <w:b/>
                <w:bCs/>
                <w:szCs w:val="24"/>
                <w:lang w:val="fr-BE"/>
              </w:rPr>
            </w:pPr>
            <w:r w:rsidRPr="00765459">
              <w:rPr>
                <w:rFonts w:eastAsia="Times New Roman"/>
                <w:b/>
                <w:bCs/>
                <w:szCs w:val="24"/>
                <w:lang w:val="fr-BE"/>
              </w:rPr>
              <w:t>2’-fucosyllactose/difucosyllactose mixture (‘2’-FL/DFL)</w:t>
            </w:r>
          </w:p>
          <w:p w:rsidR="00E9433A" w:rsidRPr="00E9433A" w:rsidRDefault="00E9433A" w:rsidP="00667C3B">
            <w:pPr>
              <w:spacing w:before="40" w:after="40"/>
              <w:rPr>
                <w:rFonts w:eastAsia="Times New Roman"/>
                <w:bCs/>
                <w:szCs w:val="24"/>
                <w:lang w:val="fr-BE"/>
              </w:rPr>
            </w:pPr>
            <w:r w:rsidRPr="00765459">
              <w:rPr>
                <w:rFonts w:eastAsia="Times New Roman"/>
                <w:b/>
                <w:bCs/>
                <w:szCs w:val="24"/>
                <w:lang w:val="fr-BE"/>
              </w:rPr>
              <w:t>(Microbiological)</w:t>
            </w:r>
          </w:p>
        </w:tc>
        <w:tc>
          <w:tcPr>
            <w:tcW w:w="2552" w:type="dxa"/>
            <w:tcBorders>
              <w:top w:val="nil"/>
              <w:left w:val="nil"/>
              <w:bottom w:val="single" w:sz="4" w:space="0" w:color="auto"/>
              <w:right w:val="single" w:sz="4" w:space="0" w:color="auto"/>
            </w:tcBorders>
            <w:vAlign w:val="center"/>
            <w:hideMark/>
          </w:tcPr>
          <w:p w:rsidR="00DE7C9A" w:rsidRPr="00E9433A" w:rsidRDefault="00DE7C9A" w:rsidP="00667C3B">
            <w:pPr>
              <w:spacing w:before="40" w:after="40"/>
              <w:jc w:val="center"/>
              <w:rPr>
                <w:rFonts w:eastAsia="Times New Roman"/>
                <w:b/>
                <w:bCs/>
                <w:szCs w:val="24"/>
              </w:rPr>
            </w:pPr>
            <w:r w:rsidRPr="00E9433A">
              <w:rPr>
                <w:rFonts w:eastAsia="Times New Roman"/>
                <w:b/>
                <w:bCs/>
                <w:szCs w:val="24"/>
              </w:rPr>
              <w:t>Specified food category</w:t>
            </w:r>
          </w:p>
        </w:tc>
        <w:tc>
          <w:tcPr>
            <w:tcW w:w="2835" w:type="dxa"/>
            <w:tcBorders>
              <w:top w:val="nil"/>
              <w:left w:val="nil"/>
              <w:bottom w:val="single" w:sz="4" w:space="0" w:color="auto"/>
              <w:right w:val="single" w:sz="4" w:space="0" w:color="auto"/>
            </w:tcBorders>
            <w:vAlign w:val="center"/>
            <w:hideMark/>
          </w:tcPr>
          <w:p w:rsidR="00DE7C9A" w:rsidRPr="00E9433A" w:rsidRDefault="00DE7C9A" w:rsidP="0004170A">
            <w:pPr>
              <w:spacing w:before="40" w:after="40"/>
              <w:jc w:val="center"/>
              <w:rPr>
                <w:rFonts w:eastAsia="Times New Roman"/>
                <w:b/>
                <w:bCs/>
                <w:szCs w:val="24"/>
              </w:rPr>
            </w:pPr>
            <w:r w:rsidRPr="00E9433A">
              <w:rPr>
                <w:rFonts w:eastAsia="Times New Roman"/>
                <w:b/>
                <w:bCs/>
                <w:szCs w:val="24"/>
              </w:rPr>
              <w:t xml:space="preserve">Maximum levels </w:t>
            </w:r>
          </w:p>
        </w:tc>
        <w:tc>
          <w:tcPr>
            <w:tcW w:w="3402" w:type="dxa"/>
            <w:vMerge w:val="restart"/>
            <w:tcBorders>
              <w:top w:val="nil"/>
              <w:left w:val="single" w:sz="4" w:space="0" w:color="auto"/>
              <w:bottom w:val="single" w:sz="4" w:space="0" w:color="auto"/>
              <w:right w:val="single" w:sz="4" w:space="0" w:color="auto"/>
            </w:tcBorders>
            <w:vAlign w:val="center"/>
          </w:tcPr>
          <w:p w:rsidR="00DE7C9A" w:rsidRDefault="00DE7C9A" w:rsidP="00667C3B">
            <w:pPr>
              <w:spacing w:before="40" w:after="40"/>
              <w:rPr>
                <w:rFonts w:eastAsia="Times New Roman"/>
                <w:szCs w:val="24"/>
              </w:rPr>
            </w:pPr>
            <w:r w:rsidRPr="00E9433A">
              <w:rPr>
                <w:rFonts w:eastAsia="Times New Roman"/>
                <w:szCs w:val="24"/>
              </w:rPr>
              <w:t>The designation of the novel food on the labelling of the foodstuffs containing it shall be “</w:t>
            </w:r>
            <w:r w:rsidRPr="00E9433A">
              <w:rPr>
                <w:rFonts w:eastAsia="Times New Roman"/>
                <w:bCs/>
                <w:szCs w:val="24"/>
                <w:lang w:val="en-IE"/>
              </w:rPr>
              <w:t>2’-fucosyllactose/difucosyllactose mixture</w:t>
            </w:r>
            <w:r w:rsidRPr="00E9433A">
              <w:rPr>
                <w:rFonts w:eastAsia="Times New Roman"/>
                <w:szCs w:val="24"/>
              </w:rPr>
              <w:t>”.</w:t>
            </w:r>
          </w:p>
          <w:p w:rsidR="00E9433A" w:rsidRDefault="00E9433A" w:rsidP="00667C3B">
            <w:pPr>
              <w:spacing w:before="40" w:after="40"/>
              <w:rPr>
                <w:rFonts w:eastAsia="Times New Roman"/>
                <w:szCs w:val="24"/>
              </w:rPr>
            </w:pPr>
          </w:p>
          <w:p w:rsidR="00E9433A" w:rsidRPr="00E9433A" w:rsidRDefault="00E9433A" w:rsidP="00E9433A">
            <w:pPr>
              <w:spacing w:before="40" w:after="40"/>
              <w:rPr>
                <w:rFonts w:eastAsia="Times New Roman"/>
                <w:szCs w:val="24"/>
              </w:rPr>
            </w:pPr>
            <w:r>
              <w:rPr>
                <w:rFonts w:eastAsia="Times New Roman"/>
                <w:szCs w:val="24"/>
              </w:rPr>
              <w:t>The labelling of food</w:t>
            </w:r>
            <w:r w:rsidRPr="00E9433A">
              <w:rPr>
                <w:rFonts w:eastAsia="Times New Roman"/>
                <w:szCs w:val="24"/>
              </w:rPr>
              <w:t xml:space="preserve"> supplements containing </w:t>
            </w:r>
            <w:r>
              <w:rPr>
                <w:rFonts w:eastAsia="Times New Roman"/>
                <w:szCs w:val="24"/>
              </w:rPr>
              <w:t xml:space="preserve">the </w:t>
            </w:r>
            <w:r w:rsidRPr="00E9433A">
              <w:rPr>
                <w:rFonts w:eastAsia="Times New Roman"/>
                <w:bCs/>
                <w:szCs w:val="24"/>
                <w:lang w:val="en-IE"/>
              </w:rPr>
              <w:t>2’-fucosyllactose/difucosyllactose mixture</w:t>
            </w:r>
            <w:r w:rsidRPr="00E9433A">
              <w:rPr>
                <w:rFonts w:eastAsia="Times New Roman"/>
                <w:szCs w:val="24"/>
              </w:rPr>
              <w:t xml:space="preserve"> shall bear a statement that the</w:t>
            </w:r>
            <w:r>
              <w:rPr>
                <w:rFonts w:eastAsia="Times New Roman"/>
                <w:szCs w:val="24"/>
              </w:rPr>
              <w:t>y</w:t>
            </w:r>
            <w:r w:rsidRPr="00E9433A">
              <w:rPr>
                <w:rFonts w:eastAsia="Times New Roman"/>
                <w:szCs w:val="24"/>
              </w:rPr>
              <w:t xml:space="preserve"> should not be used if breast milk or other foods with added </w:t>
            </w:r>
            <w:r w:rsidRPr="00E9433A">
              <w:rPr>
                <w:rFonts w:eastAsia="Times New Roman"/>
                <w:bCs/>
                <w:szCs w:val="24"/>
                <w:lang w:val="en-IE"/>
              </w:rPr>
              <w:t>2’-fucosyllactose/difucosyllactose mixture and/or added 2’-fucosyllactose</w:t>
            </w:r>
            <w:r w:rsidRPr="00E9433A">
              <w:rPr>
                <w:rFonts w:eastAsia="Times New Roman"/>
                <w:szCs w:val="24"/>
              </w:rPr>
              <w:t xml:space="preserve"> are consumed the same day.</w:t>
            </w:r>
          </w:p>
          <w:p w:rsidR="00E9433A" w:rsidRPr="00E9433A" w:rsidRDefault="00E9433A" w:rsidP="00667C3B">
            <w:pPr>
              <w:spacing w:before="40" w:after="40"/>
              <w:rPr>
                <w:rFonts w:eastAsia="Times New Roman"/>
                <w:szCs w:val="24"/>
              </w:rPr>
            </w:pPr>
          </w:p>
          <w:p w:rsidR="00DE7C9A" w:rsidRPr="00E9433A" w:rsidRDefault="00DE7C9A" w:rsidP="00667C3B">
            <w:pPr>
              <w:spacing w:before="40" w:after="40"/>
              <w:rPr>
                <w:rFonts w:eastAsia="Times New Roman"/>
                <w:szCs w:val="24"/>
              </w:rPr>
            </w:pPr>
          </w:p>
          <w:p w:rsidR="00DE7C9A" w:rsidRPr="00E9433A" w:rsidRDefault="00DE7C9A" w:rsidP="0004170A">
            <w:pPr>
              <w:spacing w:before="40" w:after="40"/>
              <w:rPr>
                <w:rFonts w:eastAsia="Times New Roman"/>
                <w:szCs w:val="24"/>
              </w:rPr>
            </w:pPr>
          </w:p>
        </w:tc>
        <w:tc>
          <w:tcPr>
            <w:tcW w:w="1134" w:type="dxa"/>
            <w:vMerge w:val="restart"/>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2268" w:type="dxa"/>
            <w:vMerge w:val="restart"/>
            <w:tcBorders>
              <w:top w:val="single" w:sz="4" w:space="0" w:color="auto"/>
              <w:left w:val="single" w:sz="4" w:space="0" w:color="auto"/>
              <w:right w:val="single" w:sz="4" w:space="0" w:color="auto"/>
            </w:tcBorders>
            <w:hideMark/>
          </w:tcPr>
          <w:p w:rsidR="00DE7C9A" w:rsidRPr="00E9433A" w:rsidRDefault="00DE7C9A" w:rsidP="00667C3B">
            <w:pPr>
              <w:spacing w:before="40" w:after="40"/>
              <w:rPr>
                <w:rFonts w:eastAsiaTheme="minorHAnsi"/>
                <w:szCs w:val="24"/>
                <w:lang w:eastAsia="en-US"/>
              </w:rPr>
            </w:pPr>
            <w:r w:rsidRPr="00E9433A">
              <w:rPr>
                <w:szCs w:val="24"/>
              </w:rPr>
              <w:t xml:space="preserve">Authorised on dd.mm.yyyy [20th day following its publication]. This inclusion is based on proprietary scientific evidence and scientific data protected in accordance with Article 26 of Regulation (EU) 2015/2283. </w:t>
            </w:r>
          </w:p>
          <w:p w:rsidR="00DE7C9A" w:rsidRPr="00E9433A" w:rsidRDefault="00DE7C9A" w:rsidP="00667C3B">
            <w:pPr>
              <w:spacing w:before="40" w:after="40"/>
              <w:rPr>
                <w:szCs w:val="24"/>
              </w:rPr>
            </w:pPr>
            <w:r w:rsidRPr="00E9433A">
              <w:rPr>
                <w:szCs w:val="24"/>
              </w:rPr>
              <w:t xml:space="preserve">Applicant: Glycom A/S, </w:t>
            </w:r>
            <w:r w:rsidRPr="00E9433A">
              <w:rPr>
                <w:rFonts w:eastAsiaTheme="minorHAnsi"/>
                <w:szCs w:val="24"/>
                <w:lang w:val="en-IE" w:eastAsia="en-US"/>
              </w:rPr>
              <w:t xml:space="preserve"> </w:t>
            </w:r>
            <w:r w:rsidRPr="00E9433A">
              <w:rPr>
                <w:szCs w:val="24"/>
              </w:rPr>
              <w:t xml:space="preserve">Kogle Allé 4, DK-2970 Hørsholm, Denmark. During the period of data </w:t>
            </w:r>
            <w:r w:rsidRPr="00E9433A">
              <w:rPr>
                <w:szCs w:val="24"/>
              </w:rPr>
              <w:lastRenderedPageBreak/>
              <w:t xml:space="preserve">protection, the novel food </w:t>
            </w:r>
            <w:r w:rsidR="00E9433A" w:rsidRPr="00E9433A">
              <w:rPr>
                <w:rFonts w:eastAsia="Times New Roman"/>
                <w:bCs/>
                <w:szCs w:val="24"/>
                <w:lang w:val="en-IE"/>
              </w:rPr>
              <w:t>2’-fucosyllactose/difucosyllactose mixture</w:t>
            </w:r>
            <w:r w:rsidRPr="00E9433A">
              <w:rPr>
                <w:szCs w:val="24"/>
              </w:rPr>
              <w:t xml:space="preserve"> is authorised for placing on the market within the Union only by Glycom A/S</w:t>
            </w:r>
            <w:r w:rsidRPr="00E9433A">
              <w:rPr>
                <w:rFonts w:eastAsiaTheme="minorHAnsi"/>
                <w:szCs w:val="24"/>
                <w:lang w:val="en-IE" w:eastAsia="en-US"/>
              </w:rPr>
              <w:t xml:space="preserve"> </w:t>
            </w:r>
            <w:r w:rsidRPr="00E9433A">
              <w:rPr>
                <w:szCs w:val="24"/>
              </w:rPr>
              <w:t xml:space="preserve">unless a subsequent applicant obtains authorisation for the novel food without reference to the proprietary scientific evidence or scientific data protected in accordance with Article 26 of Regulation (EU) 2015/2283 or with the agreement Glycom A/S. </w:t>
            </w:r>
          </w:p>
          <w:p w:rsidR="00DE7C9A" w:rsidRPr="00E9433A" w:rsidRDefault="00DE7C9A" w:rsidP="00667C3B">
            <w:pPr>
              <w:spacing w:before="40" w:after="40"/>
              <w:rPr>
                <w:rFonts w:eastAsia="Times New Roman"/>
                <w:szCs w:val="24"/>
              </w:rPr>
            </w:pPr>
            <w:r w:rsidRPr="00E9433A">
              <w:rPr>
                <w:szCs w:val="24"/>
              </w:rPr>
              <w:t>End date of the data protection: dd.mm.yyyy (5 years).</w:t>
            </w:r>
          </w:p>
        </w:tc>
      </w:tr>
      <w:tr w:rsidR="00DE7C9A" w:rsidRPr="00E9433A" w:rsidTr="00E9433A">
        <w:trPr>
          <w:trHeight w:val="206"/>
        </w:trPr>
        <w:tc>
          <w:tcPr>
            <w:tcW w:w="2268" w:type="dxa"/>
            <w:vMerge/>
            <w:tcBorders>
              <w:top w:val="nil"/>
              <w:left w:val="single" w:sz="4" w:space="0" w:color="auto"/>
              <w:bottom w:val="single" w:sz="4" w:space="0" w:color="auto"/>
              <w:right w:val="single" w:sz="4" w:space="0" w:color="auto"/>
            </w:tcBorders>
            <w:vAlign w:val="center"/>
          </w:tcPr>
          <w:p w:rsidR="00DE7C9A" w:rsidRPr="00765459" w:rsidRDefault="00DE7C9A" w:rsidP="00667C3B">
            <w:pPr>
              <w:spacing w:before="40" w:after="40"/>
              <w:rPr>
                <w:rFonts w:eastAsia="Times New Roman"/>
                <w:bCs/>
                <w:szCs w:val="24"/>
                <w:lang w:val="en-IE"/>
              </w:rPr>
            </w:pPr>
          </w:p>
        </w:tc>
        <w:tc>
          <w:tcPr>
            <w:tcW w:w="2552" w:type="dxa"/>
            <w:tcBorders>
              <w:top w:val="nil"/>
              <w:left w:val="nil"/>
              <w:bottom w:val="single" w:sz="4" w:space="0" w:color="auto"/>
              <w:right w:val="single" w:sz="4" w:space="0" w:color="auto"/>
            </w:tcBorders>
            <w:vAlign w:val="center"/>
          </w:tcPr>
          <w:p w:rsidR="00DE7C9A" w:rsidRPr="00E9433A" w:rsidRDefault="00DE7C9A" w:rsidP="00667C3B">
            <w:pPr>
              <w:spacing w:before="40" w:after="40"/>
              <w:jc w:val="center"/>
              <w:rPr>
                <w:rFonts w:eastAsia="Times New Roman"/>
                <w:b/>
                <w:bCs/>
                <w:szCs w:val="24"/>
              </w:rPr>
            </w:pPr>
            <w:r w:rsidRPr="00E9433A">
              <w:rPr>
                <w:rFonts w:eastAsia="Times New Roman"/>
                <w:szCs w:val="24"/>
              </w:rPr>
              <w:t>Unflavoured pasteurised and unflavoured sterilised (including UHT) milk</w:t>
            </w:r>
          </w:p>
        </w:tc>
        <w:tc>
          <w:tcPr>
            <w:tcW w:w="2835" w:type="dxa"/>
            <w:tcBorders>
              <w:top w:val="nil"/>
              <w:left w:val="nil"/>
              <w:bottom w:val="single" w:sz="4" w:space="0" w:color="auto"/>
              <w:right w:val="single" w:sz="4" w:space="0" w:color="auto"/>
            </w:tcBorders>
            <w:vAlign w:val="center"/>
          </w:tcPr>
          <w:p w:rsidR="00DE7C9A" w:rsidRPr="00E9433A" w:rsidRDefault="00DE7C9A" w:rsidP="0004170A">
            <w:pPr>
              <w:spacing w:before="40" w:after="40"/>
              <w:jc w:val="center"/>
              <w:rPr>
                <w:rFonts w:eastAsia="Times New Roman"/>
                <w:b/>
                <w:bCs/>
                <w:szCs w:val="24"/>
              </w:rPr>
            </w:pPr>
            <w:r w:rsidRPr="00E9433A">
              <w:rPr>
                <w:rFonts w:eastAsiaTheme="minorHAnsi"/>
                <w:szCs w:val="24"/>
                <w:lang w:eastAsia="en-US"/>
              </w:rPr>
              <w:t>2.0 g/L</w:t>
            </w:r>
          </w:p>
        </w:tc>
        <w:tc>
          <w:tcPr>
            <w:tcW w:w="3402"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1134"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2268" w:type="dxa"/>
            <w:vMerge/>
            <w:tcBorders>
              <w:left w:val="single" w:sz="4" w:space="0" w:color="auto"/>
              <w:right w:val="single" w:sz="4" w:space="0" w:color="auto"/>
            </w:tcBorders>
          </w:tcPr>
          <w:p w:rsidR="00DE7C9A" w:rsidRPr="00E9433A" w:rsidRDefault="00DE7C9A" w:rsidP="00667C3B">
            <w:pPr>
              <w:spacing w:before="40" w:after="40"/>
              <w:rPr>
                <w:szCs w:val="24"/>
              </w:rPr>
            </w:pPr>
          </w:p>
        </w:tc>
      </w:tr>
      <w:tr w:rsidR="00DE7C9A" w:rsidRPr="00E9433A" w:rsidTr="00E9433A">
        <w:trPr>
          <w:trHeight w:val="360"/>
        </w:trPr>
        <w:tc>
          <w:tcPr>
            <w:tcW w:w="2268"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bCs/>
                <w:szCs w:val="24"/>
              </w:rPr>
            </w:pPr>
          </w:p>
        </w:tc>
        <w:tc>
          <w:tcPr>
            <w:tcW w:w="2552" w:type="dxa"/>
            <w:tcBorders>
              <w:top w:val="nil"/>
              <w:left w:val="nil"/>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r w:rsidRPr="00E9433A">
              <w:rPr>
                <w:rFonts w:eastAsia="Times New Roman"/>
                <w:szCs w:val="24"/>
              </w:rPr>
              <w:t>Unflavoured fermented milk-based products</w:t>
            </w:r>
          </w:p>
        </w:tc>
        <w:tc>
          <w:tcPr>
            <w:tcW w:w="2835" w:type="dxa"/>
            <w:tcBorders>
              <w:top w:val="nil"/>
              <w:left w:val="nil"/>
              <w:bottom w:val="single" w:sz="4" w:space="0" w:color="auto"/>
              <w:right w:val="single" w:sz="4" w:space="0" w:color="auto"/>
            </w:tcBorders>
          </w:tcPr>
          <w:p w:rsidR="00DE7C9A" w:rsidRPr="00E9433A" w:rsidRDefault="00DE7C9A" w:rsidP="00DE7C9A">
            <w:pPr>
              <w:spacing w:before="40" w:after="40"/>
              <w:jc w:val="center"/>
              <w:rPr>
                <w:rFonts w:eastAsiaTheme="minorHAnsi"/>
                <w:szCs w:val="24"/>
                <w:lang w:eastAsia="en-US"/>
              </w:rPr>
            </w:pPr>
            <w:r w:rsidRPr="00E9433A">
              <w:rPr>
                <w:rFonts w:eastAsiaTheme="minorHAnsi"/>
                <w:szCs w:val="24"/>
                <w:lang w:eastAsia="en-US"/>
              </w:rPr>
              <w:t>2.0 g/L (beverages)</w:t>
            </w:r>
          </w:p>
          <w:p w:rsidR="00DE7C9A" w:rsidRPr="00E9433A" w:rsidRDefault="00DE7C9A" w:rsidP="00DE7C9A">
            <w:pPr>
              <w:spacing w:before="40" w:after="40"/>
              <w:jc w:val="center"/>
              <w:rPr>
                <w:rFonts w:eastAsiaTheme="minorHAnsi"/>
                <w:szCs w:val="24"/>
                <w:lang w:eastAsia="en-US"/>
              </w:rPr>
            </w:pPr>
            <w:r w:rsidRPr="00E9433A">
              <w:rPr>
                <w:rFonts w:eastAsiaTheme="minorHAnsi"/>
                <w:szCs w:val="24"/>
                <w:lang w:eastAsia="en-US"/>
              </w:rPr>
              <w:t>20 g/kg (products other than beverages)</w:t>
            </w:r>
          </w:p>
        </w:tc>
        <w:tc>
          <w:tcPr>
            <w:tcW w:w="3402"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1134"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2268" w:type="dxa"/>
            <w:vMerge/>
            <w:tcBorders>
              <w:left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r>
      <w:tr w:rsidR="00DE7C9A" w:rsidRPr="00E9433A" w:rsidTr="00E9433A">
        <w:trPr>
          <w:trHeight w:val="360"/>
        </w:trPr>
        <w:tc>
          <w:tcPr>
            <w:tcW w:w="2268"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bCs/>
                <w:szCs w:val="24"/>
              </w:rPr>
            </w:pPr>
          </w:p>
        </w:tc>
        <w:tc>
          <w:tcPr>
            <w:tcW w:w="2552" w:type="dxa"/>
            <w:tcBorders>
              <w:top w:val="nil"/>
              <w:left w:val="nil"/>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r w:rsidRPr="00E9433A">
              <w:rPr>
                <w:rFonts w:eastAsia="Times New Roman"/>
                <w:szCs w:val="24"/>
              </w:rPr>
              <w:t>Flavoured fermented milk-bases products including heat-treated products</w:t>
            </w:r>
          </w:p>
        </w:tc>
        <w:tc>
          <w:tcPr>
            <w:tcW w:w="2835" w:type="dxa"/>
            <w:tcBorders>
              <w:top w:val="nil"/>
              <w:left w:val="nil"/>
              <w:bottom w:val="single" w:sz="4" w:space="0" w:color="auto"/>
              <w:right w:val="single" w:sz="4" w:space="0" w:color="auto"/>
            </w:tcBorders>
          </w:tcPr>
          <w:p w:rsidR="00DE7C9A" w:rsidRPr="00E9433A" w:rsidRDefault="00DE7C9A" w:rsidP="00DE7C9A">
            <w:pPr>
              <w:spacing w:before="40" w:after="40"/>
              <w:jc w:val="center"/>
              <w:rPr>
                <w:rFonts w:eastAsiaTheme="minorHAnsi"/>
                <w:szCs w:val="24"/>
                <w:lang w:eastAsia="en-US"/>
              </w:rPr>
            </w:pPr>
            <w:r w:rsidRPr="00E9433A">
              <w:rPr>
                <w:rFonts w:eastAsiaTheme="minorHAnsi"/>
                <w:szCs w:val="24"/>
                <w:lang w:eastAsia="en-US"/>
              </w:rPr>
              <w:t>2.0 g/L (beverages)</w:t>
            </w:r>
          </w:p>
          <w:p w:rsidR="00DE7C9A" w:rsidRPr="00E9433A" w:rsidRDefault="00DE7C9A" w:rsidP="00DE7C9A">
            <w:pPr>
              <w:spacing w:before="40" w:after="40"/>
              <w:jc w:val="center"/>
              <w:rPr>
                <w:rFonts w:eastAsiaTheme="minorHAnsi"/>
                <w:szCs w:val="24"/>
                <w:lang w:eastAsia="en-US"/>
              </w:rPr>
            </w:pPr>
            <w:r w:rsidRPr="00E9433A">
              <w:rPr>
                <w:rFonts w:eastAsiaTheme="minorHAnsi"/>
                <w:szCs w:val="24"/>
                <w:lang w:eastAsia="en-US"/>
              </w:rPr>
              <w:t>20 g/kg (products other than beverages)</w:t>
            </w:r>
          </w:p>
        </w:tc>
        <w:tc>
          <w:tcPr>
            <w:tcW w:w="3402"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1134"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2268" w:type="dxa"/>
            <w:vMerge/>
            <w:tcBorders>
              <w:left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r>
      <w:tr w:rsidR="00DE7C9A" w:rsidRPr="00E9433A" w:rsidTr="00E9433A">
        <w:trPr>
          <w:trHeight w:val="360"/>
        </w:trPr>
        <w:tc>
          <w:tcPr>
            <w:tcW w:w="2268"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bCs/>
                <w:szCs w:val="24"/>
              </w:rPr>
            </w:pPr>
          </w:p>
        </w:tc>
        <w:tc>
          <w:tcPr>
            <w:tcW w:w="2552" w:type="dxa"/>
            <w:tcBorders>
              <w:top w:val="nil"/>
              <w:left w:val="nil"/>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r w:rsidRPr="00E9433A">
              <w:rPr>
                <w:rFonts w:eastAsia="Times New Roman"/>
                <w:szCs w:val="24"/>
              </w:rPr>
              <w:t>Beverages (favoured drinks)</w:t>
            </w:r>
          </w:p>
        </w:tc>
        <w:tc>
          <w:tcPr>
            <w:tcW w:w="2835" w:type="dxa"/>
            <w:tcBorders>
              <w:top w:val="nil"/>
              <w:left w:val="nil"/>
              <w:bottom w:val="single" w:sz="4" w:space="0" w:color="auto"/>
              <w:right w:val="single" w:sz="4" w:space="0" w:color="auto"/>
            </w:tcBorders>
          </w:tcPr>
          <w:p w:rsidR="00DE7C9A" w:rsidRPr="00E9433A" w:rsidRDefault="00DE7C9A" w:rsidP="0004170A">
            <w:pPr>
              <w:spacing w:before="40" w:after="40"/>
              <w:jc w:val="center"/>
              <w:rPr>
                <w:rFonts w:eastAsiaTheme="minorHAnsi"/>
                <w:szCs w:val="24"/>
                <w:lang w:eastAsia="en-US"/>
              </w:rPr>
            </w:pPr>
            <w:r w:rsidRPr="00E9433A">
              <w:rPr>
                <w:rFonts w:eastAsiaTheme="minorHAnsi"/>
                <w:szCs w:val="24"/>
                <w:lang w:eastAsia="en-US"/>
              </w:rPr>
              <w:t>2.0 g/L</w:t>
            </w:r>
          </w:p>
        </w:tc>
        <w:tc>
          <w:tcPr>
            <w:tcW w:w="3402"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1134"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2268" w:type="dxa"/>
            <w:vMerge/>
            <w:tcBorders>
              <w:left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r>
      <w:tr w:rsidR="00DE7C9A" w:rsidRPr="00E9433A" w:rsidTr="00E9433A">
        <w:trPr>
          <w:trHeight w:val="360"/>
        </w:trPr>
        <w:tc>
          <w:tcPr>
            <w:tcW w:w="2268"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bCs/>
                <w:szCs w:val="24"/>
              </w:rPr>
            </w:pPr>
          </w:p>
        </w:tc>
        <w:tc>
          <w:tcPr>
            <w:tcW w:w="2552" w:type="dxa"/>
            <w:tcBorders>
              <w:top w:val="nil"/>
              <w:left w:val="nil"/>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r w:rsidRPr="00E9433A">
              <w:rPr>
                <w:rFonts w:eastAsia="Times New Roman"/>
                <w:szCs w:val="24"/>
              </w:rPr>
              <w:t>Fine bakery wares (cereal bars only)</w:t>
            </w:r>
          </w:p>
        </w:tc>
        <w:tc>
          <w:tcPr>
            <w:tcW w:w="2835" w:type="dxa"/>
            <w:tcBorders>
              <w:top w:val="nil"/>
              <w:left w:val="nil"/>
              <w:bottom w:val="single" w:sz="4" w:space="0" w:color="auto"/>
              <w:right w:val="single" w:sz="4" w:space="0" w:color="auto"/>
            </w:tcBorders>
          </w:tcPr>
          <w:p w:rsidR="00DE7C9A" w:rsidRPr="00E9433A" w:rsidRDefault="00DE7C9A" w:rsidP="0004170A">
            <w:pPr>
              <w:spacing w:before="40" w:after="40"/>
              <w:jc w:val="center"/>
              <w:rPr>
                <w:rFonts w:eastAsiaTheme="minorHAnsi"/>
                <w:szCs w:val="24"/>
                <w:lang w:eastAsia="en-US"/>
              </w:rPr>
            </w:pPr>
            <w:r w:rsidRPr="00E9433A">
              <w:rPr>
                <w:rFonts w:eastAsiaTheme="minorHAnsi"/>
                <w:szCs w:val="24"/>
                <w:lang w:eastAsia="en-US"/>
              </w:rPr>
              <w:t>20 g/kg</w:t>
            </w:r>
          </w:p>
        </w:tc>
        <w:tc>
          <w:tcPr>
            <w:tcW w:w="3402"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1134"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2268" w:type="dxa"/>
            <w:vMerge/>
            <w:tcBorders>
              <w:left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r>
      <w:tr w:rsidR="00DE7C9A" w:rsidRPr="00E9433A" w:rsidTr="00E9433A">
        <w:trPr>
          <w:trHeight w:val="360"/>
        </w:trPr>
        <w:tc>
          <w:tcPr>
            <w:tcW w:w="2268"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bCs/>
                <w:szCs w:val="24"/>
              </w:rPr>
            </w:pPr>
          </w:p>
        </w:tc>
        <w:tc>
          <w:tcPr>
            <w:tcW w:w="2552" w:type="dxa"/>
            <w:tcBorders>
              <w:top w:val="nil"/>
              <w:left w:val="nil"/>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r w:rsidRPr="00E9433A">
              <w:rPr>
                <w:rFonts w:eastAsia="Times New Roman"/>
                <w:szCs w:val="24"/>
              </w:rPr>
              <w:t>Infant formula as defined under Regulation (EU) No 609/2013</w:t>
            </w:r>
          </w:p>
        </w:tc>
        <w:tc>
          <w:tcPr>
            <w:tcW w:w="2835" w:type="dxa"/>
            <w:tcBorders>
              <w:top w:val="nil"/>
              <w:left w:val="nil"/>
              <w:bottom w:val="single" w:sz="4" w:space="0" w:color="auto"/>
              <w:right w:val="single" w:sz="4" w:space="0" w:color="auto"/>
            </w:tcBorders>
          </w:tcPr>
          <w:p w:rsidR="00DE7C9A" w:rsidRPr="00E9433A" w:rsidRDefault="00DE7C9A" w:rsidP="0004170A">
            <w:pPr>
              <w:spacing w:before="40" w:after="40"/>
              <w:jc w:val="center"/>
              <w:rPr>
                <w:rFonts w:eastAsiaTheme="minorHAnsi"/>
                <w:szCs w:val="24"/>
                <w:lang w:eastAsia="en-US"/>
              </w:rPr>
            </w:pPr>
            <w:r w:rsidRPr="00E9433A">
              <w:rPr>
                <w:rFonts w:eastAsiaTheme="minorHAnsi"/>
                <w:szCs w:val="24"/>
                <w:lang w:eastAsia="en-US"/>
              </w:rPr>
              <w:t>1.6 g/L in the final product ready for use, marketed as such or reconstituted as instructed by the manufacturer</w:t>
            </w:r>
          </w:p>
        </w:tc>
        <w:tc>
          <w:tcPr>
            <w:tcW w:w="3402"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1134"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2268" w:type="dxa"/>
            <w:vMerge/>
            <w:tcBorders>
              <w:left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r>
      <w:tr w:rsidR="00DE7C9A" w:rsidRPr="00E9433A" w:rsidTr="00E9433A">
        <w:trPr>
          <w:trHeight w:val="360"/>
        </w:trPr>
        <w:tc>
          <w:tcPr>
            <w:tcW w:w="2268"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bCs/>
                <w:szCs w:val="24"/>
              </w:rPr>
            </w:pPr>
          </w:p>
        </w:tc>
        <w:tc>
          <w:tcPr>
            <w:tcW w:w="2552" w:type="dxa"/>
            <w:tcBorders>
              <w:top w:val="nil"/>
              <w:left w:val="nil"/>
              <w:bottom w:val="single" w:sz="4" w:space="0" w:color="auto"/>
              <w:right w:val="single" w:sz="4" w:space="0" w:color="auto"/>
            </w:tcBorders>
            <w:vAlign w:val="center"/>
          </w:tcPr>
          <w:p w:rsidR="00DE7C9A" w:rsidRPr="00E9433A" w:rsidRDefault="00DE7C9A" w:rsidP="0004170A">
            <w:pPr>
              <w:spacing w:before="40" w:after="40"/>
              <w:rPr>
                <w:rFonts w:eastAsia="Times New Roman"/>
                <w:szCs w:val="24"/>
              </w:rPr>
            </w:pPr>
            <w:r w:rsidRPr="00E9433A">
              <w:rPr>
                <w:rFonts w:eastAsia="Times New Roman"/>
                <w:szCs w:val="24"/>
              </w:rPr>
              <w:t>Follow-on formula as defined under Regulation (EU) No 609/2013</w:t>
            </w:r>
          </w:p>
        </w:tc>
        <w:tc>
          <w:tcPr>
            <w:tcW w:w="2835" w:type="dxa"/>
            <w:tcBorders>
              <w:top w:val="nil"/>
              <w:left w:val="nil"/>
              <w:bottom w:val="single" w:sz="4" w:space="0" w:color="auto"/>
              <w:right w:val="single" w:sz="4" w:space="0" w:color="auto"/>
            </w:tcBorders>
          </w:tcPr>
          <w:p w:rsidR="00DE7C9A" w:rsidRPr="00E9433A" w:rsidRDefault="00DE7C9A" w:rsidP="00667C3B">
            <w:pPr>
              <w:spacing w:before="40" w:after="40"/>
              <w:jc w:val="center"/>
              <w:rPr>
                <w:rFonts w:eastAsiaTheme="minorHAnsi"/>
                <w:szCs w:val="24"/>
                <w:lang w:eastAsia="en-US"/>
              </w:rPr>
            </w:pPr>
            <w:r w:rsidRPr="00E9433A">
              <w:rPr>
                <w:rFonts w:eastAsiaTheme="minorHAnsi"/>
                <w:szCs w:val="24"/>
                <w:lang w:eastAsia="en-US"/>
              </w:rPr>
              <w:t>1.2 g/L in the final product ready for use, marketed as such or reconstituted as instructed by the manufacturer</w:t>
            </w:r>
          </w:p>
        </w:tc>
        <w:tc>
          <w:tcPr>
            <w:tcW w:w="3402"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1134"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2268" w:type="dxa"/>
            <w:vMerge/>
            <w:tcBorders>
              <w:left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r>
      <w:tr w:rsidR="00DE7C9A" w:rsidRPr="00E9433A" w:rsidTr="00E9433A">
        <w:trPr>
          <w:trHeight w:val="360"/>
        </w:trPr>
        <w:tc>
          <w:tcPr>
            <w:tcW w:w="2268"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bCs/>
                <w:szCs w:val="24"/>
              </w:rPr>
            </w:pPr>
          </w:p>
        </w:tc>
        <w:tc>
          <w:tcPr>
            <w:tcW w:w="2552" w:type="dxa"/>
            <w:tcBorders>
              <w:top w:val="nil"/>
              <w:left w:val="nil"/>
              <w:bottom w:val="single" w:sz="4" w:space="0" w:color="auto"/>
              <w:right w:val="single" w:sz="4" w:space="0" w:color="auto"/>
            </w:tcBorders>
            <w:vAlign w:val="center"/>
          </w:tcPr>
          <w:p w:rsidR="00DE7C9A" w:rsidRPr="00E9433A" w:rsidRDefault="00DE7C9A" w:rsidP="0004170A">
            <w:pPr>
              <w:spacing w:before="40" w:after="40"/>
              <w:rPr>
                <w:rFonts w:eastAsia="Times New Roman"/>
                <w:szCs w:val="24"/>
              </w:rPr>
            </w:pPr>
            <w:r w:rsidRPr="00E9433A">
              <w:rPr>
                <w:rFonts w:eastAsia="Times New Roman"/>
                <w:szCs w:val="24"/>
              </w:rPr>
              <w:t>Processed cereal-based food and baby food for infants and young children as defined under Regulation (EU) No 609/2013</w:t>
            </w:r>
          </w:p>
        </w:tc>
        <w:tc>
          <w:tcPr>
            <w:tcW w:w="2835" w:type="dxa"/>
            <w:tcBorders>
              <w:top w:val="nil"/>
              <w:left w:val="nil"/>
              <w:bottom w:val="single" w:sz="4" w:space="0" w:color="auto"/>
              <w:right w:val="single" w:sz="4" w:space="0" w:color="auto"/>
            </w:tcBorders>
          </w:tcPr>
          <w:p w:rsidR="00DE7C9A" w:rsidRPr="00E9433A" w:rsidRDefault="00DE7C9A" w:rsidP="00DE7C9A">
            <w:pPr>
              <w:spacing w:before="40" w:after="40"/>
              <w:jc w:val="center"/>
              <w:rPr>
                <w:rFonts w:eastAsiaTheme="minorHAnsi"/>
                <w:szCs w:val="24"/>
                <w:lang w:eastAsia="en-US"/>
              </w:rPr>
            </w:pPr>
            <w:r w:rsidRPr="00E9433A">
              <w:rPr>
                <w:rFonts w:eastAsiaTheme="minorHAnsi"/>
                <w:szCs w:val="24"/>
                <w:lang w:eastAsia="en-US"/>
              </w:rPr>
              <w:t>1.2 g/L in the final product ready for use, marketed as such or reconstituted as instructed by the manufacturer</w:t>
            </w:r>
          </w:p>
          <w:p w:rsidR="00DE7C9A" w:rsidRPr="00E9433A" w:rsidRDefault="00DE7C9A" w:rsidP="00DE7C9A">
            <w:pPr>
              <w:spacing w:before="40" w:after="40"/>
              <w:jc w:val="center"/>
              <w:rPr>
                <w:rFonts w:eastAsiaTheme="minorHAnsi"/>
                <w:szCs w:val="24"/>
                <w:lang w:eastAsia="en-US"/>
              </w:rPr>
            </w:pPr>
            <w:r w:rsidRPr="00E9433A">
              <w:rPr>
                <w:rFonts w:eastAsiaTheme="minorHAnsi"/>
                <w:szCs w:val="24"/>
                <w:lang w:eastAsia="en-US"/>
              </w:rPr>
              <w:t>10 g/kg for products other than beverages</w:t>
            </w:r>
          </w:p>
        </w:tc>
        <w:tc>
          <w:tcPr>
            <w:tcW w:w="3402"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1134"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2268" w:type="dxa"/>
            <w:vMerge/>
            <w:tcBorders>
              <w:left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r>
      <w:tr w:rsidR="00DE7C9A" w:rsidRPr="00E9433A" w:rsidTr="00E9433A">
        <w:trPr>
          <w:trHeight w:val="360"/>
        </w:trPr>
        <w:tc>
          <w:tcPr>
            <w:tcW w:w="2268"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bCs/>
                <w:szCs w:val="24"/>
              </w:rPr>
            </w:pPr>
          </w:p>
        </w:tc>
        <w:tc>
          <w:tcPr>
            <w:tcW w:w="2552" w:type="dxa"/>
            <w:tcBorders>
              <w:top w:val="nil"/>
              <w:left w:val="nil"/>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r w:rsidRPr="00E9433A">
              <w:rPr>
                <w:rFonts w:eastAsia="Times New Roman"/>
                <w:szCs w:val="24"/>
              </w:rPr>
              <w:t>Milk based drinks and similar products intended for young children</w:t>
            </w:r>
          </w:p>
        </w:tc>
        <w:tc>
          <w:tcPr>
            <w:tcW w:w="2835" w:type="dxa"/>
            <w:tcBorders>
              <w:top w:val="nil"/>
              <w:left w:val="nil"/>
              <w:bottom w:val="single" w:sz="4" w:space="0" w:color="auto"/>
              <w:right w:val="single" w:sz="4" w:space="0" w:color="auto"/>
            </w:tcBorders>
          </w:tcPr>
          <w:p w:rsidR="00DE7C9A" w:rsidRPr="00E9433A" w:rsidRDefault="00DE7C9A" w:rsidP="00DE7C9A">
            <w:pPr>
              <w:spacing w:before="40" w:after="40"/>
              <w:jc w:val="center"/>
              <w:rPr>
                <w:rFonts w:eastAsiaTheme="minorHAnsi"/>
                <w:szCs w:val="24"/>
                <w:lang w:eastAsia="en-US"/>
              </w:rPr>
            </w:pPr>
            <w:r w:rsidRPr="00E9433A">
              <w:rPr>
                <w:rFonts w:eastAsiaTheme="minorHAnsi"/>
                <w:szCs w:val="24"/>
                <w:lang w:eastAsia="en-US"/>
              </w:rPr>
              <w:t>1.2 g/L in the final product ready for use, marketed as such or reconstituted as instructed by the manufacturer</w:t>
            </w:r>
          </w:p>
          <w:p w:rsidR="00DE7C9A" w:rsidRPr="00E9433A" w:rsidRDefault="00DE7C9A" w:rsidP="00DE7C9A">
            <w:pPr>
              <w:spacing w:before="40" w:after="40"/>
              <w:jc w:val="center"/>
              <w:rPr>
                <w:rFonts w:eastAsiaTheme="minorHAnsi"/>
                <w:szCs w:val="24"/>
                <w:lang w:eastAsia="en-US"/>
              </w:rPr>
            </w:pPr>
            <w:r w:rsidRPr="00E9433A">
              <w:rPr>
                <w:rFonts w:eastAsiaTheme="minorHAnsi"/>
                <w:szCs w:val="24"/>
                <w:lang w:eastAsia="en-US"/>
              </w:rPr>
              <w:t>10 g/kg for products other than beverages</w:t>
            </w:r>
          </w:p>
        </w:tc>
        <w:tc>
          <w:tcPr>
            <w:tcW w:w="3402"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1134"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2268" w:type="dxa"/>
            <w:vMerge/>
            <w:tcBorders>
              <w:left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r>
      <w:tr w:rsidR="00DE7C9A" w:rsidRPr="00E9433A" w:rsidTr="00E9433A">
        <w:trPr>
          <w:trHeight w:val="360"/>
        </w:trPr>
        <w:tc>
          <w:tcPr>
            <w:tcW w:w="2268"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bCs/>
                <w:szCs w:val="24"/>
              </w:rPr>
            </w:pPr>
          </w:p>
        </w:tc>
        <w:tc>
          <w:tcPr>
            <w:tcW w:w="2552" w:type="dxa"/>
            <w:tcBorders>
              <w:top w:val="nil"/>
              <w:left w:val="nil"/>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r w:rsidRPr="00E9433A">
              <w:rPr>
                <w:rFonts w:eastAsia="Times New Roman"/>
                <w:szCs w:val="24"/>
              </w:rPr>
              <w:t>Total diet replacement for weight control as defined under Regulation (EU) No 609/2013</w:t>
            </w:r>
          </w:p>
        </w:tc>
        <w:tc>
          <w:tcPr>
            <w:tcW w:w="2835" w:type="dxa"/>
            <w:tcBorders>
              <w:top w:val="nil"/>
              <w:left w:val="nil"/>
              <w:bottom w:val="single" w:sz="4" w:space="0" w:color="auto"/>
              <w:right w:val="single" w:sz="4" w:space="0" w:color="auto"/>
            </w:tcBorders>
          </w:tcPr>
          <w:p w:rsidR="00DE7C9A" w:rsidRPr="00E9433A" w:rsidRDefault="00DE7C9A" w:rsidP="00DE7C9A">
            <w:pPr>
              <w:spacing w:before="40" w:after="40"/>
              <w:jc w:val="center"/>
              <w:rPr>
                <w:rFonts w:eastAsiaTheme="minorHAnsi"/>
                <w:szCs w:val="24"/>
                <w:lang w:val="da-DK" w:eastAsia="en-US"/>
              </w:rPr>
            </w:pPr>
            <w:r w:rsidRPr="00E9433A">
              <w:rPr>
                <w:rFonts w:eastAsiaTheme="minorHAnsi"/>
                <w:szCs w:val="24"/>
                <w:lang w:val="da-DK" w:eastAsia="en-US"/>
              </w:rPr>
              <w:t xml:space="preserve">4.0 g/L (beverages)  </w:t>
            </w:r>
          </w:p>
          <w:p w:rsidR="00DE7C9A" w:rsidRPr="00E9433A" w:rsidRDefault="00DE7C9A" w:rsidP="00DE7C9A">
            <w:pPr>
              <w:spacing w:before="40" w:after="40"/>
              <w:jc w:val="center"/>
              <w:rPr>
                <w:rFonts w:eastAsiaTheme="minorHAnsi"/>
                <w:szCs w:val="24"/>
                <w:lang w:eastAsia="en-US"/>
              </w:rPr>
            </w:pPr>
            <w:r w:rsidRPr="00E9433A">
              <w:rPr>
                <w:rFonts w:eastAsiaTheme="minorHAnsi"/>
                <w:szCs w:val="24"/>
                <w:lang w:val="da-DK" w:eastAsia="en-US"/>
              </w:rPr>
              <w:t>40 g/kg (products other than beverages)</w:t>
            </w:r>
          </w:p>
        </w:tc>
        <w:tc>
          <w:tcPr>
            <w:tcW w:w="3402"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1134"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2268" w:type="dxa"/>
            <w:vMerge/>
            <w:tcBorders>
              <w:left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r>
      <w:tr w:rsidR="00DE7C9A" w:rsidRPr="00E9433A" w:rsidTr="00E9433A">
        <w:trPr>
          <w:trHeight w:val="360"/>
        </w:trPr>
        <w:tc>
          <w:tcPr>
            <w:tcW w:w="2268"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bCs/>
                <w:szCs w:val="24"/>
              </w:rPr>
            </w:pPr>
          </w:p>
        </w:tc>
        <w:tc>
          <w:tcPr>
            <w:tcW w:w="2552" w:type="dxa"/>
            <w:tcBorders>
              <w:top w:val="nil"/>
              <w:left w:val="nil"/>
              <w:bottom w:val="single" w:sz="4" w:space="0" w:color="auto"/>
              <w:right w:val="single" w:sz="4" w:space="0" w:color="auto"/>
            </w:tcBorders>
            <w:vAlign w:val="center"/>
          </w:tcPr>
          <w:p w:rsidR="00DE7C9A" w:rsidRPr="00E9433A" w:rsidRDefault="00DE7C9A" w:rsidP="00667C3B">
            <w:pPr>
              <w:spacing w:before="40" w:after="40"/>
              <w:jc w:val="left"/>
              <w:rPr>
                <w:rFonts w:eastAsia="Times New Roman"/>
                <w:szCs w:val="24"/>
              </w:rPr>
            </w:pPr>
            <w:r w:rsidRPr="00E9433A">
              <w:rPr>
                <w:rFonts w:eastAsia="Times New Roman"/>
                <w:szCs w:val="24"/>
              </w:rPr>
              <w:t>Foods for Special Medical Purposes as defined under Regulation (EU) No 609/2013 for adults</w:t>
            </w:r>
          </w:p>
        </w:tc>
        <w:tc>
          <w:tcPr>
            <w:tcW w:w="2835" w:type="dxa"/>
            <w:tcBorders>
              <w:top w:val="nil"/>
              <w:left w:val="nil"/>
              <w:bottom w:val="single" w:sz="4" w:space="0" w:color="auto"/>
              <w:right w:val="single" w:sz="4" w:space="0" w:color="auto"/>
            </w:tcBorders>
          </w:tcPr>
          <w:p w:rsidR="00DE7C9A" w:rsidRPr="00E9433A" w:rsidRDefault="00DE7C9A" w:rsidP="0004170A">
            <w:pPr>
              <w:spacing w:before="40" w:after="40"/>
              <w:jc w:val="center"/>
              <w:rPr>
                <w:rFonts w:eastAsiaTheme="minorHAnsi"/>
                <w:szCs w:val="24"/>
                <w:lang w:eastAsia="en-US"/>
              </w:rPr>
            </w:pPr>
            <w:r w:rsidRPr="00E9433A">
              <w:rPr>
                <w:rFonts w:eastAsiaTheme="minorHAnsi"/>
                <w:szCs w:val="24"/>
                <w:lang w:eastAsia="en-US"/>
              </w:rPr>
              <w:t xml:space="preserve"> On a case-by-case basis</w:t>
            </w:r>
          </w:p>
        </w:tc>
        <w:tc>
          <w:tcPr>
            <w:tcW w:w="3402"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1134" w:type="dxa"/>
            <w:vMerge/>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2268" w:type="dxa"/>
            <w:vMerge/>
            <w:tcBorders>
              <w:left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r>
      <w:tr w:rsidR="00DE7C9A" w:rsidRPr="00E9433A" w:rsidTr="00E9433A">
        <w:trPr>
          <w:trHeight w:val="360"/>
        </w:trPr>
        <w:tc>
          <w:tcPr>
            <w:tcW w:w="2268" w:type="dxa"/>
            <w:vMerge/>
            <w:tcBorders>
              <w:top w:val="nil"/>
              <w:left w:val="single" w:sz="4" w:space="0" w:color="auto"/>
              <w:bottom w:val="nil"/>
              <w:right w:val="single" w:sz="4" w:space="0" w:color="auto"/>
            </w:tcBorders>
            <w:vAlign w:val="center"/>
          </w:tcPr>
          <w:p w:rsidR="00DE7C9A" w:rsidRPr="00E9433A" w:rsidRDefault="00DE7C9A" w:rsidP="00667C3B">
            <w:pPr>
              <w:spacing w:before="40" w:after="40"/>
              <w:rPr>
                <w:rFonts w:eastAsia="Times New Roman"/>
                <w:bCs/>
                <w:szCs w:val="24"/>
              </w:rPr>
            </w:pPr>
          </w:p>
        </w:tc>
        <w:tc>
          <w:tcPr>
            <w:tcW w:w="2552" w:type="dxa"/>
            <w:tcBorders>
              <w:top w:val="nil"/>
              <w:left w:val="nil"/>
              <w:bottom w:val="nil"/>
              <w:right w:val="single" w:sz="4" w:space="0" w:color="auto"/>
            </w:tcBorders>
            <w:vAlign w:val="center"/>
          </w:tcPr>
          <w:p w:rsidR="00DE7C9A" w:rsidRPr="00E9433A" w:rsidRDefault="00DE7C9A" w:rsidP="00DE7C9A">
            <w:pPr>
              <w:spacing w:before="40" w:after="40"/>
              <w:rPr>
                <w:rFonts w:eastAsia="Times New Roman"/>
                <w:szCs w:val="24"/>
              </w:rPr>
            </w:pPr>
            <w:r w:rsidRPr="00E9433A">
              <w:rPr>
                <w:rFonts w:eastAsia="Times New Roman"/>
                <w:szCs w:val="24"/>
                <w:lang w:val="en-US"/>
              </w:rPr>
              <w:t>Food Supplements as defined in Directive 2002/46/EC intended for the general population above the</w:t>
            </w:r>
            <w:r w:rsidRPr="00E9433A">
              <w:rPr>
                <w:rFonts w:eastAsia="Times New Roman"/>
                <w:szCs w:val="24"/>
              </w:rPr>
              <w:t xml:space="preserve"> age of 1 year</w:t>
            </w:r>
          </w:p>
        </w:tc>
        <w:tc>
          <w:tcPr>
            <w:tcW w:w="2835" w:type="dxa"/>
            <w:tcBorders>
              <w:top w:val="nil"/>
              <w:left w:val="nil"/>
              <w:bottom w:val="nil"/>
              <w:right w:val="single" w:sz="4" w:space="0" w:color="auto"/>
            </w:tcBorders>
          </w:tcPr>
          <w:p w:rsidR="00DE7C9A" w:rsidRPr="00E9433A" w:rsidRDefault="00DE7C9A" w:rsidP="00667C3B">
            <w:pPr>
              <w:spacing w:before="40" w:after="40"/>
              <w:jc w:val="center"/>
              <w:rPr>
                <w:rFonts w:eastAsiaTheme="minorHAnsi"/>
                <w:szCs w:val="24"/>
                <w:lang w:eastAsia="en-US"/>
              </w:rPr>
            </w:pPr>
          </w:p>
          <w:p w:rsidR="00E9433A" w:rsidRPr="00E9433A" w:rsidRDefault="00E9433A" w:rsidP="00667C3B">
            <w:pPr>
              <w:spacing w:before="40" w:after="40"/>
              <w:jc w:val="center"/>
              <w:rPr>
                <w:rFonts w:eastAsiaTheme="minorHAnsi"/>
                <w:szCs w:val="24"/>
                <w:lang w:eastAsia="en-US"/>
              </w:rPr>
            </w:pPr>
          </w:p>
          <w:p w:rsidR="00DE7C9A" w:rsidRPr="00E9433A" w:rsidRDefault="00DE7C9A" w:rsidP="00667C3B">
            <w:pPr>
              <w:spacing w:before="40" w:after="40"/>
              <w:jc w:val="center"/>
              <w:rPr>
                <w:rFonts w:eastAsiaTheme="minorHAnsi"/>
                <w:szCs w:val="24"/>
                <w:lang w:eastAsia="en-US"/>
              </w:rPr>
            </w:pPr>
            <w:r w:rsidRPr="00E9433A">
              <w:rPr>
                <w:rFonts w:eastAsiaTheme="minorHAnsi"/>
                <w:szCs w:val="24"/>
                <w:lang w:eastAsia="en-US"/>
              </w:rPr>
              <w:t>4.0 g/day</w:t>
            </w:r>
          </w:p>
          <w:p w:rsidR="00DE7C9A" w:rsidRPr="00E9433A" w:rsidRDefault="00DE7C9A" w:rsidP="00667C3B">
            <w:pPr>
              <w:spacing w:before="40" w:after="40"/>
              <w:jc w:val="center"/>
              <w:rPr>
                <w:rFonts w:eastAsiaTheme="minorHAnsi"/>
                <w:szCs w:val="24"/>
                <w:lang w:eastAsia="en-US"/>
              </w:rPr>
            </w:pPr>
          </w:p>
          <w:p w:rsidR="00DE7C9A" w:rsidRPr="00E9433A" w:rsidRDefault="00DE7C9A" w:rsidP="00667C3B">
            <w:pPr>
              <w:spacing w:before="40" w:after="40"/>
              <w:jc w:val="center"/>
              <w:rPr>
                <w:rFonts w:eastAsiaTheme="minorHAnsi"/>
                <w:szCs w:val="24"/>
                <w:lang w:eastAsia="en-US"/>
              </w:rPr>
            </w:pPr>
          </w:p>
          <w:p w:rsidR="00DE7C9A" w:rsidRPr="00E9433A" w:rsidRDefault="00DE7C9A" w:rsidP="00E9433A">
            <w:pPr>
              <w:spacing w:before="40" w:after="40"/>
              <w:rPr>
                <w:rFonts w:eastAsiaTheme="minorHAnsi"/>
                <w:szCs w:val="24"/>
                <w:lang w:eastAsia="en-US"/>
              </w:rPr>
            </w:pPr>
          </w:p>
        </w:tc>
        <w:tc>
          <w:tcPr>
            <w:tcW w:w="3402" w:type="dxa"/>
            <w:vMerge/>
            <w:tcBorders>
              <w:top w:val="nil"/>
              <w:left w:val="single" w:sz="4" w:space="0" w:color="auto"/>
              <w:bottom w:val="nil"/>
              <w:right w:val="single" w:sz="4" w:space="0" w:color="auto"/>
            </w:tcBorders>
            <w:vAlign w:val="center"/>
          </w:tcPr>
          <w:p w:rsidR="00DE7C9A" w:rsidRPr="00E9433A" w:rsidRDefault="00DE7C9A" w:rsidP="00667C3B">
            <w:pPr>
              <w:spacing w:before="40" w:after="40"/>
              <w:rPr>
                <w:rFonts w:eastAsia="Times New Roman"/>
                <w:szCs w:val="24"/>
              </w:rPr>
            </w:pPr>
          </w:p>
        </w:tc>
        <w:tc>
          <w:tcPr>
            <w:tcW w:w="1134" w:type="dxa"/>
            <w:vMerge/>
            <w:tcBorders>
              <w:top w:val="nil"/>
              <w:left w:val="single" w:sz="4" w:space="0" w:color="auto"/>
              <w:bottom w:val="nil"/>
              <w:right w:val="single" w:sz="4" w:space="0" w:color="auto"/>
            </w:tcBorders>
            <w:vAlign w:val="center"/>
          </w:tcPr>
          <w:p w:rsidR="00DE7C9A" w:rsidRPr="00E9433A" w:rsidRDefault="00DE7C9A" w:rsidP="00667C3B">
            <w:pPr>
              <w:spacing w:before="40" w:after="40"/>
              <w:rPr>
                <w:rFonts w:eastAsia="Times New Roman"/>
                <w:szCs w:val="24"/>
              </w:rPr>
            </w:pPr>
          </w:p>
        </w:tc>
        <w:tc>
          <w:tcPr>
            <w:tcW w:w="2268" w:type="dxa"/>
            <w:vMerge/>
            <w:tcBorders>
              <w:left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r>
      <w:tr w:rsidR="00DE7C9A" w:rsidRPr="00E9433A" w:rsidTr="00E9433A">
        <w:trPr>
          <w:trHeight w:val="360"/>
        </w:trPr>
        <w:tc>
          <w:tcPr>
            <w:tcW w:w="2268" w:type="dxa"/>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bCs/>
                <w:szCs w:val="24"/>
              </w:rPr>
            </w:pPr>
          </w:p>
        </w:tc>
        <w:tc>
          <w:tcPr>
            <w:tcW w:w="2552" w:type="dxa"/>
            <w:tcBorders>
              <w:top w:val="nil"/>
              <w:left w:val="nil"/>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2835" w:type="dxa"/>
            <w:tcBorders>
              <w:top w:val="nil"/>
              <w:left w:val="nil"/>
              <w:bottom w:val="single" w:sz="4" w:space="0" w:color="auto"/>
              <w:right w:val="single" w:sz="4" w:space="0" w:color="auto"/>
            </w:tcBorders>
          </w:tcPr>
          <w:p w:rsidR="00DE7C9A" w:rsidRPr="00E9433A" w:rsidRDefault="00DE7C9A" w:rsidP="00667C3B">
            <w:pPr>
              <w:spacing w:before="40" w:after="40"/>
              <w:jc w:val="center"/>
              <w:rPr>
                <w:rFonts w:eastAsiaTheme="minorHAnsi"/>
                <w:szCs w:val="24"/>
                <w:lang w:eastAsia="en-US"/>
              </w:rPr>
            </w:pPr>
          </w:p>
        </w:tc>
        <w:tc>
          <w:tcPr>
            <w:tcW w:w="3402" w:type="dxa"/>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1134" w:type="dxa"/>
            <w:tcBorders>
              <w:top w:val="nil"/>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c>
          <w:tcPr>
            <w:tcW w:w="2268" w:type="dxa"/>
            <w:vMerge/>
            <w:tcBorders>
              <w:left w:val="single" w:sz="4" w:space="0" w:color="auto"/>
              <w:bottom w:val="single" w:sz="4" w:space="0" w:color="auto"/>
              <w:right w:val="single" w:sz="4" w:space="0" w:color="auto"/>
            </w:tcBorders>
            <w:vAlign w:val="center"/>
          </w:tcPr>
          <w:p w:rsidR="00DE7C9A" w:rsidRPr="00E9433A" w:rsidRDefault="00DE7C9A" w:rsidP="00667C3B">
            <w:pPr>
              <w:spacing w:before="40" w:after="40"/>
              <w:rPr>
                <w:rFonts w:eastAsia="Times New Roman"/>
                <w:szCs w:val="24"/>
              </w:rPr>
            </w:pPr>
          </w:p>
        </w:tc>
      </w:tr>
    </w:tbl>
    <w:p w:rsidR="00667C3B" w:rsidRPr="00E9433A" w:rsidRDefault="00667C3B" w:rsidP="00667C3B">
      <w:pPr>
        <w:spacing w:before="0" w:after="0" w:line="276" w:lineRule="auto"/>
        <w:ind w:left="425" w:hanging="425"/>
        <w:jc w:val="right"/>
        <w:rPr>
          <w:b/>
          <w:szCs w:val="24"/>
        </w:rPr>
      </w:pPr>
      <w:r w:rsidRPr="00E9433A">
        <w:rPr>
          <w:b/>
          <w:szCs w:val="24"/>
        </w:rPr>
        <w:t>’</w:t>
      </w:r>
    </w:p>
    <w:p w:rsidR="00667C3B" w:rsidRPr="00E9433A" w:rsidRDefault="00667C3B" w:rsidP="00667C3B">
      <w:pPr>
        <w:spacing w:before="0" w:after="200" w:line="276" w:lineRule="auto"/>
        <w:jc w:val="left"/>
        <w:rPr>
          <w:b/>
          <w:szCs w:val="24"/>
        </w:rPr>
      </w:pPr>
    </w:p>
    <w:p w:rsidR="00667C3B" w:rsidRPr="00E9433A" w:rsidRDefault="00667C3B" w:rsidP="00667C3B">
      <w:pPr>
        <w:spacing w:before="0" w:after="200" w:line="276" w:lineRule="auto"/>
        <w:jc w:val="left"/>
        <w:rPr>
          <w:b/>
          <w:szCs w:val="24"/>
        </w:rPr>
      </w:pPr>
    </w:p>
    <w:p w:rsidR="00667C3B" w:rsidRDefault="00667C3B" w:rsidP="00667C3B">
      <w:pPr>
        <w:spacing w:before="0" w:after="200" w:line="276" w:lineRule="auto"/>
        <w:jc w:val="left"/>
        <w:rPr>
          <w:b/>
        </w:rPr>
      </w:pPr>
    </w:p>
    <w:p w:rsidR="00E9433A" w:rsidRDefault="00E9433A" w:rsidP="00667C3B">
      <w:pPr>
        <w:spacing w:before="0" w:after="200" w:line="276" w:lineRule="auto"/>
        <w:jc w:val="left"/>
        <w:rPr>
          <w:b/>
        </w:rPr>
      </w:pPr>
    </w:p>
    <w:p w:rsidR="00E9433A" w:rsidRDefault="00E9433A" w:rsidP="00667C3B">
      <w:pPr>
        <w:spacing w:before="0" w:after="200" w:line="276" w:lineRule="auto"/>
        <w:jc w:val="left"/>
        <w:rPr>
          <w:b/>
        </w:rPr>
      </w:pPr>
    </w:p>
    <w:p w:rsidR="00E9433A" w:rsidRDefault="00E9433A" w:rsidP="00667C3B">
      <w:pPr>
        <w:spacing w:before="0" w:after="200" w:line="276" w:lineRule="auto"/>
        <w:jc w:val="left"/>
        <w:rPr>
          <w:b/>
        </w:rPr>
      </w:pPr>
    </w:p>
    <w:p w:rsidR="00E9433A" w:rsidRDefault="00E9433A" w:rsidP="00667C3B">
      <w:pPr>
        <w:spacing w:before="0" w:after="200" w:line="276" w:lineRule="auto"/>
        <w:jc w:val="left"/>
        <w:rPr>
          <w:b/>
        </w:rPr>
      </w:pPr>
    </w:p>
    <w:p w:rsidR="00E9433A" w:rsidRDefault="00E9433A" w:rsidP="00667C3B">
      <w:pPr>
        <w:spacing w:before="0" w:after="200" w:line="276" w:lineRule="auto"/>
        <w:jc w:val="left"/>
        <w:rPr>
          <w:b/>
        </w:rPr>
      </w:pPr>
    </w:p>
    <w:p w:rsidR="00E9433A" w:rsidRDefault="00E9433A" w:rsidP="00667C3B">
      <w:pPr>
        <w:spacing w:before="0" w:after="200" w:line="276" w:lineRule="auto"/>
        <w:jc w:val="left"/>
        <w:rPr>
          <w:b/>
        </w:rPr>
      </w:pPr>
    </w:p>
    <w:p w:rsidR="00E9433A" w:rsidRPr="00667C3B" w:rsidRDefault="00E9433A" w:rsidP="00667C3B">
      <w:pPr>
        <w:spacing w:before="0" w:after="200" w:line="276" w:lineRule="auto"/>
        <w:jc w:val="left"/>
        <w:rPr>
          <w:b/>
        </w:rPr>
      </w:pPr>
    </w:p>
    <w:p w:rsidR="00667C3B" w:rsidRPr="00667C3B" w:rsidRDefault="00667C3B" w:rsidP="00667C3B">
      <w:pPr>
        <w:numPr>
          <w:ilvl w:val="0"/>
          <w:numId w:val="6"/>
        </w:numPr>
        <w:spacing w:before="0" w:after="200" w:line="276" w:lineRule="auto"/>
        <w:ind w:left="567" w:hanging="567"/>
        <w:contextualSpacing/>
        <w:jc w:val="left"/>
      </w:pPr>
      <w:r w:rsidRPr="00667C3B">
        <w:t>The following entry is inserted in Table 2 (Specifications) in alphabetical order:</w:t>
      </w:r>
    </w:p>
    <w:p w:rsidR="00667C3B" w:rsidRPr="00667C3B" w:rsidRDefault="00667C3B" w:rsidP="00667C3B">
      <w:pPr>
        <w:ind w:left="360" w:hanging="360"/>
        <w:rPr>
          <w:b/>
          <w:szCs w:val="24"/>
        </w:rPr>
      </w:pPr>
      <w:r w:rsidRPr="00667C3B">
        <w:rPr>
          <w:b/>
          <w:szCs w:val="24"/>
        </w:rPr>
        <w:t>‘</w:t>
      </w:r>
    </w:p>
    <w:tbl>
      <w:tblPr>
        <w:tblW w:w="14220" w:type="dxa"/>
        <w:tblLook w:val="04A0" w:firstRow="1" w:lastRow="0" w:firstColumn="1" w:lastColumn="0" w:noHBand="0" w:noVBand="1"/>
      </w:tblPr>
      <w:tblGrid>
        <w:gridCol w:w="3309"/>
        <w:gridCol w:w="10911"/>
      </w:tblGrid>
      <w:tr w:rsidR="00667C3B" w:rsidRPr="00667C3B" w:rsidTr="00E9433A">
        <w:tc>
          <w:tcPr>
            <w:tcW w:w="321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67C3B" w:rsidRPr="00667C3B" w:rsidRDefault="00667C3B" w:rsidP="00667C3B">
            <w:pPr>
              <w:spacing w:before="40" w:after="40"/>
              <w:jc w:val="left"/>
              <w:rPr>
                <w:rFonts w:eastAsia="Times New Roman"/>
                <w:b/>
                <w:bCs/>
                <w:szCs w:val="24"/>
              </w:rPr>
            </w:pPr>
            <w:r w:rsidRPr="00667C3B">
              <w:rPr>
                <w:rFonts w:eastAsia="Times New Roman"/>
                <w:b/>
                <w:bCs/>
                <w:szCs w:val="24"/>
              </w:rPr>
              <w:t>Authorised Novel Food</w:t>
            </w:r>
          </w:p>
        </w:tc>
        <w:tc>
          <w:tcPr>
            <w:tcW w:w="11004" w:type="dxa"/>
            <w:tcBorders>
              <w:top w:val="single" w:sz="4" w:space="0" w:color="auto"/>
              <w:left w:val="nil"/>
              <w:bottom w:val="single" w:sz="12" w:space="0" w:color="auto"/>
              <w:right w:val="single" w:sz="4" w:space="0" w:color="auto"/>
            </w:tcBorders>
            <w:shd w:val="clear" w:color="auto" w:fill="auto"/>
            <w:vAlign w:val="center"/>
            <w:hideMark/>
          </w:tcPr>
          <w:p w:rsidR="00667C3B" w:rsidRPr="00667C3B" w:rsidRDefault="00667C3B" w:rsidP="00667C3B">
            <w:pPr>
              <w:spacing w:before="40" w:after="40"/>
              <w:rPr>
                <w:rFonts w:eastAsia="Times New Roman"/>
                <w:b/>
                <w:bCs/>
                <w:szCs w:val="24"/>
              </w:rPr>
            </w:pPr>
            <w:r w:rsidRPr="00667C3B">
              <w:rPr>
                <w:rFonts w:eastAsia="Times New Roman"/>
                <w:b/>
                <w:bCs/>
                <w:szCs w:val="24"/>
              </w:rPr>
              <w:t>Specification</w:t>
            </w:r>
          </w:p>
        </w:tc>
      </w:tr>
      <w:tr w:rsidR="00667C3B" w:rsidRPr="00667C3B" w:rsidTr="00E9433A">
        <w:tc>
          <w:tcPr>
            <w:tcW w:w="3216" w:type="dxa"/>
            <w:tcBorders>
              <w:top w:val="single" w:sz="12" w:space="0" w:color="auto"/>
              <w:left w:val="single" w:sz="4" w:space="0" w:color="auto"/>
              <w:bottom w:val="single" w:sz="12" w:space="0" w:color="auto"/>
              <w:right w:val="single" w:sz="4" w:space="0" w:color="auto"/>
            </w:tcBorders>
            <w:vAlign w:val="center"/>
            <w:hideMark/>
          </w:tcPr>
          <w:p w:rsidR="00667C3B" w:rsidRPr="00765459" w:rsidRDefault="00E9433A" w:rsidP="00667C3B">
            <w:pPr>
              <w:spacing w:before="40" w:after="40"/>
              <w:jc w:val="left"/>
              <w:rPr>
                <w:rFonts w:eastAsia="Times New Roman"/>
                <w:b/>
                <w:bCs/>
                <w:szCs w:val="24"/>
                <w:lang w:val="fr-BE"/>
              </w:rPr>
            </w:pPr>
            <w:r w:rsidRPr="00765459">
              <w:rPr>
                <w:rFonts w:eastAsia="Times New Roman"/>
                <w:b/>
                <w:bCs/>
                <w:szCs w:val="24"/>
                <w:lang w:val="fr-BE"/>
              </w:rPr>
              <w:t>2’-fucosyllactose/difucosyllactose mixture (2’-FL/DFL)</w:t>
            </w:r>
          </w:p>
          <w:p w:rsidR="00E9433A" w:rsidRPr="00E9433A" w:rsidRDefault="00E9433A" w:rsidP="00667C3B">
            <w:pPr>
              <w:spacing w:before="40" w:after="40"/>
              <w:jc w:val="left"/>
              <w:rPr>
                <w:rFonts w:eastAsia="Times New Roman"/>
                <w:b/>
                <w:bCs/>
                <w:szCs w:val="24"/>
                <w:highlight w:val="yellow"/>
                <w:lang w:val="fr-BE"/>
              </w:rPr>
            </w:pPr>
            <w:r w:rsidRPr="00765459">
              <w:rPr>
                <w:rFonts w:eastAsia="Times New Roman"/>
                <w:b/>
                <w:bCs/>
                <w:szCs w:val="24"/>
                <w:lang w:val="fr-BE"/>
              </w:rPr>
              <w:t>(Microbioligical)</w:t>
            </w:r>
          </w:p>
        </w:tc>
        <w:tc>
          <w:tcPr>
            <w:tcW w:w="11004" w:type="dxa"/>
            <w:tcBorders>
              <w:top w:val="single" w:sz="12" w:space="0" w:color="auto"/>
              <w:left w:val="nil"/>
              <w:bottom w:val="single" w:sz="12" w:space="0" w:color="auto"/>
              <w:right w:val="single" w:sz="4" w:space="0" w:color="auto"/>
            </w:tcBorders>
            <w:vAlign w:val="center"/>
            <w:hideMark/>
          </w:tcPr>
          <w:p w:rsidR="00667C3B" w:rsidRPr="00667C3B" w:rsidRDefault="00667C3B" w:rsidP="00667C3B">
            <w:pPr>
              <w:spacing w:before="0" w:after="0" w:line="276" w:lineRule="auto"/>
              <w:jc w:val="left"/>
              <w:rPr>
                <w:rFonts w:eastAsiaTheme="minorHAnsi"/>
                <w:b/>
                <w:bCs/>
                <w:szCs w:val="24"/>
                <w:lang w:val="en-US" w:eastAsia="en-US"/>
              </w:rPr>
            </w:pPr>
            <w:r w:rsidRPr="00667C3B">
              <w:rPr>
                <w:rFonts w:eastAsiaTheme="minorHAnsi"/>
                <w:b/>
                <w:bCs/>
                <w:szCs w:val="24"/>
                <w:lang w:val="en-US" w:eastAsia="en-US"/>
              </w:rPr>
              <w:t>Description/Definition:</w:t>
            </w:r>
          </w:p>
          <w:p w:rsidR="00667C3B" w:rsidRPr="00667C3B" w:rsidRDefault="00EA3383" w:rsidP="00667C3B">
            <w:pPr>
              <w:spacing w:before="0" w:after="0" w:line="276" w:lineRule="auto"/>
              <w:jc w:val="left"/>
              <w:rPr>
                <w:rFonts w:eastAsiaTheme="minorHAnsi"/>
                <w:szCs w:val="24"/>
                <w:lang w:val="en-US" w:eastAsia="en-US"/>
              </w:rPr>
            </w:pPr>
            <w:r w:rsidRPr="00EA3383">
              <w:rPr>
                <w:rFonts w:eastAsia="Times New Roman"/>
                <w:bCs/>
                <w:szCs w:val="24"/>
                <w:lang w:val="en-IE"/>
              </w:rPr>
              <w:t>2’-fucosyllactose/difucosyllactose mixture</w:t>
            </w:r>
            <w:r w:rsidRPr="00EA3383">
              <w:rPr>
                <w:rFonts w:eastAsia="Times New Roman"/>
                <w:bCs/>
                <w:sz w:val="20"/>
                <w:szCs w:val="20"/>
                <w:lang w:val="en-IE"/>
              </w:rPr>
              <w:t xml:space="preserve"> </w:t>
            </w:r>
            <w:r w:rsidR="00667C3B" w:rsidRPr="00667C3B">
              <w:rPr>
                <w:rFonts w:eastAsiaTheme="minorHAnsi"/>
                <w:szCs w:val="24"/>
                <w:lang w:val="en-US" w:eastAsia="en-US"/>
              </w:rPr>
              <w:t xml:space="preserve">is obtained </w:t>
            </w:r>
            <w:r>
              <w:rPr>
                <w:rFonts w:eastAsiaTheme="minorHAnsi"/>
                <w:szCs w:val="24"/>
                <w:lang w:val="en-US" w:eastAsia="en-US"/>
              </w:rPr>
              <w:t xml:space="preserve">by microbial fermentation using a genetically modified strain of </w:t>
            </w:r>
            <w:r w:rsidRPr="00EA3383">
              <w:rPr>
                <w:rFonts w:eastAsiaTheme="minorHAnsi"/>
                <w:i/>
                <w:szCs w:val="24"/>
                <w:lang w:val="en-US" w:eastAsia="en-US"/>
              </w:rPr>
              <w:t>Escherichia coli</w:t>
            </w:r>
            <w:r>
              <w:rPr>
                <w:rFonts w:eastAsiaTheme="minorHAnsi"/>
                <w:szCs w:val="24"/>
                <w:lang w:val="en-US" w:eastAsia="en-US"/>
              </w:rPr>
              <w:t xml:space="preserve"> K-12 using </w:t>
            </w:r>
            <w:r w:rsidRPr="00DE7C9A">
              <w:rPr>
                <w:rFonts w:eastAsiaTheme="minorHAnsi"/>
                <w:sz w:val="20"/>
                <w:szCs w:val="20"/>
                <w:lang w:val="en-US" w:eastAsia="en-US"/>
              </w:rPr>
              <w:t>D</w:t>
            </w:r>
            <w:r>
              <w:rPr>
                <w:rFonts w:eastAsiaTheme="minorHAnsi"/>
                <w:szCs w:val="24"/>
                <w:lang w:val="en-US" w:eastAsia="en-US"/>
              </w:rPr>
              <w:t xml:space="preserve">-lactose and </w:t>
            </w:r>
            <w:r w:rsidR="00DE7C9A" w:rsidRPr="00DE7C9A">
              <w:rPr>
                <w:rFonts w:eastAsiaTheme="minorHAnsi"/>
                <w:sz w:val="20"/>
                <w:szCs w:val="20"/>
                <w:lang w:val="en-US" w:eastAsia="en-US"/>
              </w:rPr>
              <w:t>D</w:t>
            </w:r>
            <w:r>
              <w:rPr>
                <w:rFonts w:eastAsiaTheme="minorHAnsi"/>
                <w:szCs w:val="24"/>
                <w:lang w:val="en-US" w:eastAsia="en-US"/>
              </w:rPr>
              <w:t xml:space="preserve">-glucose as raw materials.  </w:t>
            </w:r>
          </w:p>
          <w:p w:rsidR="00667C3B" w:rsidRPr="00667C3B" w:rsidRDefault="00667C3B" w:rsidP="00667C3B">
            <w:pPr>
              <w:spacing w:before="40" w:after="40"/>
              <w:rPr>
                <w:rFonts w:eastAsia="Times New Roman"/>
                <w:b/>
                <w:szCs w:val="24"/>
              </w:rPr>
            </w:pPr>
            <w:r w:rsidRPr="00667C3B">
              <w:rPr>
                <w:rFonts w:eastAsia="Times New Roman"/>
                <w:b/>
                <w:szCs w:val="24"/>
              </w:rPr>
              <w:t>Characteristics/Composition</w:t>
            </w:r>
          </w:p>
          <w:p w:rsidR="00667C3B" w:rsidRPr="00667C3B" w:rsidRDefault="00667C3B" w:rsidP="00667C3B">
            <w:pPr>
              <w:spacing w:before="40" w:after="40"/>
              <w:jc w:val="left"/>
              <w:rPr>
                <w:rFonts w:eastAsia="Times New Roman"/>
                <w:szCs w:val="24"/>
              </w:rPr>
            </w:pPr>
            <w:r w:rsidRPr="00667C3B">
              <w:rPr>
                <w:rFonts w:eastAsia="Times New Roman"/>
                <w:szCs w:val="24"/>
              </w:rPr>
              <w:t xml:space="preserve">Appearance: </w:t>
            </w:r>
            <w:r w:rsidR="00EA3383">
              <w:rPr>
                <w:rFonts w:eastAsia="Times New Roman"/>
                <w:szCs w:val="24"/>
              </w:rPr>
              <w:t>White to off white</w:t>
            </w:r>
            <w:r w:rsidRPr="00667C3B">
              <w:rPr>
                <w:rFonts w:eastAsia="Times New Roman"/>
                <w:szCs w:val="24"/>
              </w:rPr>
              <w:t xml:space="preserve"> </w:t>
            </w:r>
            <w:r w:rsidR="00EA3383">
              <w:rPr>
                <w:rFonts w:eastAsia="Times New Roman"/>
                <w:szCs w:val="24"/>
              </w:rPr>
              <w:t>powder or agglomerates</w:t>
            </w:r>
          </w:p>
          <w:p w:rsidR="00667C3B" w:rsidRPr="00667C3B" w:rsidRDefault="00EA3383" w:rsidP="00667C3B">
            <w:pPr>
              <w:spacing w:before="40" w:after="40"/>
              <w:jc w:val="left"/>
              <w:rPr>
                <w:rFonts w:eastAsia="Times New Roman"/>
                <w:szCs w:val="24"/>
              </w:rPr>
            </w:pPr>
            <w:r>
              <w:rPr>
                <w:rFonts w:eastAsia="Times New Roman"/>
                <w:szCs w:val="24"/>
              </w:rPr>
              <w:t xml:space="preserve">Identification : Retention time of standards ± 3.0% </w:t>
            </w:r>
          </w:p>
          <w:p w:rsidR="00EA3383" w:rsidRDefault="00EA3383" w:rsidP="00667C3B">
            <w:pPr>
              <w:spacing w:before="40" w:after="40"/>
              <w:jc w:val="left"/>
              <w:rPr>
                <w:rFonts w:eastAsia="Times New Roman"/>
                <w:szCs w:val="24"/>
              </w:rPr>
            </w:pPr>
            <w:r>
              <w:rPr>
                <w:rFonts w:eastAsia="Times New Roman"/>
                <w:szCs w:val="24"/>
              </w:rPr>
              <w:t>Sum of 2’-fucosyllactose, difucosyllactose, lactose and fucose (% of dry matter): ≥ 92.0 % (w/w)</w:t>
            </w:r>
          </w:p>
          <w:p w:rsidR="00EA3383" w:rsidRDefault="00EA3383" w:rsidP="00667C3B">
            <w:pPr>
              <w:spacing w:before="40" w:after="40"/>
              <w:jc w:val="left"/>
              <w:rPr>
                <w:rFonts w:eastAsia="Times New Roman"/>
                <w:szCs w:val="24"/>
              </w:rPr>
            </w:pPr>
            <w:r>
              <w:rPr>
                <w:rFonts w:eastAsia="Times New Roman"/>
                <w:szCs w:val="24"/>
              </w:rPr>
              <w:t>Sum of 2’-fucosyllactose and difucosyllactose (% of dry matter): ≥ 85.0 % (w/w)</w:t>
            </w:r>
          </w:p>
          <w:p w:rsidR="00EA3383" w:rsidRDefault="00EA3383" w:rsidP="00667C3B">
            <w:pPr>
              <w:spacing w:before="40" w:after="40"/>
              <w:jc w:val="left"/>
              <w:rPr>
                <w:rFonts w:eastAsia="Times New Roman"/>
                <w:szCs w:val="24"/>
              </w:rPr>
            </w:pPr>
            <w:r>
              <w:rPr>
                <w:rFonts w:eastAsia="Times New Roman"/>
                <w:szCs w:val="24"/>
              </w:rPr>
              <w:t>2’-fucosyllactose (% of dry matter): ≥ 75.0 % (w/w)</w:t>
            </w:r>
          </w:p>
          <w:p w:rsidR="00667C3B" w:rsidRPr="00667C3B" w:rsidRDefault="00EA3383" w:rsidP="00667C3B">
            <w:pPr>
              <w:spacing w:before="40" w:after="40"/>
              <w:jc w:val="left"/>
              <w:rPr>
                <w:rFonts w:eastAsia="Times New Roman"/>
                <w:szCs w:val="24"/>
              </w:rPr>
            </w:pPr>
            <w:r>
              <w:rPr>
                <w:rFonts w:eastAsia="Times New Roman"/>
                <w:szCs w:val="24"/>
              </w:rPr>
              <w:t>Difucosyllactose (% of dry matter): ≥ 5.0 % (w/w)</w:t>
            </w:r>
          </w:p>
          <w:p w:rsidR="00EA3383" w:rsidRDefault="00EA3383" w:rsidP="00667C3B">
            <w:pPr>
              <w:spacing w:before="40" w:after="40"/>
              <w:jc w:val="left"/>
              <w:rPr>
                <w:rFonts w:eastAsia="Times New Roman"/>
                <w:szCs w:val="24"/>
              </w:rPr>
            </w:pPr>
            <w:r>
              <w:rPr>
                <w:rFonts w:eastAsia="Times New Roman"/>
                <w:sz w:val="20"/>
                <w:szCs w:val="20"/>
              </w:rPr>
              <w:t>D-</w:t>
            </w:r>
            <w:r>
              <w:rPr>
                <w:rFonts w:eastAsia="Times New Roman"/>
                <w:szCs w:val="24"/>
              </w:rPr>
              <w:t>Lactose: ≤ 10.0% (w/w)</w:t>
            </w:r>
          </w:p>
          <w:p w:rsidR="00667C3B" w:rsidRPr="00667C3B" w:rsidRDefault="00EA3383" w:rsidP="00667C3B">
            <w:pPr>
              <w:spacing w:before="40" w:after="40"/>
              <w:jc w:val="left"/>
              <w:rPr>
                <w:rFonts w:eastAsia="Times New Roman"/>
                <w:szCs w:val="24"/>
              </w:rPr>
            </w:pPr>
            <w:r>
              <w:rPr>
                <w:rFonts w:eastAsia="Times New Roman"/>
                <w:sz w:val="20"/>
                <w:szCs w:val="20"/>
              </w:rPr>
              <w:t>D-</w:t>
            </w:r>
            <w:r>
              <w:rPr>
                <w:rFonts w:eastAsia="Times New Roman"/>
                <w:szCs w:val="24"/>
              </w:rPr>
              <w:t>Fucose: ≤ 1.0</w:t>
            </w:r>
            <w:r w:rsidRPr="00667C3B">
              <w:rPr>
                <w:rFonts w:eastAsia="Times New Roman"/>
                <w:szCs w:val="24"/>
              </w:rPr>
              <w:t xml:space="preserve"> </w:t>
            </w:r>
            <w:r>
              <w:rPr>
                <w:rFonts w:eastAsia="Times New Roman"/>
                <w:szCs w:val="24"/>
              </w:rPr>
              <w:t>(w/w)</w:t>
            </w:r>
            <w:r w:rsidR="00667C3B" w:rsidRPr="00667C3B">
              <w:rPr>
                <w:rFonts w:eastAsia="Times New Roman"/>
                <w:szCs w:val="24"/>
              </w:rPr>
              <w:t xml:space="preserve"> </w:t>
            </w:r>
          </w:p>
          <w:p w:rsidR="00EA3383" w:rsidRDefault="00EA3383" w:rsidP="00667C3B">
            <w:pPr>
              <w:spacing w:before="40" w:after="40"/>
              <w:jc w:val="left"/>
              <w:rPr>
                <w:rFonts w:eastAsia="Times New Roman"/>
                <w:szCs w:val="24"/>
              </w:rPr>
            </w:pPr>
            <w:r>
              <w:rPr>
                <w:rFonts w:eastAsia="Times New Roman"/>
                <w:szCs w:val="24"/>
              </w:rPr>
              <w:t>2’fucosyl-</w:t>
            </w:r>
            <w:r w:rsidRPr="00EA3383">
              <w:rPr>
                <w:rFonts w:eastAsia="Times New Roman"/>
                <w:sz w:val="20"/>
                <w:szCs w:val="20"/>
              </w:rPr>
              <w:t>D</w:t>
            </w:r>
            <w:r>
              <w:rPr>
                <w:rFonts w:eastAsia="Times New Roman"/>
                <w:szCs w:val="24"/>
              </w:rPr>
              <w:t>-lactulose: ≤ 2.0</w:t>
            </w:r>
            <w:r w:rsidRPr="00667C3B">
              <w:rPr>
                <w:rFonts w:eastAsia="Times New Roman"/>
                <w:szCs w:val="24"/>
              </w:rPr>
              <w:t xml:space="preserve"> </w:t>
            </w:r>
            <w:r>
              <w:rPr>
                <w:rFonts w:eastAsia="Times New Roman"/>
                <w:szCs w:val="24"/>
              </w:rPr>
              <w:t>(w/w)</w:t>
            </w:r>
          </w:p>
          <w:p w:rsidR="00EA3383" w:rsidRDefault="00EA3383" w:rsidP="00667C3B">
            <w:pPr>
              <w:spacing w:before="40" w:after="40"/>
              <w:jc w:val="left"/>
              <w:rPr>
                <w:rFonts w:eastAsia="Times New Roman"/>
                <w:szCs w:val="24"/>
              </w:rPr>
            </w:pPr>
            <w:r>
              <w:rPr>
                <w:rFonts w:eastAsia="Times New Roman"/>
                <w:szCs w:val="24"/>
              </w:rPr>
              <w:t>Sum or other carbohydrates</w:t>
            </w:r>
            <w:r>
              <w:rPr>
                <w:rStyle w:val="Fodnotehenvisning"/>
                <w:rFonts w:eastAsia="Times New Roman"/>
                <w:szCs w:val="24"/>
              </w:rPr>
              <w:footnoteReference w:id="1"/>
            </w:r>
            <w:r>
              <w:rPr>
                <w:rFonts w:eastAsia="Times New Roman"/>
                <w:szCs w:val="24"/>
              </w:rPr>
              <w:t>: ≤ 6.0% (w/w)</w:t>
            </w:r>
          </w:p>
          <w:p w:rsidR="00EA3383" w:rsidRDefault="00EA3383" w:rsidP="00667C3B">
            <w:pPr>
              <w:spacing w:before="40" w:after="40"/>
              <w:jc w:val="left"/>
              <w:rPr>
                <w:rFonts w:eastAsia="Times New Roman"/>
                <w:szCs w:val="24"/>
              </w:rPr>
            </w:pPr>
            <w:r w:rsidRPr="00EA3383">
              <w:rPr>
                <w:rFonts w:eastAsia="Times New Roman"/>
                <w:szCs w:val="24"/>
              </w:rPr>
              <w:t>Moisture</w:t>
            </w:r>
            <w:r w:rsidRPr="00667C3B">
              <w:rPr>
                <w:rFonts w:eastAsia="Times New Roman"/>
                <w:szCs w:val="24"/>
              </w:rPr>
              <w:t xml:space="preserve"> : ≤ </w:t>
            </w:r>
            <w:r>
              <w:rPr>
                <w:rFonts w:eastAsia="Times New Roman"/>
                <w:szCs w:val="24"/>
              </w:rPr>
              <w:t>6</w:t>
            </w:r>
            <w:r w:rsidRPr="00667C3B">
              <w:rPr>
                <w:rFonts w:eastAsia="Times New Roman"/>
                <w:szCs w:val="24"/>
              </w:rPr>
              <w:t>.0 % (</w:t>
            </w:r>
            <w:r>
              <w:rPr>
                <w:rFonts w:eastAsia="Times New Roman"/>
                <w:szCs w:val="24"/>
              </w:rPr>
              <w:t>w/w)</w:t>
            </w:r>
          </w:p>
          <w:p w:rsidR="00EA3383" w:rsidRDefault="00EA3383" w:rsidP="00667C3B">
            <w:pPr>
              <w:spacing w:before="40" w:after="40"/>
              <w:jc w:val="left"/>
              <w:rPr>
                <w:rFonts w:eastAsia="Times New Roman"/>
                <w:szCs w:val="24"/>
              </w:rPr>
            </w:pPr>
            <w:r w:rsidRPr="00667C3B">
              <w:rPr>
                <w:rFonts w:eastAsia="Times New Roman"/>
                <w:szCs w:val="24"/>
              </w:rPr>
              <w:t>Ash</w:t>
            </w:r>
            <w:r>
              <w:rPr>
                <w:rFonts w:eastAsia="Times New Roman"/>
                <w:szCs w:val="24"/>
              </w:rPr>
              <w:t>, sulfated</w:t>
            </w:r>
            <w:r w:rsidRPr="00667C3B">
              <w:rPr>
                <w:rFonts w:eastAsia="Times New Roman"/>
                <w:szCs w:val="24"/>
              </w:rPr>
              <w:t>: ≤ 0.</w:t>
            </w:r>
            <w:r>
              <w:rPr>
                <w:rFonts w:eastAsia="Times New Roman"/>
                <w:szCs w:val="24"/>
              </w:rPr>
              <w:t>8</w:t>
            </w:r>
            <w:r w:rsidRPr="00667C3B">
              <w:rPr>
                <w:rFonts w:eastAsia="Times New Roman"/>
                <w:szCs w:val="24"/>
              </w:rPr>
              <w:t>% (</w:t>
            </w:r>
            <w:r>
              <w:rPr>
                <w:rFonts w:eastAsia="Times New Roman"/>
                <w:szCs w:val="24"/>
              </w:rPr>
              <w:t>w/w)</w:t>
            </w:r>
          </w:p>
          <w:p w:rsidR="00667C3B" w:rsidRPr="00667C3B" w:rsidRDefault="00667C3B" w:rsidP="00667C3B">
            <w:pPr>
              <w:spacing w:before="40" w:after="40"/>
              <w:jc w:val="left"/>
              <w:rPr>
                <w:rFonts w:eastAsia="Times New Roman"/>
                <w:szCs w:val="24"/>
              </w:rPr>
            </w:pPr>
            <w:r w:rsidRPr="00667C3B">
              <w:rPr>
                <w:rFonts w:eastAsia="Times New Roman"/>
                <w:szCs w:val="24"/>
              </w:rPr>
              <w:t>pH</w:t>
            </w:r>
            <w:r w:rsidR="00EA3383">
              <w:rPr>
                <w:rFonts w:eastAsia="Times New Roman"/>
                <w:szCs w:val="24"/>
              </w:rPr>
              <w:t xml:space="preserve"> (20 °C, 5% solution)</w:t>
            </w:r>
            <w:r w:rsidRPr="00667C3B">
              <w:rPr>
                <w:rFonts w:eastAsia="Times New Roman"/>
                <w:szCs w:val="24"/>
              </w:rPr>
              <w:t xml:space="preserve">: </w:t>
            </w:r>
            <w:r w:rsidR="00EA3383">
              <w:rPr>
                <w:rFonts w:eastAsia="Times New Roman"/>
                <w:szCs w:val="24"/>
              </w:rPr>
              <w:t>4</w:t>
            </w:r>
            <w:r w:rsidRPr="00667C3B">
              <w:rPr>
                <w:rFonts w:eastAsia="Times New Roman"/>
                <w:szCs w:val="24"/>
              </w:rPr>
              <w:t>.0 -</w:t>
            </w:r>
            <w:r w:rsidR="00EA3383">
              <w:rPr>
                <w:rFonts w:eastAsia="Times New Roman"/>
                <w:szCs w:val="24"/>
              </w:rPr>
              <w:t>6</w:t>
            </w:r>
            <w:r w:rsidRPr="00667C3B">
              <w:rPr>
                <w:rFonts w:eastAsia="Times New Roman"/>
                <w:szCs w:val="24"/>
              </w:rPr>
              <w:t>.0</w:t>
            </w:r>
          </w:p>
          <w:p w:rsidR="00667C3B" w:rsidRPr="00667C3B" w:rsidRDefault="00667C3B" w:rsidP="00667C3B">
            <w:pPr>
              <w:spacing w:before="40" w:after="40"/>
              <w:jc w:val="left"/>
              <w:rPr>
                <w:rFonts w:eastAsia="Times New Roman"/>
                <w:szCs w:val="24"/>
              </w:rPr>
            </w:pPr>
            <w:r w:rsidRPr="00667C3B">
              <w:rPr>
                <w:rFonts w:eastAsia="Times New Roman"/>
                <w:szCs w:val="24"/>
              </w:rPr>
              <w:t>Residual protein:  ≤ 1.0mg/g</w:t>
            </w:r>
          </w:p>
          <w:p w:rsidR="00667C3B" w:rsidRPr="00667C3B" w:rsidRDefault="00667C3B" w:rsidP="00667C3B">
            <w:pPr>
              <w:spacing w:before="40" w:after="40"/>
              <w:jc w:val="left"/>
              <w:rPr>
                <w:rFonts w:eastAsia="Times New Roman"/>
                <w:szCs w:val="24"/>
              </w:rPr>
            </w:pPr>
            <w:r w:rsidRPr="00667C3B">
              <w:rPr>
                <w:rFonts w:eastAsia="Times New Roman"/>
                <w:b/>
                <w:bCs/>
                <w:szCs w:val="24"/>
              </w:rPr>
              <w:t>Microbiological criteria:</w:t>
            </w:r>
            <w:r w:rsidRPr="00667C3B">
              <w:rPr>
                <w:rFonts w:eastAsia="Times New Roman"/>
                <w:szCs w:val="24"/>
              </w:rPr>
              <w:br/>
            </w:r>
            <w:r w:rsidR="00EA3383">
              <w:rPr>
                <w:rFonts w:eastAsia="Times New Roman"/>
                <w:szCs w:val="24"/>
              </w:rPr>
              <w:t>Aerobic mesophilic t</w:t>
            </w:r>
            <w:r w:rsidRPr="00667C3B">
              <w:rPr>
                <w:rFonts w:eastAsia="Times New Roman"/>
                <w:szCs w:val="24"/>
              </w:rPr>
              <w:t xml:space="preserve">otal </w:t>
            </w:r>
            <w:r w:rsidR="00EA3383">
              <w:rPr>
                <w:rFonts w:eastAsia="Times New Roman"/>
                <w:szCs w:val="24"/>
              </w:rPr>
              <w:t>plate</w:t>
            </w:r>
            <w:r w:rsidRPr="00667C3B">
              <w:rPr>
                <w:rFonts w:eastAsia="Times New Roman"/>
                <w:szCs w:val="24"/>
              </w:rPr>
              <w:t xml:space="preserve"> count: ≤ 100</w:t>
            </w:r>
            <w:r w:rsidR="00EA3383">
              <w:rPr>
                <w:rFonts w:eastAsia="Times New Roman"/>
                <w:szCs w:val="24"/>
              </w:rPr>
              <w:t>0</w:t>
            </w:r>
            <w:r w:rsidRPr="00667C3B">
              <w:rPr>
                <w:rFonts w:eastAsia="Times New Roman"/>
                <w:szCs w:val="24"/>
                <w:vertAlign w:val="superscript"/>
              </w:rPr>
              <w:t xml:space="preserve"> </w:t>
            </w:r>
            <w:r w:rsidRPr="00667C3B">
              <w:rPr>
                <w:rFonts w:eastAsia="Times New Roman"/>
                <w:szCs w:val="24"/>
              </w:rPr>
              <w:t>CFU/g</w:t>
            </w:r>
          </w:p>
          <w:p w:rsidR="00667C3B" w:rsidRPr="00667C3B" w:rsidRDefault="00EA3383" w:rsidP="00667C3B">
            <w:pPr>
              <w:spacing w:before="40" w:after="40"/>
              <w:rPr>
                <w:rFonts w:eastAsia="Times New Roman"/>
                <w:szCs w:val="24"/>
              </w:rPr>
            </w:pPr>
            <w:r>
              <w:rPr>
                <w:rFonts w:eastAsia="Times New Roman"/>
                <w:szCs w:val="24"/>
              </w:rPr>
              <w:t>Coliforms: ≤ 10 CFU/</w:t>
            </w:r>
            <w:r w:rsidR="00667C3B" w:rsidRPr="00667C3B">
              <w:rPr>
                <w:rFonts w:eastAsia="Times New Roman"/>
                <w:szCs w:val="24"/>
              </w:rPr>
              <w:t>g</w:t>
            </w:r>
          </w:p>
          <w:p w:rsidR="00667C3B" w:rsidRPr="00667C3B" w:rsidRDefault="00667C3B" w:rsidP="00667C3B">
            <w:pPr>
              <w:spacing w:before="40" w:after="40"/>
              <w:jc w:val="left"/>
              <w:rPr>
                <w:rFonts w:eastAsia="Times New Roman"/>
                <w:szCs w:val="24"/>
              </w:rPr>
            </w:pPr>
            <w:r w:rsidRPr="00667C3B">
              <w:rPr>
                <w:rFonts w:eastAsia="Times New Roman"/>
                <w:i/>
                <w:szCs w:val="24"/>
                <w:lang w:val="en-IE"/>
              </w:rPr>
              <w:lastRenderedPageBreak/>
              <w:t>Salmonella</w:t>
            </w:r>
            <w:r w:rsidRPr="00667C3B">
              <w:rPr>
                <w:rFonts w:eastAsia="Times New Roman"/>
                <w:szCs w:val="24"/>
                <w:lang w:val="en-IE"/>
              </w:rPr>
              <w:t xml:space="preserve"> sp.: Negative/25 g</w:t>
            </w:r>
          </w:p>
          <w:p w:rsidR="00667C3B" w:rsidRPr="00667C3B" w:rsidRDefault="00667C3B" w:rsidP="00667C3B">
            <w:pPr>
              <w:spacing w:before="40" w:after="40"/>
              <w:jc w:val="left"/>
              <w:rPr>
                <w:rFonts w:eastAsia="Times New Roman"/>
                <w:szCs w:val="24"/>
              </w:rPr>
            </w:pPr>
            <w:r w:rsidRPr="00667C3B">
              <w:rPr>
                <w:rFonts w:eastAsia="Times New Roman"/>
                <w:szCs w:val="24"/>
              </w:rPr>
              <w:t>Yeast: ≤ 10</w:t>
            </w:r>
            <w:r w:rsidR="00EA3383">
              <w:rPr>
                <w:rFonts w:eastAsia="Times New Roman"/>
                <w:szCs w:val="24"/>
              </w:rPr>
              <w:t>0</w:t>
            </w:r>
            <w:r w:rsidRPr="00667C3B">
              <w:rPr>
                <w:rFonts w:eastAsia="Times New Roman"/>
                <w:szCs w:val="24"/>
              </w:rPr>
              <w:t xml:space="preserve"> CFU/g</w:t>
            </w:r>
          </w:p>
          <w:p w:rsidR="00667C3B" w:rsidRDefault="00667C3B" w:rsidP="00667C3B">
            <w:pPr>
              <w:spacing w:before="40" w:after="40"/>
              <w:jc w:val="left"/>
              <w:rPr>
                <w:rFonts w:eastAsia="Times New Roman"/>
                <w:szCs w:val="24"/>
              </w:rPr>
            </w:pPr>
            <w:r w:rsidRPr="00667C3B">
              <w:rPr>
                <w:rFonts w:eastAsia="Times New Roman"/>
                <w:szCs w:val="24"/>
              </w:rPr>
              <w:t>Mould: ≤ 10</w:t>
            </w:r>
            <w:r w:rsidR="00EA3383">
              <w:rPr>
                <w:rFonts w:eastAsia="Times New Roman"/>
                <w:szCs w:val="24"/>
              </w:rPr>
              <w:t>0</w:t>
            </w:r>
            <w:r w:rsidRPr="00667C3B">
              <w:rPr>
                <w:rFonts w:eastAsia="Times New Roman"/>
                <w:szCs w:val="24"/>
              </w:rPr>
              <w:t xml:space="preserve"> CFU/g</w:t>
            </w:r>
          </w:p>
          <w:p w:rsidR="00EA3383" w:rsidRPr="00667C3B" w:rsidRDefault="00EA3383" w:rsidP="00EA3383">
            <w:pPr>
              <w:spacing w:before="40" w:after="40"/>
              <w:jc w:val="left"/>
              <w:rPr>
                <w:rFonts w:eastAsia="Times New Roman"/>
                <w:szCs w:val="24"/>
                <w:lang w:val="en-IE"/>
              </w:rPr>
            </w:pPr>
            <w:r>
              <w:rPr>
                <w:rFonts w:eastAsia="Times New Roman"/>
                <w:szCs w:val="24"/>
              </w:rPr>
              <w:t xml:space="preserve">Residual endotoxins: </w:t>
            </w:r>
            <w:r w:rsidRPr="00667C3B">
              <w:rPr>
                <w:rFonts w:eastAsia="Times New Roman"/>
                <w:szCs w:val="24"/>
              </w:rPr>
              <w:t>≤ 10</w:t>
            </w:r>
            <w:r>
              <w:rPr>
                <w:rFonts w:eastAsia="Times New Roman"/>
                <w:szCs w:val="24"/>
              </w:rPr>
              <w:t>0</w:t>
            </w:r>
            <w:r w:rsidRPr="00667C3B">
              <w:rPr>
                <w:rFonts w:eastAsia="Times New Roman"/>
                <w:szCs w:val="24"/>
              </w:rPr>
              <w:t xml:space="preserve"> </w:t>
            </w:r>
            <w:r>
              <w:rPr>
                <w:rFonts w:eastAsia="Times New Roman"/>
                <w:szCs w:val="24"/>
              </w:rPr>
              <w:t>E</w:t>
            </w:r>
            <w:r w:rsidRPr="00667C3B">
              <w:rPr>
                <w:rFonts w:eastAsia="Times New Roman"/>
                <w:szCs w:val="24"/>
              </w:rPr>
              <w:t>U/</w:t>
            </w:r>
            <w:r>
              <w:rPr>
                <w:rFonts w:eastAsia="Times New Roman"/>
                <w:szCs w:val="24"/>
              </w:rPr>
              <w:t>m</w:t>
            </w:r>
            <w:r w:rsidRPr="00667C3B">
              <w:rPr>
                <w:rFonts w:eastAsia="Times New Roman"/>
                <w:szCs w:val="24"/>
              </w:rPr>
              <w:t>g</w:t>
            </w:r>
          </w:p>
        </w:tc>
      </w:tr>
    </w:tbl>
    <w:p w:rsidR="00667C3B" w:rsidRPr="00667C3B" w:rsidRDefault="00667C3B" w:rsidP="00667C3B">
      <w:pPr>
        <w:spacing w:before="0" w:after="0"/>
        <w:jc w:val="left"/>
        <w:rPr>
          <w:b/>
          <w:szCs w:val="24"/>
        </w:rPr>
      </w:pPr>
      <w:r w:rsidRPr="00667C3B">
        <w:rPr>
          <w:szCs w:val="24"/>
          <w:vertAlign w:val="superscript"/>
        </w:rPr>
        <w:lastRenderedPageBreak/>
        <w:t>‘*</w:t>
      </w:r>
      <w:r w:rsidRPr="00667C3B">
        <w:rPr>
          <w:szCs w:val="24"/>
        </w:rPr>
        <w:t>CFU: Colony Forming Unit</w:t>
      </w:r>
      <w:r w:rsidR="00027E4B">
        <w:rPr>
          <w:szCs w:val="24"/>
        </w:rPr>
        <w:t>s</w:t>
      </w:r>
      <w:r w:rsidR="00EA3383">
        <w:rPr>
          <w:szCs w:val="24"/>
        </w:rPr>
        <w:t>; EU: Endotoxin Units</w:t>
      </w:r>
      <w:r w:rsidRPr="00667C3B">
        <w:rPr>
          <w:b/>
          <w:szCs w:val="24"/>
        </w:rPr>
        <w:t>’</w:t>
      </w:r>
    </w:p>
    <w:p w:rsidR="00255C94" w:rsidRPr="00255C94" w:rsidRDefault="00255C94" w:rsidP="00667C3B">
      <w:pPr>
        <w:spacing w:before="240" w:after="240"/>
        <w:jc w:val="center"/>
        <w:rPr>
          <w:i/>
        </w:rPr>
      </w:pPr>
    </w:p>
    <w:sectPr w:rsidR="00255C94" w:rsidRPr="00255C94" w:rsidSect="00861B23">
      <w:headerReference w:type="default" r:id="rId8"/>
      <w:footerReference w:type="default" r:id="rId9"/>
      <w:pgSz w:w="16839" w:h="11907" w:orient="landscape"/>
      <w:pgMar w:top="1417" w:right="1417" w:bottom="1417" w:left="1417"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1FF" w:rsidRDefault="00CE71FF" w:rsidP="00745462">
      <w:pPr>
        <w:spacing w:before="0" w:after="0"/>
      </w:pPr>
      <w:r>
        <w:separator/>
      </w:r>
    </w:p>
  </w:endnote>
  <w:endnote w:type="continuationSeparator" w:id="0">
    <w:p w:rsidR="00CE71FF" w:rsidRDefault="00CE71FF" w:rsidP="007454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6E8" w:rsidRPr="009E151B" w:rsidRDefault="005F7B98" w:rsidP="009E151B">
    <w:pPr>
      <w:pStyle w:val="Sidefod"/>
      <w:rPr>
        <w:rFonts w:ascii="Arial" w:hAnsi="Arial" w:cs="Arial"/>
        <w:b/>
        <w:sz w:val="48"/>
      </w:rPr>
    </w:pPr>
    <w:r w:rsidRPr="009E151B">
      <w:rPr>
        <w:rFonts w:ascii="Arial" w:hAnsi="Arial" w:cs="Arial"/>
        <w:b/>
        <w:sz w:val="48"/>
      </w:rPr>
      <w:t>EN</w:t>
    </w:r>
    <w:r w:rsidRPr="009E151B">
      <w:rPr>
        <w:rFonts w:ascii="Arial" w:hAnsi="Arial" w:cs="Arial"/>
        <w:b/>
        <w:sz w:val="48"/>
      </w:rPr>
      <w:tab/>
    </w:r>
    <w:r w:rsidRPr="009E151B">
      <w:rPr>
        <w:rFonts w:ascii="Arial" w:hAnsi="Arial" w:cs="Arial"/>
        <w:b/>
        <w:sz w:val="48"/>
      </w:rPr>
      <w:tab/>
    </w:r>
    <w:r w:rsidRPr="009E151B">
      <w:tab/>
    </w:r>
    <w:r w:rsidRPr="009E151B">
      <w:rPr>
        <w:rFonts w:ascii="Arial" w:hAnsi="Arial" w:cs="Arial"/>
        <w:b/>
        <w:sz w:val="48"/>
      </w:rPr>
      <w:t>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1FF" w:rsidRDefault="00CE71FF" w:rsidP="00745462">
      <w:pPr>
        <w:spacing w:before="0" w:after="0"/>
      </w:pPr>
      <w:r>
        <w:separator/>
      </w:r>
    </w:p>
  </w:footnote>
  <w:footnote w:type="continuationSeparator" w:id="0">
    <w:p w:rsidR="00CE71FF" w:rsidRDefault="00CE71FF" w:rsidP="00745462">
      <w:pPr>
        <w:spacing w:before="0" w:after="0"/>
      </w:pPr>
      <w:r>
        <w:continuationSeparator/>
      </w:r>
    </w:p>
  </w:footnote>
  <w:footnote w:id="1">
    <w:p w:rsidR="00EA3383" w:rsidRPr="00EA3383" w:rsidRDefault="00EA3383">
      <w:pPr>
        <w:pStyle w:val="Fodnotetekst"/>
        <w:rPr>
          <w:lang w:val="en-IE"/>
        </w:rPr>
      </w:pPr>
      <w:r>
        <w:rPr>
          <w:rStyle w:val="Fodnotehenvisning"/>
        </w:rPr>
        <w:footnoteRef/>
      </w:r>
      <w:r>
        <w:t xml:space="preserve"> </w:t>
      </w:r>
      <w:r w:rsidRPr="00EA3383">
        <w:rPr>
          <w:lang w:val="en-IE"/>
        </w:rPr>
        <w:t>3’-fucosyllactose, 2’-fucosyl-galactose, glucose, galactose, mannitol, sorbitol, galactitol, trihexose, allo-lactose and other structurally related carbohydrates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294894"/>
      <w:docPartObj>
        <w:docPartGallery w:val="Watermarks"/>
        <w:docPartUnique/>
      </w:docPartObj>
    </w:sdtPr>
    <w:sdtEndPr/>
    <w:sdtContent>
      <w:p w:rsidR="002325EC" w:rsidRPr="009E151B" w:rsidRDefault="00CE71FF" w:rsidP="009E151B">
        <w:pPr>
          <w:pStyle w:val="Sidehoved"/>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544CF1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1" w15:restartNumberingAfterBreak="0">
    <w:nsid w:val="148A32DC"/>
    <w:multiLevelType w:val="hybridMultilevel"/>
    <w:tmpl w:val="A26A4850"/>
    <w:lvl w:ilvl="0" w:tplc="8F18F8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7CBE4812"/>
    <w:multiLevelType w:val="singleLevel"/>
    <w:tmpl w:val="23C821E4"/>
    <w:lvl w:ilvl="0">
      <w:start w:val="1"/>
      <w:numFmt w:val="decimal"/>
      <w:lvlRestart w:val="0"/>
      <w:pStyle w:val="Considrant"/>
      <w:lvlText w:val="(%1)"/>
      <w:lvlJc w:val="left"/>
      <w:pPr>
        <w:tabs>
          <w:tab w:val="num" w:pos="709"/>
        </w:tabs>
        <w:ind w:left="709" w:hanging="709"/>
      </w:pPr>
    </w:lvl>
  </w:abstractNum>
  <w:num w:numId="1">
    <w:abstractNumId w:val="3"/>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45462"/>
    <w:rsid w:val="00027E4B"/>
    <w:rsid w:val="00030CBB"/>
    <w:rsid w:val="0004170A"/>
    <w:rsid w:val="00043D09"/>
    <w:rsid w:val="00067DAD"/>
    <w:rsid w:val="00075630"/>
    <w:rsid w:val="00084B6D"/>
    <w:rsid w:val="00096C64"/>
    <w:rsid w:val="000A7990"/>
    <w:rsid w:val="000C62D1"/>
    <w:rsid w:val="00110422"/>
    <w:rsid w:val="00112718"/>
    <w:rsid w:val="00192A9B"/>
    <w:rsid w:val="001A56C4"/>
    <w:rsid w:val="001C17F5"/>
    <w:rsid w:val="001F3BC4"/>
    <w:rsid w:val="00234456"/>
    <w:rsid w:val="00244CD9"/>
    <w:rsid w:val="00255C94"/>
    <w:rsid w:val="0026057C"/>
    <w:rsid w:val="002B3F61"/>
    <w:rsid w:val="00302171"/>
    <w:rsid w:val="0032779F"/>
    <w:rsid w:val="003551CF"/>
    <w:rsid w:val="003735F8"/>
    <w:rsid w:val="00381B6C"/>
    <w:rsid w:val="00424707"/>
    <w:rsid w:val="00426BAF"/>
    <w:rsid w:val="00475B9C"/>
    <w:rsid w:val="004A349A"/>
    <w:rsid w:val="004A55C4"/>
    <w:rsid w:val="004B01BB"/>
    <w:rsid w:val="004B47CB"/>
    <w:rsid w:val="004B74AD"/>
    <w:rsid w:val="004D3795"/>
    <w:rsid w:val="004E7957"/>
    <w:rsid w:val="005058A1"/>
    <w:rsid w:val="005133A5"/>
    <w:rsid w:val="005328EF"/>
    <w:rsid w:val="00552848"/>
    <w:rsid w:val="005553D9"/>
    <w:rsid w:val="00560D5E"/>
    <w:rsid w:val="005A3342"/>
    <w:rsid w:val="005C3748"/>
    <w:rsid w:val="005D0339"/>
    <w:rsid w:val="005F7B98"/>
    <w:rsid w:val="00601F0E"/>
    <w:rsid w:val="006050A2"/>
    <w:rsid w:val="006113E4"/>
    <w:rsid w:val="00620F0F"/>
    <w:rsid w:val="00625662"/>
    <w:rsid w:val="006632B1"/>
    <w:rsid w:val="00667C3B"/>
    <w:rsid w:val="00673EDC"/>
    <w:rsid w:val="00676632"/>
    <w:rsid w:val="00683ECD"/>
    <w:rsid w:val="006848B1"/>
    <w:rsid w:val="0068616C"/>
    <w:rsid w:val="006A4F59"/>
    <w:rsid w:val="006C4982"/>
    <w:rsid w:val="006D4F33"/>
    <w:rsid w:val="006F5090"/>
    <w:rsid w:val="00707BA4"/>
    <w:rsid w:val="00713800"/>
    <w:rsid w:val="00737056"/>
    <w:rsid w:val="00745462"/>
    <w:rsid w:val="00764A1B"/>
    <w:rsid w:val="00765459"/>
    <w:rsid w:val="00767A3C"/>
    <w:rsid w:val="00767DCE"/>
    <w:rsid w:val="00783F9D"/>
    <w:rsid w:val="00793777"/>
    <w:rsid w:val="00796DCA"/>
    <w:rsid w:val="007D197C"/>
    <w:rsid w:val="007E6C0D"/>
    <w:rsid w:val="007F04D0"/>
    <w:rsid w:val="00801C71"/>
    <w:rsid w:val="00803EEF"/>
    <w:rsid w:val="0083454A"/>
    <w:rsid w:val="00861B23"/>
    <w:rsid w:val="00867E8E"/>
    <w:rsid w:val="00893AA7"/>
    <w:rsid w:val="008B7F76"/>
    <w:rsid w:val="008D60CD"/>
    <w:rsid w:val="008E3C53"/>
    <w:rsid w:val="00906BE6"/>
    <w:rsid w:val="00920E8C"/>
    <w:rsid w:val="00934D28"/>
    <w:rsid w:val="00940F48"/>
    <w:rsid w:val="009545A3"/>
    <w:rsid w:val="00962C10"/>
    <w:rsid w:val="009A6114"/>
    <w:rsid w:val="009A7E33"/>
    <w:rsid w:val="009C2A03"/>
    <w:rsid w:val="00A032E4"/>
    <w:rsid w:val="00A150DE"/>
    <w:rsid w:val="00A208D2"/>
    <w:rsid w:val="00A90AB9"/>
    <w:rsid w:val="00AB3DDF"/>
    <w:rsid w:val="00AD233D"/>
    <w:rsid w:val="00AF14C5"/>
    <w:rsid w:val="00B67C25"/>
    <w:rsid w:val="00B96680"/>
    <w:rsid w:val="00BA0E43"/>
    <w:rsid w:val="00BF57E8"/>
    <w:rsid w:val="00C254A2"/>
    <w:rsid w:val="00C3095C"/>
    <w:rsid w:val="00C37F2D"/>
    <w:rsid w:val="00C47A3C"/>
    <w:rsid w:val="00C84E4E"/>
    <w:rsid w:val="00CC769D"/>
    <w:rsid w:val="00CE71FF"/>
    <w:rsid w:val="00CF7890"/>
    <w:rsid w:val="00D043D9"/>
    <w:rsid w:val="00D4370A"/>
    <w:rsid w:val="00D47E2C"/>
    <w:rsid w:val="00D574BC"/>
    <w:rsid w:val="00D80EA3"/>
    <w:rsid w:val="00DE7C9A"/>
    <w:rsid w:val="00E1637C"/>
    <w:rsid w:val="00E23366"/>
    <w:rsid w:val="00E42060"/>
    <w:rsid w:val="00E536CE"/>
    <w:rsid w:val="00E57B01"/>
    <w:rsid w:val="00E674D4"/>
    <w:rsid w:val="00E73404"/>
    <w:rsid w:val="00E77B60"/>
    <w:rsid w:val="00E873C4"/>
    <w:rsid w:val="00E874EB"/>
    <w:rsid w:val="00E919D5"/>
    <w:rsid w:val="00E9433A"/>
    <w:rsid w:val="00E97694"/>
    <w:rsid w:val="00EA3383"/>
    <w:rsid w:val="00ED180E"/>
    <w:rsid w:val="00ED28A0"/>
    <w:rsid w:val="00EF505E"/>
    <w:rsid w:val="00F25FBD"/>
    <w:rsid w:val="00F45F58"/>
    <w:rsid w:val="00FB0A9B"/>
    <w:rsid w:val="00FB57E3"/>
    <w:rsid w:val="00FE1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2E1EEE7-580D-4DBC-97DF-EA67809F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462"/>
    <w:pPr>
      <w:spacing w:before="120" w:after="120" w:line="240" w:lineRule="auto"/>
      <w:jc w:val="both"/>
    </w:pPr>
    <w:rPr>
      <w:rFonts w:ascii="Times New Roman" w:eastAsia="Calibri" w:hAnsi="Times New Roman" w:cs="Times New Roman"/>
      <w:sz w:val="24"/>
      <w:lang w:eastAsia="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45462"/>
    <w:pPr>
      <w:tabs>
        <w:tab w:val="center" w:pos="4535"/>
        <w:tab w:val="right" w:pos="9071"/>
      </w:tabs>
      <w:spacing w:before="0"/>
    </w:pPr>
    <w:rPr>
      <w:lang w:eastAsia="en-US"/>
    </w:rPr>
  </w:style>
  <w:style w:type="character" w:customStyle="1" w:styleId="SidehovedTegn">
    <w:name w:val="Sidehoved Tegn"/>
    <w:basedOn w:val="Standardskrifttypeiafsnit"/>
    <w:link w:val="Sidehoved"/>
    <w:uiPriority w:val="99"/>
    <w:rsid w:val="00745462"/>
    <w:rPr>
      <w:rFonts w:ascii="Times New Roman" w:eastAsia="Calibri" w:hAnsi="Times New Roman" w:cs="Times New Roman"/>
      <w:sz w:val="24"/>
    </w:rPr>
  </w:style>
  <w:style w:type="paragraph" w:styleId="Sidefod">
    <w:name w:val="footer"/>
    <w:basedOn w:val="Normal"/>
    <w:link w:val="SidefodTegn"/>
    <w:uiPriority w:val="99"/>
    <w:unhideWhenUsed/>
    <w:rsid w:val="00745462"/>
    <w:pPr>
      <w:tabs>
        <w:tab w:val="center" w:pos="4535"/>
        <w:tab w:val="right" w:pos="9071"/>
        <w:tab w:val="right" w:pos="9921"/>
      </w:tabs>
      <w:spacing w:before="360" w:after="0"/>
      <w:ind w:left="-850" w:right="-850"/>
      <w:jc w:val="left"/>
    </w:pPr>
  </w:style>
  <w:style w:type="character" w:customStyle="1" w:styleId="SidefodTegn">
    <w:name w:val="Sidefod Tegn"/>
    <w:basedOn w:val="Standardskrifttypeiafsnit"/>
    <w:link w:val="Sidefod"/>
    <w:uiPriority w:val="99"/>
    <w:rsid w:val="00745462"/>
    <w:rPr>
      <w:rFonts w:ascii="Times New Roman" w:eastAsia="Calibri" w:hAnsi="Times New Roman" w:cs="Times New Roman"/>
      <w:sz w:val="24"/>
      <w:lang w:eastAsia="en-GB"/>
    </w:rPr>
  </w:style>
  <w:style w:type="paragraph" w:styleId="Fodnotetekst">
    <w:name w:val="footnote text"/>
    <w:basedOn w:val="Normal"/>
    <w:link w:val="FodnotetekstTegn"/>
    <w:uiPriority w:val="99"/>
    <w:semiHidden/>
    <w:unhideWhenUsed/>
    <w:rsid w:val="00745462"/>
    <w:pPr>
      <w:spacing w:before="0" w:after="0"/>
      <w:ind w:left="720" w:hanging="720"/>
    </w:pPr>
    <w:rPr>
      <w:sz w:val="20"/>
      <w:szCs w:val="20"/>
    </w:rPr>
  </w:style>
  <w:style w:type="character" w:customStyle="1" w:styleId="FodnotetekstTegn">
    <w:name w:val="Fodnotetekst Tegn"/>
    <w:basedOn w:val="Standardskrifttypeiafsnit"/>
    <w:link w:val="Fodnotetekst"/>
    <w:uiPriority w:val="99"/>
    <w:semiHidden/>
    <w:rsid w:val="00745462"/>
    <w:rPr>
      <w:rFonts w:ascii="Times New Roman" w:eastAsia="Calibri" w:hAnsi="Times New Roman" w:cs="Times New Roman"/>
      <w:sz w:val="20"/>
      <w:szCs w:val="20"/>
      <w:lang w:eastAsia="en-GB"/>
    </w:rPr>
  </w:style>
  <w:style w:type="character" w:styleId="Fodnotehenvisning">
    <w:name w:val="footnote reference"/>
    <w:uiPriority w:val="99"/>
    <w:semiHidden/>
    <w:unhideWhenUsed/>
    <w:rsid w:val="00745462"/>
    <w:rPr>
      <w:shd w:val="clear" w:color="auto" w:fill="auto"/>
      <w:vertAlign w:val="superscript"/>
    </w:rPr>
  </w:style>
  <w:style w:type="character" w:customStyle="1" w:styleId="Marker2">
    <w:name w:val="Marker2"/>
    <w:rsid w:val="00745462"/>
    <w:rPr>
      <w:color w:val="FF0000"/>
      <w:shd w:val="clear" w:color="auto" w:fill="auto"/>
    </w:rPr>
  </w:style>
  <w:style w:type="paragraph" w:customStyle="1" w:styleId="Considrant">
    <w:name w:val="Considérant"/>
    <w:basedOn w:val="Normal"/>
    <w:rsid w:val="00745462"/>
    <w:pPr>
      <w:numPr>
        <w:numId w:val="1"/>
      </w:numPr>
    </w:pPr>
  </w:style>
  <w:style w:type="paragraph" w:customStyle="1" w:styleId="Datedadoption">
    <w:name w:val="Date d'adoption"/>
    <w:basedOn w:val="Normal"/>
    <w:next w:val="Titreobjet"/>
    <w:rsid w:val="00745462"/>
    <w:pPr>
      <w:spacing w:before="360" w:after="0"/>
      <w:jc w:val="center"/>
    </w:pPr>
    <w:rPr>
      <w:b/>
    </w:rPr>
  </w:style>
  <w:style w:type="paragraph" w:customStyle="1" w:styleId="Fait">
    <w:name w:val="Fait à"/>
    <w:basedOn w:val="Normal"/>
    <w:next w:val="Institutionquisigne"/>
    <w:rsid w:val="00745462"/>
    <w:pPr>
      <w:keepNext/>
      <w:spacing w:after="0"/>
    </w:pPr>
  </w:style>
  <w:style w:type="paragraph" w:customStyle="1" w:styleId="Formuledadoption">
    <w:name w:val="Formule d'adoption"/>
    <w:basedOn w:val="Normal"/>
    <w:next w:val="Titrearticle"/>
    <w:rsid w:val="00745462"/>
    <w:pPr>
      <w:keepNext/>
    </w:pPr>
  </w:style>
  <w:style w:type="paragraph" w:customStyle="1" w:styleId="Institutionquiagit">
    <w:name w:val="Institution qui agit"/>
    <w:basedOn w:val="Normal"/>
    <w:next w:val="Normal"/>
    <w:rsid w:val="00745462"/>
    <w:pPr>
      <w:keepNext/>
      <w:spacing w:before="600"/>
    </w:pPr>
  </w:style>
  <w:style w:type="paragraph" w:customStyle="1" w:styleId="Institutionquisigne">
    <w:name w:val="Institution qui signe"/>
    <w:basedOn w:val="Normal"/>
    <w:next w:val="Normal"/>
    <w:rsid w:val="00745462"/>
    <w:pPr>
      <w:keepNext/>
      <w:tabs>
        <w:tab w:val="left" w:pos="4252"/>
      </w:tabs>
      <w:spacing w:before="720" w:after="0"/>
    </w:pPr>
    <w:rPr>
      <w:i/>
    </w:rPr>
  </w:style>
  <w:style w:type="paragraph" w:customStyle="1" w:styleId="Titrearticle">
    <w:name w:val="Titre article"/>
    <w:basedOn w:val="Normal"/>
    <w:next w:val="Normal"/>
    <w:rsid w:val="00745462"/>
    <w:pPr>
      <w:keepNext/>
      <w:spacing w:before="360"/>
      <w:jc w:val="center"/>
    </w:pPr>
    <w:rPr>
      <w:i/>
    </w:rPr>
  </w:style>
  <w:style w:type="paragraph" w:customStyle="1" w:styleId="Titreobjet">
    <w:name w:val="Titre objet"/>
    <w:basedOn w:val="Normal"/>
    <w:next w:val="Normal"/>
    <w:rsid w:val="00745462"/>
    <w:pPr>
      <w:spacing w:before="360" w:after="360"/>
      <w:jc w:val="center"/>
    </w:pPr>
    <w:rPr>
      <w:b/>
    </w:rPr>
  </w:style>
  <w:style w:type="paragraph" w:customStyle="1" w:styleId="Typedudocument">
    <w:name w:val="Type du document"/>
    <w:basedOn w:val="Normal"/>
    <w:next w:val="Titreobjet"/>
    <w:rsid w:val="00745462"/>
    <w:pPr>
      <w:spacing w:before="360" w:after="0"/>
      <w:jc w:val="center"/>
    </w:pPr>
    <w:rPr>
      <w:b/>
    </w:rPr>
  </w:style>
  <w:style w:type="paragraph" w:customStyle="1" w:styleId="IntrtEEE">
    <w:name w:val="Intérêt EEE"/>
    <w:basedOn w:val="Normal"/>
    <w:next w:val="Normal"/>
    <w:rsid w:val="00745462"/>
    <w:pPr>
      <w:spacing w:before="360" w:after="240"/>
      <w:jc w:val="center"/>
    </w:pPr>
  </w:style>
  <w:style w:type="paragraph" w:customStyle="1" w:styleId="Pagedecouverture">
    <w:name w:val="Page de couverture"/>
    <w:basedOn w:val="Normal"/>
    <w:next w:val="Normal"/>
    <w:rsid w:val="00255C94"/>
    <w:pPr>
      <w:spacing w:before="0" w:after="0"/>
    </w:pPr>
    <w:rPr>
      <w:rFonts w:eastAsiaTheme="minorHAnsi"/>
      <w:lang w:eastAsia="en-US"/>
    </w:rPr>
  </w:style>
  <w:style w:type="paragraph" w:styleId="Markeringsbobletekst">
    <w:name w:val="Balloon Text"/>
    <w:basedOn w:val="Normal"/>
    <w:link w:val="MarkeringsbobletekstTegn"/>
    <w:uiPriority w:val="99"/>
    <w:semiHidden/>
    <w:unhideWhenUsed/>
    <w:rsid w:val="00255C94"/>
    <w:pPr>
      <w:spacing w:before="0"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55C94"/>
    <w:rPr>
      <w:rFonts w:ascii="Tahoma" w:eastAsia="Calibri" w:hAnsi="Tahoma" w:cs="Tahoma"/>
      <w:sz w:val="16"/>
      <w:szCs w:val="16"/>
      <w:lang w:eastAsia="en-GB"/>
    </w:rPr>
  </w:style>
  <w:style w:type="table" w:styleId="Tabel-Gitter">
    <w:name w:val="Table Grid"/>
    <w:basedOn w:val="Tabel-Normal"/>
    <w:uiPriority w:val="59"/>
    <w:rsid w:val="00E919D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number">
    <w:name w:val="Point 0 (number)"/>
    <w:basedOn w:val="Normal"/>
    <w:rsid w:val="00E919D5"/>
    <w:pPr>
      <w:numPr>
        <w:numId w:val="3"/>
      </w:numPr>
    </w:pPr>
    <w:rPr>
      <w:rFonts w:eastAsiaTheme="minorHAnsi"/>
      <w:lang w:eastAsia="en-US"/>
    </w:rPr>
  </w:style>
  <w:style w:type="paragraph" w:customStyle="1" w:styleId="Point1number">
    <w:name w:val="Point 1 (number)"/>
    <w:basedOn w:val="Normal"/>
    <w:rsid w:val="00E919D5"/>
    <w:pPr>
      <w:numPr>
        <w:ilvl w:val="2"/>
        <w:numId w:val="3"/>
      </w:numPr>
    </w:pPr>
    <w:rPr>
      <w:rFonts w:eastAsiaTheme="minorHAnsi"/>
      <w:lang w:eastAsia="en-US"/>
    </w:rPr>
  </w:style>
  <w:style w:type="paragraph" w:customStyle="1" w:styleId="Point2number">
    <w:name w:val="Point 2 (number)"/>
    <w:basedOn w:val="Normal"/>
    <w:rsid w:val="00E919D5"/>
    <w:pPr>
      <w:numPr>
        <w:ilvl w:val="4"/>
        <w:numId w:val="3"/>
      </w:numPr>
    </w:pPr>
    <w:rPr>
      <w:rFonts w:eastAsiaTheme="minorHAnsi"/>
      <w:lang w:eastAsia="en-US"/>
    </w:rPr>
  </w:style>
  <w:style w:type="paragraph" w:customStyle="1" w:styleId="Point3number">
    <w:name w:val="Point 3 (number)"/>
    <w:basedOn w:val="Normal"/>
    <w:rsid w:val="00E919D5"/>
    <w:pPr>
      <w:numPr>
        <w:ilvl w:val="6"/>
        <w:numId w:val="3"/>
      </w:numPr>
    </w:pPr>
    <w:rPr>
      <w:rFonts w:eastAsiaTheme="minorHAnsi"/>
      <w:lang w:eastAsia="en-US"/>
    </w:rPr>
  </w:style>
  <w:style w:type="paragraph" w:customStyle="1" w:styleId="Point0letter">
    <w:name w:val="Point 0 (letter)"/>
    <w:basedOn w:val="Normal"/>
    <w:rsid w:val="00E919D5"/>
    <w:pPr>
      <w:numPr>
        <w:ilvl w:val="1"/>
        <w:numId w:val="3"/>
      </w:numPr>
    </w:pPr>
    <w:rPr>
      <w:rFonts w:eastAsiaTheme="minorHAnsi"/>
      <w:lang w:eastAsia="en-US"/>
    </w:rPr>
  </w:style>
  <w:style w:type="paragraph" w:customStyle="1" w:styleId="Point1letter">
    <w:name w:val="Point 1 (letter)"/>
    <w:basedOn w:val="Normal"/>
    <w:rsid w:val="00E919D5"/>
    <w:pPr>
      <w:numPr>
        <w:ilvl w:val="3"/>
        <w:numId w:val="3"/>
      </w:numPr>
    </w:pPr>
    <w:rPr>
      <w:rFonts w:eastAsiaTheme="minorHAnsi"/>
      <w:lang w:eastAsia="en-US"/>
    </w:rPr>
  </w:style>
  <w:style w:type="paragraph" w:customStyle="1" w:styleId="Point2letter">
    <w:name w:val="Point 2 (letter)"/>
    <w:basedOn w:val="Normal"/>
    <w:rsid w:val="00E919D5"/>
    <w:pPr>
      <w:numPr>
        <w:ilvl w:val="5"/>
        <w:numId w:val="3"/>
      </w:numPr>
    </w:pPr>
    <w:rPr>
      <w:rFonts w:eastAsiaTheme="minorHAnsi"/>
      <w:lang w:eastAsia="en-US"/>
    </w:rPr>
  </w:style>
  <w:style w:type="paragraph" w:customStyle="1" w:styleId="Point3letter">
    <w:name w:val="Point 3 (letter)"/>
    <w:basedOn w:val="Normal"/>
    <w:rsid w:val="00E919D5"/>
    <w:pPr>
      <w:numPr>
        <w:ilvl w:val="7"/>
        <w:numId w:val="3"/>
      </w:numPr>
    </w:pPr>
    <w:rPr>
      <w:rFonts w:eastAsiaTheme="minorHAnsi"/>
      <w:lang w:eastAsia="en-US"/>
    </w:rPr>
  </w:style>
  <w:style w:type="paragraph" w:customStyle="1" w:styleId="Point4letter">
    <w:name w:val="Point 4 (letter)"/>
    <w:basedOn w:val="Normal"/>
    <w:rsid w:val="00E919D5"/>
    <w:pPr>
      <w:numPr>
        <w:ilvl w:val="8"/>
        <w:numId w:val="3"/>
      </w:numPr>
    </w:pPr>
    <w:rPr>
      <w:rFonts w:eastAsiaTheme="minorHAnsi"/>
      <w:lang w:eastAsia="en-US"/>
    </w:rPr>
  </w:style>
  <w:style w:type="paragraph" w:customStyle="1" w:styleId="Annexetitre">
    <w:name w:val="Annexe titre"/>
    <w:basedOn w:val="Normal"/>
    <w:next w:val="Normal"/>
    <w:rsid w:val="00E919D5"/>
    <w:pPr>
      <w:jc w:val="center"/>
    </w:pPr>
    <w:rPr>
      <w:rFonts w:eastAsiaTheme="minorHAnsi"/>
      <w:b/>
      <w:u w:val="single"/>
      <w:lang w:eastAsia="en-US"/>
    </w:rPr>
  </w:style>
  <w:style w:type="character" w:styleId="Kommentarhenvisning">
    <w:name w:val="annotation reference"/>
    <w:basedOn w:val="Standardskrifttypeiafsnit"/>
    <w:uiPriority w:val="99"/>
    <w:semiHidden/>
    <w:unhideWhenUsed/>
    <w:rsid w:val="005D0339"/>
    <w:rPr>
      <w:sz w:val="16"/>
      <w:szCs w:val="16"/>
    </w:rPr>
  </w:style>
  <w:style w:type="paragraph" w:styleId="Kommentartekst">
    <w:name w:val="annotation text"/>
    <w:basedOn w:val="Normal"/>
    <w:link w:val="KommentartekstTegn"/>
    <w:uiPriority w:val="99"/>
    <w:semiHidden/>
    <w:unhideWhenUsed/>
    <w:rsid w:val="005D0339"/>
    <w:rPr>
      <w:sz w:val="20"/>
      <w:szCs w:val="20"/>
    </w:rPr>
  </w:style>
  <w:style w:type="character" w:customStyle="1" w:styleId="KommentartekstTegn">
    <w:name w:val="Kommentartekst Tegn"/>
    <w:basedOn w:val="Standardskrifttypeiafsnit"/>
    <w:link w:val="Kommentartekst"/>
    <w:uiPriority w:val="99"/>
    <w:semiHidden/>
    <w:rsid w:val="005D0339"/>
    <w:rPr>
      <w:rFonts w:ascii="Times New Roman" w:eastAsia="Calibri" w:hAnsi="Times New Roman" w:cs="Times New Roman"/>
      <w:sz w:val="20"/>
      <w:szCs w:val="20"/>
      <w:lang w:eastAsia="en-GB"/>
    </w:rPr>
  </w:style>
  <w:style w:type="paragraph" w:styleId="Kommentaremne">
    <w:name w:val="annotation subject"/>
    <w:basedOn w:val="Kommentartekst"/>
    <w:next w:val="Kommentartekst"/>
    <w:link w:val="KommentaremneTegn"/>
    <w:uiPriority w:val="99"/>
    <w:semiHidden/>
    <w:unhideWhenUsed/>
    <w:rsid w:val="005D0339"/>
    <w:rPr>
      <w:b/>
      <w:bCs/>
    </w:rPr>
  </w:style>
  <w:style w:type="character" w:customStyle="1" w:styleId="KommentaremneTegn">
    <w:name w:val="Kommentaremne Tegn"/>
    <w:basedOn w:val="KommentartekstTegn"/>
    <w:link w:val="Kommentaremne"/>
    <w:uiPriority w:val="99"/>
    <w:semiHidden/>
    <w:rsid w:val="005D0339"/>
    <w:rPr>
      <w:rFonts w:ascii="Times New Roman" w:eastAsia="Calibri" w:hAnsi="Times New Roman" w:cs="Times New Roman"/>
      <w:b/>
      <w:bCs/>
      <w:sz w:val="20"/>
      <w:szCs w:val="20"/>
      <w:lang w:eastAsia="en-GB"/>
    </w:rPr>
  </w:style>
  <w:style w:type="character" w:customStyle="1" w:styleId="current-selection">
    <w:name w:val="current-selection"/>
    <w:basedOn w:val="Standardskrifttypeiafsnit"/>
    <w:rsid w:val="001F3BC4"/>
  </w:style>
  <w:style w:type="paragraph" w:customStyle="1" w:styleId="Default">
    <w:name w:val="Default"/>
    <w:rsid w:val="004A55C4"/>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basedOn w:val="Standardskrifttypeiafsnit"/>
    <w:uiPriority w:val="99"/>
    <w:unhideWhenUsed/>
    <w:rsid w:val="009A7E33"/>
    <w:rPr>
      <w:color w:val="0000FF" w:themeColor="hyperlink"/>
      <w:u w:val="single"/>
    </w:rPr>
  </w:style>
  <w:style w:type="character" w:styleId="Pladsholdertekst">
    <w:name w:val="Placeholder Text"/>
    <w:basedOn w:val="Standardskrifttypeiafsnit"/>
    <w:uiPriority w:val="99"/>
    <w:semiHidden/>
    <w:rsid w:val="002B3F61"/>
    <w:rPr>
      <w:color w:val="808080"/>
    </w:rPr>
  </w:style>
  <w:style w:type="paragraph" w:styleId="Opstilling-punkttegn4">
    <w:name w:val="List Bullet 4"/>
    <w:basedOn w:val="Normal"/>
    <w:uiPriority w:val="99"/>
    <w:unhideWhenUsed/>
    <w:rsid w:val="00244CD9"/>
    <w:pPr>
      <w:numPr>
        <w:numId w:val="5"/>
      </w:numPr>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95320">
      <w:bodyDiv w:val="1"/>
      <w:marLeft w:val="0"/>
      <w:marRight w:val="0"/>
      <w:marTop w:val="0"/>
      <w:marBottom w:val="0"/>
      <w:divBdr>
        <w:top w:val="none" w:sz="0" w:space="0" w:color="auto"/>
        <w:left w:val="none" w:sz="0" w:space="0" w:color="auto"/>
        <w:bottom w:val="none" w:sz="0" w:space="0" w:color="auto"/>
        <w:right w:val="none" w:sz="0" w:space="0" w:color="auto"/>
      </w:divBdr>
      <w:divsChild>
        <w:div w:id="1728336647">
          <w:marLeft w:val="0"/>
          <w:marRight w:val="0"/>
          <w:marTop w:val="0"/>
          <w:marBottom w:val="0"/>
          <w:divBdr>
            <w:top w:val="none" w:sz="0" w:space="0" w:color="auto"/>
            <w:left w:val="none" w:sz="0" w:space="0" w:color="auto"/>
            <w:bottom w:val="none" w:sz="0" w:space="0" w:color="auto"/>
            <w:right w:val="none" w:sz="0" w:space="0" w:color="auto"/>
          </w:divBdr>
        </w:div>
        <w:div w:id="1454012680">
          <w:marLeft w:val="0"/>
          <w:marRight w:val="0"/>
          <w:marTop w:val="0"/>
          <w:marBottom w:val="0"/>
          <w:divBdr>
            <w:top w:val="none" w:sz="0" w:space="0" w:color="auto"/>
            <w:left w:val="none" w:sz="0" w:space="0" w:color="auto"/>
            <w:bottom w:val="none" w:sz="0" w:space="0" w:color="auto"/>
            <w:right w:val="none" w:sz="0" w:space="0" w:color="auto"/>
          </w:divBdr>
        </w:div>
        <w:div w:id="1597514517">
          <w:marLeft w:val="0"/>
          <w:marRight w:val="0"/>
          <w:marTop w:val="0"/>
          <w:marBottom w:val="0"/>
          <w:divBdr>
            <w:top w:val="none" w:sz="0" w:space="0" w:color="auto"/>
            <w:left w:val="none" w:sz="0" w:space="0" w:color="auto"/>
            <w:bottom w:val="none" w:sz="0" w:space="0" w:color="auto"/>
            <w:right w:val="none" w:sz="0" w:space="0" w:color="auto"/>
          </w:divBdr>
        </w:div>
        <w:div w:id="2050567243">
          <w:marLeft w:val="0"/>
          <w:marRight w:val="0"/>
          <w:marTop w:val="0"/>
          <w:marBottom w:val="0"/>
          <w:divBdr>
            <w:top w:val="none" w:sz="0" w:space="0" w:color="auto"/>
            <w:left w:val="none" w:sz="0" w:space="0" w:color="auto"/>
            <w:bottom w:val="none" w:sz="0" w:space="0" w:color="auto"/>
            <w:right w:val="none" w:sz="0" w:space="0" w:color="auto"/>
          </w:divBdr>
        </w:div>
        <w:div w:id="1575967730">
          <w:marLeft w:val="0"/>
          <w:marRight w:val="0"/>
          <w:marTop w:val="0"/>
          <w:marBottom w:val="0"/>
          <w:divBdr>
            <w:top w:val="none" w:sz="0" w:space="0" w:color="auto"/>
            <w:left w:val="none" w:sz="0" w:space="0" w:color="auto"/>
            <w:bottom w:val="none" w:sz="0" w:space="0" w:color="auto"/>
            <w:right w:val="none" w:sz="0" w:space="0" w:color="auto"/>
          </w:divBdr>
        </w:div>
        <w:div w:id="1892879949">
          <w:marLeft w:val="0"/>
          <w:marRight w:val="0"/>
          <w:marTop w:val="0"/>
          <w:marBottom w:val="0"/>
          <w:divBdr>
            <w:top w:val="none" w:sz="0" w:space="0" w:color="auto"/>
            <w:left w:val="none" w:sz="0" w:space="0" w:color="auto"/>
            <w:bottom w:val="none" w:sz="0" w:space="0" w:color="auto"/>
            <w:right w:val="none" w:sz="0" w:space="0" w:color="auto"/>
          </w:divBdr>
        </w:div>
        <w:div w:id="692733033">
          <w:marLeft w:val="0"/>
          <w:marRight w:val="0"/>
          <w:marTop w:val="0"/>
          <w:marBottom w:val="0"/>
          <w:divBdr>
            <w:top w:val="none" w:sz="0" w:space="0" w:color="auto"/>
            <w:left w:val="none" w:sz="0" w:space="0" w:color="auto"/>
            <w:bottom w:val="none" w:sz="0" w:space="0" w:color="auto"/>
            <w:right w:val="none" w:sz="0" w:space="0" w:color="auto"/>
          </w:divBdr>
        </w:div>
      </w:divsChild>
    </w:div>
    <w:div w:id="792794729">
      <w:bodyDiv w:val="1"/>
      <w:marLeft w:val="0"/>
      <w:marRight w:val="0"/>
      <w:marTop w:val="0"/>
      <w:marBottom w:val="0"/>
      <w:divBdr>
        <w:top w:val="none" w:sz="0" w:space="0" w:color="auto"/>
        <w:left w:val="none" w:sz="0" w:space="0" w:color="auto"/>
        <w:bottom w:val="none" w:sz="0" w:space="0" w:color="auto"/>
        <w:right w:val="none" w:sz="0" w:space="0" w:color="auto"/>
      </w:divBdr>
      <w:divsChild>
        <w:div w:id="163470637">
          <w:marLeft w:val="0"/>
          <w:marRight w:val="0"/>
          <w:marTop w:val="0"/>
          <w:marBottom w:val="0"/>
          <w:divBdr>
            <w:top w:val="none" w:sz="0" w:space="0" w:color="auto"/>
            <w:left w:val="none" w:sz="0" w:space="0" w:color="auto"/>
            <w:bottom w:val="none" w:sz="0" w:space="0" w:color="auto"/>
            <w:right w:val="none" w:sz="0" w:space="0" w:color="auto"/>
          </w:divBdr>
          <w:divsChild>
            <w:div w:id="1319193475">
              <w:marLeft w:val="0"/>
              <w:marRight w:val="0"/>
              <w:marTop w:val="0"/>
              <w:marBottom w:val="0"/>
              <w:divBdr>
                <w:top w:val="none" w:sz="0" w:space="0" w:color="auto"/>
                <w:left w:val="none" w:sz="0" w:space="0" w:color="auto"/>
                <w:bottom w:val="none" w:sz="0" w:space="0" w:color="auto"/>
                <w:right w:val="none" w:sz="0" w:space="0" w:color="auto"/>
              </w:divBdr>
              <w:divsChild>
                <w:div w:id="1331374962">
                  <w:marLeft w:val="0"/>
                  <w:marRight w:val="0"/>
                  <w:marTop w:val="181"/>
                  <w:marBottom w:val="181"/>
                  <w:divBdr>
                    <w:top w:val="none" w:sz="0" w:space="0" w:color="auto"/>
                    <w:left w:val="none" w:sz="0" w:space="0" w:color="auto"/>
                    <w:bottom w:val="none" w:sz="0" w:space="0" w:color="auto"/>
                    <w:right w:val="none" w:sz="0" w:space="0" w:color="auto"/>
                  </w:divBdr>
                  <w:divsChild>
                    <w:div w:id="1918052450">
                      <w:marLeft w:val="0"/>
                      <w:marRight w:val="0"/>
                      <w:marTop w:val="0"/>
                      <w:marBottom w:val="0"/>
                      <w:divBdr>
                        <w:top w:val="none" w:sz="0" w:space="0" w:color="auto"/>
                        <w:left w:val="none" w:sz="0" w:space="0" w:color="auto"/>
                        <w:bottom w:val="none" w:sz="0" w:space="0" w:color="auto"/>
                        <w:right w:val="none" w:sz="0" w:space="0" w:color="auto"/>
                      </w:divBdr>
                      <w:divsChild>
                        <w:div w:id="238255678">
                          <w:marLeft w:val="0"/>
                          <w:marRight w:val="0"/>
                          <w:marTop w:val="0"/>
                          <w:marBottom w:val="0"/>
                          <w:divBdr>
                            <w:top w:val="none" w:sz="0" w:space="0" w:color="auto"/>
                            <w:left w:val="none" w:sz="0" w:space="0" w:color="auto"/>
                            <w:bottom w:val="none" w:sz="0" w:space="0" w:color="auto"/>
                            <w:right w:val="none" w:sz="0" w:space="0" w:color="auto"/>
                          </w:divBdr>
                        </w:div>
                        <w:div w:id="7745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80498">
      <w:bodyDiv w:val="1"/>
      <w:marLeft w:val="0"/>
      <w:marRight w:val="0"/>
      <w:marTop w:val="0"/>
      <w:marBottom w:val="0"/>
      <w:divBdr>
        <w:top w:val="none" w:sz="0" w:space="0" w:color="auto"/>
        <w:left w:val="none" w:sz="0" w:space="0" w:color="auto"/>
        <w:bottom w:val="none" w:sz="0" w:space="0" w:color="auto"/>
        <w:right w:val="none" w:sz="0" w:space="0" w:color="auto"/>
      </w:divBdr>
    </w:div>
    <w:div w:id="1458522862">
      <w:bodyDiv w:val="1"/>
      <w:marLeft w:val="0"/>
      <w:marRight w:val="0"/>
      <w:marTop w:val="0"/>
      <w:marBottom w:val="0"/>
      <w:divBdr>
        <w:top w:val="none" w:sz="0" w:space="0" w:color="auto"/>
        <w:left w:val="none" w:sz="0" w:space="0" w:color="auto"/>
        <w:bottom w:val="none" w:sz="0" w:space="0" w:color="auto"/>
        <w:right w:val="none" w:sz="0" w:space="0" w:color="auto"/>
      </w:divBdr>
    </w:div>
    <w:div w:id="204046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F8C7B-CE13-46A3-8464-C8F7A612E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714</Words>
  <Characters>4358</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E</dc:creator>
  <cp:lastModifiedBy>Hanne Boskov Hansen (FVST)</cp:lastModifiedBy>
  <cp:revision>2</cp:revision>
  <cp:lastPrinted>2018-01-05T15:15:00Z</cp:lastPrinted>
  <dcterms:created xsi:type="dcterms:W3CDTF">2019-06-28T09:12:00Z</dcterms:created>
  <dcterms:modified xsi:type="dcterms:W3CDTF">2019-06-28T09:12:00Z</dcterms:modified>
</cp:coreProperties>
</file>