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0ECDFE" w14:textId="0236A0EA" w:rsidR="0095532F" w:rsidRPr="0095532F" w:rsidRDefault="00745462" w:rsidP="0095532F">
      <w:pPr>
        <w:autoSpaceDE w:val="0"/>
        <w:autoSpaceDN w:val="0"/>
        <w:adjustRightInd w:val="0"/>
        <w:spacing w:before="0" w:after="0"/>
        <w:jc w:val="left"/>
        <w:rPr>
          <w:i/>
          <w:iCs/>
          <w:sz w:val="28"/>
          <w:szCs w:val="28"/>
        </w:rPr>
      </w:pPr>
      <w:bookmarkStart w:id="0" w:name="_GoBack"/>
      <w:bookmarkEnd w:id="0"/>
      <w:r>
        <w:rPr>
          <w:i/>
          <w:iCs/>
          <w:sz w:val="28"/>
          <w:szCs w:val="28"/>
        </w:rPr>
        <w:t xml:space="preserve">This draft has not been adopted or endorsed by the European Commission. Any views expressed are the preliminary views of the Commission services and may not in any circumstances be regarded as stating an official position of the Commission. The information transmitted is intended only for the Member State or entity to which it is addressed for discussions and may </w:t>
      </w:r>
      <w:r w:rsidRPr="00834D06">
        <w:rPr>
          <w:i/>
          <w:iCs/>
          <w:sz w:val="28"/>
          <w:szCs w:val="28"/>
        </w:rPr>
        <w:t>contain confidential and/or privileged material.</w:t>
      </w:r>
    </w:p>
    <w:p w14:paraId="3B6DAFF2" w14:textId="04C7D1FB" w:rsidR="00255C94" w:rsidRDefault="00255C94" w:rsidP="0095427D"/>
    <w:p w14:paraId="00CF3AAB" w14:textId="290A6A3C" w:rsidR="0095532F" w:rsidRDefault="0095532F" w:rsidP="0095427D"/>
    <w:p w14:paraId="0F9A4C42" w14:textId="2D6C2A80" w:rsidR="0095532F" w:rsidRDefault="0095532F" w:rsidP="0095427D"/>
    <w:p w14:paraId="29A73A45" w14:textId="0F732905" w:rsidR="0095532F" w:rsidRDefault="0095532F" w:rsidP="0095427D"/>
    <w:p w14:paraId="4FF96CA2" w14:textId="2EC973CF" w:rsidR="0095532F" w:rsidRDefault="0095532F" w:rsidP="0095427D"/>
    <w:p w14:paraId="016C8C0B" w14:textId="3C452C2E" w:rsidR="0095532F" w:rsidRDefault="0095532F" w:rsidP="0095427D"/>
    <w:p w14:paraId="44BCC4AB" w14:textId="18D19EE7" w:rsidR="0095532F" w:rsidRDefault="0095532F" w:rsidP="0095427D"/>
    <w:p w14:paraId="3CC9C209" w14:textId="23259D00" w:rsidR="0095532F" w:rsidRDefault="0095532F" w:rsidP="0095427D"/>
    <w:p w14:paraId="7504D8A5" w14:textId="55F8355D" w:rsidR="0095532F" w:rsidRDefault="0095532F" w:rsidP="0095427D"/>
    <w:p w14:paraId="2E2421B4" w14:textId="3B2DC5F7" w:rsidR="0095532F" w:rsidRDefault="0095532F" w:rsidP="0095427D"/>
    <w:p w14:paraId="66106AD2" w14:textId="1EDEEF2E" w:rsidR="0095532F" w:rsidRDefault="0095532F" w:rsidP="0095427D"/>
    <w:p w14:paraId="698A78F9" w14:textId="004FCA51" w:rsidR="0095532F" w:rsidRDefault="0095532F" w:rsidP="0095427D"/>
    <w:p w14:paraId="10114172" w14:textId="010878DA" w:rsidR="0095532F" w:rsidRDefault="0095532F" w:rsidP="0095427D"/>
    <w:p w14:paraId="3D10FB26" w14:textId="4F7FB66E" w:rsidR="0095532F" w:rsidRDefault="0095532F" w:rsidP="0095427D"/>
    <w:p w14:paraId="7186785E" w14:textId="4EC4A941" w:rsidR="0095532F" w:rsidRDefault="0095532F" w:rsidP="0095427D"/>
    <w:p w14:paraId="699E0D3C" w14:textId="6F6EA2D7" w:rsidR="0095532F" w:rsidRDefault="0095532F" w:rsidP="0095427D"/>
    <w:p w14:paraId="026A0F77" w14:textId="39DFF75C" w:rsidR="0095532F" w:rsidRDefault="0095532F" w:rsidP="0095427D"/>
    <w:p w14:paraId="602167ED" w14:textId="7C9CE854" w:rsidR="0095532F" w:rsidRDefault="0095532F" w:rsidP="0095427D"/>
    <w:p w14:paraId="2A89DAAC" w14:textId="0596D194" w:rsidR="0095532F" w:rsidRDefault="0095532F" w:rsidP="0095427D"/>
    <w:p w14:paraId="05F2CD1F" w14:textId="4EB3D422" w:rsidR="0095532F" w:rsidRDefault="0095532F" w:rsidP="0095427D"/>
    <w:p w14:paraId="63DE0D31" w14:textId="58ACFFC5" w:rsidR="0095532F" w:rsidRDefault="0095532F" w:rsidP="0095427D"/>
    <w:p w14:paraId="7FDD02C7" w14:textId="5CC080CE" w:rsidR="0095532F" w:rsidRDefault="0095532F" w:rsidP="0095427D"/>
    <w:p w14:paraId="601A4A0F" w14:textId="6B97F883" w:rsidR="0095532F" w:rsidRDefault="0095532F" w:rsidP="0095427D"/>
    <w:p w14:paraId="4025BC57" w14:textId="02B72E1A" w:rsidR="0095532F" w:rsidRDefault="0095532F" w:rsidP="0095427D"/>
    <w:p w14:paraId="48703C6A" w14:textId="14CA855B" w:rsidR="0095532F" w:rsidRDefault="0095532F" w:rsidP="0095427D"/>
    <w:p w14:paraId="386AAC2E" w14:textId="6F5C3C6C" w:rsidR="0095532F" w:rsidRDefault="0095532F" w:rsidP="0095427D"/>
    <w:p w14:paraId="4086E1A9" w14:textId="118BF5ED" w:rsidR="0095532F" w:rsidRDefault="0095532F" w:rsidP="0095427D"/>
    <w:p w14:paraId="41663D4B" w14:textId="0A4A48EE" w:rsidR="0095532F" w:rsidRDefault="0095532F" w:rsidP="0095427D"/>
    <w:p w14:paraId="344E5807" w14:textId="310DBF7E" w:rsidR="0095532F" w:rsidRPr="0095532F" w:rsidRDefault="0095532F" w:rsidP="0095427D"/>
    <w:p w14:paraId="72F9F991" w14:textId="77777777" w:rsidR="00340C1B" w:rsidRPr="00340C1B" w:rsidRDefault="00340C1B" w:rsidP="00340C1B">
      <w:pPr>
        <w:spacing w:before="360" w:after="0"/>
        <w:jc w:val="center"/>
        <w:rPr>
          <w:rFonts w:eastAsiaTheme="minorHAnsi"/>
          <w:b/>
          <w:lang w:eastAsia="en-US"/>
        </w:rPr>
      </w:pPr>
      <w:r w:rsidRPr="00340C1B">
        <w:rPr>
          <w:rFonts w:eastAsiaTheme="minorHAnsi"/>
          <w:b/>
          <w:lang w:eastAsia="en-US"/>
        </w:rPr>
        <w:lastRenderedPageBreak/>
        <w:t>COMMISSION IMPLEMENTING REGULATION (EU) …/...</w:t>
      </w:r>
    </w:p>
    <w:p w14:paraId="7AE815A6" w14:textId="77777777" w:rsidR="00340C1B" w:rsidRPr="00340C1B" w:rsidRDefault="00340C1B" w:rsidP="00340C1B">
      <w:pPr>
        <w:spacing w:before="360" w:after="0"/>
        <w:jc w:val="center"/>
        <w:rPr>
          <w:rFonts w:eastAsiaTheme="minorHAnsi"/>
          <w:b/>
          <w:lang w:eastAsia="en-US"/>
        </w:rPr>
      </w:pPr>
      <w:r w:rsidRPr="00340C1B">
        <w:rPr>
          <w:rFonts w:eastAsiaTheme="minorHAnsi"/>
          <w:b/>
          <w:lang w:eastAsia="en-US"/>
        </w:rPr>
        <w:t xml:space="preserve">of </w:t>
      </w:r>
      <w:r w:rsidRPr="00340C1B">
        <w:rPr>
          <w:rFonts w:eastAsiaTheme="minorHAnsi"/>
          <w:b/>
          <w:color w:val="FF0000"/>
          <w:lang w:eastAsia="en-US"/>
        </w:rPr>
        <w:t>XXX</w:t>
      </w:r>
    </w:p>
    <w:p w14:paraId="349389C0" w14:textId="7E7CDAB2" w:rsidR="00340C1B" w:rsidRPr="00340C1B" w:rsidRDefault="00340C1B" w:rsidP="00340C1B">
      <w:pPr>
        <w:spacing w:before="360" w:after="360"/>
        <w:jc w:val="center"/>
        <w:rPr>
          <w:rFonts w:eastAsiaTheme="minorHAnsi"/>
          <w:b/>
          <w:lang w:eastAsia="en-US"/>
        </w:rPr>
      </w:pPr>
      <w:r w:rsidRPr="00340C1B">
        <w:rPr>
          <w:rFonts w:eastAsiaTheme="minorHAnsi"/>
          <w:b/>
          <w:lang w:eastAsia="en-US"/>
        </w:rPr>
        <w:t xml:space="preserve">authorising the placing on the market of </w:t>
      </w:r>
      <w:r w:rsidR="004E0D9B">
        <w:rPr>
          <w:rFonts w:eastAsiaTheme="minorHAnsi"/>
          <w:b/>
          <w:lang w:eastAsia="en-US"/>
        </w:rPr>
        <w:t>2’-fucosyllactose/difucosyllactose mixture</w:t>
      </w:r>
      <w:r w:rsidRPr="00340C1B">
        <w:rPr>
          <w:rFonts w:eastAsiaTheme="minorHAnsi"/>
          <w:b/>
          <w:lang w:eastAsia="en-US"/>
        </w:rPr>
        <w:t xml:space="preserve"> as a novel food under Regulation (EU) 2015/2283 of the European Parliament and of the Council and amending Commission Implementing Regulation (EU) 2017/2470</w:t>
      </w:r>
    </w:p>
    <w:p w14:paraId="1B185BC0" w14:textId="77777777" w:rsidR="00340C1B" w:rsidRPr="00340C1B" w:rsidRDefault="00340C1B" w:rsidP="00340C1B">
      <w:pPr>
        <w:spacing w:before="360" w:after="240"/>
        <w:jc w:val="center"/>
        <w:rPr>
          <w:rFonts w:eastAsiaTheme="minorHAnsi"/>
          <w:lang w:eastAsia="en-US"/>
        </w:rPr>
      </w:pPr>
      <w:r w:rsidRPr="00340C1B">
        <w:rPr>
          <w:rFonts w:eastAsiaTheme="minorHAnsi"/>
          <w:lang w:eastAsia="en-US"/>
        </w:rPr>
        <w:t>(Text with EEA relevance)</w:t>
      </w:r>
    </w:p>
    <w:p w14:paraId="108495CA" w14:textId="77777777" w:rsidR="00340C1B" w:rsidRPr="00340C1B" w:rsidRDefault="00340C1B" w:rsidP="00340C1B">
      <w:pPr>
        <w:keepNext/>
        <w:spacing w:before="600"/>
        <w:rPr>
          <w:rFonts w:eastAsiaTheme="minorHAnsi"/>
          <w:lang w:eastAsia="en-US"/>
        </w:rPr>
      </w:pPr>
      <w:r w:rsidRPr="00340C1B">
        <w:rPr>
          <w:rFonts w:eastAsiaTheme="minorHAnsi"/>
          <w:lang w:eastAsia="en-US"/>
        </w:rPr>
        <w:t>THE EUROPEAN COMMISSION,</w:t>
      </w:r>
    </w:p>
    <w:p w14:paraId="49733355" w14:textId="77777777" w:rsidR="00340C1B" w:rsidRPr="00340C1B" w:rsidRDefault="00340C1B" w:rsidP="00340C1B">
      <w:pPr>
        <w:rPr>
          <w:rFonts w:eastAsiaTheme="minorHAnsi"/>
          <w:lang w:eastAsia="en-US"/>
        </w:rPr>
      </w:pPr>
      <w:r w:rsidRPr="00340C1B">
        <w:rPr>
          <w:rFonts w:eastAsiaTheme="minorHAnsi"/>
          <w:color w:val="000000"/>
          <w:lang w:eastAsia="en-US"/>
        </w:rPr>
        <w:t>Having regard to the Treaty on the Functioning of the European Union</w:t>
      </w:r>
      <w:r w:rsidRPr="00340C1B">
        <w:rPr>
          <w:rFonts w:eastAsiaTheme="minorHAnsi"/>
          <w:lang w:eastAsia="en-US"/>
        </w:rPr>
        <w:t>,</w:t>
      </w:r>
    </w:p>
    <w:p w14:paraId="6385329F" w14:textId="77777777" w:rsidR="00340C1B" w:rsidRPr="00340C1B" w:rsidRDefault="00340C1B" w:rsidP="00340C1B">
      <w:pPr>
        <w:rPr>
          <w:rFonts w:eastAsiaTheme="minorHAnsi"/>
        </w:rPr>
      </w:pPr>
      <w:r w:rsidRPr="00340C1B">
        <w:rPr>
          <w:rFonts w:eastAsiaTheme="minorHAnsi"/>
        </w:rPr>
        <w:t>Having regard to Regulation (EU) 2015/2283 of the European Parliament and of the Council of 25 November 2015 on novel foods, amending Regulation (EU) No 1169/2011 of the European Parliament and of the Council and repealing Regulation (EC) No 258/97 and Commission Regulation (EC) No 1852/2001</w:t>
      </w:r>
      <w:r w:rsidRPr="00340C1B">
        <w:rPr>
          <w:rFonts w:eastAsiaTheme="minorHAnsi"/>
          <w:vertAlign w:val="superscript"/>
        </w:rPr>
        <w:footnoteReference w:id="1"/>
      </w:r>
      <w:r w:rsidRPr="00340C1B">
        <w:rPr>
          <w:rFonts w:eastAsiaTheme="minorHAnsi"/>
        </w:rPr>
        <w:t>, and in particular Article 12 thereof,</w:t>
      </w:r>
    </w:p>
    <w:p w14:paraId="07F3E970" w14:textId="77777777" w:rsidR="00340C1B" w:rsidRPr="00340C1B" w:rsidRDefault="00340C1B" w:rsidP="00340C1B">
      <w:pPr>
        <w:rPr>
          <w:rFonts w:eastAsiaTheme="minorHAnsi"/>
          <w:lang w:eastAsia="en-US"/>
        </w:rPr>
      </w:pPr>
      <w:r w:rsidRPr="00340C1B">
        <w:rPr>
          <w:rFonts w:eastAsiaTheme="minorHAnsi"/>
          <w:lang w:eastAsia="en-US"/>
        </w:rPr>
        <w:t>Whereas:</w:t>
      </w:r>
    </w:p>
    <w:p w14:paraId="334F21D7" w14:textId="77777777" w:rsidR="00340C1B" w:rsidRPr="00340C1B" w:rsidRDefault="00340C1B" w:rsidP="00340C1B">
      <w:pPr>
        <w:numPr>
          <w:ilvl w:val="0"/>
          <w:numId w:val="6"/>
        </w:numPr>
        <w:rPr>
          <w:rFonts w:eastAsiaTheme="minorHAnsi"/>
          <w:lang w:eastAsia="en-US"/>
        </w:rPr>
      </w:pPr>
      <w:r w:rsidRPr="00340C1B">
        <w:rPr>
          <w:rFonts w:eastAsiaTheme="minorHAnsi"/>
          <w:lang w:eastAsia="en-US"/>
        </w:rPr>
        <w:t xml:space="preserve">Regulation (EU) 2015/2283 provides that only novel foods authorised and included in the Union list may be placed on the market within the Union. </w:t>
      </w:r>
    </w:p>
    <w:p w14:paraId="7DD1F8C3" w14:textId="77777777" w:rsidR="00340C1B" w:rsidRPr="00340C1B" w:rsidRDefault="00340C1B" w:rsidP="00340C1B">
      <w:pPr>
        <w:numPr>
          <w:ilvl w:val="0"/>
          <w:numId w:val="1"/>
        </w:numPr>
        <w:rPr>
          <w:rFonts w:eastAsiaTheme="minorHAnsi"/>
          <w:lang w:eastAsia="en-US"/>
        </w:rPr>
      </w:pPr>
      <w:r w:rsidRPr="00340C1B">
        <w:rPr>
          <w:rFonts w:eastAsiaTheme="minorHAnsi"/>
          <w:lang w:eastAsia="en-US"/>
        </w:rPr>
        <w:t>Pursuant to Article 8 of Regulation (EU) 2015/2283 Commission Implementing Regulation (EU) 2017/2470</w:t>
      </w:r>
      <w:r w:rsidRPr="00340C1B">
        <w:rPr>
          <w:rFonts w:eastAsiaTheme="minorHAnsi"/>
          <w:vertAlign w:val="superscript"/>
          <w:lang w:eastAsia="en-US"/>
        </w:rPr>
        <w:footnoteReference w:id="2"/>
      </w:r>
      <w:r w:rsidRPr="00340C1B">
        <w:rPr>
          <w:rFonts w:eastAsiaTheme="minorHAnsi"/>
          <w:lang w:eastAsia="en-US"/>
        </w:rPr>
        <w:t xml:space="preserve"> was adopted, which establishes a Union list of authorised novel foods.</w:t>
      </w:r>
    </w:p>
    <w:p w14:paraId="7B4151DD" w14:textId="77777777" w:rsidR="00340C1B" w:rsidRPr="00340C1B" w:rsidRDefault="00340C1B" w:rsidP="00340C1B">
      <w:pPr>
        <w:numPr>
          <w:ilvl w:val="0"/>
          <w:numId w:val="1"/>
        </w:numPr>
        <w:rPr>
          <w:rFonts w:eastAsiaTheme="minorHAnsi"/>
          <w:lang w:eastAsia="en-US"/>
        </w:rPr>
      </w:pPr>
      <w:r w:rsidRPr="00340C1B">
        <w:rPr>
          <w:rFonts w:eastAsiaTheme="minorHAnsi"/>
          <w:lang w:eastAsia="en-US"/>
        </w:rPr>
        <w:t>Pursuant to Article 12 of Regulation (EU) 2015/2283, the Commission is to decide on the authorisation and on the placing on the Union market of a novel food and on updating the Union list.</w:t>
      </w:r>
    </w:p>
    <w:p w14:paraId="13EE8366" w14:textId="5F9784F9" w:rsidR="00340C1B" w:rsidRPr="00340C1B" w:rsidRDefault="00340C1B" w:rsidP="00340C1B">
      <w:pPr>
        <w:numPr>
          <w:ilvl w:val="0"/>
          <w:numId w:val="1"/>
        </w:numPr>
        <w:rPr>
          <w:rFonts w:eastAsia="Times New Roman"/>
          <w:szCs w:val="24"/>
          <w:lang w:eastAsia="en-US"/>
        </w:rPr>
      </w:pPr>
      <w:r w:rsidRPr="00340C1B">
        <w:rPr>
          <w:rFonts w:eastAsiaTheme="minorHAnsi"/>
          <w:lang w:eastAsia="en-US"/>
        </w:rPr>
        <w:t xml:space="preserve">On </w:t>
      </w:r>
      <w:r w:rsidR="004E0D9B">
        <w:rPr>
          <w:rFonts w:eastAsiaTheme="minorHAnsi"/>
          <w:lang w:eastAsia="en-US"/>
        </w:rPr>
        <w:t>30</w:t>
      </w:r>
      <w:r w:rsidRPr="00340C1B">
        <w:rPr>
          <w:rFonts w:eastAsiaTheme="minorHAnsi"/>
          <w:lang w:eastAsia="en-US"/>
        </w:rPr>
        <w:t xml:space="preserve"> </w:t>
      </w:r>
      <w:r w:rsidR="004E0D9B">
        <w:rPr>
          <w:rFonts w:eastAsiaTheme="minorHAnsi"/>
          <w:lang w:eastAsia="en-US"/>
        </w:rPr>
        <w:t>April</w:t>
      </w:r>
      <w:r w:rsidRPr="00340C1B">
        <w:rPr>
          <w:rFonts w:eastAsiaTheme="minorHAnsi"/>
          <w:lang w:eastAsia="en-US"/>
        </w:rPr>
        <w:t xml:space="preserve"> 201</w:t>
      </w:r>
      <w:r w:rsidR="004E0D9B">
        <w:rPr>
          <w:rFonts w:eastAsiaTheme="minorHAnsi"/>
          <w:lang w:eastAsia="en-US"/>
        </w:rPr>
        <w:t>8</w:t>
      </w:r>
      <w:r w:rsidRPr="00340C1B">
        <w:rPr>
          <w:rFonts w:eastAsiaTheme="minorHAnsi"/>
          <w:lang w:eastAsia="en-US"/>
        </w:rPr>
        <w:t xml:space="preserve">, the company </w:t>
      </w:r>
      <w:r w:rsidR="004E0D9B">
        <w:rPr>
          <w:rFonts w:eastAsiaTheme="minorHAnsi"/>
          <w:szCs w:val="24"/>
          <w:lang w:eastAsia="en-US"/>
        </w:rPr>
        <w:t>Glycom A/S</w:t>
      </w:r>
      <w:r w:rsidRPr="00340C1B">
        <w:rPr>
          <w:rFonts w:eastAsiaTheme="minorHAnsi"/>
          <w:szCs w:val="24"/>
          <w:lang w:eastAsia="en-US"/>
        </w:rPr>
        <w:t xml:space="preserve">. </w:t>
      </w:r>
      <w:r w:rsidR="004E0D9B">
        <w:rPr>
          <w:rFonts w:eastAsiaTheme="minorHAnsi"/>
          <w:lang w:eastAsia="en-US"/>
        </w:rPr>
        <w:t>(‘the A</w:t>
      </w:r>
      <w:r w:rsidRPr="00340C1B">
        <w:rPr>
          <w:rFonts w:eastAsiaTheme="minorHAnsi"/>
          <w:lang w:eastAsia="en-US"/>
        </w:rPr>
        <w:t xml:space="preserve">pplicant’) made a request to the </w:t>
      </w:r>
      <w:r w:rsidR="004E0D9B">
        <w:rPr>
          <w:rFonts w:eastAsiaTheme="minorHAnsi"/>
          <w:lang w:eastAsia="en-US"/>
        </w:rPr>
        <w:t>Commission</w:t>
      </w:r>
      <w:r w:rsidRPr="00340C1B">
        <w:rPr>
          <w:rFonts w:eastAsiaTheme="minorHAnsi"/>
          <w:lang w:eastAsia="en-US"/>
        </w:rPr>
        <w:t xml:space="preserve"> </w:t>
      </w:r>
      <w:r w:rsidR="004E0D9B" w:rsidRPr="005A240C">
        <w:rPr>
          <w:rFonts w:eastAsiaTheme="minorHAnsi"/>
          <w:szCs w:val="24"/>
          <w:lang w:eastAsia="en-US"/>
        </w:rPr>
        <w:t>within the meaning of Article 10(1) of Regulation (EU) 2015/2283</w:t>
      </w:r>
      <w:r w:rsidR="004E0D9B">
        <w:rPr>
          <w:rFonts w:eastAsiaTheme="minorHAnsi"/>
          <w:szCs w:val="24"/>
          <w:lang w:eastAsia="en-US"/>
        </w:rPr>
        <w:t xml:space="preserve"> </w:t>
      </w:r>
      <w:r w:rsidRPr="00340C1B">
        <w:rPr>
          <w:rFonts w:eastAsiaTheme="minorHAnsi"/>
          <w:lang w:eastAsia="en-US"/>
        </w:rPr>
        <w:t xml:space="preserve">to place </w:t>
      </w:r>
      <w:r w:rsidR="008C24AA">
        <w:rPr>
          <w:rFonts w:eastAsiaTheme="minorHAnsi"/>
          <w:lang w:eastAsia="en-US"/>
        </w:rPr>
        <w:t xml:space="preserve">a mixture of </w:t>
      </w:r>
      <w:r w:rsidR="004E0D9B" w:rsidRPr="004E0D9B">
        <w:rPr>
          <w:rFonts w:eastAsiaTheme="minorHAnsi"/>
          <w:lang w:eastAsia="en-US"/>
        </w:rPr>
        <w:t xml:space="preserve">2’-fucosyllactose/difucosyllactose </w:t>
      </w:r>
      <w:r w:rsidR="00E0540E">
        <w:rPr>
          <w:rFonts w:eastAsiaTheme="minorHAnsi"/>
          <w:lang w:eastAsia="en-US"/>
        </w:rPr>
        <w:t xml:space="preserve">(‘2’-FL/DFL’) </w:t>
      </w:r>
      <w:r w:rsidRPr="00340C1B">
        <w:rPr>
          <w:rFonts w:eastAsiaTheme="minorHAnsi"/>
          <w:lang w:eastAsia="en-US"/>
        </w:rPr>
        <w:t xml:space="preserve">obtained </w:t>
      </w:r>
      <w:r w:rsidR="004E0D9B">
        <w:rPr>
          <w:rFonts w:eastAsiaTheme="minorHAnsi"/>
          <w:lang w:eastAsia="en-US"/>
        </w:rPr>
        <w:t xml:space="preserve">by microbial fermentation with a genetically modified strain of </w:t>
      </w:r>
      <w:r w:rsidR="004E0D9B" w:rsidRPr="004E0D9B">
        <w:rPr>
          <w:rFonts w:eastAsiaTheme="minorHAnsi"/>
          <w:i/>
          <w:lang w:eastAsia="en-US"/>
        </w:rPr>
        <w:t>Escherichia coli</w:t>
      </w:r>
      <w:r w:rsidR="004E0D9B">
        <w:rPr>
          <w:rFonts w:eastAsiaTheme="minorHAnsi"/>
          <w:lang w:eastAsia="en-US"/>
        </w:rPr>
        <w:t xml:space="preserve"> K12</w:t>
      </w:r>
      <w:r w:rsidRPr="00340C1B">
        <w:rPr>
          <w:rFonts w:eastAsiaTheme="minorHAnsi"/>
          <w:lang w:eastAsia="en-US"/>
        </w:rPr>
        <w:t xml:space="preserve">, on the Union market as a novel food. </w:t>
      </w:r>
      <w:r w:rsidRPr="00340C1B">
        <w:rPr>
          <w:rFonts w:eastAsia="Times New Roman"/>
        </w:rPr>
        <w:t xml:space="preserve">The application requests for </w:t>
      </w:r>
      <w:r w:rsidR="004E0D9B">
        <w:rPr>
          <w:rFonts w:eastAsia="Times New Roman"/>
        </w:rPr>
        <w:t xml:space="preserve">the </w:t>
      </w:r>
      <w:r w:rsidR="004E0D9B" w:rsidRPr="004E0D9B">
        <w:rPr>
          <w:rFonts w:eastAsiaTheme="minorHAnsi"/>
          <w:lang w:eastAsia="en-US"/>
        </w:rPr>
        <w:t>2’-fucosyllactose/difucosyllactose mixture</w:t>
      </w:r>
      <w:r w:rsidR="004E0D9B" w:rsidRPr="00340C1B">
        <w:rPr>
          <w:rFonts w:eastAsiaTheme="minorHAnsi"/>
          <w:b/>
          <w:lang w:eastAsia="en-US"/>
        </w:rPr>
        <w:t xml:space="preserve"> </w:t>
      </w:r>
      <w:r w:rsidRPr="00340C1B">
        <w:rPr>
          <w:rFonts w:eastAsia="Times New Roman"/>
        </w:rPr>
        <w:t xml:space="preserve">to be </w:t>
      </w:r>
      <w:r w:rsidRPr="00340C1B">
        <w:rPr>
          <w:rFonts w:eastAsia="Times New Roman"/>
          <w:szCs w:val="24"/>
          <w:lang w:eastAsia="en-US"/>
        </w:rPr>
        <w:t xml:space="preserve">used in </w:t>
      </w:r>
      <w:r w:rsidR="004E0D9B">
        <w:rPr>
          <w:rFonts w:eastAsia="Times New Roman"/>
          <w:szCs w:val="24"/>
          <w:lang w:eastAsia="en-US"/>
        </w:rPr>
        <w:t xml:space="preserve">dairy products and analogues, bakery wares, </w:t>
      </w:r>
      <w:r w:rsidR="008D566D">
        <w:rPr>
          <w:rFonts w:eastAsia="Times New Roman"/>
          <w:szCs w:val="24"/>
          <w:lang w:eastAsia="en-US"/>
        </w:rPr>
        <w:t xml:space="preserve">beverages, and </w:t>
      </w:r>
      <w:r w:rsidR="004E0D9B">
        <w:rPr>
          <w:rFonts w:eastAsia="Times New Roman"/>
          <w:szCs w:val="24"/>
          <w:lang w:eastAsia="en-US"/>
        </w:rPr>
        <w:t>foods for infants and youn</w:t>
      </w:r>
      <w:r w:rsidR="008D566D">
        <w:rPr>
          <w:rFonts w:eastAsia="Times New Roman"/>
          <w:szCs w:val="24"/>
          <w:lang w:eastAsia="en-US"/>
        </w:rPr>
        <w:t>g</w:t>
      </w:r>
      <w:r w:rsidR="004E0D9B">
        <w:rPr>
          <w:rFonts w:eastAsia="Times New Roman"/>
          <w:szCs w:val="24"/>
          <w:lang w:eastAsia="en-US"/>
        </w:rPr>
        <w:t xml:space="preserve"> children, foo</w:t>
      </w:r>
      <w:r w:rsidR="009F7631">
        <w:rPr>
          <w:rFonts w:eastAsia="Times New Roman"/>
          <w:szCs w:val="24"/>
          <w:lang w:eastAsia="en-US"/>
        </w:rPr>
        <w:t xml:space="preserve">ds for special medical purposes, </w:t>
      </w:r>
      <w:r w:rsidR="004E0D9B">
        <w:rPr>
          <w:rFonts w:eastAsia="Times New Roman"/>
          <w:szCs w:val="24"/>
          <w:lang w:eastAsia="en-US"/>
        </w:rPr>
        <w:t xml:space="preserve">foods for weight control as defined in Regulation (EU) No </w:t>
      </w:r>
      <w:r w:rsidR="004E0D9B">
        <w:rPr>
          <w:rFonts w:eastAsia="Times New Roman"/>
          <w:szCs w:val="24"/>
          <w:lang w:eastAsia="en-US"/>
        </w:rPr>
        <w:lastRenderedPageBreak/>
        <w:t>609/2013</w:t>
      </w:r>
      <w:r w:rsidR="009F7631">
        <w:rPr>
          <w:rFonts w:eastAsia="Times New Roman"/>
          <w:szCs w:val="24"/>
          <w:lang w:eastAsia="en-US"/>
        </w:rPr>
        <w:t>of the European Parliament and of the Council</w:t>
      </w:r>
      <w:r w:rsidR="008D566D">
        <w:rPr>
          <w:rStyle w:val="Fodnotehenvisning"/>
          <w:rFonts w:eastAsia="Times New Roman"/>
          <w:szCs w:val="24"/>
          <w:lang w:eastAsia="en-US"/>
        </w:rPr>
        <w:footnoteReference w:id="3"/>
      </w:r>
      <w:r w:rsidR="009F7631">
        <w:rPr>
          <w:rFonts w:eastAsia="Times New Roman"/>
          <w:szCs w:val="24"/>
          <w:lang w:eastAsia="en-US"/>
        </w:rPr>
        <w:t xml:space="preserve"> and in food supplements as defined in Directive 2002/46/EC of the European Parliament and of the Council</w:t>
      </w:r>
      <w:r w:rsidR="009F7631">
        <w:rPr>
          <w:rStyle w:val="Fodnotehenvisning"/>
          <w:rFonts w:eastAsia="Times New Roman"/>
          <w:szCs w:val="24"/>
          <w:lang w:eastAsia="en-US"/>
        </w:rPr>
        <w:footnoteReference w:id="4"/>
      </w:r>
      <w:r w:rsidRPr="00340C1B">
        <w:rPr>
          <w:rFonts w:eastAsia="Times New Roman"/>
        </w:rPr>
        <w:t>.</w:t>
      </w:r>
    </w:p>
    <w:p w14:paraId="40339A20" w14:textId="37C3A257" w:rsidR="00340C1B" w:rsidRPr="00340C1B" w:rsidRDefault="008D566D" w:rsidP="00340C1B">
      <w:pPr>
        <w:numPr>
          <w:ilvl w:val="0"/>
          <w:numId w:val="1"/>
        </w:numPr>
        <w:rPr>
          <w:rFonts w:eastAsiaTheme="minorHAnsi"/>
          <w:lang w:eastAsia="en-US"/>
        </w:rPr>
      </w:pPr>
      <w:r>
        <w:rPr>
          <w:rFonts w:eastAsiaTheme="minorHAnsi"/>
          <w:lang w:eastAsia="en-US"/>
        </w:rPr>
        <w:t xml:space="preserve">The Applicant also </w:t>
      </w:r>
      <w:r w:rsidRPr="008D566D">
        <w:rPr>
          <w:rFonts w:eastAsiaTheme="minorHAnsi"/>
          <w:sz w:val="22"/>
          <w:lang w:eastAsia="en-US"/>
        </w:rPr>
        <w:t>made a request to the Commission for protection of proprietary data for a number of studies submitte</w:t>
      </w:r>
      <w:r>
        <w:rPr>
          <w:rFonts w:eastAsiaTheme="minorHAnsi"/>
          <w:sz w:val="22"/>
          <w:lang w:eastAsia="en-US"/>
        </w:rPr>
        <w:t>d in support of the application, namely</w:t>
      </w:r>
      <w:r w:rsidR="008C24AA">
        <w:rPr>
          <w:rFonts w:eastAsiaTheme="minorHAnsi"/>
          <w:sz w:val="22"/>
          <w:lang w:eastAsia="en-US"/>
        </w:rPr>
        <w:t>,</w:t>
      </w:r>
      <w:r w:rsidR="00AD2117">
        <w:rPr>
          <w:rFonts w:eastAsiaTheme="minorHAnsi"/>
          <w:sz w:val="22"/>
          <w:lang w:eastAsia="en-US"/>
        </w:rPr>
        <w:t xml:space="preserve"> </w:t>
      </w:r>
      <w:r w:rsidR="005A5C0F">
        <w:rPr>
          <w:rFonts w:eastAsiaTheme="minorHAnsi"/>
          <w:sz w:val="22"/>
          <w:lang w:eastAsia="en-US"/>
        </w:rPr>
        <w:t xml:space="preserve">the proprietary analytical reports via nuclear magnetic resonance (‘NMR’) on the structure comparison of 2’-fucosyllactose and difucosyllactose produced by bacterial fermentation with 2’-fucosyllactose and difucosyllactose </w:t>
      </w:r>
      <w:r w:rsidR="008C24AA">
        <w:rPr>
          <w:rFonts w:eastAsiaTheme="minorHAnsi"/>
          <w:sz w:val="22"/>
          <w:lang w:eastAsia="en-US"/>
        </w:rPr>
        <w:t xml:space="preserve">naturally </w:t>
      </w:r>
      <w:r w:rsidR="005A5C0F">
        <w:rPr>
          <w:rFonts w:eastAsiaTheme="minorHAnsi"/>
          <w:sz w:val="22"/>
          <w:lang w:eastAsia="en-US"/>
        </w:rPr>
        <w:t>present in human milk</w:t>
      </w:r>
      <w:r w:rsidR="005A5C0F" w:rsidRPr="009F7631">
        <w:rPr>
          <w:rStyle w:val="Fodnotehenvisning"/>
          <w:rFonts w:eastAsiaTheme="minorHAnsi"/>
          <w:szCs w:val="24"/>
          <w:lang w:eastAsia="en-US"/>
        </w:rPr>
        <w:footnoteReference w:id="5"/>
      </w:r>
      <w:r w:rsidR="005A5C0F">
        <w:rPr>
          <w:rFonts w:eastAsiaTheme="minorHAnsi"/>
          <w:sz w:val="22"/>
          <w:lang w:eastAsia="en-US"/>
        </w:rPr>
        <w:t>, the detailed characterisation data on the production bacterial strain</w:t>
      </w:r>
      <w:r w:rsidR="00A27ECB">
        <w:rPr>
          <w:rFonts w:eastAsiaTheme="minorHAnsi"/>
          <w:sz w:val="22"/>
          <w:lang w:eastAsia="en-US"/>
        </w:rPr>
        <w:t>s</w:t>
      </w:r>
      <w:r w:rsidR="005A5C0F">
        <w:rPr>
          <w:rFonts w:eastAsiaTheme="minorHAnsi"/>
          <w:sz w:val="22"/>
          <w:lang w:eastAsia="en-US"/>
        </w:rPr>
        <w:t xml:space="preserve"> and their certificates</w:t>
      </w:r>
      <w:r w:rsidR="004212A5" w:rsidRPr="009F7631">
        <w:rPr>
          <w:rStyle w:val="Fodnotehenvisning"/>
          <w:rFonts w:eastAsiaTheme="minorHAnsi"/>
          <w:szCs w:val="24"/>
          <w:lang w:eastAsia="en-US"/>
        </w:rPr>
        <w:footnoteReference w:id="6"/>
      </w:r>
      <w:r w:rsidR="004212A5" w:rsidRPr="009F7631">
        <w:rPr>
          <w:rFonts w:eastAsiaTheme="minorHAnsi"/>
          <w:szCs w:val="24"/>
          <w:vertAlign w:val="superscript"/>
          <w:lang w:eastAsia="en-US"/>
        </w:rPr>
        <w:t>,</w:t>
      </w:r>
      <w:r w:rsidR="004212A5" w:rsidRPr="009F7631">
        <w:rPr>
          <w:rStyle w:val="Fodnotehenvisning"/>
          <w:rFonts w:eastAsiaTheme="minorHAnsi"/>
          <w:szCs w:val="24"/>
          <w:lang w:eastAsia="en-US"/>
        </w:rPr>
        <w:footnoteReference w:id="7"/>
      </w:r>
      <w:r w:rsidR="004212A5">
        <w:rPr>
          <w:rFonts w:eastAsiaTheme="minorHAnsi"/>
          <w:sz w:val="22"/>
          <w:lang w:eastAsia="en-US"/>
        </w:rPr>
        <w:t>,</w:t>
      </w:r>
      <w:r w:rsidR="005A5C0F">
        <w:rPr>
          <w:rFonts w:eastAsiaTheme="minorHAnsi"/>
          <w:sz w:val="22"/>
          <w:lang w:eastAsia="en-US"/>
        </w:rPr>
        <w:t xml:space="preserve"> the </w:t>
      </w:r>
      <w:r w:rsidR="004212A5">
        <w:rPr>
          <w:rFonts w:eastAsiaTheme="minorHAnsi"/>
          <w:sz w:val="22"/>
          <w:lang w:eastAsia="en-US"/>
        </w:rPr>
        <w:t xml:space="preserve">specifications for the </w:t>
      </w:r>
      <w:r w:rsidR="005A5C0F">
        <w:rPr>
          <w:rFonts w:eastAsiaTheme="minorHAnsi"/>
          <w:sz w:val="22"/>
          <w:lang w:eastAsia="en-US"/>
        </w:rPr>
        <w:t>raw mater</w:t>
      </w:r>
      <w:r w:rsidR="004212A5">
        <w:rPr>
          <w:rFonts w:eastAsiaTheme="minorHAnsi"/>
          <w:sz w:val="22"/>
          <w:lang w:eastAsia="en-US"/>
        </w:rPr>
        <w:t>ia</w:t>
      </w:r>
      <w:r w:rsidR="005A5C0F">
        <w:rPr>
          <w:rFonts w:eastAsiaTheme="minorHAnsi"/>
          <w:sz w:val="22"/>
          <w:lang w:eastAsia="en-US"/>
        </w:rPr>
        <w:t>ls and processing aids</w:t>
      </w:r>
      <w:r w:rsidR="004212A5">
        <w:rPr>
          <w:rStyle w:val="Fodnotehenvisning"/>
          <w:rFonts w:eastAsiaTheme="minorHAnsi"/>
          <w:sz w:val="22"/>
          <w:lang w:eastAsia="en-US"/>
        </w:rPr>
        <w:footnoteReference w:id="8"/>
      </w:r>
      <w:r w:rsidR="005A5C0F">
        <w:rPr>
          <w:rFonts w:eastAsiaTheme="minorHAnsi"/>
          <w:sz w:val="22"/>
          <w:lang w:eastAsia="en-US"/>
        </w:rPr>
        <w:t xml:space="preserve">, the certificates of analyses of the various </w:t>
      </w:r>
      <w:r w:rsidR="005A5C0F">
        <w:rPr>
          <w:rFonts w:eastAsiaTheme="minorHAnsi"/>
          <w:szCs w:val="24"/>
          <w:lang w:val="en-IE" w:eastAsia="en-US"/>
        </w:rPr>
        <w:t>2’-FL/DFL batches</w:t>
      </w:r>
      <w:r w:rsidR="004212A5">
        <w:rPr>
          <w:rStyle w:val="Fodnotehenvisning"/>
          <w:rFonts w:eastAsiaTheme="minorHAnsi"/>
          <w:szCs w:val="24"/>
          <w:lang w:val="en-IE" w:eastAsia="en-US"/>
        </w:rPr>
        <w:footnoteReference w:id="9"/>
      </w:r>
      <w:r w:rsidR="005A5C0F">
        <w:rPr>
          <w:rFonts w:eastAsiaTheme="minorHAnsi"/>
          <w:szCs w:val="24"/>
          <w:lang w:val="en-IE" w:eastAsia="en-US"/>
        </w:rPr>
        <w:t>, the analytical methods and validation reports</w:t>
      </w:r>
      <w:r w:rsidR="004212A5">
        <w:rPr>
          <w:rStyle w:val="Fodnotehenvisning"/>
          <w:rFonts w:eastAsiaTheme="minorHAnsi"/>
          <w:szCs w:val="24"/>
          <w:lang w:val="en-IE" w:eastAsia="en-US"/>
        </w:rPr>
        <w:footnoteReference w:id="10"/>
      </w:r>
      <w:r w:rsidR="005A5C0F">
        <w:rPr>
          <w:rFonts w:eastAsiaTheme="minorHAnsi"/>
          <w:szCs w:val="24"/>
          <w:lang w:val="en-IE" w:eastAsia="en-US"/>
        </w:rPr>
        <w:t>, the 2’-FL/DFL stability reports</w:t>
      </w:r>
      <w:r w:rsidR="004212A5">
        <w:rPr>
          <w:rStyle w:val="Fodnotehenvisning"/>
          <w:rFonts w:eastAsiaTheme="minorHAnsi"/>
          <w:szCs w:val="24"/>
          <w:lang w:val="en-IE" w:eastAsia="en-US"/>
        </w:rPr>
        <w:footnoteReference w:id="11"/>
      </w:r>
      <w:r w:rsidR="005A5C0F">
        <w:rPr>
          <w:rFonts w:eastAsiaTheme="minorHAnsi"/>
          <w:szCs w:val="24"/>
          <w:lang w:val="en-IE" w:eastAsia="en-US"/>
        </w:rPr>
        <w:t>, the laboratory accreditation certificates</w:t>
      </w:r>
      <w:r w:rsidR="004212A5">
        <w:rPr>
          <w:rStyle w:val="Fodnotehenvisning"/>
          <w:rFonts w:eastAsiaTheme="minorHAnsi"/>
          <w:szCs w:val="24"/>
          <w:lang w:val="en-IE" w:eastAsia="en-US"/>
        </w:rPr>
        <w:footnoteReference w:id="12"/>
      </w:r>
      <w:r w:rsidR="005A5C0F">
        <w:rPr>
          <w:rFonts w:eastAsiaTheme="minorHAnsi"/>
          <w:szCs w:val="24"/>
          <w:lang w:val="en-IE" w:eastAsia="en-US"/>
        </w:rPr>
        <w:t>, the 2’-FL/DFL intake assessment reports</w:t>
      </w:r>
      <w:r w:rsidR="004212A5">
        <w:rPr>
          <w:rStyle w:val="Fodnotehenvisning"/>
          <w:rFonts w:eastAsiaTheme="minorHAnsi"/>
          <w:szCs w:val="24"/>
          <w:lang w:val="en-IE" w:eastAsia="en-US"/>
        </w:rPr>
        <w:footnoteReference w:id="13"/>
      </w:r>
      <w:r w:rsidR="004212A5">
        <w:rPr>
          <w:rFonts w:eastAsiaTheme="minorHAnsi"/>
          <w:szCs w:val="24"/>
          <w:lang w:val="en-IE" w:eastAsia="en-US"/>
        </w:rPr>
        <w:t xml:space="preserve">, </w:t>
      </w:r>
      <w:r w:rsidR="00FB405E">
        <w:rPr>
          <w:rFonts w:eastAsiaTheme="minorHAnsi"/>
          <w:szCs w:val="24"/>
          <w:lang w:val="en-IE" w:eastAsia="en-US"/>
        </w:rPr>
        <w:t>the summary table of the statistically significant observations in the toxicity studies</w:t>
      </w:r>
      <w:r w:rsidR="00FB405E">
        <w:rPr>
          <w:rStyle w:val="Fodnotehenvisning"/>
          <w:rFonts w:eastAsiaTheme="minorHAnsi"/>
          <w:szCs w:val="24"/>
          <w:lang w:val="en-IE" w:eastAsia="en-US"/>
        </w:rPr>
        <w:footnoteReference w:id="14"/>
      </w:r>
      <w:r w:rsidR="00A27ECB">
        <w:rPr>
          <w:rFonts w:eastAsiaTheme="minorHAnsi"/>
          <w:sz w:val="22"/>
          <w:lang w:eastAsia="en-US"/>
        </w:rPr>
        <w:t>, a</w:t>
      </w:r>
      <w:r w:rsidR="00AD2117">
        <w:rPr>
          <w:rFonts w:eastAsiaTheme="minorHAnsi"/>
          <w:sz w:val="22"/>
          <w:lang w:eastAsia="en-US"/>
        </w:rPr>
        <w:t xml:space="preserve"> </w:t>
      </w:r>
      <w:r w:rsidR="00AD2117">
        <w:rPr>
          <w:rFonts w:eastAsiaTheme="minorHAnsi"/>
          <w:szCs w:val="24"/>
          <w:lang w:val="en-IE" w:eastAsia="en-US"/>
        </w:rPr>
        <w:t>bacterial reverse mutation t</w:t>
      </w:r>
      <w:r w:rsidR="00AD2117" w:rsidRPr="00AD2117">
        <w:rPr>
          <w:rFonts w:eastAsiaTheme="minorHAnsi"/>
          <w:szCs w:val="24"/>
          <w:lang w:val="en-IE" w:eastAsia="en-US"/>
        </w:rPr>
        <w:t>est</w:t>
      </w:r>
      <w:r w:rsidR="008231C2">
        <w:rPr>
          <w:rFonts w:eastAsiaTheme="minorHAnsi"/>
          <w:szCs w:val="24"/>
          <w:lang w:val="en-IE" w:eastAsia="en-US"/>
        </w:rPr>
        <w:t xml:space="preserve"> with 2’-FL/DFL</w:t>
      </w:r>
      <w:r w:rsidR="00AD2117">
        <w:rPr>
          <w:rStyle w:val="Fodnotehenvisning"/>
          <w:rFonts w:eastAsiaTheme="minorHAnsi"/>
          <w:szCs w:val="24"/>
          <w:lang w:val="en-IE" w:eastAsia="en-US"/>
        </w:rPr>
        <w:footnoteReference w:id="15"/>
      </w:r>
      <w:r w:rsidR="00AD2117">
        <w:rPr>
          <w:rFonts w:eastAsiaTheme="minorHAnsi"/>
          <w:szCs w:val="24"/>
          <w:lang w:val="en-IE" w:eastAsia="en-US"/>
        </w:rPr>
        <w:t xml:space="preserve">, an </w:t>
      </w:r>
      <w:r w:rsidR="00AD2117" w:rsidRPr="00AD2117">
        <w:rPr>
          <w:rFonts w:eastAsiaTheme="minorHAnsi"/>
          <w:i/>
          <w:iCs/>
          <w:szCs w:val="24"/>
          <w:lang w:val="en-IE" w:eastAsia="en-US"/>
        </w:rPr>
        <w:t xml:space="preserve">in vitro </w:t>
      </w:r>
      <w:r w:rsidR="00AD2117" w:rsidRPr="00AD2117">
        <w:rPr>
          <w:rFonts w:eastAsiaTheme="minorHAnsi"/>
          <w:szCs w:val="24"/>
          <w:lang w:val="en-IE" w:eastAsia="en-US"/>
        </w:rPr>
        <w:t>mammalian cell micronucleus test</w:t>
      </w:r>
      <w:r w:rsidR="008231C2">
        <w:rPr>
          <w:rFonts w:eastAsiaTheme="minorHAnsi"/>
          <w:szCs w:val="24"/>
          <w:lang w:val="en-IE" w:eastAsia="en-US"/>
        </w:rPr>
        <w:t xml:space="preserve"> with 2’-FL/DFL</w:t>
      </w:r>
      <w:r w:rsidR="00AD2117">
        <w:rPr>
          <w:rStyle w:val="Fodnotehenvisning"/>
          <w:rFonts w:eastAsiaTheme="minorHAnsi"/>
          <w:szCs w:val="24"/>
          <w:lang w:val="en-IE" w:eastAsia="en-US"/>
        </w:rPr>
        <w:footnoteReference w:id="16"/>
      </w:r>
      <w:r w:rsidR="00AD2117">
        <w:rPr>
          <w:rFonts w:eastAsiaTheme="minorHAnsi"/>
          <w:szCs w:val="24"/>
          <w:lang w:val="en-IE" w:eastAsia="en-US"/>
        </w:rPr>
        <w:t xml:space="preserve">, </w:t>
      </w:r>
      <w:r w:rsidR="00AD2117" w:rsidRPr="00AD2117">
        <w:rPr>
          <w:rFonts w:eastAsiaTheme="minorHAnsi"/>
          <w:szCs w:val="24"/>
          <w:lang w:val="en-IE" w:eastAsia="en-US"/>
        </w:rPr>
        <w:t>a 14-day oral toxicity study in the neonatal rat</w:t>
      </w:r>
      <w:r w:rsidR="008231C2">
        <w:rPr>
          <w:rFonts w:eastAsiaTheme="minorHAnsi"/>
          <w:szCs w:val="24"/>
          <w:lang w:val="en-IE" w:eastAsia="en-US"/>
        </w:rPr>
        <w:t xml:space="preserve"> with</w:t>
      </w:r>
      <w:r w:rsidR="005A5C0F">
        <w:rPr>
          <w:rFonts w:eastAsiaTheme="minorHAnsi"/>
          <w:szCs w:val="24"/>
          <w:lang w:val="en-IE" w:eastAsia="en-US"/>
        </w:rPr>
        <w:t xml:space="preserve"> </w:t>
      </w:r>
      <w:r w:rsidR="008231C2">
        <w:rPr>
          <w:rFonts w:eastAsiaTheme="minorHAnsi"/>
          <w:szCs w:val="24"/>
          <w:lang w:val="en-IE" w:eastAsia="en-US"/>
        </w:rPr>
        <w:t>2’-FL/DFL</w:t>
      </w:r>
      <w:r w:rsidR="00AD2117">
        <w:rPr>
          <w:rStyle w:val="Fodnotehenvisning"/>
          <w:rFonts w:eastAsiaTheme="minorHAnsi"/>
          <w:szCs w:val="24"/>
          <w:lang w:val="en-IE" w:eastAsia="en-US"/>
        </w:rPr>
        <w:footnoteReference w:id="17"/>
      </w:r>
      <w:r w:rsidR="00AD2117">
        <w:rPr>
          <w:rFonts w:ascii="Calibri-Identity-H" w:eastAsiaTheme="minorHAnsi" w:hAnsi="Calibri-Identity-H" w:cs="Calibri-Identity-H"/>
          <w:sz w:val="18"/>
          <w:szCs w:val="18"/>
          <w:lang w:val="en-IE" w:eastAsia="en-US"/>
        </w:rPr>
        <w:t xml:space="preserve">, </w:t>
      </w:r>
      <w:r w:rsidR="008231C2" w:rsidRPr="00AD2117">
        <w:rPr>
          <w:rFonts w:eastAsiaTheme="minorHAnsi"/>
          <w:szCs w:val="24"/>
          <w:lang w:val="en-IE" w:eastAsia="en-US"/>
        </w:rPr>
        <w:t xml:space="preserve">a </w:t>
      </w:r>
      <w:r w:rsidR="008231C2" w:rsidRPr="008231C2">
        <w:rPr>
          <w:rFonts w:eastAsiaTheme="minorHAnsi"/>
          <w:szCs w:val="24"/>
          <w:lang w:val="en-IE" w:eastAsia="en-US"/>
        </w:rPr>
        <w:t>90</w:t>
      </w:r>
      <w:r w:rsidR="008231C2" w:rsidRPr="00AD2117">
        <w:rPr>
          <w:rFonts w:eastAsiaTheme="minorHAnsi"/>
          <w:szCs w:val="24"/>
          <w:lang w:val="en-IE" w:eastAsia="en-US"/>
        </w:rPr>
        <w:t>-day oral toxicity study in the neonatal rat</w:t>
      </w:r>
      <w:r w:rsidR="008231C2">
        <w:rPr>
          <w:rFonts w:eastAsiaTheme="minorHAnsi"/>
          <w:szCs w:val="24"/>
          <w:lang w:val="en-IE" w:eastAsia="en-US"/>
        </w:rPr>
        <w:t xml:space="preserve"> with 2’-FL/DFL</w:t>
      </w:r>
      <w:r w:rsidR="008231C2">
        <w:rPr>
          <w:rStyle w:val="Fodnotehenvisning"/>
          <w:rFonts w:eastAsiaTheme="minorHAnsi"/>
          <w:szCs w:val="24"/>
          <w:lang w:val="en-IE" w:eastAsia="en-US"/>
        </w:rPr>
        <w:footnoteReference w:id="18"/>
      </w:r>
      <w:r w:rsidR="008231C2">
        <w:rPr>
          <w:rFonts w:eastAsiaTheme="minorHAnsi"/>
          <w:szCs w:val="24"/>
          <w:lang w:val="en-IE" w:eastAsia="en-US"/>
        </w:rPr>
        <w:t xml:space="preserve">, </w:t>
      </w:r>
      <w:r w:rsidR="008231C2">
        <w:rPr>
          <w:rFonts w:eastAsiaTheme="minorHAnsi"/>
          <w:sz w:val="22"/>
          <w:lang w:eastAsia="en-US"/>
        </w:rPr>
        <w:t xml:space="preserve">a </w:t>
      </w:r>
      <w:r w:rsidR="008231C2">
        <w:rPr>
          <w:rFonts w:eastAsiaTheme="minorHAnsi"/>
          <w:szCs w:val="24"/>
          <w:lang w:val="en-IE" w:eastAsia="en-US"/>
        </w:rPr>
        <w:t>bacterial reverse mutation t</w:t>
      </w:r>
      <w:r w:rsidR="008231C2" w:rsidRPr="00AD2117">
        <w:rPr>
          <w:rFonts w:eastAsiaTheme="minorHAnsi"/>
          <w:szCs w:val="24"/>
          <w:lang w:val="en-IE" w:eastAsia="en-US"/>
        </w:rPr>
        <w:t>est</w:t>
      </w:r>
      <w:r w:rsidR="008231C2">
        <w:rPr>
          <w:rFonts w:eastAsiaTheme="minorHAnsi"/>
          <w:szCs w:val="24"/>
          <w:lang w:val="en-IE" w:eastAsia="en-US"/>
        </w:rPr>
        <w:t xml:space="preserve"> with 2’-FL</w:t>
      </w:r>
      <w:r w:rsidR="008231C2">
        <w:rPr>
          <w:rStyle w:val="Fodnotehenvisning"/>
          <w:rFonts w:eastAsiaTheme="minorHAnsi"/>
          <w:szCs w:val="24"/>
          <w:lang w:val="en-IE" w:eastAsia="en-US"/>
        </w:rPr>
        <w:footnoteReference w:id="19"/>
      </w:r>
      <w:r w:rsidR="008231C2">
        <w:rPr>
          <w:rFonts w:eastAsiaTheme="minorHAnsi"/>
          <w:szCs w:val="24"/>
          <w:lang w:val="en-IE" w:eastAsia="en-US"/>
        </w:rPr>
        <w:t xml:space="preserve"> two </w:t>
      </w:r>
      <w:r w:rsidR="008231C2" w:rsidRPr="00AD2117">
        <w:rPr>
          <w:rFonts w:eastAsiaTheme="minorHAnsi"/>
          <w:i/>
          <w:iCs/>
          <w:szCs w:val="24"/>
          <w:lang w:val="en-IE" w:eastAsia="en-US"/>
        </w:rPr>
        <w:t xml:space="preserve">in vitro </w:t>
      </w:r>
      <w:r w:rsidR="008231C2" w:rsidRPr="00AD2117">
        <w:rPr>
          <w:rFonts w:eastAsiaTheme="minorHAnsi"/>
          <w:szCs w:val="24"/>
          <w:lang w:val="en-IE" w:eastAsia="en-US"/>
        </w:rPr>
        <w:t>mammalian cell micronucleus test</w:t>
      </w:r>
      <w:r w:rsidR="008231C2">
        <w:rPr>
          <w:rFonts w:eastAsiaTheme="minorHAnsi"/>
          <w:szCs w:val="24"/>
          <w:lang w:val="en-IE" w:eastAsia="en-US"/>
        </w:rPr>
        <w:t>s with 2’-FL</w:t>
      </w:r>
      <w:r w:rsidR="008231C2" w:rsidRPr="009F7631">
        <w:rPr>
          <w:rStyle w:val="Fodnotehenvisning"/>
          <w:rFonts w:eastAsiaTheme="minorHAnsi"/>
          <w:sz w:val="22"/>
          <w:lang w:val="en-IE" w:eastAsia="en-US"/>
        </w:rPr>
        <w:footnoteReference w:id="20"/>
      </w:r>
      <w:r w:rsidR="008231C2" w:rsidRPr="009F7631">
        <w:rPr>
          <w:rFonts w:eastAsiaTheme="minorHAnsi"/>
          <w:sz w:val="22"/>
          <w:vertAlign w:val="superscript"/>
          <w:lang w:val="en-IE" w:eastAsia="en-US"/>
        </w:rPr>
        <w:t>,</w:t>
      </w:r>
      <w:r w:rsidR="008231C2" w:rsidRPr="009F7631">
        <w:rPr>
          <w:rStyle w:val="Fodnotehenvisning"/>
          <w:rFonts w:eastAsiaTheme="minorHAnsi"/>
          <w:sz w:val="22"/>
          <w:lang w:val="en-IE" w:eastAsia="en-US"/>
        </w:rPr>
        <w:footnoteReference w:id="21"/>
      </w:r>
      <w:r w:rsidR="008231C2" w:rsidRPr="009F7631">
        <w:rPr>
          <w:rFonts w:eastAsiaTheme="minorHAnsi"/>
          <w:sz w:val="22"/>
          <w:lang w:val="en-IE" w:eastAsia="en-US"/>
        </w:rPr>
        <w:t>,</w:t>
      </w:r>
      <w:r w:rsidR="008231C2">
        <w:rPr>
          <w:rFonts w:eastAsiaTheme="minorHAnsi"/>
          <w:szCs w:val="24"/>
          <w:lang w:val="en-IE" w:eastAsia="en-US"/>
        </w:rPr>
        <w:t xml:space="preserve"> and </w:t>
      </w:r>
      <w:r w:rsidR="008231C2" w:rsidRPr="00AD2117">
        <w:rPr>
          <w:rFonts w:eastAsiaTheme="minorHAnsi"/>
          <w:szCs w:val="24"/>
          <w:lang w:val="en-IE" w:eastAsia="en-US"/>
        </w:rPr>
        <w:t xml:space="preserve">a </w:t>
      </w:r>
      <w:r w:rsidR="008231C2" w:rsidRPr="008231C2">
        <w:rPr>
          <w:rFonts w:eastAsiaTheme="minorHAnsi"/>
          <w:szCs w:val="24"/>
          <w:lang w:val="en-IE" w:eastAsia="en-US"/>
        </w:rPr>
        <w:t>90</w:t>
      </w:r>
      <w:r w:rsidR="008231C2" w:rsidRPr="00AD2117">
        <w:rPr>
          <w:rFonts w:eastAsiaTheme="minorHAnsi"/>
          <w:szCs w:val="24"/>
          <w:lang w:val="en-IE" w:eastAsia="en-US"/>
        </w:rPr>
        <w:t>-day oral toxicity study in the neonatal rat</w:t>
      </w:r>
      <w:r w:rsidR="008231C2">
        <w:rPr>
          <w:rFonts w:eastAsiaTheme="minorHAnsi"/>
          <w:szCs w:val="24"/>
          <w:lang w:val="en-IE" w:eastAsia="en-US"/>
        </w:rPr>
        <w:t xml:space="preserve"> with 2’-FL</w:t>
      </w:r>
      <w:r w:rsidR="008231C2">
        <w:rPr>
          <w:rStyle w:val="Fodnotehenvisning"/>
          <w:rFonts w:eastAsiaTheme="minorHAnsi"/>
          <w:szCs w:val="24"/>
          <w:lang w:val="en-IE" w:eastAsia="en-US"/>
        </w:rPr>
        <w:footnoteReference w:id="22"/>
      </w:r>
      <w:r w:rsidR="00340C1B" w:rsidRPr="00340C1B">
        <w:rPr>
          <w:rFonts w:eastAsiaTheme="minorHAnsi"/>
          <w:lang w:eastAsia="en-US"/>
        </w:rPr>
        <w:t xml:space="preserve">. </w:t>
      </w:r>
    </w:p>
    <w:p w14:paraId="7DC4EF19" w14:textId="76661DD9" w:rsidR="00340C1B" w:rsidRPr="005A5C0F" w:rsidRDefault="00340C1B" w:rsidP="005A5C0F">
      <w:pPr>
        <w:numPr>
          <w:ilvl w:val="0"/>
          <w:numId w:val="1"/>
        </w:numPr>
        <w:rPr>
          <w:rFonts w:eastAsiaTheme="minorHAnsi"/>
          <w:lang w:eastAsia="en-US"/>
        </w:rPr>
      </w:pPr>
      <w:r w:rsidRPr="00340C1B">
        <w:rPr>
          <w:rFonts w:eastAsiaTheme="minorHAnsi"/>
          <w:lang w:eastAsia="en-US"/>
        </w:rPr>
        <w:t>On 2</w:t>
      </w:r>
      <w:r w:rsidR="00E0540E">
        <w:rPr>
          <w:rFonts w:eastAsiaTheme="minorHAnsi"/>
          <w:lang w:eastAsia="en-US"/>
        </w:rPr>
        <w:t>9</w:t>
      </w:r>
      <w:r w:rsidRPr="00340C1B">
        <w:rPr>
          <w:rFonts w:eastAsiaTheme="minorHAnsi"/>
          <w:lang w:eastAsia="en-US"/>
        </w:rPr>
        <w:t xml:space="preserve"> June 201</w:t>
      </w:r>
      <w:r w:rsidR="00E0540E">
        <w:rPr>
          <w:rFonts w:eastAsiaTheme="minorHAnsi"/>
          <w:lang w:eastAsia="en-US"/>
        </w:rPr>
        <w:t>8</w:t>
      </w:r>
      <w:r w:rsidRPr="00340C1B">
        <w:rPr>
          <w:rFonts w:eastAsiaTheme="minorHAnsi"/>
          <w:lang w:eastAsia="en-US"/>
        </w:rPr>
        <w:t xml:space="preserve">, </w:t>
      </w:r>
      <w:r w:rsidR="00E0540E" w:rsidRPr="005A240C">
        <w:rPr>
          <w:rFonts w:eastAsia="Times New Roman"/>
          <w:lang w:val="en-IE"/>
        </w:rPr>
        <w:t xml:space="preserve">the Commission </w:t>
      </w:r>
      <w:r w:rsidR="00E0540E" w:rsidRPr="005A240C">
        <w:rPr>
          <w:rFonts w:eastAsia="Times New Roman"/>
        </w:rPr>
        <w:t xml:space="preserve">consulted the Authority asking it to carry out an assessment of </w:t>
      </w:r>
      <w:r w:rsidR="00E0540E">
        <w:rPr>
          <w:rFonts w:eastAsiaTheme="minorHAnsi"/>
          <w:szCs w:val="24"/>
          <w:lang w:val="en-IE" w:eastAsia="en-US"/>
        </w:rPr>
        <w:t>2’-FL/DFL</w:t>
      </w:r>
      <w:r w:rsidR="00E0540E" w:rsidRPr="005A240C" w:rsidDel="00B964F0">
        <w:rPr>
          <w:rFonts w:eastAsia="Times New Roman"/>
        </w:rPr>
        <w:t xml:space="preserve"> </w:t>
      </w:r>
      <w:r w:rsidR="00E0540E" w:rsidRPr="005A240C">
        <w:rPr>
          <w:rFonts w:eastAsia="Times New Roman"/>
        </w:rPr>
        <w:t>as a novel food in accordance with Article 10(3) of Regulation (EU) 2015/2283</w:t>
      </w:r>
      <w:r w:rsidR="00E0540E">
        <w:rPr>
          <w:rFonts w:eastAsia="Times New Roman"/>
          <w:i/>
        </w:rPr>
        <w:t>.</w:t>
      </w:r>
    </w:p>
    <w:p w14:paraId="2D87DDFE" w14:textId="76651220" w:rsidR="00340C1B" w:rsidRPr="00340C1B" w:rsidRDefault="00340C1B" w:rsidP="00340C1B">
      <w:pPr>
        <w:numPr>
          <w:ilvl w:val="0"/>
          <w:numId w:val="1"/>
        </w:numPr>
        <w:rPr>
          <w:rFonts w:eastAsiaTheme="minorHAnsi"/>
          <w:lang w:eastAsia="en-US"/>
        </w:rPr>
      </w:pPr>
      <w:r w:rsidRPr="00340C1B">
        <w:rPr>
          <w:rFonts w:eastAsiaTheme="minorHAnsi"/>
          <w:lang w:eastAsia="en-US"/>
        </w:rPr>
        <w:t xml:space="preserve">On </w:t>
      </w:r>
      <w:r w:rsidR="00E0540E">
        <w:rPr>
          <w:rFonts w:eastAsiaTheme="minorHAnsi"/>
          <w:lang w:eastAsia="en-US"/>
        </w:rPr>
        <w:t>15</w:t>
      </w:r>
      <w:r w:rsidRPr="00340C1B">
        <w:rPr>
          <w:rFonts w:eastAsiaTheme="minorHAnsi"/>
          <w:lang w:eastAsia="en-US"/>
        </w:rPr>
        <w:t xml:space="preserve"> </w:t>
      </w:r>
      <w:r w:rsidR="00E0540E">
        <w:rPr>
          <w:rFonts w:eastAsiaTheme="minorHAnsi"/>
          <w:lang w:eastAsia="en-US"/>
        </w:rPr>
        <w:t>May</w:t>
      </w:r>
      <w:r w:rsidRPr="00340C1B">
        <w:rPr>
          <w:rFonts w:eastAsiaTheme="minorHAnsi"/>
          <w:lang w:eastAsia="en-US"/>
        </w:rPr>
        <w:t xml:space="preserve"> 201</w:t>
      </w:r>
      <w:r w:rsidR="00E0540E">
        <w:rPr>
          <w:rFonts w:eastAsiaTheme="minorHAnsi"/>
          <w:lang w:eastAsia="en-US"/>
        </w:rPr>
        <w:t>9</w:t>
      </w:r>
      <w:r w:rsidRPr="00340C1B">
        <w:rPr>
          <w:rFonts w:eastAsiaTheme="minorHAnsi"/>
          <w:lang w:eastAsia="en-US"/>
        </w:rPr>
        <w:t xml:space="preserve">, the Authority adopted </w:t>
      </w:r>
      <w:r w:rsidR="00E0540E">
        <w:rPr>
          <w:rFonts w:eastAsiaTheme="minorHAnsi"/>
          <w:lang w:eastAsia="en-US"/>
        </w:rPr>
        <w:t xml:space="preserve">its </w:t>
      </w:r>
      <w:r w:rsidRPr="00340C1B">
        <w:rPr>
          <w:rFonts w:eastAsiaTheme="minorHAnsi"/>
          <w:lang w:eastAsia="en-US"/>
        </w:rPr>
        <w:t xml:space="preserve">"Scientific Opinion on the safety of </w:t>
      </w:r>
      <w:r w:rsidR="00E0540E" w:rsidRPr="004E0D9B">
        <w:rPr>
          <w:rFonts w:eastAsiaTheme="minorHAnsi"/>
          <w:lang w:eastAsia="en-US"/>
        </w:rPr>
        <w:t>2’-fucosyllactose/difucosyllactose mixture</w:t>
      </w:r>
      <w:r w:rsidRPr="00340C1B" w:rsidDel="00D34888">
        <w:rPr>
          <w:rFonts w:eastAsiaTheme="minorHAnsi"/>
          <w:lang w:eastAsia="en-US"/>
        </w:rPr>
        <w:t xml:space="preserve"> </w:t>
      </w:r>
      <w:r w:rsidRPr="00340C1B">
        <w:rPr>
          <w:rFonts w:eastAsiaTheme="minorHAnsi"/>
          <w:lang w:eastAsia="en-US"/>
        </w:rPr>
        <w:t xml:space="preserve">as a novel food pursuant to Regulation (EU) </w:t>
      </w:r>
      <w:r w:rsidRPr="00340C1B">
        <w:rPr>
          <w:rFonts w:eastAsiaTheme="minorHAnsi"/>
          <w:lang w:eastAsia="en-US"/>
        </w:rPr>
        <w:lastRenderedPageBreak/>
        <w:t>2015/2283"</w:t>
      </w:r>
      <w:r w:rsidRPr="00340C1B">
        <w:rPr>
          <w:rFonts w:eastAsiaTheme="minorHAnsi"/>
          <w:vertAlign w:val="superscript"/>
          <w:lang w:eastAsia="en-US"/>
        </w:rPr>
        <w:footnoteReference w:id="23"/>
      </w:r>
      <w:r w:rsidRPr="00340C1B">
        <w:rPr>
          <w:rFonts w:eastAsiaTheme="minorHAnsi"/>
          <w:lang w:eastAsia="en-US"/>
        </w:rPr>
        <w:t xml:space="preserve">. That opinion is in line with the requirements of Article 11 of Regulation (EU) 2015/2283. </w:t>
      </w:r>
    </w:p>
    <w:p w14:paraId="505C1AAF" w14:textId="7F78DDCD" w:rsidR="00340C1B" w:rsidRPr="00340C1B" w:rsidRDefault="00340C1B" w:rsidP="00340C1B">
      <w:pPr>
        <w:numPr>
          <w:ilvl w:val="0"/>
          <w:numId w:val="1"/>
        </w:numPr>
        <w:rPr>
          <w:rFonts w:eastAsiaTheme="minorHAnsi"/>
          <w:lang w:eastAsia="en-US"/>
        </w:rPr>
      </w:pPr>
      <w:r w:rsidRPr="00340C1B">
        <w:rPr>
          <w:rFonts w:eastAsiaTheme="minorHAnsi"/>
          <w:lang w:eastAsia="en-US"/>
        </w:rPr>
        <w:t xml:space="preserve">That opinion gives sufficient grounds to establish that </w:t>
      </w:r>
      <w:r w:rsidR="00E0540E">
        <w:rPr>
          <w:rFonts w:eastAsiaTheme="minorHAnsi"/>
          <w:lang w:eastAsia="en-US"/>
        </w:rPr>
        <w:t xml:space="preserve">the </w:t>
      </w:r>
      <w:r w:rsidR="00E0540E" w:rsidRPr="004E0D9B">
        <w:rPr>
          <w:rFonts w:eastAsiaTheme="minorHAnsi"/>
          <w:lang w:eastAsia="en-US"/>
        </w:rPr>
        <w:t>2’-fucosyllactose/difucosyllactose mixture</w:t>
      </w:r>
      <w:r w:rsidRPr="00340C1B">
        <w:rPr>
          <w:rFonts w:eastAsiaTheme="minorHAnsi"/>
          <w:lang w:eastAsia="en-US"/>
        </w:rPr>
        <w:t xml:space="preserve">, in the proposed uses and use levels when used in </w:t>
      </w:r>
      <w:r w:rsidRPr="00340C1B">
        <w:rPr>
          <w:rFonts w:eastAsia="Times New Roman"/>
          <w:szCs w:val="24"/>
          <w:lang w:eastAsia="en-US"/>
        </w:rPr>
        <w:t xml:space="preserve">infant and follow-on formulae, in total diet replacement foods for weight control, in foods for special medical purposes, and in food supplements, </w:t>
      </w:r>
      <w:r w:rsidRPr="00340C1B">
        <w:rPr>
          <w:rFonts w:eastAsiaTheme="minorHAnsi"/>
          <w:lang w:eastAsia="en-US"/>
        </w:rPr>
        <w:t xml:space="preserve">complies with Article 12(1) of Regulation (EU) 2015/2283. </w:t>
      </w:r>
    </w:p>
    <w:p w14:paraId="78789B5D" w14:textId="466AF589" w:rsidR="00340C1B" w:rsidRPr="00340C1B" w:rsidRDefault="00340C1B" w:rsidP="00340C1B">
      <w:pPr>
        <w:numPr>
          <w:ilvl w:val="0"/>
          <w:numId w:val="1"/>
        </w:numPr>
        <w:rPr>
          <w:rFonts w:eastAsiaTheme="minorHAnsi"/>
          <w:lang w:eastAsia="en-US"/>
        </w:rPr>
      </w:pPr>
      <w:r w:rsidRPr="00340C1B">
        <w:rPr>
          <w:rFonts w:eastAsiaTheme="minorHAnsi"/>
          <w:lang w:eastAsia="en-US"/>
        </w:rPr>
        <w:t xml:space="preserve">In its opinion on </w:t>
      </w:r>
      <w:r w:rsidR="00E0540E">
        <w:rPr>
          <w:rFonts w:eastAsiaTheme="minorHAnsi"/>
          <w:lang w:eastAsia="en-US"/>
        </w:rPr>
        <w:t xml:space="preserve">the </w:t>
      </w:r>
      <w:r w:rsidR="00E0540E" w:rsidRPr="004E0D9B">
        <w:rPr>
          <w:rFonts w:eastAsiaTheme="minorHAnsi"/>
          <w:lang w:eastAsia="en-US"/>
        </w:rPr>
        <w:t>2’-fucosyllactose/difucosyllactose mixture</w:t>
      </w:r>
      <w:r w:rsidRPr="00340C1B">
        <w:rPr>
          <w:rFonts w:eastAsiaTheme="minorHAnsi"/>
          <w:lang w:eastAsia="en-US"/>
        </w:rPr>
        <w:t xml:space="preserve">, the Authority considered that the data from </w:t>
      </w:r>
      <w:r w:rsidR="00A27ECB">
        <w:rPr>
          <w:rFonts w:eastAsiaTheme="minorHAnsi"/>
          <w:sz w:val="22"/>
          <w:lang w:eastAsia="en-US"/>
        </w:rPr>
        <w:t xml:space="preserve">the analytical </w:t>
      </w:r>
      <w:r w:rsidR="008C24AA">
        <w:rPr>
          <w:rFonts w:eastAsiaTheme="minorHAnsi"/>
          <w:sz w:val="22"/>
          <w:lang w:eastAsia="en-US"/>
        </w:rPr>
        <w:t xml:space="preserve">NMR </w:t>
      </w:r>
      <w:r w:rsidR="00A27ECB">
        <w:rPr>
          <w:rFonts w:eastAsiaTheme="minorHAnsi"/>
          <w:sz w:val="22"/>
          <w:lang w:eastAsia="en-US"/>
        </w:rPr>
        <w:t xml:space="preserve">reports on the structure comparison of 2’-fucosyllactose and difucosyllactose produced by bacterial fermentation with </w:t>
      </w:r>
      <w:r w:rsidR="008C24AA">
        <w:rPr>
          <w:rFonts w:eastAsiaTheme="minorHAnsi"/>
          <w:sz w:val="22"/>
          <w:lang w:eastAsia="en-US"/>
        </w:rPr>
        <w:t xml:space="preserve">the </w:t>
      </w:r>
      <w:r w:rsidR="00A27ECB">
        <w:rPr>
          <w:rFonts w:eastAsiaTheme="minorHAnsi"/>
          <w:sz w:val="22"/>
          <w:lang w:eastAsia="en-US"/>
        </w:rPr>
        <w:t xml:space="preserve">2’-fucosyllactose and </w:t>
      </w:r>
      <w:r w:rsidR="008C24AA">
        <w:rPr>
          <w:rFonts w:eastAsiaTheme="minorHAnsi"/>
          <w:sz w:val="22"/>
          <w:lang w:eastAsia="en-US"/>
        </w:rPr>
        <w:t xml:space="preserve">the </w:t>
      </w:r>
      <w:r w:rsidR="00A27ECB">
        <w:rPr>
          <w:rFonts w:eastAsiaTheme="minorHAnsi"/>
          <w:sz w:val="22"/>
          <w:lang w:eastAsia="en-US"/>
        </w:rPr>
        <w:t xml:space="preserve">difucosyllactose </w:t>
      </w:r>
      <w:r w:rsidR="008C24AA">
        <w:rPr>
          <w:rFonts w:eastAsiaTheme="minorHAnsi"/>
          <w:sz w:val="22"/>
          <w:lang w:eastAsia="en-US"/>
        </w:rPr>
        <w:t xml:space="preserve">naturally </w:t>
      </w:r>
      <w:r w:rsidR="00A27ECB">
        <w:rPr>
          <w:rFonts w:eastAsiaTheme="minorHAnsi"/>
          <w:sz w:val="22"/>
          <w:lang w:eastAsia="en-US"/>
        </w:rPr>
        <w:t xml:space="preserve">present in human milk, the detailed characterisation data on the production bacterial strains, the specifications for the raw materials and processing aids, the certificates of analyses of the various </w:t>
      </w:r>
      <w:r w:rsidR="00A27ECB">
        <w:rPr>
          <w:rFonts w:eastAsiaTheme="minorHAnsi"/>
          <w:szCs w:val="24"/>
          <w:lang w:val="en-IE" w:eastAsia="en-US"/>
        </w:rPr>
        <w:t>2’-FL/DFL batches, the</w:t>
      </w:r>
      <w:r w:rsidR="00A27ECB">
        <w:rPr>
          <w:rFonts w:eastAsiaTheme="minorHAnsi"/>
          <w:sz w:val="22"/>
          <w:lang w:eastAsia="en-US"/>
        </w:rPr>
        <w:t xml:space="preserve"> </w:t>
      </w:r>
      <w:r w:rsidR="00A27ECB">
        <w:rPr>
          <w:rFonts w:eastAsiaTheme="minorHAnsi"/>
          <w:szCs w:val="24"/>
          <w:lang w:val="en-IE" w:eastAsia="en-US"/>
        </w:rPr>
        <w:t>bacterial reverse mutation t</w:t>
      </w:r>
      <w:r w:rsidR="00A27ECB" w:rsidRPr="00AD2117">
        <w:rPr>
          <w:rFonts w:eastAsiaTheme="minorHAnsi"/>
          <w:szCs w:val="24"/>
          <w:lang w:val="en-IE" w:eastAsia="en-US"/>
        </w:rPr>
        <w:t>est</w:t>
      </w:r>
      <w:r w:rsidR="00A27ECB">
        <w:rPr>
          <w:rFonts w:eastAsiaTheme="minorHAnsi"/>
          <w:szCs w:val="24"/>
          <w:lang w:val="en-IE" w:eastAsia="en-US"/>
        </w:rPr>
        <w:t xml:space="preserve"> with 2’-FL/DFL, the </w:t>
      </w:r>
      <w:r w:rsidR="00A27ECB" w:rsidRPr="00AD2117">
        <w:rPr>
          <w:rFonts w:eastAsiaTheme="minorHAnsi"/>
          <w:i/>
          <w:iCs/>
          <w:szCs w:val="24"/>
          <w:lang w:val="en-IE" w:eastAsia="en-US"/>
        </w:rPr>
        <w:t xml:space="preserve">in vitro </w:t>
      </w:r>
      <w:r w:rsidR="00A27ECB" w:rsidRPr="00AD2117">
        <w:rPr>
          <w:rFonts w:eastAsiaTheme="minorHAnsi"/>
          <w:szCs w:val="24"/>
          <w:lang w:val="en-IE" w:eastAsia="en-US"/>
        </w:rPr>
        <w:t>mammalian cell micronucleus test</w:t>
      </w:r>
      <w:r w:rsidR="00A27ECB">
        <w:rPr>
          <w:rFonts w:eastAsiaTheme="minorHAnsi"/>
          <w:szCs w:val="24"/>
          <w:lang w:val="en-IE" w:eastAsia="en-US"/>
        </w:rPr>
        <w:t xml:space="preserve"> with 2’-FL/DFL, the</w:t>
      </w:r>
      <w:r w:rsidR="00A27ECB" w:rsidRPr="00AD2117">
        <w:rPr>
          <w:rFonts w:eastAsiaTheme="minorHAnsi"/>
          <w:szCs w:val="24"/>
          <w:lang w:val="en-IE" w:eastAsia="en-US"/>
        </w:rPr>
        <w:t xml:space="preserve"> </w:t>
      </w:r>
      <w:r w:rsidR="00A27ECB" w:rsidRPr="008231C2">
        <w:rPr>
          <w:rFonts w:eastAsiaTheme="minorHAnsi"/>
          <w:szCs w:val="24"/>
          <w:lang w:val="en-IE" w:eastAsia="en-US"/>
        </w:rPr>
        <w:t>90</w:t>
      </w:r>
      <w:r w:rsidR="00A27ECB" w:rsidRPr="00AD2117">
        <w:rPr>
          <w:rFonts w:eastAsiaTheme="minorHAnsi"/>
          <w:szCs w:val="24"/>
          <w:lang w:val="en-IE" w:eastAsia="en-US"/>
        </w:rPr>
        <w:t>-day oral toxicity study in the neonatal rat</w:t>
      </w:r>
      <w:r w:rsidR="00A27ECB">
        <w:rPr>
          <w:rFonts w:eastAsiaTheme="minorHAnsi"/>
          <w:szCs w:val="24"/>
          <w:lang w:val="en-IE" w:eastAsia="en-US"/>
        </w:rPr>
        <w:t xml:space="preserve"> with 2’-FL/DFL</w:t>
      </w:r>
      <w:r w:rsidR="002408EE">
        <w:rPr>
          <w:rFonts w:eastAsiaTheme="minorHAnsi"/>
          <w:szCs w:val="24"/>
          <w:lang w:val="en-IE" w:eastAsia="en-US"/>
        </w:rPr>
        <w:t>,</w:t>
      </w:r>
      <w:r w:rsidR="00A27ECB">
        <w:rPr>
          <w:rFonts w:eastAsiaTheme="minorHAnsi"/>
          <w:szCs w:val="24"/>
          <w:lang w:val="en-IE" w:eastAsia="en-US"/>
        </w:rPr>
        <w:t xml:space="preserve"> and the summary table of the statistically significant observations in the toxicity studies served as a basis to establish the safety of the novel food</w:t>
      </w:r>
      <w:r w:rsidRPr="00340C1B">
        <w:rPr>
          <w:rFonts w:eastAsiaTheme="minorHAnsi"/>
          <w:lang w:eastAsia="en-US"/>
        </w:rPr>
        <w:t xml:space="preserve">.  Therefore, it is considered that the conclusions on the safety of </w:t>
      </w:r>
      <w:r w:rsidR="002408EE">
        <w:rPr>
          <w:rFonts w:eastAsiaTheme="minorHAnsi"/>
          <w:lang w:eastAsia="en-US"/>
        </w:rPr>
        <w:t xml:space="preserve">the </w:t>
      </w:r>
      <w:r w:rsidR="002408EE" w:rsidRPr="004E0D9B">
        <w:rPr>
          <w:rFonts w:eastAsiaTheme="minorHAnsi"/>
          <w:lang w:eastAsia="en-US"/>
        </w:rPr>
        <w:t>2’-fucosyllactose/difucosyllactose mixture</w:t>
      </w:r>
      <w:r w:rsidR="002408EE" w:rsidRPr="00340C1B">
        <w:rPr>
          <w:rFonts w:eastAsiaTheme="minorHAnsi"/>
          <w:lang w:eastAsia="en-US"/>
        </w:rPr>
        <w:t xml:space="preserve"> </w:t>
      </w:r>
      <w:r w:rsidRPr="00340C1B">
        <w:rPr>
          <w:rFonts w:eastAsiaTheme="minorHAnsi"/>
          <w:lang w:eastAsia="en-US"/>
        </w:rPr>
        <w:t xml:space="preserve">could not have been reached without the data from the report of this study. </w:t>
      </w:r>
    </w:p>
    <w:p w14:paraId="45ED3F4A" w14:textId="32622FCA" w:rsidR="00340C1B" w:rsidRPr="00340C1B" w:rsidRDefault="00340C1B" w:rsidP="00340C1B">
      <w:pPr>
        <w:numPr>
          <w:ilvl w:val="0"/>
          <w:numId w:val="1"/>
        </w:numPr>
        <w:rPr>
          <w:rFonts w:eastAsiaTheme="minorHAnsi"/>
          <w:lang w:eastAsia="en-US"/>
        </w:rPr>
      </w:pPr>
      <w:r w:rsidRPr="00340C1B">
        <w:rPr>
          <w:rFonts w:eastAsiaTheme="minorHAnsi"/>
          <w:lang w:eastAsia="en-US"/>
        </w:rPr>
        <w:t>Following the receipt of the Authority's opinion</w:t>
      </w:r>
      <w:r w:rsidR="002408EE">
        <w:rPr>
          <w:rFonts w:eastAsiaTheme="minorHAnsi"/>
          <w:lang w:eastAsia="en-US"/>
        </w:rPr>
        <w:t>, the Commission requested the A</w:t>
      </w:r>
      <w:r w:rsidRPr="00340C1B">
        <w:rPr>
          <w:rFonts w:eastAsiaTheme="minorHAnsi"/>
          <w:lang w:eastAsia="en-US"/>
        </w:rPr>
        <w:t xml:space="preserve">pplicant to further clarify the justification provided with regard to their proprietary </w:t>
      </w:r>
      <w:r w:rsidR="002408EE">
        <w:rPr>
          <w:rFonts w:eastAsiaTheme="minorHAnsi"/>
          <w:sz w:val="22"/>
          <w:lang w:eastAsia="en-US"/>
        </w:rPr>
        <w:t xml:space="preserve">analytical </w:t>
      </w:r>
      <w:r w:rsidR="008C24AA">
        <w:rPr>
          <w:rFonts w:eastAsiaTheme="minorHAnsi"/>
          <w:sz w:val="22"/>
          <w:lang w:eastAsia="en-US"/>
        </w:rPr>
        <w:t xml:space="preserve">NMR </w:t>
      </w:r>
      <w:r w:rsidR="002408EE">
        <w:rPr>
          <w:rFonts w:eastAsiaTheme="minorHAnsi"/>
          <w:sz w:val="22"/>
          <w:lang w:eastAsia="en-US"/>
        </w:rPr>
        <w:t xml:space="preserve">reports on the structure comparison of 2’-fucosyllactose and difucosyllactose produced by bacterial fermentation with </w:t>
      </w:r>
      <w:r w:rsidR="008C24AA">
        <w:rPr>
          <w:rFonts w:eastAsiaTheme="minorHAnsi"/>
          <w:sz w:val="22"/>
          <w:lang w:eastAsia="en-US"/>
        </w:rPr>
        <w:t xml:space="preserve">the </w:t>
      </w:r>
      <w:r w:rsidR="002408EE">
        <w:rPr>
          <w:rFonts w:eastAsiaTheme="minorHAnsi"/>
          <w:sz w:val="22"/>
          <w:lang w:eastAsia="en-US"/>
        </w:rPr>
        <w:t xml:space="preserve">2’-fucosyllactose and </w:t>
      </w:r>
      <w:r w:rsidR="008C24AA">
        <w:rPr>
          <w:rFonts w:eastAsiaTheme="minorHAnsi"/>
          <w:sz w:val="22"/>
          <w:lang w:eastAsia="en-US"/>
        </w:rPr>
        <w:t xml:space="preserve">the </w:t>
      </w:r>
      <w:r w:rsidR="002408EE">
        <w:rPr>
          <w:rFonts w:eastAsiaTheme="minorHAnsi"/>
          <w:sz w:val="22"/>
          <w:lang w:eastAsia="en-US"/>
        </w:rPr>
        <w:t xml:space="preserve">difucosyllactose present in human milk, the detailed characterisation data on the production bacterial strains, the specifications for the raw materials and processing aids, the certificates of analyses of the various </w:t>
      </w:r>
      <w:r w:rsidR="002408EE">
        <w:rPr>
          <w:rFonts w:eastAsiaTheme="minorHAnsi"/>
          <w:szCs w:val="24"/>
          <w:lang w:val="en-IE" w:eastAsia="en-US"/>
        </w:rPr>
        <w:t>2’-FL/DFL batches, the</w:t>
      </w:r>
      <w:r w:rsidR="002408EE">
        <w:rPr>
          <w:rFonts w:eastAsiaTheme="minorHAnsi"/>
          <w:sz w:val="22"/>
          <w:lang w:eastAsia="en-US"/>
        </w:rPr>
        <w:t xml:space="preserve"> </w:t>
      </w:r>
      <w:r w:rsidR="002408EE">
        <w:rPr>
          <w:rFonts w:eastAsiaTheme="minorHAnsi"/>
          <w:szCs w:val="24"/>
          <w:lang w:val="en-IE" w:eastAsia="en-US"/>
        </w:rPr>
        <w:t>bacterial reverse mutation t</w:t>
      </w:r>
      <w:r w:rsidR="002408EE" w:rsidRPr="00AD2117">
        <w:rPr>
          <w:rFonts w:eastAsiaTheme="minorHAnsi"/>
          <w:szCs w:val="24"/>
          <w:lang w:val="en-IE" w:eastAsia="en-US"/>
        </w:rPr>
        <w:t>est</w:t>
      </w:r>
      <w:r w:rsidR="002408EE">
        <w:rPr>
          <w:rFonts w:eastAsiaTheme="minorHAnsi"/>
          <w:szCs w:val="24"/>
          <w:lang w:val="en-IE" w:eastAsia="en-US"/>
        </w:rPr>
        <w:t xml:space="preserve"> with 2’-FL/DFL, the </w:t>
      </w:r>
      <w:r w:rsidR="002408EE" w:rsidRPr="00AD2117">
        <w:rPr>
          <w:rFonts w:eastAsiaTheme="minorHAnsi"/>
          <w:i/>
          <w:iCs/>
          <w:szCs w:val="24"/>
          <w:lang w:val="en-IE" w:eastAsia="en-US"/>
        </w:rPr>
        <w:t xml:space="preserve">in vitro </w:t>
      </w:r>
      <w:r w:rsidR="002408EE" w:rsidRPr="00AD2117">
        <w:rPr>
          <w:rFonts w:eastAsiaTheme="minorHAnsi"/>
          <w:szCs w:val="24"/>
          <w:lang w:val="en-IE" w:eastAsia="en-US"/>
        </w:rPr>
        <w:t>mammalian cell micronucleus test</w:t>
      </w:r>
      <w:r w:rsidR="002408EE">
        <w:rPr>
          <w:rFonts w:eastAsiaTheme="minorHAnsi"/>
          <w:szCs w:val="24"/>
          <w:lang w:val="en-IE" w:eastAsia="en-US"/>
        </w:rPr>
        <w:t xml:space="preserve"> with 2’-FL/DFL, the</w:t>
      </w:r>
      <w:r w:rsidR="002408EE" w:rsidRPr="00AD2117">
        <w:rPr>
          <w:rFonts w:eastAsiaTheme="minorHAnsi"/>
          <w:szCs w:val="24"/>
          <w:lang w:val="en-IE" w:eastAsia="en-US"/>
        </w:rPr>
        <w:t xml:space="preserve"> </w:t>
      </w:r>
      <w:r w:rsidR="002408EE" w:rsidRPr="008231C2">
        <w:rPr>
          <w:rFonts w:eastAsiaTheme="minorHAnsi"/>
          <w:szCs w:val="24"/>
          <w:lang w:val="en-IE" w:eastAsia="en-US"/>
        </w:rPr>
        <w:t>90</w:t>
      </w:r>
      <w:r w:rsidR="002408EE" w:rsidRPr="00AD2117">
        <w:rPr>
          <w:rFonts w:eastAsiaTheme="minorHAnsi"/>
          <w:szCs w:val="24"/>
          <w:lang w:val="en-IE" w:eastAsia="en-US"/>
        </w:rPr>
        <w:t>-day oral toxicity study in the neonatal rat</w:t>
      </w:r>
      <w:r w:rsidR="002408EE">
        <w:rPr>
          <w:rFonts w:eastAsiaTheme="minorHAnsi"/>
          <w:szCs w:val="24"/>
          <w:lang w:val="en-IE" w:eastAsia="en-US"/>
        </w:rPr>
        <w:t xml:space="preserve"> with 2’-FL/DFL</w:t>
      </w:r>
      <w:r w:rsidR="008C24AA">
        <w:rPr>
          <w:rFonts w:eastAsiaTheme="minorHAnsi"/>
          <w:szCs w:val="24"/>
          <w:lang w:val="en-IE" w:eastAsia="en-US"/>
        </w:rPr>
        <w:t>,</w:t>
      </w:r>
      <w:r w:rsidR="002408EE">
        <w:rPr>
          <w:rFonts w:eastAsiaTheme="minorHAnsi"/>
          <w:szCs w:val="24"/>
          <w:lang w:val="en-IE" w:eastAsia="en-US"/>
        </w:rPr>
        <w:t xml:space="preserve"> and the summary table of the statistically significant observations in the toxicity studies</w:t>
      </w:r>
      <w:r w:rsidRPr="00340C1B">
        <w:rPr>
          <w:rFonts w:eastAsiaTheme="minorHAnsi"/>
          <w:lang w:eastAsia="en-US"/>
        </w:rPr>
        <w:t>, and to clarify their claim to an exclusive right of reference to th</w:t>
      </w:r>
      <w:r w:rsidR="002408EE">
        <w:rPr>
          <w:rFonts w:eastAsiaTheme="minorHAnsi"/>
          <w:lang w:eastAsia="en-US"/>
        </w:rPr>
        <w:t>ese</w:t>
      </w:r>
      <w:r w:rsidRPr="00340C1B">
        <w:rPr>
          <w:rFonts w:eastAsiaTheme="minorHAnsi"/>
          <w:lang w:eastAsia="en-US"/>
        </w:rPr>
        <w:t xml:space="preserve"> </w:t>
      </w:r>
      <w:r w:rsidR="002408EE">
        <w:rPr>
          <w:rFonts w:eastAsiaTheme="minorHAnsi"/>
          <w:lang w:eastAsia="en-US"/>
        </w:rPr>
        <w:t xml:space="preserve">reports and </w:t>
      </w:r>
      <w:r w:rsidRPr="00340C1B">
        <w:rPr>
          <w:rFonts w:eastAsiaTheme="minorHAnsi"/>
          <w:lang w:eastAsia="en-US"/>
        </w:rPr>
        <w:t>stud</w:t>
      </w:r>
      <w:r w:rsidR="002408EE">
        <w:rPr>
          <w:rFonts w:eastAsiaTheme="minorHAnsi"/>
          <w:lang w:eastAsia="en-US"/>
        </w:rPr>
        <w:t>ies</w:t>
      </w:r>
      <w:r w:rsidRPr="00340C1B">
        <w:rPr>
          <w:rFonts w:eastAsiaTheme="minorHAnsi"/>
          <w:lang w:eastAsia="en-US"/>
        </w:rPr>
        <w:t xml:space="preserve">, as referred to in points (a) and (b) of Article 26 of Regulation (EU) 2015/2283. </w:t>
      </w:r>
    </w:p>
    <w:p w14:paraId="39A1C124" w14:textId="6B118817" w:rsidR="00340C1B" w:rsidRPr="00340C1B" w:rsidRDefault="002408EE" w:rsidP="00340C1B">
      <w:pPr>
        <w:numPr>
          <w:ilvl w:val="0"/>
          <w:numId w:val="1"/>
        </w:numPr>
        <w:rPr>
          <w:rFonts w:eastAsiaTheme="minorHAnsi"/>
          <w:lang w:eastAsia="en-US"/>
        </w:rPr>
      </w:pPr>
      <w:r>
        <w:rPr>
          <w:rFonts w:eastAsiaTheme="minorHAnsi"/>
          <w:lang w:eastAsia="en-US"/>
        </w:rPr>
        <w:t>The A</w:t>
      </w:r>
      <w:r w:rsidR="00340C1B" w:rsidRPr="00340C1B">
        <w:rPr>
          <w:rFonts w:eastAsiaTheme="minorHAnsi"/>
          <w:lang w:eastAsia="en-US"/>
        </w:rPr>
        <w:t>pplicant also declared that, at the time the application was submitted, they held proprietary and exclusive rights of reference to the study under national law and that therefore third parties could not lawfully access or use this study. The Commission assessed all the information provided by the app</w:t>
      </w:r>
      <w:r>
        <w:rPr>
          <w:rFonts w:eastAsiaTheme="minorHAnsi"/>
          <w:lang w:eastAsia="en-US"/>
        </w:rPr>
        <w:t>licant and considered that the A</w:t>
      </w:r>
      <w:r w:rsidR="00340C1B" w:rsidRPr="00340C1B">
        <w:rPr>
          <w:rFonts w:eastAsiaTheme="minorHAnsi"/>
          <w:lang w:eastAsia="en-US"/>
        </w:rPr>
        <w:t>pplicant has sufficiently substantiated the fulfilment of the requirements laid down in Article 26(2) of Regulation (EU) 2015/2283.</w:t>
      </w:r>
    </w:p>
    <w:p w14:paraId="0D7B51F5" w14:textId="4741A58D" w:rsidR="00340C1B" w:rsidRPr="00340C1B" w:rsidRDefault="00340C1B" w:rsidP="00340C1B">
      <w:pPr>
        <w:numPr>
          <w:ilvl w:val="0"/>
          <w:numId w:val="1"/>
        </w:numPr>
        <w:rPr>
          <w:rFonts w:eastAsiaTheme="minorHAnsi"/>
          <w:lang w:eastAsia="en-US"/>
        </w:rPr>
      </w:pPr>
      <w:r w:rsidRPr="00340C1B">
        <w:rPr>
          <w:rFonts w:eastAsiaTheme="minorHAnsi"/>
          <w:lang w:eastAsia="en-US"/>
        </w:rPr>
        <w:t xml:space="preserve">Accordingly, as provided for under Article 26(2) of Regulation (EU) 2015/2283, </w:t>
      </w:r>
      <w:r w:rsidR="002408EE">
        <w:rPr>
          <w:rFonts w:eastAsiaTheme="minorHAnsi"/>
          <w:lang w:eastAsia="en-US"/>
        </w:rPr>
        <w:t xml:space="preserve">the </w:t>
      </w:r>
      <w:r w:rsidR="008C24AA">
        <w:rPr>
          <w:rFonts w:eastAsiaTheme="minorHAnsi"/>
          <w:sz w:val="22"/>
          <w:lang w:eastAsia="en-US"/>
        </w:rPr>
        <w:t xml:space="preserve">NMR </w:t>
      </w:r>
      <w:r w:rsidR="002408EE">
        <w:rPr>
          <w:rFonts w:eastAsiaTheme="minorHAnsi"/>
          <w:sz w:val="22"/>
          <w:lang w:eastAsia="en-US"/>
        </w:rPr>
        <w:t xml:space="preserve">analytical reports on the structure comparison of 2’-fucosyllactose and difucosyllactose produced by bacterial fermentation with </w:t>
      </w:r>
      <w:r w:rsidR="008C24AA">
        <w:rPr>
          <w:rFonts w:eastAsiaTheme="minorHAnsi"/>
          <w:sz w:val="22"/>
          <w:lang w:eastAsia="en-US"/>
        </w:rPr>
        <w:t xml:space="preserve">the </w:t>
      </w:r>
      <w:r w:rsidR="002408EE">
        <w:rPr>
          <w:rFonts w:eastAsiaTheme="minorHAnsi"/>
          <w:sz w:val="22"/>
          <w:lang w:eastAsia="en-US"/>
        </w:rPr>
        <w:t xml:space="preserve">2’-fucosyllactose and </w:t>
      </w:r>
      <w:r w:rsidR="008C24AA">
        <w:rPr>
          <w:rFonts w:eastAsiaTheme="minorHAnsi"/>
          <w:sz w:val="22"/>
          <w:lang w:eastAsia="en-US"/>
        </w:rPr>
        <w:t xml:space="preserve">the </w:t>
      </w:r>
      <w:r w:rsidR="002408EE">
        <w:rPr>
          <w:rFonts w:eastAsiaTheme="minorHAnsi"/>
          <w:sz w:val="22"/>
          <w:lang w:eastAsia="en-US"/>
        </w:rPr>
        <w:t xml:space="preserve">difucosyllactose </w:t>
      </w:r>
      <w:r w:rsidR="008C24AA">
        <w:rPr>
          <w:rFonts w:eastAsiaTheme="minorHAnsi"/>
          <w:sz w:val="22"/>
          <w:lang w:eastAsia="en-US"/>
        </w:rPr>
        <w:t xml:space="preserve">naturally </w:t>
      </w:r>
      <w:r w:rsidR="002408EE">
        <w:rPr>
          <w:rFonts w:eastAsiaTheme="minorHAnsi"/>
          <w:sz w:val="22"/>
          <w:lang w:eastAsia="en-US"/>
        </w:rPr>
        <w:t xml:space="preserve">present in human milk, the detailed characterisation data on the production bacterial strains, the specifications for the raw materials and processing aids, the certificates of analyses of the various </w:t>
      </w:r>
      <w:r w:rsidR="002408EE">
        <w:rPr>
          <w:rFonts w:eastAsiaTheme="minorHAnsi"/>
          <w:szCs w:val="24"/>
          <w:lang w:val="en-IE" w:eastAsia="en-US"/>
        </w:rPr>
        <w:t>2’-FL/DFL batches, the</w:t>
      </w:r>
      <w:r w:rsidR="002408EE">
        <w:rPr>
          <w:rFonts w:eastAsiaTheme="minorHAnsi"/>
          <w:sz w:val="22"/>
          <w:lang w:eastAsia="en-US"/>
        </w:rPr>
        <w:t xml:space="preserve"> </w:t>
      </w:r>
      <w:r w:rsidR="002408EE">
        <w:rPr>
          <w:rFonts w:eastAsiaTheme="minorHAnsi"/>
          <w:szCs w:val="24"/>
          <w:lang w:val="en-IE" w:eastAsia="en-US"/>
        </w:rPr>
        <w:t>bacterial reverse mutation t</w:t>
      </w:r>
      <w:r w:rsidR="002408EE" w:rsidRPr="00AD2117">
        <w:rPr>
          <w:rFonts w:eastAsiaTheme="minorHAnsi"/>
          <w:szCs w:val="24"/>
          <w:lang w:val="en-IE" w:eastAsia="en-US"/>
        </w:rPr>
        <w:t>est</w:t>
      </w:r>
      <w:r w:rsidR="002408EE">
        <w:rPr>
          <w:rFonts w:eastAsiaTheme="minorHAnsi"/>
          <w:szCs w:val="24"/>
          <w:lang w:val="en-IE" w:eastAsia="en-US"/>
        </w:rPr>
        <w:t xml:space="preserve"> with 2’-FL/DFL, the </w:t>
      </w:r>
      <w:r w:rsidR="002408EE" w:rsidRPr="00AD2117">
        <w:rPr>
          <w:rFonts w:eastAsiaTheme="minorHAnsi"/>
          <w:i/>
          <w:iCs/>
          <w:szCs w:val="24"/>
          <w:lang w:val="en-IE" w:eastAsia="en-US"/>
        </w:rPr>
        <w:t xml:space="preserve">in vitro </w:t>
      </w:r>
      <w:r w:rsidR="002408EE" w:rsidRPr="00AD2117">
        <w:rPr>
          <w:rFonts w:eastAsiaTheme="minorHAnsi"/>
          <w:szCs w:val="24"/>
          <w:lang w:val="en-IE" w:eastAsia="en-US"/>
        </w:rPr>
        <w:t>mammalian cell micronucleus test</w:t>
      </w:r>
      <w:r w:rsidR="002408EE">
        <w:rPr>
          <w:rFonts w:eastAsiaTheme="minorHAnsi"/>
          <w:szCs w:val="24"/>
          <w:lang w:val="en-IE" w:eastAsia="en-US"/>
        </w:rPr>
        <w:t xml:space="preserve"> with 2’-FL/DFL, the</w:t>
      </w:r>
      <w:r w:rsidR="002408EE" w:rsidRPr="00AD2117">
        <w:rPr>
          <w:rFonts w:eastAsiaTheme="minorHAnsi"/>
          <w:szCs w:val="24"/>
          <w:lang w:val="en-IE" w:eastAsia="en-US"/>
        </w:rPr>
        <w:t xml:space="preserve"> </w:t>
      </w:r>
      <w:r w:rsidR="002408EE" w:rsidRPr="008231C2">
        <w:rPr>
          <w:rFonts w:eastAsiaTheme="minorHAnsi"/>
          <w:szCs w:val="24"/>
          <w:lang w:val="en-IE" w:eastAsia="en-US"/>
        </w:rPr>
        <w:t>90</w:t>
      </w:r>
      <w:r w:rsidR="002408EE" w:rsidRPr="00AD2117">
        <w:rPr>
          <w:rFonts w:eastAsiaTheme="minorHAnsi"/>
          <w:szCs w:val="24"/>
          <w:lang w:val="en-IE" w:eastAsia="en-US"/>
        </w:rPr>
        <w:t>-day oral toxicity study in the neonatal rat</w:t>
      </w:r>
      <w:r w:rsidR="002408EE">
        <w:rPr>
          <w:rFonts w:eastAsiaTheme="minorHAnsi"/>
          <w:szCs w:val="24"/>
          <w:lang w:val="en-IE" w:eastAsia="en-US"/>
        </w:rPr>
        <w:t xml:space="preserve"> with 2’-FL/DFL</w:t>
      </w:r>
      <w:r w:rsidR="008C24AA">
        <w:rPr>
          <w:rFonts w:eastAsiaTheme="minorHAnsi"/>
          <w:szCs w:val="24"/>
          <w:lang w:val="en-IE" w:eastAsia="en-US"/>
        </w:rPr>
        <w:t>,</w:t>
      </w:r>
      <w:r w:rsidR="002408EE">
        <w:rPr>
          <w:rFonts w:eastAsiaTheme="minorHAnsi"/>
          <w:szCs w:val="24"/>
          <w:lang w:val="en-IE" w:eastAsia="en-US"/>
        </w:rPr>
        <w:t xml:space="preserve"> and the summary table of the </w:t>
      </w:r>
      <w:r w:rsidR="002408EE">
        <w:rPr>
          <w:rFonts w:eastAsiaTheme="minorHAnsi"/>
          <w:szCs w:val="24"/>
          <w:lang w:val="en-IE" w:eastAsia="en-US"/>
        </w:rPr>
        <w:lastRenderedPageBreak/>
        <w:t>statistically significant observations in the toxicity studies</w:t>
      </w:r>
      <w:r w:rsidR="008C24AA">
        <w:rPr>
          <w:rFonts w:eastAsiaTheme="minorHAnsi"/>
          <w:lang w:eastAsia="en-US"/>
        </w:rPr>
        <w:t xml:space="preserve"> contained in the A</w:t>
      </w:r>
      <w:r w:rsidRPr="00340C1B">
        <w:rPr>
          <w:rFonts w:eastAsiaTheme="minorHAnsi"/>
          <w:lang w:eastAsia="en-US"/>
        </w:rPr>
        <w:t>pplicant's file, and without which the novel food could not have been assessed by the Authority, should not be used by the Authority for the benefit of a subsequent applicant for a period of five years from the date of entry into force of this Regulation. As a consequence, the placing on the market within the Union of the novel food authorised by this Regulati</w:t>
      </w:r>
      <w:r w:rsidR="002408EE">
        <w:rPr>
          <w:rFonts w:eastAsiaTheme="minorHAnsi"/>
          <w:lang w:eastAsia="en-US"/>
        </w:rPr>
        <w:t>on should be restricted to the A</w:t>
      </w:r>
      <w:r w:rsidRPr="00340C1B">
        <w:rPr>
          <w:rFonts w:eastAsiaTheme="minorHAnsi"/>
          <w:lang w:eastAsia="en-US"/>
        </w:rPr>
        <w:t>pplicant for a period of five years.</w:t>
      </w:r>
    </w:p>
    <w:p w14:paraId="0970F43A" w14:textId="55414F29" w:rsidR="00340C1B" w:rsidRPr="002408EE" w:rsidRDefault="00340C1B" w:rsidP="002408EE">
      <w:pPr>
        <w:numPr>
          <w:ilvl w:val="0"/>
          <w:numId w:val="1"/>
        </w:numPr>
        <w:rPr>
          <w:rFonts w:eastAsiaTheme="minorHAnsi"/>
          <w:lang w:eastAsia="en-US"/>
        </w:rPr>
      </w:pPr>
      <w:r w:rsidRPr="00340C1B">
        <w:rPr>
          <w:rFonts w:eastAsiaTheme="minorHAnsi"/>
          <w:lang w:eastAsia="en-US"/>
        </w:rPr>
        <w:t xml:space="preserve">However, restricting the authorisation of this novel food and of the reference to the </w:t>
      </w:r>
      <w:r w:rsidR="002408EE">
        <w:rPr>
          <w:rFonts w:eastAsiaTheme="minorHAnsi"/>
          <w:sz w:val="22"/>
          <w:lang w:eastAsia="en-US"/>
        </w:rPr>
        <w:t xml:space="preserve">analytical </w:t>
      </w:r>
      <w:r w:rsidR="008C24AA">
        <w:rPr>
          <w:rFonts w:eastAsiaTheme="minorHAnsi"/>
          <w:sz w:val="22"/>
          <w:lang w:eastAsia="en-US"/>
        </w:rPr>
        <w:t xml:space="preserve">NMR </w:t>
      </w:r>
      <w:r w:rsidR="002408EE">
        <w:rPr>
          <w:rFonts w:eastAsiaTheme="minorHAnsi"/>
          <w:sz w:val="22"/>
          <w:lang w:eastAsia="en-US"/>
        </w:rPr>
        <w:t xml:space="preserve">reports on the structure comparison of 2’-fucosyllactose and difucosyllactose produced by bacterial fermentation with </w:t>
      </w:r>
      <w:r w:rsidR="008C24AA">
        <w:rPr>
          <w:rFonts w:eastAsiaTheme="minorHAnsi"/>
          <w:sz w:val="22"/>
          <w:lang w:eastAsia="en-US"/>
        </w:rPr>
        <w:t xml:space="preserve">the </w:t>
      </w:r>
      <w:r w:rsidR="002408EE">
        <w:rPr>
          <w:rFonts w:eastAsiaTheme="minorHAnsi"/>
          <w:sz w:val="22"/>
          <w:lang w:eastAsia="en-US"/>
        </w:rPr>
        <w:t xml:space="preserve">2’-fucosyllactose and </w:t>
      </w:r>
      <w:r w:rsidR="008C24AA">
        <w:rPr>
          <w:rFonts w:eastAsiaTheme="minorHAnsi"/>
          <w:sz w:val="22"/>
          <w:lang w:eastAsia="en-US"/>
        </w:rPr>
        <w:t xml:space="preserve">the </w:t>
      </w:r>
      <w:r w:rsidR="002408EE">
        <w:rPr>
          <w:rFonts w:eastAsiaTheme="minorHAnsi"/>
          <w:sz w:val="22"/>
          <w:lang w:eastAsia="en-US"/>
        </w:rPr>
        <w:t xml:space="preserve">difucosyllactose </w:t>
      </w:r>
      <w:r w:rsidR="008C24AA">
        <w:rPr>
          <w:rFonts w:eastAsiaTheme="minorHAnsi"/>
          <w:sz w:val="22"/>
          <w:lang w:eastAsia="en-US"/>
        </w:rPr>
        <w:t xml:space="preserve">naturally </w:t>
      </w:r>
      <w:r w:rsidR="002408EE">
        <w:rPr>
          <w:rFonts w:eastAsiaTheme="minorHAnsi"/>
          <w:sz w:val="22"/>
          <w:lang w:eastAsia="en-US"/>
        </w:rPr>
        <w:t xml:space="preserve">present in human milk, the detailed characterisation data on the production bacterial strains, the specifications for the raw materials and processing aids, the certificates of analyses of the various </w:t>
      </w:r>
      <w:r w:rsidR="002408EE">
        <w:rPr>
          <w:rFonts w:eastAsiaTheme="minorHAnsi"/>
          <w:szCs w:val="24"/>
          <w:lang w:val="en-IE" w:eastAsia="en-US"/>
        </w:rPr>
        <w:t>2’-FL/DFL batches, the</w:t>
      </w:r>
      <w:r w:rsidR="002408EE">
        <w:rPr>
          <w:rFonts w:eastAsiaTheme="minorHAnsi"/>
          <w:sz w:val="22"/>
          <w:lang w:eastAsia="en-US"/>
        </w:rPr>
        <w:t xml:space="preserve"> </w:t>
      </w:r>
      <w:r w:rsidR="002408EE">
        <w:rPr>
          <w:rFonts w:eastAsiaTheme="minorHAnsi"/>
          <w:szCs w:val="24"/>
          <w:lang w:val="en-IE" w:eastAsia="en-US"/>
        </w:rPr>
        <w:t>bacterial reverse mutation t</w:t>
      </w:r>
      <w:r w:rsidR="002408EE" w:rsidRPr="00AD2117">
        <w:rPr>
          <w:rFonts w:eastAsiaTheme="minorHAnsi"/>
          <w:szCs w:val="24"/>
          <w:lang w:val="en-IE" w:eastAsia="en-US"/>
        </w:rPr>
        <w:t>est</w:t>
      </w:r>
      <w:r w:rsidR="002408EE">
        <w:rPr>
          <w:rFonts w:eastAsiaTheme="minorHAnsi"/>
          <w:szCs w:val="24"/>
          <w:lang w:val="en-IE" w:eastAsia="en-US"/>
        </w:rPr>
        <w:t xml:space="preserve"> with 2’-FL/DFL, the </w:t>
      </w:r>
      <w:r w:rsidR="002408EE" w:rsidRPr="00AD2117">
        <w:rPr>
          <w:rFonts w:eastAsiaTheme="minorHAnsi"/>
          <w:i/>
          <w:iCs/>
          <w:szCs w:val="24"/>
          <w:lang w:val="en-IE" w:eastAsia="en-US"/>
        </w:rPr>
        <w:t xml:space="preserve">in vitro </w:t>
      </w:r>
      <w:r w:rsidR="002408EE" w:rsidRPr="00AD2117">
        <w:rPr>
          <w:rFonts w:eastAsiaTheme="minorHAnsi"/>
          <w:szCs w:val="24"/>
          <w:lang w:val="en-IE" w:eastAsia="en-US"/>
        </w:rPr>
        <w:t>mammalian cell micronucleus test</w:t>
      </w:r>
      <w:r w:rsidR="002408EE">
        <w:rPr>
          <w:rFonts w:eastAsiaTheme="minorHAnsi"/>
          <w:szCs w:val="24"/>
          <w:lang w:val="en-IE" w:eastAsia="en-US"/>
        </w:rPr>
        <w:t xml:space="preserve"> with 2’-FL/DFL, the</w:t>
      </w:r>
      <w:r w:rsidR="002408EE" w:rsidRPr="00AD2117">
        <w:rPr>
          <w:rFonts w:eastAsiaTheme="minorHAnsi"/>
          <w:szCs w:val="24"/>
          <w:lang w:val="en-IE" w:eastAsia="en-US"/>
        </w:rPr>
        <w:t xml:space="preserve"> </w:t>
      </w:r>
      <w:r w:rsidR="002408EE" w:rsidRPr="008231C2">
        <w:rPr>
          <w:rFonts w:eastAsiaTheme="minorHAnsi"/>
          <w:szCs w:val="24"/>
          <w:lang w:val="en-IE" w:eastAsia="en-US"/>
        </w:rPr>
        <w:t>90</w:t>
      </w:r>
      <w:r w:rsidR="002408EE" w:rsidRPr="00AD2117">
        <w:rPr>
          <w:rFonts w:eastAsiaTheme="minorHAnsi"/>
          <w:szCs w:val="24"/>
          <w:lang w:val="en-IE" w:eastAsia="en-US"/>
        </w:rPr>
        <w:t>-day oral toxicity study in the neonatal rat</w:t>
      </w:r>
      <w:r w:rsidR="002408EE">
        <w:rPr>
          <w:rFonts w:eastAsiaTheme="minorHAnsi"/>
          <w:szCs w:val="24"/>
          <w:lang w:val="en-IE" w:eastAsia="en-US"/>
        </w:rPr>
        <w:t xml:space="preserve"> with 2’-FL/DFL, and the summary table of the statistically significant observations in the toxicity studies</w:t>
      </w:r>
      <w:r w:rsidR="008C24AA">
        <w:rPr>
          <w:rFonts w:eastAsiaTheme="minorHAnsi"/>
          <w:lang w:eastAsia="en-US"/>
        </w:rPr>
        <w:t xml:space="preserve"> contained in the A</w:t>
      </w:r>
      <w:r w:rsidRPr="00340C1B">
        <w:rPr>
          <w:rFonts w:eastAsiaTheme="minorHAnsi"/>
          <w:lang w:eastAsia="en-US"/>
        </w:rPr>
        <w:t>pplicant's file</w:t>
      </w:r>
      <w:r w:rsidR="002408EE">
        <w:rPr>
          <w:rFonts w:eastAsiaTheme="minorHAnsi"/>
          <w:lang w:eastAsia="en-US"/>
        </w:rPr>
        <w:t>,</w:t>
      </w:r>
      <w:r w:rsidRPr="00340C1B">
        <w:rPr>
          <w:rFonts w:eastAsiaTheme="minorHAnsi"/>
          <w:lang w:eastAsia="en-US"/>
        </w:rPr>
        <w:t xml:space="preserve"> for the sole use of the </w:t>
      </w:r>
      <w:r w:rsidR="002408EE">
        <w:rPr>
          <w:rFonts w:eastAsiaTheme="minorHAnsi"/>
          <w:lang w:eastAsia="en-US"/>
        </w:rPr>
        <w:t>A</w:t>
      </w:r>
      <w:r w:rsidRPr="00340C1B">
        <w:rPr>
          <w:rFonts w:eastAsiaTheme="minorHAnsi"/>
          <w:lang w:eastAsia="en-US"/>
        </w:rPr>
        <w:t>pplicant</w:t>
      </w:r>
      <w:r w:rsidR="008C24AA">
        <w:rPr>
          <w:rFonts w:eastAsiaTheme="minorHAnsi"/>
          <w:lang w:eastAsia="en-US"/>
        </w:rPr>
        <w:t>,</w:t>
      </w:r>
      <w:r w:rsidRPr="00340C1B">
        <w:rPr>
          <w:rFonts w:eastAsiaTheme="minorHAnsi"/>
          <w:lang w:eastAsia="en-US"/>
        </w:rPr>
        <w:t xml:space="preserve"> does not prevent other applicants from applying for an authorisation to place on the market the same novel food provided that their application is based on legally obtained information supporting the authorisation under this Regulation. </w:t>
      </w:r>
    </w:p>
    <w:p w14:paraId="4D56027A" w14:textId="493237F3" w:rsidR="00340C1B" w:rsidRDefault="00340C1B" w:rsidP="00340C1B">
      <w:pPr>
        <w:numPr>
          <w:ilvl w:val="0"/>
          <w:numId w:val="1"/>
        </w:numPr>
        <w:rPr>
          <w:rFonts w:eastAsiaTheme="minorHAnsi"/>
          <w:lang w:eastAsia="en-US"/>
        </w:rPr>
      </w:pPr>
      <w:r w:rsidRPr="00340C1B">
        <w:rPr>
          <w:rFonts w:eastAsiaTheme="minorHAnsi"/>
          <w:szCs w:val="24"/>
          <w:lang w:eastAsia="en-US"/>
        </w:rPr>
        <w:t xml:space="preserve">Regulation (EU) No 609/2013 </w:t>
      </w:r>
      <w:r w:rsidRPr="00340C1B">
        <w:rPr>
          <w:rFonts w:eastAsiaTheme="minorHAnsi"/>
        </w:rPr>
        <w:t>of the European Parliament and of the Council</w:t>
      </w:r>
      <w:r w:rsidRPr="00340C1B">
        <w:rPr>
          <w:rFonts w:eastAsia="Times New Roman"/>
          <w:szCs w:val="24"/>
          <w:vertAlign w:val="superscript"/>
          <w:lang w:eastAsia="en-US"/>
        </w:rPr>
        <w:footnoteReference w:id="24"/>
      </w:r>
      <w:r w:rsidRPr="00340C1B">
        <w:rPr>
          <w:rFonts w:eastAsiaTheme="minorHAnsi"/>
        </w:rPr>
        <w:t xml:space="preserve"> lays down requirements </w:t>
      </w:r>
      <w:r w:rsidRPr="00340C1B">
        <w:rPr>
          <w:rFonts w:eastAsia="Times New Roman"/>
        </w:rPr>
        <w:t xml:space="preserve">on food intended for infants and young children, food for special medical purposes, and total diet replacement for weight control.  </w:t>
      </w:r>
      <w:r w:rsidRPr="00340C1B">
        <w:rPr>
          <w:rFonts w:eastAsiaTheme="minorHAnsi"/>
          <w:szCs w:val="24"/>
          <w:lang w:eastAsia="en-US"/>
        </w:rPr>
        <w:t xml:space="preserve">The use of </w:t>
      </w:r>
      <w:r w:rsidR="008C24AA">
        <w:rPr>
          <w:rFonts w:eastAsiaTheme="minorHAnsi"/>
          <w:lang w:eastAsia="en-US"/>
        </w:rPr>
        <w:t>the 2’fucosyllactose and difucosyllactose mixture</w:t>
      </w:r>
      <w:r w:rsidRPr="00340C1B">
        <w:rPr>
          <w:rFonts w:eastAsiaTheme="minorHAnsi"/>
          <w:lang w:eastAsia="en-US"/>
        </w:rPr>
        <w:t xml:space="preserve"> </w:t>
      </w:r>
      <w:r w:rsidRPr="00340C1B">
        <w:rPr>
          <w:rFonts w:eastAsiaTheme="minorHAnsi"/>
          <w:szCs w:val="24"/>
          <w:lang w:eastAsia="en-US"/>
        </w:rPr>
        <w:t>should be authorised without prejudice to that Regulation.</w:t>
      </w:r>
      <w:r w:rsidRPr="00340C1B">
        <w:rPr>
          <w:rFonts w:eastAsiaTheme="minorHAnsi"/>
        </w:rPr>
        <w:t xml:space="preserve"> </w:t>
      </w:r>
    </w:p>
    <w:p w14:paraId="1F6FA215" w14:textId="1DC84BB6" w:rsidR="008C24AA" w:rsidRPr="00340C1B" w:rsidRDefault="008C24AA" w:rsidP="00340C1B">
      <w:pPr>
        <w:numPr>
          <w:ilvl w:val="0"/>
          <w:numId w:val="1"/>
        </w:numPr>
        <w:rPr>
          <w:rFonts w:eastAsiaTheme="minorHAnsi"/>
          <w:lang w:eastAsia="en-US"/>
        </w:rPr>
      </w:pPr>
      <w:r w:rsidRPr="00871682">
        <w:rPr>
          <w:szCs w:val="24"/>
        </w:rPr>
        <w:t xml:space="preserve">Directive 2002/46/EC lays down requirements on food supplements. </w:t>
      </w:r>
      <w:r w:rsidRPr="00340C1B">
        <w:rPr>
          <w:rFonts w:eastAsiaTheme="minorHAnsi"/>
          <w:szCs w:val="24"/>
          <w:lang w:eastAsia="en-US"/>
        </w:rPr>
        <w:t xml:space="preserve">The use of </w:t>
      </w:r>
      <w:r>
        <w:rPr>
          <w:rFonts w:eastAsiaTheme="minorHAnsi"/>
          <w:lang w:eastAsia="en-US"/>
        </w:rPr>
        <w:t>the 2’fucosyllactose and difucosyllactose mixture</w:t>
      </w:r>
      <w:r w:rsidRPr="00340C1B">
        <w:rPr>
          <w:rFonts w:eastAsiaTheme="minorHAnsi"/>
          <w:lang w:eastAsia="en-US"/>
        </w:rPr>
        <w:t xml:space="preserve"> </w:t>
      </w:r>
      <w:r w:rsidRPr="00340C1B">
        <w:rPr>
          <w:rFonts w:eastAsiaTheme="minorHAnsi"/>
          <w:szCs w:val="24"/>
          <w:lang w:eastAsia="en-US"/>
        </w:rPr>
        <w:t>should be authorised without prejudice to that</w:t>
      </w:r>
      <w:r w:rsidRPr="00871682">
        <w:rPr>
          <w:szCs w:val="24"/>
        </w:rPr>
        <w:t xml:space="preserve"> Directive.</w:t>
      </w:r>
    </w:p>
    <w:p w14:paraId="77A9DF01" w14:textId="77777777" w:rsidR="00340C1B" w:rsidRPr="00340C1B" w:rsidRDefault="00340C1B" w:rsidP="00340C1B">
      <w:pPr>
        <w:numPr>
          <w:ilvl w:val="0"/>
          <w:numId w:val="1"/>
        </w:numPr>
        <w:rPr>
          <w:rFonts w:eastAsiaTheme="minorHAnsi"/>
          <w:lang w:eastAsia="en-US"/>
        </w:rPr>
      </w:pPr>
      <w:r w:rsidRPr="00340C1B">
        <w:rPr>
          <w:rFonts w:eastAsiaTheme="minorHAnsi"/>
        </w:rPr>
        <w:t>The measures provided for in this Regulation are in accordance with the opinion of the Standing Committee on Plants, Animals, Food and Feed,</w:t>
      </w:r>
    </w:p>
    <w:p w14:paraId="4ADD1DA7" w14:textId="77777777" w:rsidR="00340C1B" w:rsidRPr="00340C1B" w:rsidRDefault="00340C1B" w:rsidP="00340C1B">
      <w:pPr>
        <w:keepNext/>
        <w:rPr>
          <w:rFonts w:eastAsiaTheme="minorHAnsi"/>
        </w:rPr>
      </w:pPr>
      <w:r w:rsidRPr="00340C1B">
        <w:rPr>
          <w:rFonts w:eastAsiaTheme="minorHAnsi"/>
        </w:rPr>
        <w:t xml:space="preserve">HAS ADOPTED THIS REGULATION: </w:t>
      </w:r>
    </w:p>
    <w:p w14:paraId="1FC765EA" w14:textId="77777777" w:rsidR="00340C1B" w:rsidRPr="00340C1B" w:rsidRDefault="00340C1B" w:rsidP="00340C1B">
      <w:pPr>
        <w:keepNext/>
        <w:spacing w:before="360"/>
        <w:jc w:val="center"/>
        <w:rPr>
          <w:rFonts w:eastAsiaTheme="minorHAnsi"/>
        </w:rPr>
      </w:pPr>
      <w:r w:rsidRPr="00340C1B">
        <w:rPr>
          <w:rFonts w:eastAsiaTheme="minorHAnsi"/>
          <w:i/>
        </w:rPr>
        <w:t>Article 1</w:t>
      </w:r>
    </w:p>
    <w:p w14:paraId="3F9D781B" w14:textId="51AA0947" w:rsidR="00340C1B" w:rsidRPr="00340C1B" w:rsidRDefault="00340C1B" w:rsidP="00340C1B">
      <w:pPr>
        <w:ind w:left="850" w:hanging="850"/>
        <w:rPr>
          <w:rFonts w:eastAsiaTheme="minorHAnsi"/>
          <w:lang w:eastAsia="en-US"/>
        </w:rPr>
      </w:pPr>
      <w:r w:rsidRPr="00340C1B">
        <w:rPr>
          <w:rFonts w:eastAsiaTheme="minorHAnsi"/>
          <w:lang w:eastAsia="en-US"/>
        </w:rPr>
        <w:t>1.</w:t>
      </w:r>
      <w:r w:rsidRPr="00340C1B">
        <w:rPr>
          <w:rFonts w:eastAsiaTheme="minorHAnsi"/>
          <w:lang w:eastAsia="en-US"/>
        </w:rPr>
        <w:tab/>
      </w:r>
      <w:r w:rsidR="002408EE">
        <w:rPr>
          <w:rFonts w:eastAsiaTheme="minorHAnsi"/>
          <w:lang w:eastAsia="en-US"/>
        </w:rPr>
        <w:t xml:space="preserve">The </w:t>
      </w:r>
      <w:r w:rsidR="002408EE" w:rsidRPr="004E0D9B">
        <w:rPr>
          <w:rFonts w:eastAsiaTheme="minorHAnsi"/>
          <w:lang w:eastAsia="en-US"/>
        </w:rPr>
        <w:t>2’-fucosyllactose/difucosyllactose mixture</w:t>
      </w:r>
      <w:r w:rsidR="002408EE" w:rsidRPr="00340C1B">
        <w:rPr>
          <w:rFonts w:eastAsiaTheme="minorHAnsi"/>
          <w:lang w:eastAsia="en-US"/>
        </w:rPr>
        <w:t xml:space="preserve"> </w:t>
      </w:r>
      <w:r w:rsidRPr="00340C1B">
        <w:rPr>
          <w:rFonts w:eastAsiaTheme="minorHAnsi"/>
          <w:lang w:eastAsia="en-US"/>
        </w:rPr>
        <w:t xml:space="preserve">as specified in the Annex to this Regulation shall be included in the Union list of authorised novel foods established in Implementing Regulation (EU) 2017/2470. </w:t>
      </w:r>
    </w:p>
    <w:p w14:paraId="17158332" w14:textId="77777777" w:rsidR="00340C1B" w:rsidRPr="00340C1B" w:rsidRDefault="00340C1B" w:rsidP="00340C1B">
      <w:pPr>
        <w:ind w:left="850" w:hanging="850"/>
        <w:rPr>
          <w:rFonts w:eastAsiaTheme="minorHAnsi"/>
          <w:lang w:eastAsia="en-US"/>
        </w:rPr>
      </w:pPr>
      <w:r w:rsidRPr="00340C1B">
        <w:rPr>
          <w:rFonts w:eastAsiaTheme="minorHAnsi"/>
        </w:rPr>
        <w:t>2.</w:t>
      </w:r>
      <w:r w:rsidRPr="00340C1B">
        <w:rPr>
          <w:rFonts w:eastAsiaTheme="minorHAnsi"/>
        </w:rPr>
        <w:tab/>
        <w:t>For a period of five years from the date of entry into force of this Regulation only the applicant:</w:t>
      </w:r>
    </w:p>
    <w:p w14:paraId="2F56D168" w14:textId="0620963A" w:rsidR="00340C1B" w:rsidRPr="00340C1B" w:rsidRDefault="00340C1B" w:rsidP="00340C1B">
      <w:pPr>
        <w:numPr>
          <w:ilvl w:val="0"/>
          <w:numId w:val="7"/>
        </w:numPr>
        <w:rPr>
          <w:rFonts w:eastAsiaTheme="minorHAnsi"/>
        </w:rPr>
      </w:pPr>
      <w:r w:rsidRPr="00340C1B">
        <w:rPr>
          <w:rFonts w:eastAsiaTheme="minorHAnsi"/>
        </w:rPr>
        <w:t xml:space="preserve">Company: </w:t>
      </w:r>
      <w:r w:rsidR="002408EE">
        <w:t>Glycom A/S.</w:t>
      </w:r>
    </w:p>
    <w:p w14:paraId="30AC5E1F" w14:textId="00790D36" w:rsidR="00340C1B" w:rsidRPr="002408EE" w:rsidRDefault="00340C1B" w:rsidP="00340C1B">
      <w:pPr>
        <w:numPr>
          <w:ilvl w:val="0"/>
          <w:numId w:val="7"/>
        </w:numPr>
        <w:rPr>
          <w:rFonts w:eastAsiaTheme="minorHAnsi"/>
          <w:lang w:val="en-IE"/>
        </w:rPr>
      </w:pPr>
      <w:r w:rsidRPr="002408EE">
        <w:rPr>
          <w:rFonts w:eastAsiaTheme="minorHAnsi"/>
          <w:lang w:val="en-IE"/>
        </w:rPr>
        <w:t xml:space="preserve">Address: </w:t>
      </w:r>
      <w:r w:rsidR="002408EE">
        <w:t>Kogle Allé 4, DK-2970 Hørsholm, Denmark</w:t>
      </w:r>
      <w:r w:rsidRPr="002408EE">
        <w:rPr>
          <w:rFonts w:eastAsiaTheme="minorHAnsi"/>
          <w:lang w:val="en-IE"/>
        </w:rPr>
        <w:t>;</w:t>
      </w:r>
    </w:p>
    <w:p w14:paraId="5FA38ED8" w14:textId="3B6711F0" w:rsidR="00340C1B" w:rsidRPr="00340C1B" w:rsidRDefault="00340C1B" w:rsidP="00340C1B">
      <w:pPr>
        <w:ind w:left="850"/>
        <w:rPr>
          <w:rFonts w:eastAsiaTheme="minorHAnsi"/>
        </w:rPr>
      </w:pPr>
      <w:r w:rsidRPr="00340C1B">
        <w:rPr>
          <w:rFonts w:eastAsiaTheme="minorHAnsi"/>
        </w:rPr>
        <w:lastRenderedPageBreak/>
        <w:t xml:space="preserve">is authorised to place on the market within the Union the novel food </w:t>
      </w:r>
      <w:r w:rsidRPr="00340C1B">
        <w:t>referred to in paragraph 1</w:t>
      </w:r>
      <w:r w:rsidRPr="00340C1B">
        <w:rPr>
          <w:rFonts w:eastAsiaTheme="minorHAnsi"/>
        </w:rPr>
        <w:t xml:space="preserve">, unless a subsequent applicant obtains authorisation for the novel food without reference to the data protected pursuant to Article 2 to this Regulation or with the agreement of </w:t>
      </w:r>
      <w:r w:rsidR="002408EE">
        <w:t>Glycom A/S</w:t>
      </w:r>
      <w:r w:rsidRPr="00340C1B">
        <w:rPr>
          <w:rFonts w:eastAsiaTheme="minorHAnsi"/>
          <w:lang w:eastAsia="en-US"/>
        </w:rPr>
        <w:t>.</w:t>
      </w:r>
    </w:p>
    <w:p w14:paraId="20ABEE87" w14:textId="77777777" w:rsidR="00340C1B" w:rsidRPr="00340C1B" w:rsidRDefault="00340C1B" w:rsidP="00340C1B">
      <w:pPr>
        <w:ind w:left="850" w:hanging="850"/>
        <w:rPr>
          <w:rFonts w:eastAsia="Times New Roman"/>
        </w:rPr>
      </w:pPr>
      <w:r w:rsidRPr="00340C1B">
        <w:rPr>
          <w:rFonts w:eastAsiaTheme="minorHAnsi"/>
          <w:szCs w:val="24"/>
          <w:lang w:eastAsia="en-US"/>
        </w:rPr>
        <w:t>3.</w:t>
      </w:r>
      <w:r w:rsidRPr="00340C1B">
        <w:rPr>
          <w:rFonts w:eastAsiaTheme="minorHAnsi"/>
          <w:szCs w:val="24"/>
          <w:lang w:eastAsia="en-US"/>
        </w:rPr>
        <w:tab/>
        <w:t xml:space="preserve">The entry in the Union list referred to in the first paragraph shall include the conditions of use and labelling requirements laid down in the Annex to this Regulation. </w:t>
      </w:r>
    </w:p>
    <w:p w14:paraId="7EEA86C2" w14:textId="5E79F8DC" w:rsidR="00340C1B" w:rsidRPr="00340C1B" w:rsidRDefault="00340C1B" w:rsidP="00340C1B">
      <w:pPr>
        <w:ind w:left="850" w:hanging="850"/>
        <w:rPr>
          <w:rFonts w:eastAsiaTheme="minorHAnsi"/>
          <w:lang w:eastAsia="en-US"/>
        </w:rPr>
      </w:pPr>
      <w:r w:rsidRPr="00340C1B">
        <w:rPr>
          <w:rFonts w:eastAsia="Times New Roman"/>
        </w:rPr>
        <w:t>4.</w:t>
      </w:r>
      <w:r w:rsidRPr="00340C1B">
        <w:rPr>
          <w:rFonts w:eastAsia="Times New Roman"/>
        </w:rPr>
        <w:tab/>
        <w:t xml:space="preserve">The authorisation provided for in this Article shall be without prejudice to the provisions of </w:t>
      </w:r>
      <w:r w:rsidRPr="00340C1B">
        <w:rPr>
          <w:rFonts w:eastAsiaTheme="minorHAnsi"/>
          <w:lang w:eastAsia="en-US"/>
        </w:rPr>
        <w:t>Regulation (EU) No</w:t>
      </w:r>
      <w:r w:rsidRPr="00340C1B">
        <w:rPr>
          <w:rFonts w:eastAsia="Times New Roman"/>
        </w:rPr>
        <w:t xml:space="preserve"> </w:t>
      </w:r>
      <w:r w:rsidRPr="00340C1B">
        <w:rPr>
          <w:rFonts w:eastAsiaTheme="minorHAnsi"/>
          <w:szCs w:val="24"/>
          <w:lang w:eastAsia="en-US"/>
        </w:rPr>
        <w:t>609/2013</w:t>
      </w:r>
      <w:r w:rsidR="008C24AA">
        <w:rPr>
          <w:rFonts w:eastAsiaTheme="minorHAnsi"/>
          <w:szCs w:val="24"/>
          <w:lang w:eastAsia="en-US"/>
        </w:rPr>
        <w:t xml:space="preserve"> and to the provisions of Directive 2002/46/EC</w:t>
      </w:r>
      <w:r w:rsidRPr="00340C1B">
        <w:rPr>
          <w:rFonts w:eastAsia="Times New Roman"/>
        </w:rPr>
        <w:t>.</w:t>
      </w:r>
    </w:p>
    <w:p w14:paraId="0640B8E4" w14:textId="77777777" w:rsidR="00340C1B" w:rsidRPr="00340C1B" w:rsidRDefault="00340C1B" w:rsidP="00340C1B">
      <w:pPr>
        <w:keepNext/>
        <w:spacing w:before="360"/>
        <w:jc w:val="center"/>
        <w:rPr>
          <w:rFonts w:eastAsiaTheme="minorHAnsi"/>
          <w:i/>
        </w:rPr>
      </w:pPr>
      <w:r w:rsidRPr="00340C1B">
        <w:rPr>
          <w:rFonts w:eastAsiaTheme="minorHAnsi"/>
          <w:i/>
        </w:rPr>
        <w:t>Article 2</w:t>
      </w:r>
    </w:p>
    <w:p w14:paraId="7C01B267" w14:textId="176015C6" w:rsidR="00340C1B" w:rsidRPr="00340C1B" w:rsidRDefault="002408EE" w:rsidP="00340C1B">
      <w:r>
        <w:t>Studies and reports</w:t>
      </w:r>
      <w:r w:rsidR="00340C1B" w:rsidRPr="00340C1B">
        <w:t xml:space="preserve"> contained in the application file on the basis of which the novel food referred to in Article 1 has been assessed by</w:t>
      </w:r>
      <w:r>
        <w:t xml:space="preserve"> the Authority, claimed by the A</w:t>
      </w:r>
      <w:r w:rsidR="00340C1B" w:rsidRPr="00340C1B">
        <w:t xml:space="preserve">pplicant as fulfilling the requirements laid down in Article 26(2) of Regulation 2015/2283, shall not be used for the benefit of a subsequent applicant for a period of five years from the date of entry into force of this Regulation without the agreement of </w:t>
      </w:r>
      <w:r>
        <w:t>Glycom A/S</w:t>
      </w:r>
      <w:r w:rsidR="00340C1B" w:rsidRPr="00340C1B">
        <w:rPr>
          <w:rFonts w:eastAsiaTheme="minorHAnsi"/>
          <w:lang w:eastAsia="en-US"/>
        </w:rPr>
        <w:t>.</w:t>
      </w:r>
    </w:p>
    <w:p w14:paraId="682626BB" w14:textId="77777777" w:rsidR="00340C1B" w:rsidRPr="00340C1B" w:rsidRDefault="00340C1B" w:rsidP="00340C1B">
      <w:pPr>
        <w:keepNext/>
        <w:spacing w:before="360"/>
        <w:jc w:val="center"/>
        <w:rPr>
          <w:rFonts w:eastAsiaTheme="minorHAnsi"/>
          <w:i/>
        </w:rPr>
      </w:pPr>
      <w:r w:rsidRPr="00340C1B">
        <w:rPr>
          <w:rFonts w:eastAsiaTheme="minorHAnsi"/>
          <w:i/>
        </w:rPr>
        <w:t>Article 3</w:t>
      </w:r>
    </w:p>
    <w:p w14:paraId="1AA8C3F4" w14:textId="77777777" w:rsidR="00340C1B" w:rsidRPr="00340C1B" w:rsidRDefault="00340C1B" w:rsidP="00340C1B">
      <w:pPr>
        <w:rPr>
          <w:rFonts w:eastAsia="Times New Roman"/>
        </w:rPr>
      </w:pPr>
      <w:r w:rsidRPr="00340C1B">
        <w:rPr>
          <w:rFonts w:eastAsia="Times New Roman"/>
        </w:rPr>
        <w:t xml:space="preserve">The Annex to Implementing Regulation (EU) 2017/2470 is amended in accordance with the Annex to this Regulation. </w:t>
      </w:r>
    </w:p>
    <w:p w14:paraId="57723052" w14:textId="77777777" w:rsidR="00340C1B" w:rsidRPr="00340C1B" w:rsidRDefault="00340C1B" w:rsidP="00340C1B">
      <w:pPr>
        <w:keepNext/>
        <w:spacing w:before="360"/>
        <w:jc w:val="center"/>
        <w:rPr>
          <w:rFonts w:eastAsiaTheme="minorHAnsi"/>
          <w:i/>
        </w:rPr>
      </w:pPr>
      <w:r w:rsidRPr="00340C1B">
        <w:rPr>
          <w:rFonts w:eastAsiaTheme="minorHAnsi"/>
          <w:i/>
        </w:rPr>
        <w:t>Article 4</w:t>
      </w:r>
    </w:p>
    <w:p w14:paraId="52B49AF8" w14:textId="77777777" w:rsidR="00340C1B" w:rsidRPr="00340C1B" w:rsidRDefault="00340C1B" w:rsidP="00340C1B">
      <w:pPr>
        <w:rPr>
          <w:rFonts w:eastAsiaTheme="minorHAnsi"/>
          <w:lang w:eastAsia="en-US"/>
        </w:rPr>
      </w:pPr>
      <w:r w:rsidRPr="00340C1B">
        <w:rPr>
          <w:rFonts w:eastAsiaTheme="minorHAnsi"/>
          <w:lang w:eastAsia="en-US"/>
        </w:rPr>
        <w:t xml:space="preserve">This Regulation shall enter into force on the twentieth day following that of its publication in </w:t>
      </w:r>
      <w:r w:rsidRPr="00340C1B">
        <w:rPr>
          <w:rFonts w:eastAsiaTheme="minorHAnsi"/>
          <w:i/>
          <w:lang w:eastAsia="en-US"/>
        </w:rPr>
        <w:t xml:space="preserve">the Official Journal of the European </w:t>
      </w:r>
      <w:r w:rsidRPr="00340C1B">
        <w:rPr>
          <w:rFonts w:eastAsiaTheme="minorHAnsi"/>
          <w:lang w:eastAsia="en-US"/>
        </w:rPr>
        <w:t>Union.</w:t>
      </w:r>
    </w:p>
    <w:p w14:paraId="75AA0C7C" w14:textId="77777777" w:rsidR="00340C1B" w:rsidRPr="00340C1B" w:rsidRDefault="00340C1B" w:rsidP="00340C1B">
      <w:pPr>
        <w:spacing w:before="480"/>
        <w:rPr>
          <w:rFonts w:eastAsiaTheme="minorHAnsi"/>
          <w:lang w:eastAsia="en-US"/>
        </w:rPr>
      </w:pPr>
      <w:r w:rsidRPr="00340C1B">
        <w:rPr>
          <w:rFonts w:eastAsiaTheme="minorHAnsi"/>
          <w:lang w:eastAsia="en-US"/>
        </w:rPr>
        <w:t>This Regulation shall be binding in its entirety and directly applicable in all Member States.</w:t>
      </w:r>
    </w:p>
    <w:p w14:paraId="17ADDC92" w14:textId="77777777" w:rsidR="00340C1B" w:rsidRPr="00340C1B" w:rsidRDefault="00340C1B" w:rsidP="00340C1B">
      <w:pPr>
        <w:keepNext/>
        <w:spacing w:after="0"/>
        <w:rPr>
          <w:rFonts w:eastAsiaTheme="minorHAnsi"/>
        </w:rPr>
      </w:pPr>
      <w:r w:rsidRPr="00340C1B">
        <w:rPr>
          <w:rFonts w:eastAsiaTheme="minorHAnsi"/>
          <w:lang w:eastAsia="en-US"/>
        </w:rPr>
        <w:t>Done at Brussels,</w:t>
      </w:r>
    </w:p>
    <w:p w14:paraId="03F399B2" w14:textId="77777777" w:rsidR="00340C1B" w:rsidRPr="00340C1B" w:rsidRDefault="00340C1B" w:rsidP="00340C1B">
      <w:pPr>
        <w:keepNext/>
        <w:tabs>
          <w:tab w:val="left" w:pos="4252"/>
        </w:tabs>
        <w:spacing w:before="720" w:after="0"/>
        <w:rPr>
          <w:rFonts w:eastAsiaTheme="minorHAnsi"/>
          <w:i/>
        </w:rPr>
      </w:pPr>
      <w:r w:rsidRPr="00340C1B">
        <w:rPr>
          <w:rFonts w:eastAsiaTheme="minorHAnsi"/>
          <w:i/>
        </w:rPr>
        <w:tab/>
        <w:t>For the Commission</w:t>
      </w:r>
    </w:p>
    <w:p w14:paraId="335BEE2C" w14:textId="77777777" w:rsidR="00340C1B" w:rsidRPr="00340C1B" w:rsidRDefault="00340C1B" w:rsidP="00340C1B">
      <w:pPr>
        <w:tabs>
          <w:tab w:val="left" w:pos="4252"/>
        </w:tabs>
        <w:spacing w:before="0" w:after="0"/>
        <w:jc w:val="left"/>
        <w:rPr>
          <w:rFonts w:eastAsiaTheme="minorHAnsi"/>
          <w:lang w:eastAsia="en-US"/>
        </w:rPr>
      </w:pPr>
      <w:r w:rsidRPr="00340C1B">
        <w:rPr>
          <w:rFonts w:eastAsiaTheme="minorHAnsi"/>
          <w:i/>
        </w:rPr>
        <w:tab/>
      </w:r>
      <w:r w:rsidRPr="00340C1B">
        <w:rPr>
          <w:rFonts w:eastAsiaTheme="minorHAnsi"/>
          <w:i/>
          <w:lang w:eastAsia="en-US"/>
        </w:rPr>
        <w:t>The President</w:t>
      </w:r>
    </w:p>
    <w:p w14:paraId="68CCE3C6" w14:textId="77777777" w:rsidR="00340C1B" w:rsidRPr="00340C1B" w:rsidRDefault="00340C1B" w:rsidP="00340C1B">
      <w:pPr>
        <w:tabs>
          <w:tab w:val="left" w:pos="4252"/>
        </w:tabs>
        <w:spacing w:before="0" w:after="0"/>
        <w:jc w:val="left"/>
        <w:rPr>
          <w:rFonts w:eastAsiaTheme="minorHAnsi"/>
          <w:lang w:eastAsia="en-US"/>
        </w:rPr>
      </w:pPr>
      <w:r w:rsidRPr="00340C1B">
        <w:rPr>
          <w:rFonts w:eastAsiaTheme="minorHAnsi"/>
          <w:i/>
          <w:lang w:eastAsia="en-US"/>
        </w:rPr>
        <w:tab/>
        <w:t>Jean-Claude JUNCKER</w:t>
      </w:r>
    </w:p>
    <w:p w14:paraId="368FB845" w14:textId="77777777" w:rsidR="0095532F" w:rsidRPr="0095532F" w:rsidRDefault="0095532F" w:rsidP="00340C1B">
      <w:pPr>
        <w:spacing w:before="360" w:after="0"/>
        <w:jc w:val="center"/>
        <w:rPr>
          <w:rFonts w:eastAsiaTheme="minorHAnsi"/>
          <w:lang w:eastAsia="en-US"/>
        </w:rPr>
      </w:pPr>
    </w:p>
    <w:sectPr w:rsidR="0095532F" w:rsidRPr="0095532F" w:rsidSect="00AB3DDF">
      <w:headerReference w:type="even" r:id="rId8"/>
      <w:headerReference w:type="default" r:id="rId9"/>
      <w:footerReference w:type="even" r:id="rId10"/>
      <w:footerReference w:type="default" r:id="rId11"/>
      <w:headerReference w:type="first" r:id="rId12"/>
      <w:footerReference w:type="first" r:id="rId13"/>
      <w:pgSz w:w="11907" w:h="16839"/>
      <w:pgMar w:top="1417" w:right="1417" w:bottom="1417" w:left="1417" w:header="709" w:footer="709" w:gutter="0"/>
      <w:pgNumType w:start="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41FD8F" w16cid:durableId="1ED5F35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87525E" w14:textId="77777777" w:rsidR="00233496" w:rsidRDefault="00233496" w:rsidP="00745462">
      <w:pPr>
        <w:spacing w:before="0" w:after="0"/>
      </w:pPr>
      <w:r>
        <w:separator/>
      </w:r>
    </w:p>
  </w:endnote>
  <w:endnote w:type="continuationSeparator" w:id="0">
    <w:p w14:paraId="104764B0" w14:textId="77777777" w:rsidR="00233496" w:rsidRDefault="00233496" w:rsidP="0074546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AdvOT596495f2">
    <w:panose1 w:val="00000000000000000000"/>
    <w:charset w:val="00"/>
    <w:family w:val="roman"/>
    <w:notTrueType/>
    <w:pitch w:val="default"/>
    <w:sig w:usb0="00000003" w:usb1="00000000" w:usb2="00000000" w:usb3="00000000" w:csb0="00000001" w:csb1="00000000"/>
  </w:font>
  <w:font w:name="Calibri-Identity-H">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1809B" w14:textId="77777777" w:rsidR="000F3DB2" w:rsidRDefault="000F3DB2">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8B03A" w14:textId="77777777" w:rsidR="006E46E8" w:rsidRPr="009E151B" w:rsidRDefault="005F7B98" w:rsidP="009E151B">
    <w:pPr>
      <w:pStyle w:val="Sidefod"/>
      <w:rPr>
        <w:rFonts w:ascii="Arial" w:hAnsi="Arial" w:cs="Arial"/>
        <w:b/>
        <w:sz w:val="48"/>
      </w:rPr>
    </w:pPr>
    <w:r w:rsidRPr="009E151B">
      <w:rPr>
        <w:rFonts w:ascii="Arial" w:hAnsi="Arial" w:cs="Arial"/>
        <w:b/>
        <w:sz w:val="48"/>
      </w:rPr>
      <w:t>EN</w:t>
    </w:r>
    <w:r w:rsidRPr="009E151B">
      <w:rPr>
        <w:rFonts w:ascii="Arial" w:hAnsi="Arial" w:cs="Arial"/>
        <w:b/>
        <w:sz w:val="48"/>
      </w:rPr>
      <w:tab/>
    </w:r>
    <w:r w:rsidRPr="009E151B">
      <w:rPr>
        <w:rFonts w:ascii="Arial" w:hAnsi="Arial" w:cs="Arial"/>
        <w:b/>
        <w:sz w:val="48"/>
      </w:rPr>
      <w:tab/>
    </w:r>
    <w:r w:rsidRPr="009E151B">
      <w:tab/>
    </w:r>
    <w:r w:rsidRPr="009E151B">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6E8A4" w14:textId="77777777" w:rsidR="000F3DB2" w:rsidRDefault="000F3DB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FA1A28" w14:textId="77777777" w:rsidR="00233496" w:rsidRDefault="00233496" w:rsidP="00745462">
      <w:pPr>
        <w:spacing w:before="0" w:after="0"/>
      </w:pPr>
      <w:r>
        <w:separator/>
      </w:r>
    </w:p>
  </w:footnote>
  <w:footnote w:type="continuationSeparator" w:id="0">
    <w:p w14:paraId="6168FDA2" w14:textId="77777777" w:rsidR="00233496" w:rsidRDefault="00233496" w:rsidP="00745462">
      <w:pPr>
        <w:spacing w:before="0" w:after="0"/>
      </w:pPr>
      <w:r>
        <w:continuationSeparator/>
      </w:r>
    </w:p>
  </w:footnote>
  <w:footnote w:id="1">
    <w:p w14:paraId="174B2250" w14:textId="77777777" w:rsidR="00340C1B" w:rsidRPr="004B4EEE" w:rsidRDefault="00340C1B" w:rsidP="00340C1B">
      <w:pPr>
        <w:pStyle w:val="Fodnotetekst"/>
      </w:pPr>
      <w:r w:rsidRPr="00DE0D44">
        <w:rPr>
          <w:rStyle w:val="Fodnotehenvisning"/>
        </w:rPr>
        <w:footnoteRef/>
      </w:r>
      <w:r w:rsidRPr="004B4EEE">
        <w:tab/>
        <w:t>OJ L 327, 11.12.2015, p. 1.</w:t>
      </w:r>
    </w:p>
  </w:footnote>
  <w:footnote w:id="2">
    <w:p w14:paraId="38700272" w14:textId="632F8BC6" w:rsidR="00340C1B" w:rsidRPr="004B4EEE" w:rsidRDefault="00340C1B" w:rsidP="008D566D">
      <w:pPr>
        <w:pStyle w:val="Fodnotetekst"/>
      </w:pPr>
      <w:r w:rsidRPr="00DE0D44">
        <w:rPr>
          <w:rStyle w:val="Fodnotehenvisning"/>
        </w:rPr>
        <w:footnoteRef/>
      </w:r>
      <w:r w:rsidRPr="004B4EEE">
        <w:tab/>
        <w:t>Commission Implementing Regulation (EU) 2017/2470 of 20 December 2017 establishing the Union list of novel foods in accordance with Regulation (EU) 2015/2283 of the European Parliament and of the Council on novel foods</w:t>
      </w:r>
      <w:r>
        <w:t>, (</w:t>
      </w:r>
      <w:r w:rsidRPr="004B4EEE">
        <w:t>OJ L 351, 30.12.2017, p. 72</w:t>
      </w:r>
      <w:r>
        <w:t>)</w:t>
      </w:r>
      <w:r w:rsidRPr="004B4EEE">
        <w:t>.</w:t>
      </w:r>
      <w:r w:rsidR="008D566D" w:rsidRPr="008D566D">
        <w:rPr>
          <w:lang w:val="en-IE"/>
        </w:rPr>
        <w:t xml:space="preserve"> </w:t>
      </w:r>
      <w:r w:rsidR="008D566D" w:rsidRPr="008D566D">
        <w:rPr>
          <w:lang w:val="en-IE"/>
        </w:rPr>
        <w:tab/>
      </w:r>
    </w:p>
  </w:footnote>
  <w:footnote w:id="3">
    <w:p w14:paraId="43C0D98F" w14:textId="6413A505" w:rsidR="008D566D" w:rsidRPr="008D566D" w:rsidRDefault="008D566D">
      <w:pPr>
        <w:pStyle w:val="Fodnotetekst"/>
        <w:rPr>
          <w:lang w:val="en-IE"/>
        </w:rPr>
      </w:pPr>
      <w:r>
        <w:rPr>
          <w:rStyle w:val="Fodnotehenvisning"/>
        </w:rPr>
        <w:footnoteRef/>
      </w:r>
      <w:r>
        <w:t xml:space="preserve"> </w:t>
      </w:r>
      <w:r>
        <w:tab/>
        <w:t>Regulation of the European Parliament and of the Council (EU) No 609/2013 on food intended for infants and young children, food for special medical purposes, and total diet replacement for weight control and repealing Council Directive 92/52/EEC, Commission Directives 96/8/EC,</w:t>
      </w:r>
      <w:r w:rsidRPr="008D566D">
        <w:t xml:space="preserve"> </w:t>
      </w:r>
      <w:r>
        <w:t>1999/21/EC, 2006/125/EC and 2006/141/EC, Directive 2009/39/EC of the European Parliament and of the Council and Commission Regulations (EC) No 41/2009 and (EC) No 953/2009 (OJ L 181, 29.6.2013, p.35).</w:t>
      </w:r>
    </w:p>
  </w:footnote>
  <w:footnote w:id="4">
    <w:p w14:paraId="12A5DC0F" w14:textId="3FFBBAD8" w:rsidR="009F7631" w:rsidRPr="009F7631" w:rsidRDefault="009F7631">
      <w:pPr>
        <w:pStyle w:val="Fodnotetekst"/>
        <w:rPr>
          <w:lang w:val="en-IE"/>
        </w:rPr>
      </w:pPr>
      <w:r>
        <w:rPr>
          <w:rStyle w:val="Fodnotehenvisning"/>
        </w:rPr>
        <w:footnoteRef/>
      </w:r>
      <w:r>
        <w:t xml:space="preserve"> </w:t>
      </w:r>
      <w:r w:rsidRPr="009F7631">
        <w:rPr>
          <w:lang w:val="en-IE"/>
        </w:rPr>
        <w:tab/>
      </w:r>
      <w:r>
        <w:t>Directive 2002/46/EC of the European Parliament and of the Council of 10 June 2002 on the approximation of the laws of the Member States relating to food supplements (OJ L 183, 12.7.2002, p.51).</w:t>
      </w:r>
    </w:p>
  </w:footnote>
  <w:footnote w:id="5">
    <w:p w14:paraId="25A4D95A" w14:textId="773D5F6A" w:rsidR="005A5C0F" w:rsidRPr="004212A5" w:rsidRDefault="005A5C0F">
      <w:pPr>
        <w:pStyle w:val="Fodnotetekst"/>
        <w:rPr>
          <w:lang w:val="en-IE"/>
        </w:rPr>
      </w:pPr>
      <w:r>
        <w:rPr>
          <w:rStyle w:val="Fodnotehenvisning"/>
        </w:rPr>
        <w:footnoteRef/>
      </w:r>
      <w:r>
        <w:t xml:space="preserve"> </w:t>
      </w:r>
      <w:r w:rsidRPr="004212A5">
        <w:rPr>
          <w:lang w:val="en-IE"/>
        </w:rPr>
        <w:tab/>
        <w:t>Glycos 201</w:t>
      </w:r>
      <w:r w:rsidR="004212A5">
        <w:rPr>
          <w:lang w:val="en-IE"/>
        </w:rPr>
        <w:t>8</w:t>
      </w:r>
      <w:r w:rsidRPr="004212A5">
        <w:rPr>
          <w:lang w:val="en-IE"/>
        </w:rPr>
        <w:t xml:space="preserve"> </w:t>
      </w:r>
      <w:r w:rsidRPr="00AD2117">
        <w:rPr>
          <w:rFonts w:eastAsiaTheme="minorHAnsi"/>
          <w:lang w:val="en-IE" w:eastAsia="en-US"/>
        </w:rPr>
        <w:t>(unpublished)</w:t>
      </w:r>
    </w:p>
  </w:footnote>
  <w:footnote w:id="6">
    <w:p w14:paraId="06E3F6C9" w14:textId="0BBE9D4D" w:rsidR="004212A5" w:rsidRPr="004212A5" w:rsidRDefault="004212A5">
      <w:pPr>
        <w:pStyle w:val="Fodnotetekst"/>
        <w:rPr>
          <w:lang w:val="en-IE"/>
        </w:rPr>
      </w:pPr>
      <w:r>
        <w:rPr>
          <w:rStyle w:val="Fodnotehenvisning"/>
        </w:rPr>
        <w:footnoteRef/>
      </w:r>
      <w:r>
        <w:t xml:space="preserve"> </w:t>
      </w:r>
      <w:r w:rsidRPr="004212A5">
        <w:rPr>
          <w:lang w:val="en-IE"/>
        </w:rPr>
        <w:tab/>
        <w:t>Glycom 201</w:t>
      </w:r>
      <w:r>
        <w:rPr>
          <w:lang w:val="en-IE"/>
        </w:rPr>
        <w:t>8</w:t>
      </w:r>
      <w:r w:rsidRPr="004212A5">
        <w:rPr>
          <w:lang w:val="en-IE"/>
        </w:rPr>
        <w:t xml:space="preserve"> (unpub</w:t>
      </w:r>
      <w:r>
        <w:rPr>
          <w:lang w:val="en-IE"/>
        </w:rPr>
        <w:t>lis</w:t>
      </w:r>
      <w:r w:rsidRPr="004212A5">
        <w:rPr>
          <w:lang w:val="en-IE"/>
        </w:rPr>
        <w:t>hed)</w:t>
      </w:r>
    </w:p>
  </w:footnote>
  <w:footnote w:id="7">
    <w:p w14:paraId="2AAD00E6" w14:textId="1296FF51" w:rsidR="004212A5" w:rsidRPr="004212A5" w:rsidRDefault="004212A5">
      <w:pPr>
        <w:pStyle w:val="Fodnotetekst"/>
        <w:rPr>
          <w:lang w:val="en-IE"/>
        </w:rPr>
      </w:pPr>
      <w:r>
        <w:rPr>
          <w:rStyle w:val="Fodnotehenvisning"/>
        </w:rPr>
        <w:footnoteRef/>
      </w:r>
      <w:r>
        <w:t xml:space="preserve"> </w:t>
      </w:r>
      <w:r>
        <w:tab/>
        <w:t>Glycom/DSMZ 2018 (unpublished)</w:t>
      </w:r>
    </w:p>
  </w:footnote>
  <w:footnote w:id="8">
    <w:p w14:paraId="530F11A5" w14:textId="16DCA5B5" w:rsidR="004212A5" w:rsidRPr="004212A5" w:rsidRDefault="004212A5">
      <w:pPr>
        <w:pStyle w:val="Fodnotetekst"/>
        <w:rPr>
          <w:lang w:val="en-IE"/>
        </w:rPr>
      </w:pPr>
      <w:r>
        <w:rPr>
          <w:rStyle w:val="Fodnotehenvisning"/>
        </w:rPr>
        <w:footnoteRef/>
      </w:r>
      <w:r>
        <w:t xml:space="preserve"> </w:t>
      </w:r>
      <w:r w:rsidRPr="004212A5">
        <w:rPr>
          <w:lang w:val="en-IE"/>
        </w:rPr>
        <w:tab/>
        <w:t>Glycom 2018 (unpublished)</w:t>
      </w:r>
    </w:p>
  </w:footnote>
  <w:footnote w:id="9">
    <w:p w14:paraId="572A0EE1" w14:textId="2116F27F" w:rsidR="004212A5" w:rsidRPr="004212A5" w:rsidRDefault="004212A5">
      <w:pPr>
        <w:pStyle w:val="Fodnotetekst"/>
        <w:rPr>
          <w:lang w:val="en-IE"/>
        </w:rPr>
      </w:pPr>
      <w:r>
        <w:rPr>
          <w:rStyle w:val="Fodnotehenvisning"/>
        </w:rPr>
        <w:footnoteRef/>
      </w:r>
      <w:r>
        <w:t xml:space="preserve"> </w:t>
      </w:r>
      <w:r w:rsidRPr="004212A5">
        <w:rPr>
          <w:lang w:val="en-IE"/>
        </w:rPr>
        <w:tab/>
        <w:t>Glycom 2018 (unpublished)</w:t>
      </w:r>
    </w:p>
  </w:footnote>
  <w:footnote w:id="10">
    <w:p w14:paraId="2945B9BB" w14:textId="47635F6C" w:rsidR="004212A5" w:rsidRPr="004212A5" w:rsidRDefault="004212A5">
      <w:pPr>
        <w:pStyle w:val="Fodnotetekst"/>
      </w:pPr>
      <w:r>
        <w:rPr>
          <w:rStyle w:val="Fodnotehenvisning"/>
        </w:rPr>
        <w:footnoteRef/>
      </w:r>
      <w:r>
        <w:t xml:space="preserve"> </w:t>
      </w:r>
      <w:r>
        <w:tab/>
        <w:t>Glycom 2018 (unpublished)</w:t>
      </w:r>
    </w:p>
  </w:footnote>
  <w:footnote w:id="11">
    <w:p w14:paraId="0E401068" w14:textId="11845224" w:rsidR="004212A5" w:rsidRPr="004212A5" w:rsidRDefault="004212A5">
      <w:pPr>
        <w:pStyle w:val="Fodnotetekst"/>
        <w:rPr>
          <w:lang w:val="en-IE"/>
        </w:rPr>
      </w:pPr>
      <w:r>
        <w:rPr>
          <w:rStyle w:val="Fodnotehenvisning"/>
        </w:rPr>
        <w:footnoteRef/>
      </w:r>
      <w:r>
        <w:t xml:space="preserve"> </w:t>
      </w:r>
      <w:r w:rsidRPr="004212A5">
        <w:rPr>
          <w:lang w:val="en-IE"/>
        </w:rPr>
        <w:tab/>
        <w:t>Glycom 2018 (unpublished)</w:t>
      </w:r>
    </w:p>
  </w:footnote>
  <w:footnote w:id="12">
    <w:p w14:paraId="3F3A78B1" w14:textId="3F9F8AE5" w:rsidR="004212A5" w:rsidRPr="004212A5" w:rsidRDefault="004212A5">
      <w:pPr>
        <w:pStyle w:val="Fodnotetekst"/>
      </w:pPr>
      <w:r>
        <w:rPr>
          <w:rStyle w:val="Fodnotehenvisning"/>
        </w:rPr>
        <w:footnoteRef/>
      </w:r>
      <w:r>
        <w:t xml:space="preserve"> </w:t>
      </w:r>
      <w:r>
        <w:tab/>
        <w:t>Glycom 2018 (unpublished)</w:t>
      </w:r>
    </w:p>
  </w:footnote>
  <w:footnote w:id="13">
    <w:p w14:paraId="283A03F1" w14:textId="5F4AE302" w:rsidR="004212A5" w:rsidRPr="00FB405E" w:rsidRDefault="004212A5">
      <w:pPr>
        <w:pStyle w:val="Fodnotetekst"/>
        <w:rPr>
          <w:lang w:val="en-IE"/>
        </w:rPr>
      </w:pPr>
      <w:r>
        <w:rPr>
          <w:rStyle w:val="Fodnotehenvisning"/>
        </w:rPr>
        <w:footnoteRef/>
      </w:r>
      <w:r>
        <w:t xml:space="preserve"> </w:t>
      </w:r>
      <w:r w:rsidRPr="00FB405E">
        <w:rPr>
          <w:lang w:val="en-IE"/>
        </w:rPr>
        <w:tab/>
        <w:t>Glycom 2018 (unpublished)</w:t>
      </w:r>
    </w:p>
  </w:footnote>
  <w:footnote w:id="14">
    <w:p w14:paraId="6B69EE1D" w14:textId="6F562A9B" w:rsidR="00FB405E" w:rsidRPr="00FB405E" w:rsidRDefault="00FB405E">
      <w:pPr>
        <w:pStyle w:val="Fodnotetekst"/>
        <w:rPr>
          <w:lang w:val="en-IE"/>
        </w:rPr>
      </w:pPr>
      <w:r>
        <w:rPr>
          <w:rStyle w:val="Fodnotehenvisning"/>
        </w:rPr>
        <w:footnoteRef/>
      </w:r>
      <w:r>
        <w:t xml:space="preserve"> </w:t>
      </w:r>
      <w:r w:rsidRPr="00FB405E">
        <w:rPr>
          <w:lang w:val="en-IE"/>
        </w:rPr>
        <w:tab/>
      </w:r>
      <w:r>
        <w:rPr>
          <w:rFonts w:eastAsiaTheme="minorHAnsi"/>
          <w:lang w:val="en-IE" w:eastAsia="en-US"/>
        </w:rPr>
        <w:t>Flaxmer</w:t>
      </w:r>
      <w:r w:rsidRPr="00AD2117">
        <w:rPr>
          <w:rFonts w:eastAsiaTheme="minorHAnsi"/>
          <w:lang w:val="en-IE" w:eastAsia="en-US"/>
        </w:rPr>
        <w:t xml:space="preserve"> 201</w:t>
      </w:r>
      <w:r>
        <w:rPr>
          <w:rFonts w:eastAsiaTheme="minorHAnsi"/>
          <w:lang w:val="en-IE" w:eastAsia="en-US"/>
        </w:rPr>
        <w:t>8</w:t>
      </w:r>
      <w:r w:rsidRPr="00AD2117">
        <w:rPr>
          <w:rFonts w:eastAsiaTheme="minorHAnsi"/>
          <w:lang w:val="en-IE" w:eastAsia="en-US"/>
        </w:rPr>
        <w:t xml:space="preserve"> (unpublished)</w:t>
      </w:r>
      <w:r>
        <w:rPr>
          <w:rFonts w:eastAsiaTheme="minorHAnsi"/>
          <w:lang w:val="en-IE" w:eastAsia="en-US"/>
        </w:rPr>
        <w:t xml:space="preserve"> and Philips </w:t>
      </w:r>
      <w:r w:rsidR="00A27ECB">
        <w:rPr>
          <w:rFonts w:eastAsiaTheme="minorHAnsi"/>
          <w:lang w:val="en-IE" w:eastAsia="en-US"/>
        </w:rPr>
        <w:t xml:space="preserve">K. R., N. Baldwin, B. Lynch, J. Flaxmer, A. </w:t>
      </w:r>
      <w:r w:rsidR="00A27ECB" w:rsidRPr="00AD2117">
        <w:rPr>
          <w:rFonts w:eastAsiaTheme="minorHAnsi"/>
          <w:lang w:val="en-IE" w:eastAsia="en-US"/>
        </w:rPr>
        <w:t>Šoltésová</w:t>
      </w:r>
      <w:r w:rsidR="00A27ECB">
        <w:rPr>
          <w:rFonts w:eastAsiaTheme="minorHAnsi"/>
          <w:lang w:val="en-IE" w:eastAsia="en-US"/>
        </w:rPr>
        <w:t xml:space="preserve">, M. H. Miks, C. H. </w:t>
      </w:r>
      <w:r w:rsidR="00A27ECB" w:rsidRPr="00A27ECB">
        <w:rPr>
          <w:rFonts w:ascii="AdvOT596495f2" w:eastAsiaTheme="minorHAnsi" w:hAnsi="AdvOT596495f2" w:cs="AdvOT596495f2"/>
          <w:lang w:val="en-IE" w:eastAsia="en-US"/>
        </w:rPr>
        <w:t>Röhrig</w:t>
      </w:r>
      <w:r>
        <w:rPr>
          <w:rFonts w:eastAsiaTheme="minorHAnsi"/>
          <w:lang w:val="en-IE" w:eastAsia="en-US"/>
        </w:rPr>
        <w:t xml:space="preserve">. 2018. Safety evaluation of the human-identical milk oligosaccharides 2’-fucosyllactose and difucosyllactose. Food and Chemical Toxicology 120:552-565. </w:t>
      </w:r>
    </w:p>
  </w:footnote>
  <w:footnote w:id="15">
    <w:p w14:paraId="7202709F" w14:textId="57AD7FE2" w:rsidR="00AD2117" w:rsidRPr="00AD2117" w:rsidRDefault="00AD2117">
      <w:pPr>
        <w:pStyle w:val="Fodnotetekst"/>
        <w:rPr>
          <w:lang w:val="en-IE"/>
        </w:rPr>
      </w:pPr>
      <w:r>
        <w:rPr>
          <w:rStyle w:val="Fodnotehenvisning"/>
        </w:rPr>
        <w:footnoteRef/>
      </w:r>
      <w:r>
        <w:t xml:space="preserve"> </w:t>
      </w:r>
      <w:r w:rsidRPr="00AD2117">
        <w:rPr>
          <w:lang w:val="en-IE"/>
        </w:rPr>
        <w:tab/>
      </w:r>
      <w:r w:rsidRPr="00AD2117">
        <w:rPr>
          <w:rFonts w:eastAsiaTheme="minorHAnsi"/>
          <w:lang w:val="en-IE" w:eastAsia="en-US"/>
        </w:rPr>
        <w:t>Šoltésová, 2017 (unpublished)</w:t>
      </w:r>
      <w:r w:rsidR="00FB405E" w:rsidRPr="00FB405E">
        <w:rPr>
          <w:rFonts w:eastAsiaTheme="minorHAnsi"/>
          <w:lang w:val="en-IE" w:eastAsia="en-US"/>
        </w:rPr>
        <w:t xml:space="preserve"> </w:t>
      </w:r>
      <w:r w:rsidR="00FB405E">
        <w:rPr>
          <w:rFonts w:eastAsiaTheme="minorHAnsi"/>
          <w:lang w:val="en-IE" w:eastAsia="en-US"/>
        </w:rPr>
        <w:t xml:space="preserve">and Philips et al. 2018. Food and Chemical Toxicology 120:552-565.  </w:t>
      </w:r>
    </w:p>
  </w:footnote>
  <w:footnote w:id="16">
    <w:p w14:paraId="56EA09F5" w14:textId="360FD971" w:rsidR="00AD2117" w:rsidRPr="00AD2117" w:rsidRDefault="00AD2117" w:rsidP="00FB405E">
      <w:pPr>
        <w:pStyle w:val="Fodnotetekst"/>
        <w:rPr>
          <w:lang w:val="en-IE"/>
        </w:rPr>
      </w:pPr>
      <w:r>
        <w:rPr>
          <w:rStyle w:val="Fodnotehenvisning"/>
        </w:rPr>
        <w:footnoteRef/>
      </w:r>
      <w:r>
        <w:t xml:space="preserve"> </w:t>
      </w:r>
      <w:r w:rsidRPr="00AD2117">
        <w:rPr>
          <w:lang w:val="en-IE"/>
        </w:rPr>
        <w:tab/>
      </w:r>
      <w:r w:rsidR="008231C2">
        <w:rPr>
          <w:rFonts w:eastAsiaTheme="minorHAnsi"/>
          <w:lang w:val="en-IE" w:eastAsia="en-US"/>
        </w:rPr>
        <w:t>Gilby</w:t>
      </w:r>
      <w:r w:rsidRPr="00AD2117">
        <w:rPr>
          <w:rFonts w:eastAsiaTheme="minorHAnsi"/>
          <w:lang w:val="en-IE" w:eastAsia="en-US"/>
        </w:rPr>
        <w:t xml:space="preserve"> 2017 (unpublished)</w:t>
      </w:r>
      <w:r w:rsidR="00FB405E" w:rsidRPr="00FB405E">
        <w:rPr>
          <w:rFonts w:eastAsiaTheme="minorHAnsi"/>
          <w:lang w:val="en-IE" w:eastAsia="en-US"/>
        </w:rPr>
        <w:t xml:space="preserve"> </w:t>
      </w:r>
      <w:r w:rsidR="00FB405E">
        <w:rPr>
          <w:rFonts w:eastAsiaTheme="minorHAnsi"/>
          <w:lang w:val="en-IE" w:eastAsia="en-US"/>
        </w:rPr>
        <w:t>and Philips et al. 2018. Food and Chemical Toxicology 120:552-565.</w:t>
      </w:r>
    </w:p>
  </w:footnote>
  <w:footnote w:id="17">
    <w:p w14:paraId="7E154F67" w14:textId="1915A3D0" w:rsidR="00AD2117" w:rsidRPr="00AD2117" w:rsidRDefault="00AD2117" w:rsidP="00FB405E">
      <w:pPr>
        <w:pStyle w:val="Fodnotetekst"/>
        <w:rPr>
          <w:lang w:val="en-IE"/>
        </w:rPr>
      </w:pPr>
      <w:r>
        <w:rPr>
          <w:rStyle w:val="Fodnotehenvisning"/>
        </w:rPr>
        <w:footnoteRef/>
      </w:r>
      <w:r>
        <w:t xml:space="preserve"> </w:t>
      </w:r>
      <w:r w:rsidRPr="00AD2117">
        <w:rPr>
          <w:lang w:val="en-IE"/>
        </w:rPr>
        <w:tab/>
      </w:r>
      <w:r w:rsidR="008231C2">
        <w:rPr>
          <w:rFonts w:eastAsiaTheme="minorHAnsi"/>
          <w:lang w:val="en-IE" w:eastAsia="en-US"/>
        </w:rPr>
        <w:t>Flaxmer</w:t>
      </w:r>
      <w:r w:rsidRPr="00AD2117">
        <w:rPr>
          <w:rFonts w:eastAsiaTheme="minorHAnsi"/>
          <w:lang w:val="en-IE" w:eastAsia="en-US"/>
        </w:rPr>
        <w:t xml:space="preserve"> 2017 (unpublished)</w:t>
      </w:r>
      <w:r w:rsidR="00FB405E" w:rsidRPr="00FB405E">
        <w:rPr>
          <w:rFonts w:eastAsiaTheme="minorHAnsi"/>
          <w:lang w:val="en-IE" w:eastAsia="en-US"/>
        </w:rPr>
        <w:t xml:space="preserve"> </w:t>
      </w:r>
      <w:r w:rsidR="00FB405E">
        <w:rPr>
          <w:rFonts w:eastAsiaTheme="minorHAnsi"/>
          <w:lang w:val="en-IE" w:eastAsia="en-US"/>
        </w:rPr>
        <w:t>and Philips et al. 2018. Food and Chemical Toxicology 120:552-565.</w:t>
      </w:r>
    </w:p>
  </w:footnote>
  <w:footnote w:id="18">
    <w:p w14:paraId="51AE964F" w14:textId="6E3A1B48" w:rsidR="008231C2" w:rsidRPr="008231C2" w:rsidRDefault="008231C2" w:rsidP="00A27ECB">
      <w:pPr>
        <w:pStyle w:val="Fodnotetekst"/>
        <w:rPr>
          <w:lang w:val="en-IE"/>
        </w:rPr>
      </w:pPr>
      <w:r>
        <w:rPr>
          <w:rStyle w:val="Fodnotehenvisning"/>
        </w:rPr>
        <w:footnoteRef/>
      </w:r>
      <w:r>
        <w:t xml:space="preserve"> </w:t>
      </w:r>
      <w:r w:rsidRPr="008231C2">
        <w:rPr>
          <w:lang w:val="en-IE"/>
        </w:rPr>
        <w:tab/>
      </w:r>
      <w:r>
        <w:rPr>
          <w:rFonts w:eastAsiaTheme="minorHAnsi"/>
          <w:lang w:val="en-IE" w:eastAsia="en-US"/>
        </w:rPr>
        <w:t>Flaxmer</w:t>
      </w:r>
      <w:r w:rsidRPr="00AD2117">
        <w:rPr>
          <w:rFonts w:eastAsiaTheme="minorHAnsi"/>
          <w:lang w:val="en-IE" w:eastAsia="en-US"/>
        </w:rPr>
        <w:t xml:space="preserve"> 201</w:t>
      </w:r>
      <w:r>
        <w:rPr>
          <w:rFonts w:eastAsiaTheme="minorHAnsi"/>
          <w:lang w:val="en-IE" w:eastAsia="en-US"/>
        </w:rPr>
        <w:t>8</w:t>
      </w:r>
      <w:r w:rsidRPr="00AD2117">
        <w:rPr>
          <w:rFonts w:eastAsiaTheme="minorHAnsi"/>
          <w:lang w:val="en-IE" w:eastAsia="en-US"/>
        </w:rPr>
        <w:t xml:space="preserve"> (unpublished)</w:t>
      </w:r>
      <w:r w:rsidR="00A27ECB" w:rsidRPr="00A27ECB">
        <w:rPr>
          <w:rFonts w:eastAsiaTheme="minorHAnsi"/>
          <w:lang w:val="en-IE" w:eastAsia="en-US"/>
        </w:rPr>
        <w:t xml:space="preserve"> </w:t>
      </w:r>
      <w:r w:rsidR="00A27ECB">
        <w:rPr>
          <w:rFonts w:eastAsiaTheme="minorHAnsi"/>
          <w:lang w:val="en-IE" w:eastAsia="en-US"/>
        </w:rPr>
        <w:t>and Philips et al. 2018. Food and Chemical Toxicology 120:552-565.</w:t>
      </w:r>
    </w:p>
  </w:footnote>
  <w:footnote w:id="19">
    <w:p w14:paraId="60D49CBA" w14:textId="5088D188" w:rsidR="008231C2" w:rsidRPr="008231C2" w:rsidRDefault="008231C2">
      <w:pPr>
        <w:pStyle w:val="Fodnotetekst"/>
        <w:rPr>
          <w:lang w:val="en-IE"/>
        </w:rPr>
      </w:pPr>
      <w:r>
        <w:rPr>
          <w:rStyle w:val="Fodnotehenvisning"/>
        </w:rPr>
        <w:footnoteRef/>
      </w:r>
      <w:r>
        <w:t xml:space="preserve"> </w:t>
      </w:r>
      <w:r w:rsidRPr="008231C2">
        <w:rPr>
          <w:lang w:val="en-IE"/>
        </w:rPr>
        <w:tab/>
      </w:r>
      <w:r>
        <w:rPr>
          <w:rFonts w:eastAsiaTheme="minorHAnsi"/>
          <w:lang w:val="en-IE" w:eastAsia="en-US"/>
        </w:rPr>
        <w:t>Verspeek-Rip</w:t>
      </w:r>
      <w:r w:rsidRPr="008231C2">
        <w:rPr>
          <w:rFonts w:eastAsiaTheme="minorHAnsi"/>
          <w:lang w:val="en-IE" w:eastAsia="en-US"/>
        </w:rPr>
        <w:t xml:space="preserve"> 2015 (unpublished)</w:t>
      </w:r>
    </w:p>
  </w:footnote>
  <w:footnote w:id="20">
    <w:p w14:paraId="1BB8B33F" w14:textId="102E1B60" w:rsidR="008231C2" w:rsidRPr="008231C2" w:rsidRDefault="008231C2">
      <w:pPr>
        <w:pStyle w:val="Fodnotetekst"/>
        <w:rPr>
          <w:lang w:val="en-IE"/>
        </w:rPr>
      </w:pPr>
      <w:r>
        <w:rPr>
          <w:rStyle w:val="Fodnotehenvisning"/>
        </w:rPr>
        <w:footnoteRef/>
      </w:r>
      <w:r>
        <w:t xml:space="preserve"> </w:t>
      </w:r>
      <w:r w:rsidRPr="008231C2">
        <w:rPr>
          <w:lang w:val="en-IE"/>
        </w:rPr>
        <w:tab/>
      </w:r>
      <w:r>
        <w:rPr>
          <w:rFonts w:eastAsiaTheme="minorHAnsi"/>
          <w:lang w:val="en-IE" w:eastAsia="en-US"/>
        </w:rPr>
        <w:t>Verbaan</w:t>
      </w:r>
      <w:r w:rsidRPr="008231C2">
        <w:rPr>
          <w:rFonts w:eastAsiaTheme="minorHAnsi"/>
          <w:lang w:val="en-IE" w:eastAsia="en-US"/>
        </w:rPr>
        <w:t xml:space="preserve"> 2015</w:t>
      </w:r>
      <w:r>
        <w:rPr>
          <w:rFonts w:eastAsiaTheme="minorHAnsi"/>
          <w:lang w:val="en-IE" w:eastAsia="en-US"/>
        </w:rPr>
        <w:t>a</w:t>
      </w:r>
      <w:r w:rsidRPr="008231C2">
        <w:rPr>
          <w:rFonts w:eastAsiaTheme="minorHAnsi"/>
          <w:lang w:val="en-IE" w:eastAsia="en-US"/>
        </w:rPr>
        <w:t xml:space="preserve"> (unpublished)</w:t>
      </w:r>
    </w:p>
  </w:footnote>
  <w:footnote w:id="21">
    <w:p w14:paraId="6AA9755A" w14:textId="7EB2817D" w:rsidR="008231C2" w:rsidRPr="008231C2" w:rsidRDefault="008231C2">
      <w:pPr>
        <w:pStyle w:val="Fodnotetekst"/>
        <w:rPr>
          <w:lang w:val="en-IE"/>
        </w:rPr>
      </w:pPr>
      <w:r>
        <w:rPr>
          <w:rStyle w:val="Fodnotehenvisning"/>
        </w:rPr>
        <w:footnoteRef/>
      </w:r>
      <w:r>
        <w:t xml:space="preserve"> </w:t>
      </w:r>
      <w:r w:rsidRPr="008231C2">
        <w:rPr>
          <w:lang w:val="en-IE"/>
        </w:rPr>
        <w:tab/>
      </w:r>
      <w:r>
        <w:rPr>
          <w:rFonts w:eastAsiaTheme="minorHAnsi"/>
          <w:lang w:val="en-IE" w:eastAsia="en-US"/>
        </w:rPr>
        <w:t>Verbaan</w:t>
      </w:r>
      <w:r w:rsidRPr="008231C2">
        <w:rPr>
          <w:rFonts w:eastAsiaTheme="minorHAnsi"/>
          <w:lang w:val="en-IE" w:eastAsia="en-US"/>
        </w:rPr>
        <w:t xml:space="preserve"> 2015</w:t>
      </w:r>
      <w:r>
        <w:rPr>
          <w:rFonts w:eastAsiaTheme="minorHAnsi"/>
          <w:lang w:val="en-IE" w:eastAsia="en-US"/>
        </w:rPr>
        <w:t>b</w:t>
      </w:r>
      <w:r w:rsidRPr="008231C2">
        <w:rPr>
          <w:rFonts w:eastAsiaTheme="minorHAnsi"/>
          <w:lang w:val="en-IE" w:eastAsia="en-US"/>
        </w:rPr>
        <w:t xml:space="preserve"> (unpublished)</w:t>
      </w:r>
    </w:p>
  </w:footnote>
  <w:footnote w:id="22">
    <w:p w14:paraId="76C96856" w14:textId="577071D5" w:rsidR="008231C2" w:rsidRPr="008231C2" w:rsidRDefault="008231C2">
      <w:pPr>
        <w:pStyle w:val="Fodnotetekst"/>
        <w:rPr>
          <w:lang w:val="en-IE"/>
        </w:rPr>
      </w:pPr>
      <w:r>
        <w:rPr>
          <w:rStyle w:val="Fodnotehenvisning"/>
        </w:rPr>
        <w:footnoteRef/>
      </w:r>
      <w:r>
        <w:t xml:space="preserve"> </w:t>
      </w:r>
      <w:r w:rsidRPr="008231C2">
        <w:rPr>
          <w:lang w:val="en-IE"/>
        </w:rPr>
        <w:tab/>
      </w:r>
      <w:r w:rsidRPr="008231C2">
        <w:rPr>
          <w:rFonts w:eastAsiaTheme="minorHAnsi"/>
          <w:lang w:val="en-IE" w:eastAsia="en-US"/>
        </w:rPr>
        <w:t>Penard 2015 (unpublished)</w:t>
      </w:r>
    </w:p>
  </w:footnote>
  <w:footnote w:id="23">
    <w:p w14:paraId="763A2325" w14:textId="6F4AF22A" w:rsidR="00340C1B" w:rsidRPr="00A77B30" w:rsidRDefault="00340C1B" w:rsidP="00340C1B">
      <w:pPr>
        <w:pStyle w:val="Fodnotetekst"/>
      </w:pPr>
      <w:r w:rsidRPr="00DE0D44">
        <w:rPr>
          <w:rStyle w:val="Fodnotehenvisning"/>
        </w:rPr>
        <w:footnoteRef/>
      </w:r>
      <w:r w:rsidRPr="00A77B30">
        <w:tab/>
        <w:t>EFSA Journal 201</w:t>
      </w:r>
      <w:r w:rsidR="00E0540E">
        <w:t>9</w:t>
      </w:r>
      <w:r w:rsidRPr="00A77B30">
        <w:t>;</w:t>
      </w:r>
      <w:r w:rsidR="00E0540E">
        <w:t>17(6):5717</w:t>
      </w:r>
    </w:p>
  </w:footnote>
  <w:footnote w:id="24">
    <w:p w14:paraId="7671AB9F" w14:textId="77777777" w:rsidR="00340C1B" w:rsidRPr="008C6B0D" w:rsidRDefault="00340C1B" w:rsidP="00340C1B">
      <w:pPr>
        <w:pStyle w:val="Fodnotetekst"/>
      </w:pPr>
      <w:r>
        <w:rPr>
          <w:rStyle w:val="Fodnotehenvisning"/>
        </w:rPr>
        <w:footnoteRef/>
      </w:r>
      <w:r>
        <w:tab/>
        <w:t>Regulation</w:t>
      </w:r>
      <w:r w:rsidRPr="008C6B0D">
        <w:t xml:space="preserve"> (EU) No 609/2013 </w:t>
      </w:r>
      <w:r>
        <w:t>of the European Parliament and of the Council</w:t>
      </w:r>
      <w:r w:rsidRPr="008C6B0D">
        <w:t xml:space="preserve"> of 12 June 2013 on food intended for infants and young children, food for special medical purposes, and total diet replacement for weight control and repealing Council Directive 92/52/EEC, Commission Directives 96/8/EC, 1999/21/EC, 2006/125/EC and 2006/141/EC, Directive 2009/39/EC of the European Parliament and of the Council and Commission Regulations (EC) No 41/2009 and (EC) No 953/2009</w:t>
      </w:r>
      <w:r>
        <w:t>, (OJ L 181, 29.6.2013, p. 35).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D3E6C" w14:textId="77777777" w:rsidR="000F3DB2" w:rsidRDefault="000F3DB2">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9294894"/>
      <w:docPartObj>
        <w:docPartGallery w:val="Watermarks"/>
        <w:docPartUnique/>
      </w:docPartObj>
    </w:sdtPr>
    <w:sdtEndPr/>
    <w:sdtContent>
      <w:p w14:paraId="40D37167" w14:textId="77777777" w:rsidR="002325EC" w:rsidRPr="009E151B" w:rsidRDefault="00233496" w:rsidP="009E151B">
        <w:pPr>
          <w:pStyle w:val="Sidehoved"/>
        </w:pPr>
        <w:r>
          <w:rPr>
            <w:noProof/>
            <w:lang w:val="en-US" w:eastAsia="zh-TW"/>
          </w:rPr>
          <w:pict w14:anchorId="7D075C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60C64" w14:textId="77777777" w:rsidR="000F3DB2" w:rsidRDefault="000F3DB2">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4544CF1A"/>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4A3C5ED2"/>
    <w:lvl w:ilvl="0">
      <w:start w:val="1"/>
      <w:numFmt w:val="bullet"/>
      <w:pStyle w:val="Opstilling-punkttegn3"/>
      <w:lvlText w:val=""/>
      <w:lvlJc w:val="left"/>
      <w:pPr>
        <w:tabs>
          <w:tab w:val="num" w:pos="926"/>
        </w:tabs>
        <w:ind w:left="926" w:hanging="360"/>
      </w:pPr>
      <w:rPr>
        <w:rFonts w:ascii="Symbol" w:hAnsi="Symbol" w:hint="default"/>
      </w:rPr>
    </w:lvl>
  </w:abstractNum>
  <w:abstractNum w:abstractNumId="2"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4" w15:restartNumberingAfterBreak="0">
    <w:nsid w:val="7CBE4812"/>
    <w:multiLevelType w:val="singleLevel"/>
    <w:tmpl w:val="23C821E4"/>
    <w:lvl w:ilvl="0">
      <w:start w:val="1"/>
      <w:numFmt w:val="decimal"/>
      <w:lvlRestart w:val="0"/>
      <w:pStyle w:val="Considrant"/>
      <w:lvlText w:val="(%1)"/>
      <w:lvlJc w:val="left"/>
      <w:pPr>
        <w:tabs>
          <w:tab w:val="num" w:pos="709"/>
        </w:tabs>
        <w:ind w:left="709" w:hanging="709"/>
      </w:pPr>
    </w:lvl>
  </w:abstractNum>
  <w:num w:numId="1">
    <w:abstractNumId w:val="4"/>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4"/>
    <w:lvlOverride w:ilvl="0">
      <w:startOverride w:val="1"/>
    </w:lvlOverride>
  </w:num>
  <w:num w:numId="7">
    <w:abstractNumId w:val="3"/>
    <w:lvlOverride w:ilvl="0">
      <w:startOverride w:val="1"/>
    </w:lvlOverride>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745462"/>
    <w:rsid w:val="00030CBB"/>
    <w:rsid w:val="00043D09"/>
    <w:rsid w:val="00060831"/>
    <w:rsid w:val="00067DAD"/>
    <w:rsid w:val="00075630"/>
    <w:rsid w:val="00084B6D"/>
    <w:rsid w:val="00096C64"/>
    <w:rsid w:val="000A7990"/>
    <w:rsid w:val="000C62D1"/>
    <w:rsid w:val="000D0000"/>
    <w:rsid w:val="000F3DB2"/>
    <w:rsid w:val="00110422"/>
    <w:rsid w:val="00112718"/>
    <w:rsid w:val="00145686"/>
    <w:rsid w:val="00192A9B"/>
    <w:rsid w:val="001A56C4"/>
    <w:rsid w:val="001D6E2F"/>
    <w:rsid w:val="001F3BC4"/>
    <w:rsid w:val="00233496"/>
    <w:rsid w:val="00234456"/>
    <w:rsid w:val="002408EE"/>
    <w:rsid w:val="00244CCF"/>
    <w:rsid w:val="00244CD9"/>
    <w:rsid w:val="00255C94"/>
    <w:rsid w:val="0026057C"/>
    <w:rsid w:val="002B3F61"/>
    <w:rsid w:val="00302171"/>
    <w:rsid w:val="0032779F"/>
    <w:rsid w:val="00340C1B"/>
    <w:rsid w:val="003735F8"/>
    <w:rsid w:val="00381B6C"/>
    <w:rsid w:val="00392FBC"/>
    <w:rsid w:val="004212A5"/>
    <w:rsid w:val="00426BAF"/>
    <w:rsid w:val="00472796"/>
    <w:rsid w:val="00475B9C"/>
    <w:rsid w:val="004A349A"/>
    <w:rsid w:val="004A55C4"/>
    <w:rsid w:val="004B01BB"/>
    <w:rsid w:val="004B47CB"/>
    <w:rsid w:val="004B74AD"/>
    <w:rsid w:val="004D1C9E"/>
    <w:rsid w:val="004D3795"/>
    <w:rsid w:val="004E0D9B"/>
    <w:rsid w:val="004E7957"/>
    <w:rsid w:val="005058A1"/>
    <w:rsid w:val="005133A5"/>
    <w:rsid w:val="005328EF"/>
    <w:rsid w:val="005553D9"/>
    <w:rsid w:val="00560D5E"/>
    <w:rsid w:val="005A3342"/>
    <w:rsid w:val="005A5C0F"/>
    <w:rsid w:val="005D0339"/>
    <w:rsid w:val="005F7B98"/>
    <w:rsid w:val="00601F0E"/>
    <w:rsid w:val="006050A2"/>
    <w:rsid w:val="006113E4"/>
    <w:rsid w:val="00620F0F"/>
    <w:rsid w:val="00625662"/>
    <w:rsid w:val="00651860"/>
    <w:rsid w:val="006632B1"/>
    <w:rsid w:val="00673EDC"/>
    <w:rsid w:val="00676632"/>
    <w:rsid w:val="00683ECD"/>
    <w:rsid w:val="006848B1"/>
    <w:rsid w:val="0068616C"/>
    <w:rsid w:val="006A4F59"/>
    <w:rsid w:val="006C4982"/>
    <w:rsid w:val="006D418D"/>
    <w:rsid w:val="006F5090"/>
    <w:rsid w:val="00707BA4"/>
    <w:rsid w:val="00713800"/>
    <w:rsid w:val="00745462"/>
    <w:rsid w:val="00764A1B"/>
    <w:rsid w:val="00767DCE"/>
    <w:rsid w:val="00781CCF"/>
    <w:rsid w:val="00783F9D"/>
    <w:rsid w:val="00793777"/>
    <w:rsid w:val="00796DCA"/>
    <w:rsid w:val="007D197C"/>
    <w:rsid w:val="007E6C0D"/>
    <w:rsid w:val="00801C71"/>
    <w:rsid w:val="00803EEF"/>
    <w:rsid w:val="008231C2"/>
    <w:rsid w:val="0083454A"/>
    <w:rsid w:val="00867E8E"/>
    <w:rsid w:val="00893AA7"/>
    <w:rsid w:val="008B7F76"/>
    <w:rsid w:val="008C24AA"/>
    <w:rsid w:val="008D566D"/>
    <w:rsid w:val="008D60CD"/>
    <w:rsid w:val="008E3C53"/>
    <w:rsid w:val="00906BE6"/>
    <w:rsid w:val="00920E8C"/>
    <w:rsid w:val="00934D28"/>
    <w:rsid w:val="00940F48"/>
    <w:rsid w:val="0095427D"/>
    <w:rsid w:val="009545A3"/>
    <w:rsid w:val="0095532F"/>
    <w:rsid w:val="00962C10"/>
    <w:rsid w:val="009A6114"/>
    <w:rsid w:val="009A7E33"/>
    <w:rsid w:val="009C2A03"/>
    <w:rsid w:val="009F7631"/>
    <w:rsid w:val="00A150DE"/>
    <w:rsid w:val="00A208D2"/>
    <w:rsid w:val="00A27ECB"/>
    <w:rsid w:val="00A75CCC"/>
    <w:rsid w:val="00A90AB9"/>
    <w:rsid w:val="00AB3DDF"/>
    <w:rsid w:val="00AD2117"/>
    <w:rsid w:val="00AD233D"/>
    <w:rsid w:val="00AF14C5"/>
    <w:rsid w:val="00B67C25"/>
    <w:rsid w:val="00B96680"/>
    <w:rsid w:val="00BA0E43"/>
    <w:rsid w:val="00BE5A26"/>
    <w:rsid w:val="00C254A2"/>
    <w:rsid w:val="00C37F2D"/>
    <w:rsid w:val="00C47A3C"/>
    <w:rsid w:val="00C567FF"/>
    <w:rsid w:val="00C84E4E"/>
    <w:rsid w:val="00CC769D"/>
    <w:rsid w:val="00CF7890"/>
    <w:rsid w:val="00D043D9"/>
    <w:rsid w:val="00D4370A"/>
    <w:rsid w:val="00D47E2C"/>
    <w:rsid w:val="00D61783"/>
    <w:rsid w:val="00D80EA3"/>
    <w:rsid w:val="00DF163E"/>
    <w:rsid w:val="00E0540E"/>
    <w:rsid w:val="00E1637C"/>
    <w:rsid w:val="00E23366"/>
    <w:rsid w:val="00E42060"/>
    <w:rsid w:val="00E536CE"/>
    <w:rsid w:val="00E57B01"/>
    <w:rsid w:val="00E674D4"/>
    <w:rsid w:val="00E73404"/>
    <w:rsid w:val="00E77B60"/>
    <w:rsid w:val="00E873C4"/>
    <w:rsid w:val="00E874EB"/>
    <w:rsid w:val="00E919D5"/>
    <w:rsid w:val="00E97694"/>
    <w:rsid w:val="00ED180E"/>
    <w:rsid w:val="00ED28A0"/>
    <w:rsid w:val="00EF505E"/>
    <w:rsid w:val="00F25FBD"/>
    <w:rsid w:val="00F45F58"/>
    <w:rsid w:val="00FB0A9B"/>
    <w:rsid w:val="00FB405E"/>
    <w:rsid w:val="00FB57E3"/>
    <w:rsid w:val="00FD1808"/>
    <w:rsid w:val="00FE13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ADC4C8F"/>
  <w15:docId w15:val="{42E1EEE7-580D-4DBC-97DF-EA67809FF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462"/>
    <w:pPr>
      <w:spacing w:before="120" w:after="120" w:line="240" w:lineRule="auto"/>
      <w:jc w:val="both"/>
    </w:pPr>
    <w:rPr>
      <w:rFonts w:ascii="Times New Roman" w:eastAsia="Calibri" w:hAnsi="Times New Roman" w:cs="Times New Roman"/>
      <w:sz w:val="24"/>
      <w:lang w:eastAsia="en-G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745462"/>
    <w:pPr>
      <w:tabs>
        <w:tab w:val="center" w:pos="4535"/>
        <w:tab w:val="right" w:pos="9071"/>
      </w:tabs>
      <w:spacing w:before="0"/>
    </w:pPr>
    <w:rPr>
      <w:lang w:eastAsia="en-US"/>
    </w:rPr>
  </w:style>
  <w:style w:type="character" w:customStyle="1" w:styleId="SidehovedTegn">
    <w:name w:val="Sidehoved Tegn"/>
    <w:basedOn w:val="Standardskrifttypeiafsnit"/>
    <w:link w:val="Sidehoved"/>
    <w:uiPriority w:val="99"/>
    <w:rsid w:val="00745462"/>
    <w:rPr>
      <w:rFonts w:ascii="Times New Roman" w:eastAsia="Calibri" w:hAnsi="Times New Roman" w:cs="Times New Roman"/>
      <w:sz w:val="24"/>
    </w:rPr>
  </w:style>
  <w:style w:type="paragraph" w:styleId="Sidefod">
    <w:name w:val="footer"/>
    <w:basedOn w:val="Normal"/>
    <w:link w:val="SidefodTegn"/>
    <w:uiPriority w:val="99"/>
    <w:unhideWhenUsed/>
    <w:rsid w:val="00745462"/>
    <w:pPr>
      <w:tabs>
        <w:tab w:val="center" w:pos="4535"/>
        <w:tab w:val="right" w:pos="9071"/>
        <w:tab w:val="right" w:pos="9921"/>
      </w:tabs>
      <w:spacing w:before="360" w:after="0"/>
      <w:ind w:left="-850" w:right="-850"/>
      <w:jc w:val="left"/>
    </w:pPr>
  </w:style>
  <w:style w:type="character" w:customStyle="1" w:styleId="SidefodTegn">
    <w:name w:val="Sidefod Tegn"/>
    <w:basedOn w:val="Standardskrifttypeiafsnit"/>
    <w:link w:val="Sidefod"/>
    <w:uiPriority w:val="99"/>
    <w:rsid w:val="00745462"/>
    <w:rPr>
      <w:rFonts w:ascii="Times New Roman" w:eastAsia="Calibri" w:hAnsi="Times New Roman" w:cs="Times New Roman"/>
      <w:sz w:val="24"/>
      <w:lang w:eastAsia="en-GB"/>
    </w:rPr>
  </w:style>
  <w:style w:type="paragraph" w:styleId="Fodnotetekst">
    <w:name w:val="footnote text"/>
    <w:basedOn w:val="Normal"/>
    <w:link w:val="FodnotetekstTegn"/>
    <w:uiPriority w:val="99"/>
    <w:semiHidden/>
    <w:unhideWhenUsed/>
    <w:rsid w:val="00745462"/>
    <w:pPr>
      <w:spacing w:before="0" w:after="0"/>
      <w:ind w:left="720" w:hanging="720"/>
    </w:pPr>
    <w:rPr>
      <w:sz w:val="20"/>
      <w:szCs w:val="20"/>
    </w:rPr>
  </w:style>
  <w:style w:type="character" w:customStyle="1" w:styleId="FodnotetekstTegn">
    <w:name w:val="Fodnotetekst Tegn"/>
    <w:basedOn w:val="Standardskrifttypeiafsnit"/>
    <w:link w:val="Fodnotetekst"/>
    <w:uiPriority w:val="99"/>
    <w:semiHidden/>
    <w:rsid w:val="00745462"/>
    <w:rPr>
      <w:rFonts w:ascii="Times New Roman" w:eastAsia="Calibri" w:hAnsi="Times New Roman" w:cs="Times New Roman"/>
      <w:sz w:val="20"/>
      <w:szCs w:val="20"/>
      <w:lang w:eastAsia="en-GB"/>
    </w:rPr>
  </w:style>
  <w:style w:type="character" w:styleId="Fodnotehenvisning">
    <w:name w:val="footnote reference"/>
    <w:uiPriority w:val="99"/>
    <w:semiHidden/>
    <w:unhideWhenUsed/>
    <w:rsid w:val="00745462"/>
    <w:rPr>
      <w:shd w:val="clear" w:color="auto" w:fill="auto"/>
      <w:vertAlign w:val="superscript"/>
    </w:rPr>
  </w:style>
  <w:style w:type="character" w:customStyle="1" w:styleId="Marker2">
    <w:name w:val="Marker2"/>
    <w:rsid w:val="00745462"/>
    <w:rPr>
      <w:color w:val="FF0000"/>
      <w:shd w:val="clear" w:color="auto" w:fill="auto"/>
    </w:rPr>
  </w:style>
  <w:style w:type="paragraph" w:customStyle="1" w:styleId="Considrant">
    <w:name w:val="Considérant"/>
    <w:basedOn w:val="Normal"/>
    <w:rsid w:val="00745462"/>
    <w:pPr>
      <w:numPr>
        <w:numId w:val="1"/>
      </w:numPr>
    </w:pPr>
  </w:style>
  <w:style w:type="paragraph" w:customStyle="1" w:styleId="Datedadoption">
    <w:name w:val="Date d'adoption"/>
    <w:basedOn w:val="Normal"/>
    <w:next w:val="Titreobjet"/>
    <w:rsid w:val="00745462"/>
    <w:pPr>
      <w:spacing w:before="360" w:after="0"/>
      <w:jc w:val="center"/>
    </w:pPr>
    <w:rPr>
      <w:b/>
    </w:rPr>
  </w:style>
  <w:style w:type="paragraph" w:customStyle="1" w:styleId="Fait">
    <w:name w:val="Fait à"/>
    <w:basedOn w:val="Normal"/>
    <w:next w:val="Institutionquisigne"/>
    <w:rsid w:val="00745462"/>
    <w:pPr>
      <w:keepNext/>
      <w:spacing w:after="0"/>
    </w:pPr>
  </w:style>
  <w:style w:type="paragraph" w:customStyle="1" w:styleId="Formuledadoption">
    <w:name w:val="Formule d'adoption"/>
    <w:basedOn w:val="Normal"/>
    <w:next w:val="Titrearticle"/>
    <w:rsid w:val="00745462"/>
    <w:pPr>
      <w:keepNext/>
    </w:pPr>
  </w:style>
  <w:style w:type="paragraph" w:customStyle="1" w:styleId="Institutionquiagit">
    <w:name w:val="Institution qui agit"/>
    <w:basedOn w:val="Normal"/>
    <w:next w:val="Normal"/>
    <w:rsid w:val="00745462"/>
    <w:pPr>
      <w:keepNext/>
      <w:spacing w:before="600"/>
    </w:pPr>
  </w:style>
  <w:style w:type="paragraph" w:customStyle="1" w:styleId="Institutionquisigne">
    <w:name w:val="Institution qui signe"/>
    <w:basedOn w:val="Normal"/>
    <w:next w:val="Normal"/>
    <w:rsid w:val="00745462"/>
    <w:pPr>
      <w:keepNext/>
      <w:tabs>
        <w:tab w:val="left" w:pos="4252"/>
      </w:tabs>
      <w:spacing w:before="720" w:after="0"/>
    </w:pPr>
    <w:rPr>
      <w:i/>
    </w:rPr>
  </w:style>
  <w:style w:type="paragraph" w:customStyle="1" w:styleId="Titrearticle">
    <w:name w:val="Titre article"/>
    <w:basedOn w:val="Normal"/>
    <w:next w:val="Normal"/>
    <w:rsid w:val="00745462"/>
    <w:pPr>
      <w:keepNext/>
      <w:spacing w:before="360"/>
      <w:jc w:val="center"/>
    </w:pPr>
    <w:rPr>
      <w:i/>
    </w:rPr>
  </w:style>
  <w:style w:type="paragraph" w:customStyle="1" w:styleId="Titreobjet">
    <w:name w:val="Titre objet"/>
    <w:basedOn w:val="Normal"/>
    <w:next w:val="Normal"/>
    <w:rsid w:val="00745462"/>
    <w:pPr>
      <w:spacing w:before="360" w:after="360"/>
      <w:jc w:val="center"/>
    </w:pPr>
    <w:rPr>
      <w:b/>
    </w:rPr>
  </w:style>
  <w:style w:type="paragraph" w:customStyle="1" w:styleId="Typedudocument">
    <w:name w:val="Type du document"/>
    <w:basedOn w:val="Normal"/>
    <w:next w:val="Titreobjet"/>
    <w:rsid w:val="00745462"/>
    <w:pPr>
      <w:spacing w:before="360" w:after="0"/>
      <w:jc w:val="center"/>
    </w:pPr>
    <w:rPr>
      <w:b/>
    </w:rPr>
  </w:style>
  <w:style w:type="paragraph" w:customStyle="1" w:styleId="IntrtEEE">
    <w:name w:val="Intérêt EEE"/>
    <w:basedOn w:val="Normal"/>
    <w:next w:val="Normal"/>
    <w:rsid w:val="00745462"/>
    <w:pPr>
      <w:spacing w:before="360" w:after="240"/>
      <w:jc w:val="center"/>
    </w:pPr>
  </w:style>
  <w:style w:type="paragraph" w:customStyle="1" w:styleId="Pagedecouverture">
    <w:name w:val="Page de couverture"/>
    <w:basedOn w:val="Normal"/>
    <w:next w:val="Normal"/>
    <w:rsid w:val="00255C94"/>
    <w:pPr>
      <w:spacing w:before="0" w:after="0"/>
    </w:pPr>
    <w:rPr>
      <w:rFonts w:eastAsiaTheme="minorHAnsi"/>
      <w:lang w:eastAsia="en-US"/>
    </w:rPr>
  </w:style>
  <w:style w:type="paragraph" w:styleId="Markeringsbobletekst">
    <w:name w:val="Balloon Text"/>
    <w:basedOn w:val="Normal"/>
    <w:link w:val="MarkeringsbobletekstTegn"/>
    <w:uiPriority w:val="99"/>
    <w:semiHidden/>
    <w:unhideWhenUsed/>
    <w:rsid w:val="00255C94"/>
    <w:pPr>
      <w:spacing w:before="0" w:after="0"/>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55C94"/>
    <w:rPr>
      <w:rFonts w:ascii="Tahoma" w:eastAsia="Calibri" w:hAnsi="Tahoma" w:cs="Tahoma"/>
      <w:sz w:val="16"/>
      <w:szCs w:val="16"/>
      <w:lang w:eastAsia="en-GB"/>
    </w:rPr>
  </w:style>
  <w:style w:type="table" w:styleId="Tabel-Gitter">
    <w:name w:val="Table Grid"/>
    <w:basedOn w:val="Tabel-Normal"/>
    <w:uiPriority w:val="59"/>
    <w:rsid w:val="00E919D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0number">
    <w:name w:val="Point 0 (number)"/>
    <w:basedOn w:val="Normal"/>
    <w:rsid w:val="00E919D5"/>
    <w:pPr>
      <w:numPr>
        <w:numId w:val="3"/>
      </w:numPr>
    </w:pPr>
    <w:rPr>
      <w:rFonts w:eastAsiaTheme="minorHAnsi"/>
      <w:lang w:eastAsia="en-US"/>
    </w:rPr>
  </w:style>
  <w:style w:type="paragraph" w:customStyle="1" w:styleId="Point1number">
    <w:name w:val="Point 1 (number)"/>
    <w:basedOn w:val="Normal"/>
    <w:rsid w:val="00E919D5"/>
    <w:pPr>
      <w:numPr>
        <w:ilvl w:val="2"/>
        <w:numId w:val="3"/>
      </w:numPr>
    </w:pPr>
    <w:rPr>
      <w:rFonts w:eastAsiaTheme="minorHAnsi"/>
      <w:lang w:eastAsia="en-US"/>
    </w:rPr>
  </w:style>
  <w:style w:type="paragraph" w:customStyle="1" w:styleId="Point2number">
    <w:name w:val="Point 2 (number)"/>
    <w:basedOn w:val="Normal"/>
    <w:rsid w:val="00E919D5"/>
    <w:pPr>
      <w:numPr>
        <w:ilvl w:val="4"/>
        <w:numId w:val="3"/>
      </w:numPr>
    </w:pPr>
    <w:rPr>
      <w:rFonts w:eastAsiaTheme="minorHAnsi"/>
      <w:lang w:eastAsia="en-US"/>
    </w:rPr>
  </w:style>
  <w:style w:type="paragraph" w:customStyle="1" w:styleId="Point3number">
    <w:name w:val="Point 3 (number)"/>
    <w:basedOn w:val="Normal"/>
    <w:rsid w:val="00E919D5"/>
    <w:pPr>
      <w:numPr>
        <w:ilvl w:val="6"/>
        <w:numId w:val="3"/>
      </w:numPr>
    </w:pPr>
    <w:rPr>
      <w:rFonts w:eastAsiaTheme="minorHAnsi"/>
      <w:lang w:eastAsia="en-US"/>
    </w:rPr>
  </w:style>
  <w:style w:type="paragraph" w:customStyle="1" w:styleId="Point0letter">
    <w:name w:val="Point 0 (letter)"/>
    <w:basedOn w:val="Normal"/>
    <w:rsid w:val="00E919D5"/>
    <w:pPr>
      <w:numPr>
        <w:ilvl w:val="1"/>
        <w:numId w:val="3"/>
      </w:numPr>
    </w:pPr>
    <w:rPr>
      <w:rFonts w:eastAsiaTheme="minorHAnsi"/>
      <w:lang w:eastAsia="en-US"/>
    </w:rPr>
  </w:style>
  <w:style w:type="paragraph" w:customStyle="1" w:styleId="Point1letter">
    <w:name w:val="Point 1 (letter)"/>
    <w:basedOn w:val="Normal"/>
    <w:rsid w:val="00E919D5"/>
    <w:pPr>
      <w:numPr>
        <w:ilvl w:val="3"/>
        <w:numId w:val="3"/>
      </w:numPr>
    </w:pPr>
    <w:rPr>
      <w:rFonts w:eastAsiaTheme="minorHAnsi"/>
      <w:lang w:eastAsia="en-US"/>
    </w:rPr>
  </w:style>
  <w:style w:type="paragraph" w:customStyle="1" w:styleId="Point2letter">
    <w:name w:val="Point 2 (letter)"/>
    <w:basedOn w:val="Normal"/>
    <w:rsid w:val="00E919D5"/>
    <w:pPr>
      <w:numPr>
        <w:ilvl w:val="5"/>
        <w:numId w:val="3"/>
      </w:numPr>
    </w:pPr>
    <w:rPr>
      <w:rFonts w:eastAsiaTheme="minorHAnsi"/>
      <w:lang w:eastAsia="en-US"/>
    </w:rPr>
  </w:style>
  <w:style w:type="paragraph" w:customStyle="1" w:styleId="Point3letter">
    <w:name w:val="Point 3 (letter)"/>
    <w:basedOn w:val="Normal"/>
    <w:rsid w:val="00E919D5"/>
    <w:pPr>
      <w:numPr>
        <w:ilvl w:val="7"/>
        <w:numId w:val="3"/>
      </w:numPr>
    </w:pPr>
    <w:rPr>
      <w:rFonts w:eastAsiaTheme="minorHAnsi"/>
      <w:lang w:eastAsia="en-US"/>
    </w:rPr>
  </w:style>
  <w:style w:type="paragraph" w:customStyle="1" w:styleId="Point4letter">
    <w:name w:val="Point 4 (letter)"/>
    <w:basedOn w:val="Normal"/>
    <w:rsid w:val="00E919D5"/>
    <w:pPr>
      <w:numPr>
        <w:ilvl w:val="8"/>
        <w:numId w:val="3"/>
      </w:numPr>
    </w:pPr>
    <w:rPr>
      <w:rFonts w:eastAsiaTheme="minorHAnsi"/>
      <w:lang w:eastAsia="en-US"/>
    </w:rPr>
  </w:style>
  <w:style w:type="paragraph" w:customStyle="1" w:styleId="Annexetitre">
    <w:name w:val="Annexe titre"/>
    <w:basedOn w:val="Normal"/>
    <w:next w:val="Normal"/>
    <w:rsid w:val="00E919D5"/>
    <w:pPr>
      <w:jc w:val="center"/>
    </w:pPr>
    <w:rPr>
      <w:rFonts w:eastAsiaTheme="minorHAnsi"/>
      <w:b/>
      <w:u w:val="single"/>
      <w:lang w:eastAsia="en-US"/>
    </w:rPr>
  </w:style>
  <w:style w:type="character" w:styleId="Kommentarhenvisning">
    <w:name w:val="annotation reference"/>
    <w:basedOn w:val="Standardskrifttypeiafsnit"/>
    <w:uiPriority w:val="99"/>
    <w:semiHidden/>
    <w:unhideWhenUsed/>
    <w:rsid w:val="005D0339"/>
    <w:rPr>
      <w:sz w:val="16"/>
      <w:szCs w:val="16"/>
    </w:rPr>
  </w:style>
  <w:style w:type="paragraph" w:styleId="Kommentartekst">
    <w:name w:val="annotation text"/>
    <w:basedOn w:val="Normal"/>
    <w:link w:val="KommentartekstTegn"/>
    <w:uiPriority w:val="99"/>
    <w:semiHidden/>
    <w:unhideWhenUsed/>
    <w:rsid w:val="005D0339"/>
    <w:rPr>
      <w:sz w:val="20"/>
      <w:szCs w:val="20"/>
    </w:rPr>
  </w:style>
  <w:style w:type="character" w:customStyle="1" w:styleId="KommentartekstTegn">
    <w:name w:val="Kommentartekst Tegn"/>
    <w:basedOn w:val="Standardskrifttypeiafsnit"/>
    <w:link w:val="Kommentartekst"/>
    <w:uiPriority w:val="99"/>
    <w:semiHidden/>
    <w:rsid w:val="005D0339"/>
    <w:rPr>
      <w:rFonts w:ascii="Times New Roman" w:eastAsia="Calibri" w:hAnsi="Times New Roman" w:cs="Times New Roman"/>
      <w:sz w:val="20"/>
      <w:szCs w:val="20"/>
      <w:lang w:eastAsia="en-GB"/>
    </w:rPr>
  </w:style>
  <w:style w:type="paragraph" w:styleId="Kommentaremne">
    <w:name w:val="annotation subject"/>
    <w:basedOn w:val="Kommentartekst"/>
    <w:next w:val="Kommentartekst"/>
    <w:link w:val="KommentaremneTegn"/>
    <w:uiPriority w:val="99"/>
    <w:semiHidden/>
    <w:unhideWhenUsed/>
    <w:rsid w:val="005D0339"/>
    <w:rPr>
      <w:b/>
      <w:bCs/>
    </w:rPr>
  </w:style>
  <w:style w:type="character" w:customStyle="1" w:styleId="KommentaremneTegn">
    <w:name w:val="Kommentaremne Tegn"/>
    <w:basedOn w:val="KommentartekstTegn"/>
    <w:link w:val="Kommentaremne"/>
    <w:uiPriority w:val="99"/>
    <w:semiHidden/>
    <w:rsid w:val="005D0339"/>
    <w:rPr>
      <w:rFonts w:ascii="Times New Roman" w:eastAsia="Calibri" w:hAnsi="Times New Roman" w:cs="Times New Roman"/>
      <w:b/>
      <w:bCs/>
      <w:sz w:val="20"/>
      <w:szCs w:val="20"/>
      <w:lang w:eastAsia="en-GB"/>
    </w:rPr>
  </w:style>
  <w:style w:type="character" w:customStyle="1" w:styleId="current-selection">
    <w:name w:val="current-selection"/>
    <w:basedOn w:val="Standardskrifttypeiafsnit"/>
    <w:rsid w:val="001F3BC4"/>
  </w:style>
  <w:style w:type="paragraph" w:customStyle="1" w:styleId="Default">
    <w:name w:val="Default"/>
    <w:rsid w:val="004A55C4"/>
    <w:pPr>
      <w:autoSpaceDE w:val="0"/>
      <w:autoSpaceDN w:val="0"/>
      <w:adjustRightInd w:val="0"/>
      <w:spacing w:after="0" w:line="240" w:lineRule="auto"/>
    </w:pPr>
    <w:rPr>
      <w:rFonts w:ascii="EUAlbertina" w:hAnsi="EUAlbertina" w:cs="EUAlbertina"/>
      <w:color w:val="000000"/>
      <w:sz w:val="24"/>
      <w:szCs w:val="24"/>
    </w:rPr>
  </w:style>
  <w:style w:type="character" w:styleId="Hyperlink">
    <w:name w:val="Hyperlink"/>
    <w:basedOn w:val="Standardskrifttypeiafsnit"/>
    <w:uiPriority w:val="99"/>
    <w:unhideWhenUsed/>
    <w:rsid w:val="009A7E33"/>
    <w:rPr>
      <w:color w:val="0000FF" w:themeColor="hyperlink"/>
      <w:u w:val="single"/>
    </w:rPr>
  </w:style>
  <w:style w:type="character" w:styleId="Pladsholdertekst">
    <w:name w:val="Placeholder Text"/>
    <w:basedOn w:val="Standardskrifttypeiafsnit"/>
    <w:uiPriority w:val="99"/>
    <w:semiHidden/>
    <w:rsid w:val="002B3F61"/>
    <w:rPr>
      <w:color w:val="808080"/>
    </w:rPr>
  </w:style>
  <w:style w:type="paragraph" w:styleId="Opstilling-punkttegn4">
    <w:name w:val="List Bullet 4"/>
    <w:basedOn w:val="Normal"/>
    <w:uiPriority w:val="99"/>
    <w:unhideWhenUsed/>
    <w:rsid w:val="00244CD9"/>
    <w:pPr>
      <w:numPr>
        <w:numId w:val="5"/>
      </w:numPr>
      <w:contextualSpacing/>
    </w:pPr>
    <w:rPr>
      <w:rFonts w:eastAsiaTheme="minorHAnsi"/>
      <w:lang w:eastAsia="en-US"/>
    </w:rPr>
  </w:style>
  <w:style w:type="paragraph" w:customStyle="1" w:styleId="Bullet1">
    <w:name w:val="Bullet 1"/>
    <w:basedOn w:val="Normal"/>
    <w:rsid w:val="00D61783"/>
    <w:pPr>
      <w:numPr>
        <w:numId w:val="7"/>
      </w:numPr>
    </w:pPr>
    <w:rPr>
      <w:rFonts w:eastAsiaTheme="minorHAnsi"/>
      <w:lang w:eastAsia="en-US"/>
    </w:rPr>
  </w:style>
  <w:style w:type="paragraph" w:styleId="Opstilling-punkttegn3">
    <w:name w:val="List Bullet 3"/>
    <w:basedOn w:val="Normal"/>
    <w:uiPriority w:val="99"/>
    <w:semiHidden/>
    <w:unhideWhenUsed/>
    <w:rsid w:val="001D6E2F"/>
    <w:pPr>
      <w:numPr>
        <w:numId w:val="9"/>
      </w:numPr>
      <w:contextualSpacing/>
    </w:pPr>
    <w:rPr>
      <w:rFonts w:eastAsiaTheme="minorHAnsi"/>
      <w:lang w:eastAsia="en-US"/>
    </w:rPr>
  </w:style>
  <w:style w:type="paragraph" w:styleId="NormalWeb">
    <w:name w:val="Normal (Web)"/>
    <w:basedOn w:val="Normal"/>
    <w:uiPriority w:val="99"/>
    <w:semiHidden/>
    <w:unhideWhenUsed/>
    <w:rsid w:val="000F3DB2"/>
    <w:pPr>
      <w:spacing w:before="0" w:after="0"/>
      <w:jc w:val="left"/>
    </w:pPr>
    <w:rPr>
      <w:rFonts w:ascii="Calibri" w:eastAsiaTheme="minorHAnsi" w:hAnsi="Calibri" w:cs="Calibri"/>
      <w:sz w:val="22"/>
    </w:rPr>
  </w:style>
  <w:style w:type="paragraph" w:customStyle="1" w:styleId="CM1">
    <w:name w:val="CM1"/>
    <w:basedOn w:val="Default"/>
    <w:next w:val="Default"/>
    <w:uiPriority w:val="99"/>
    <w:rsid w:val="008D566D"/>
    <w:rPr>
      <w:rFonts w:cstheme="minorBidi"/>
      <w:color w:val="auto"/>
      <w:lang w:val="fr-BE"/>
    </w:rPr>
  </w:style>
  <w:style w:type="paragraph" w:customStyle="1" w:styleId="CM3">
    <w:name w:val="CM3"/>
    <w:basedOn w:val="Default"/>
    <w:next w:val="Default"/>
    <w:uiPriority w:val="99"/>
    <w:rsid w:val="008D566D"/>
    <w:rPr>
      <w:rFonts w:cstheme="minorBidi"/>
      <w:color w:val="auto"/>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795320">
      <w:bodyDiv w:val="1"/>
      <w:marLeft w:val="0"/>
      <w:marRight w:val="0"/>
      <w:marTop w:val="0"/>
      <w:marBottom w:val="0"/>
      <w:divBdr>
        <w:top w:val="none" w:sz="0" w:space="0" w:color="auto"/>
        <w:left w:val="none" w:sz="0" w:space="0" w:color="auto"/>
        <w:bottom w:val="none" w:sz="0" w:space="0" w:color="auto"/>
        <w:right w:val="none" w:sz="0" w:space="0" w:color="auto"/>
      </w:divBdr>
      <w:divsChild>
        <w:div w:id="1728336647">
          <w:marLeft w:val="0"/>
          <w:marRight w:val="0"/>
          <w:marTop w:val="0"/>
          <w:marBottom w:val="0"/>
          <w:divBdr>
            <w:top w:val="none" w:sz="0" w:space="0" w:color="auto"/>
            <w:left w:val="none" w:sz="0" w:space="0" w:color="auto"/>
            <w:bottom w:val="none" w:sz="0" w:space="0" w:color="auto"/>
            <w:right w:val="none" w:sz="0" w:space="0" w:color="auto"/>
          </w:divBdr>
        </w:div>
        <w:div w:id="1454012680">
          <w:marLeft w:val="0"/>
          <w:marRight w:val="0"/>
          <w:marTop w:val="0"/>
          <w:marBottom w:val="0"/>
          <w:divBdr>
            <w:top w:val="none" w:sz="0" w:space="0" w:color="auto"/>
            <w:left w:val="none" w:sz="0" w:space="0" w:color="auto"/>
            <w:bottom w:val="none" w:sz="0" w:space="0" w:color="auto"/>
            <w:right w:val="none" w:sz="0" w:space="0" w:color="auto"/>
          </w:divBdr>
        </w:div>
        <w:div w:id="1597514517">
          <w:marLeft w:val="0"/>
          <w:marRight w:val="0"/>
          <w:marTop w:val="0"/>
          <w:marBottom w:val="0"/>
          <w:divBdr>
            <w:top w:val="none" w:sz="0" w:space="0" w:color="auto"/>
            <w:left w:val="none" w:sz="0" w:space="0" w:color="auto"/>
            <w:bottom w:val="none" w:sz="0" w:space="0" w:color="auto"/>
            <w:right w:val="none" w:sz="0" w:space="0" w:color="auto"/>
          </w:divBdr>
        </w:div>
        <w:div w:id="2050567243">
          <w:marLeft w:val="0"/>
          <w:marRight w:val="0"/>
          <w:marTop w:val="0"/>
          <w:marBottom w:val="0"/>
          <w:divBdr>
            <w:top w:val="none" w:sz="0" w:space="0" w:color="auto"/>
            <w:left w:val="none" w:sz="0" w:space="0" w:color="auto"/>
            <w:bottom w:val="none" w:sz="0" w:space="0" w:color="auto"/>
            <w:right w:val="none" w:sz="0" w:space="0" w:color="auto"/>
          </w:divBdr>
        </w:div>
        <w:div w:id="1575967730">
          <w:marLeft w:val="0"/>
          <w:marRight w:val="0"/>
          <w:marTop w:val="0"/>
          <w:marBottom w:val="0"/>
          <w:divBdr>
            <w:top w:val="none" w:sz="0" w:space="0" w:color="auto"/>
            <w:left w:val="none" w:sz="0" w:space="0" w:color="auto"/>
            <w:bottom w:val="none" w:sz="0" w:space="0" w:color="auto"/>
            <w:right w:val="none" w:sz="0" w:space="0" w:color="auto"/>
          </w:divBdr>
        </w:div>
        <w:div w:id="1892879949">
          <w:marLeft w:val="0"/>
          <w:marRight w:val="0"/>
          <w:marTop w:val="0"/>
          <w:marBottom w:val="0"/>
          <w:divBdr>
            <w:top w:val="none" w:sz="0" w:space="0" w:color="auto"/>
            <w:left w:val="none" w:sz="0" w:space="0" w:color="auto"/>
            <w:bottom w:val="none" w:sz="0" w:space="0" w:color="auto"/>
            <w:right w:val="none" w:sz="0" w:space="0" w:color="auto"/>
          </w:divBdr>
        </w:div>
        <w:div w:id="692733033">
          <w:marLeft w:val="0"/>
          <w:marRight w:val="0"/>
          <w:marTop w:val="0"/>
          <w:marBottom w:val="0"/>
          <w:divBdr>
            <w:top w:val="none" w:sz="0" w:space="0" w:color="auto"/>
            <w:left w:val="none" w:sz="0" w:space="0" w:color="auto"/>
            <w:bottom w:val="none" w:sz="0" w:space="0" w:color="auto"/>
            <w:right w:val="none" w:sz="0" w:space="0" w:color="auto"/>
          </w:divBdr>
        </w:div>
      </w:divsChild>
    </w:div>
    <w:div w:id="792794729">
      <w:bodyDiv w:val="1"/>
      <w:marLeft w:val="0"/>
      <w:marRight w:val="0"/>
      <w:marTop w:val="0"/>
      <w:marBottom w:val="0"/>
      <w:divBdr>
        <w:top w:val="none" w:sz="0" w:space="0" w:color="auto"/>
        <w:left w:val="none" w:sz="0" w:space="0" w:color="auto"/>
        <w:bottom w:val="none" w:sz="0" w:space="0" w:color="auto"/>
        <w:right w:val="none" w:sz="0" w:space="0" w:color="auto"/>
      </w:divBdr>
      <w:divsChild>
        <w:div w:id="163470637">
          <w:marLeft w:val="0"/>
          <w:marRight w:val="0"/>
          <w:marTop w:val="0"/>
          <w:marBottom w:val="0"/>
          <w:divBdr>
            <w:top w:val="none" w:sz="0" w:space="0" w:color="auto"/>
            <w:left w:val="none" w:sz="0" w:space="0" w:color="auto"/>
            <w:bottom w:val="none" w:sz="0" w:space="0" w:color="auto"/>
            <w:right w:val="none" w:sz="0" w:space="0" w:color="auto"/>
          </w:divBdr>
          <w:divsChild>
            <w:div w:id="1319193475">
              <w:marLeft w:val="0"/>
              <w:marRight w:val="0"/>
              <w:marTop w:val="0"/>
              <w:marBottom w:val="0"/>
              <w:divBdr>
                <w:top w:val="none" w:sz="0" w:space="0" w:color="auto"/>
                <w:left w:val="none" w:sz="0" w:space="0" w:color="auto"/>
                <w:bottom w:val="none" w:sz="0" w:space="0" w:color="auto"/>
                <w:right w:val="none" w:sz="0" w:space="0" w:color="auto"/>
              </w:divBdr>
              <w:divsChild>
                <w:div w:id="1331374962">
                  <w:marLeft w:val="0"/>
                  <w:marRight w:val="0"/>
                  <w:marTop w:val="181"/>
                  <w:marBottom w:val="181"/>
                  <w:divBdr>
                    <w:top w:val="none" w:sz="0" w:space="0" w:color="auto"/>
                    <w:left w:val="none" w:sz="0" w:space="0" w:color="auto"/>
                    <w:bottom w:val="none" w:sz="0" w:space="0" w:color="auto"/>
                    <w:right w:val="none" w:sz="0" w:space="0" w:color="auto"/>
                  </w:divBdr>
                  <w:divsChild>
                    <w:div w:id="1918052450">
                      <w:marLeft w:val="0"/>
                      <w:marRight w:val="0"/>
                      <w:marTop w:val="0"/>
                      <w:marBottom w:val="0"/>
                      <w:divBdr>
                        <w:top w:val="none" w:sz="0" w:space="0" w:color="auto"/>
                        <w:left w:val="none" w:sz="0" w:space="0" w:color="auto"/>
                        <w:bottom w:val="none" w:sz="0" w:space="0" w:color="auto"/>
                        <w:right w:val="none" w:sz="0" w:space="0" w:color="auto"/>
                      </w:divBdr>
                      <w:divsChild>
                        <w:div w:id="238255678">
                          <w:marLeft w:val="0"/>
                          <w:marRight w:val="0"/>
                          <w:marTop w:val="0"/>
                          <w:marBottom w:val="0"/>
                          <w:divBdr>
                            <w:top w:val="none" w:sz="0" w:space="0" w:color="auto"/>
                            <w:left w:val="none" w:sz="0" w:space="0" w:color="auto"/>
                            <w:bottom w:val="none" w:sz="0" w:space="0" w:color="auto"/>
                            <w:right w:val="none" w:sz="0" w:space="0" w:color="auto"/>
                          </w:divBdr>
                        </w:div>
                        <w:div w:id="77452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0549345">
      <w:bodyDiv w:val="1"/>
      <w:marLeft w:val="0"/>
      <w:marRight w:val="0"/>
      <w:marTop w:val="0"/>
      <w:marBottom w:val="0"/>
      <w:divBdr>
        <w:top w:val="none" w:sz="0" w:space="0" w:color="auto"/>
        <w:left w:val="none" w:sz="0" w:space="0" w:color="auto"/>
        <w:bottom w:val="none" w:sz="0" w:space="0" w:color="auto"/>
        <w:right w:val="none" w:sz="0" w:space="0" w:color="auto"/>
      </w:divBdr>
    </w:div>
    <w:div w:id="1094980498">
      <w:bodyDiv w:val="1"/>
      <w:marLeft w:val="0"/>
      <w:marRight w:val="0"/>
      <w:marTop w:val="0"/>
      <w:marBottom w:val="0"/>
      <w:divBdr>
        <w:top w:val="none" w:sz="0" w:space="0" w:color="auto"/>
        <w:left w:val="none" w:sz="0" w:space="0" w:color="auto"/>
        <w:bottom w:val="none" w:sz="0" w:space="0" w:color="auto"/>
        <w:right w:val="none" w:sz="0" w:space="0" w:color="auto"/>
      </w:divBdr>
    </w:div>
    <w:div w:id="1458522862">
      <w:bodyDiv w:val="1"/>
      <w:marLeft w:val="0"/>
      <w:marRight w:val="0"/>
      <w:marTop w:val="0"/>
      <w:marBottom w:val="0"/>
      <w:divBdr>
        <w:top w:val="none" w:sz="0" w:space="0" w:color="auto"/>
        <w:left w:val="none" w:sz="0" w:space="0" w:color="auto"/>
        <w:bottom w:val="none" w:sz="0" w:space="0" w:color="auto"/>
        <w:right w:val="none" w:sz="0" w:space="0" w:color="auto"/>
      </w:divBdr>
    </w:div>
    <w:div w:id="204046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2BF6D-700A-4420-AC25-A1D3752FA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1704</Words>
  <Characters>10396</Characters>
  <Application>Microsoft Office Word</Application>
  <DocSecurity>0</DocSecurity>
  <Lines>86</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 E</dc:creator>
  <cp:lastModifiedBy>Hanne Boskov Hansen (FVST)</cp:lastModifiedBy>
  <cp:revision>2</cp:revision>
  <cp:lastPrinted>2019-06-28T09:18:00Z</cp:lastPrinted>
  <dcterms:created xsi:type="dcterms:W3CDTF">2019-06-28T09:18:00Z</dcterms:created>
  <dcterms:modified xsi:type="dcterms:W3CDTF">2019-06-28T09:18:00Z</dcterms:modified>
</cp:coreProperties>
</file>