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EB03A" w14:textId="77777777" w:rsidR="00696799" w:rsidRPr="00E77FF9" w:rsidRDefault="00696799" w:rsidP="00696799">
      <w:pPr>
        <w:spacing w:before="100" w:beforeAutospacing="1" w:line="240" w:lineRule="auto"/>
        <w:ind w:firstLine="17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da-DK"/>
        </w:rPr>
      </w:pPr>
      <w:r w:rsidRPr="00E77F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da-DK"/>
        </w:rPr>
        <w:t>UDKAST</w:t>
      </w:r>
    </w:p>
    <w:p w14:paraId="175B86C0" w14:textId="77777777" w:rsidR="00696799" w:rsidRPr="00E77FF9" w:rsidRDefault="00696799" w:rsidP="00696799">
      <w:pPr>
        <w:spacing w:before="100" w:beforeAutospacing="1" w:line="240" w:lineRule="auto"/>
        <w:ind w:firstLine="17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da-DK"/>
        </w:rPr>
      </w:pPr>
      <w:r w:rsidRPr="00E77FF9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til</w:t>
      </w:r>
    </w:p>
    <w:p w14:paraId="2D4D39E2" w14:textId="77777777" w:rsidR="00696799" w:rsidRPr="00E77FF9" w:rsidRDefault="00696799" w:rsidP="00696799">
      <w:pPr>
        <w:spacing w:before="100" w:beforeAutospacing="1" w:line="240" w:lineRule="auto"/>
        <w:ind w:firstLine="17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da-DK"/>
        </w:rPr>
      </w:pPr>
      <w:r w:rsidRPr="00E77F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  <w:t>Forslag</w:t>
      </w:r>
    </w:p>
    <w:p w14:paraId="06B26D8B" w14:textId="77777777" w:rsidR="00696799" w:rsidRPr="00E77FF9" w:rsidRDefault="00696799" w:rsidP="00696799">
      <w:pPr>
        <w:spacing w:before="100" w:beforeAutospacing="1" w:line="240" w:lineRule="auto"/>
        <w:ind w:firstLine="17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da-DK"/>
        </w:rPr>
      </w:pPr>
      <w:r w:rsidRPr="00E77FF9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til</w:t>
      </w:r>
    </w:p>
    <w:p w14:paraId="06212A31" w14:textId="341F4CF7" w:rsidR="00696799" w:rsidRPr="00E77FF9" w:rsidRDefault="00D3341E" w:rsidP="00696799">
      <w:pPr>
        <w:spacing w:before="100" w:beforeAutospacing="1" w:line="240" w:lineRule="auto"/>
        <w:ind w:firstLine="1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Bekendtgørelse</w:t>
      </w:r>
      <w:r w:rsidR="00696799" w:rsidRPr="00E77FF9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om</w:t>
      </w:r>
      <w:r w:rsidR="00AA381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Banedanmarks levering af kørestrøm</w:t>
      </w:r>
    </w:p>
    <w:p w14:paraId="415C5239" w14:textId="77777777" w:rsidR="00696799" w:rsidRPr="00E77FF9" w:rsidRDefault="00696799" w:rsidP="00696799">
      <w:pPr>
        <w:spacing w:before="100" w:beforeAutospacing="1" w:line="240" w:lineRule="auto"/>
        <w:ind w:firstLine="17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a-DK"/>
        </w:rPr>
      </w:pPr>
    </w:p>
    <w:p w14:paraId="0DCB25EF" w14:textId="2152F0DB" w:rsidR="00696799" w:rsidRPr="00E77FF9" w:rsidRDefault="00BB35A3" w:rsidP="00696799">
      <w:pPr>
        <w:spacing w:before="100" w:beforeAutospacing="1" w:line="240" w:lineRule="auto"/>
        <w:ind w:firstLine="17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a-DK"/>
        </w:rPr>
        <w:t>Indledning</w:t>
      </w:r>
    </w:p>
    <w:p w14:paraId="47008EA6" w14:textId="617FF1BE" w:rsidR="00BB35A3" w:rsidRDefault="00AA3813" w:rsidP="00696799">
      <w:pPr>
        <w:spacing w:before="100" w:beforeAutospacing="1" w:line="240" w:lineRule="auto"/>
        <w:ind w:firstLine="17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</w:pPr>
      <w:r w:rsidRPr="00AA38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>I medfør af § 21, stk. 3 og § 22, stk. 2, i jernbaneloven, lov nr. 686 af 27. maj 2015, fastsættes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 xml:space="preserve"> efter bemyndigelse </w:t>
      </w:r>
      <w:r w:rsidR="00BB35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 xml:space="preserve">i henhold til §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 xml:space="preserve">16 i </w:t>
      </w:r>
      <w:r w:rsidRPr="00AA38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 xml:space="preserve">bekendtgørelse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 xml:space="preserve">nr. </w:t>
      </w:r>
      <w:r w:rsidRPr="0007530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>[xx af xx]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 xml:space="preserve"> om Banedanmarks opgaver og beføjelser</w:t>
      </w:r>
      <w:r w:rsidR="00BB35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>:</w:t>
      </w:r>
    </w:p>
    <w:p w14:paraId="0469DDEB" w14:textId="77777777" w:rsidR="00614695" w:rsidRPr="00E77FF9" w:rsidRDefault="00614695" w:rsidP="00614695">
      <w:pPr>
        <w:spacing w:line="240" w:lineRule="auto"/>
        <w:ind w:firstLine="17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</w:pPr>
    </w:p>
    <w:p w14:paraId="1AC870C1" w14:textId="0752100D" w:rsidR="00AA3813" w:rsidRDefault="00696799" w:rsidP="00614695">
      <w:pPr>
        <w:spacing w:line="240" w:lineRule="auto"/>
        <w:ind w:firstLine="17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a-DK"/>
        </w:rPr>
      </w:pPr>
      <w:r w:rsidRPr="00E77F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a-DK"/>
        </w:rPr>
        <w:t xml:space="preserve">Anvendelsesområde </w:t>
      </w:r>
    </w:p>
    <w:p w14:paraId="723E779F" w14:textId="77777777" w:rsidR="00614695" w:rsidRPr="00BB39DC" w:rsidRDefault="00614695" w:rsidP="00614695">
      <w:pPr>
        <w:spacing w:line="240" w:lineRule="auto"/>
        <w:ind w:firstLine="17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a-DK"/>
        </w:rPr>
      </w:pPr>
    </w:p>
    <w:p w14:paraId="4718190C" w14:textId="6BD6C128" w:rsidR="00AA3813" w:rsidRPr="00AA3813" w:rsidRDefault="00AA3813" w:rsidP="00614695">
      <w:pPr>
        <w:spacing w:line="240" w:lineRule="auto"/>
        <w:ind w:firstLine="1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>§ 1</w:t>
      </w:r>
      <w:r w:rsidR="00696799" w:rsidRPr="00E77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 xml:space="preserve">. </w:t>
      </w:r>
      <w:r w:rsidR="001923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>Denne</w:t>
      </w:r>
      <w:r w:rsidRPr="00AA3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 xml:space="preserve"> bekendtgørelse gælder for Banedanmarks forsyning af kørestrøm og forsyning af strøm til parkeret togmateriel, til jernbanevirksomhederne på de jernbaneanlæg som Banedanmark forsyner med elektrisk energi i Danmark. Om disse anlæg anvendes i bekendtgørelsen betegnelsen »Banedanmarks kørestrømssystem«.</w:t>
      </w:r>
    </w:p>
    <w:p w14:paraId="0285B881" w14:textId="77777777" w:rsidR="00AA3813" w:rsidRPr="00AA3813" w:rsidRDefault="00AA3813" w:rsidP="00614695">
      <w:pPr>
        <w:spacing w:line="240" w:lineRule="auto"/>
        <w:ind w:firstLine="1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</w:pPr>
      <w:r w:rsidRPr="00AA381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da-DK"/>
        </w:rPr>
        <w:t>Stk. 2.</w:t>
      </w:r>
      <w:r w:rsidRPr="00AA3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> Bekendtgørelsen gælder ikke for strækningen Padborg-Rigsgrænsen (Tyskland), hvor der anvendes et tysk forsyningssystem.</w:t>
      </w:r>
    </w:p>
    <w:p w14:paraId="5F03E9DA" w14:textId="77777777" w:rsidR="00AA3813" w:rsidRPr="00AA3813" w:rsidRDefault="00AA3813" w:rsidP="00614695">
      <w:pPr>
        <w:spacing w:line="240" w:lineRule="auto"/>
        <w:ind w:firstLine="1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</w:pPr>
      <w:r w:rsidRPr="00AA381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da-DK"/>
        </w:rPr>
        <w:t>Stk. 3.</w:t>
      </w:r>
      <w:r w:rsidRPr="00AA3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 xml:space="preserve"> Banedanmarks transmissionssystem (fjernbanen) er et sammenhængende system, som forsynes fra relevant systemoperatør i forskellige prisområder. Banedanmarks distributionssystem (S-banen) er et sammenhængende system, som forsynes fra forskellige </w:t>
      </w:r>
      <w:proofErr w:type="spellStart"/>
      <w:r w:rsidRPr="00AA3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>netselskaber</w:t>
      </w:r>
      <w:proofErr w:type="spellEnd"/>
      <w:r w:rsidRPr="00AA3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 xml:space="preserve">. Jernbanevirksomhedernes elektriske trækkraftenheder bevæger sig på </w:t>
      </w:r>
      <w:proofErr w:type="spellStart"/>
      <w:r w:rsidRPr="00AA3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>kørestrømssystemet</w:t>
      </w:r>
      <w:proofErr w:type="spellEnd"/>
      <w:r w:rsidRPr="00AA3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 xml:space="preserve"> mellem både prisområder og </w:t>
      </w:r>
      <w:proofErr w:type="spellStart"/>
      <w:r w:rsidRPr="00AA3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>netselskaber</w:t>
      </w:r>
      <w:proofErr w:type="spellEnd"/>
      <w:r w:rsidRPr="00AA3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>.</w:t>
      </w:r>
    </w:p>
    <w:p w14:paraId="342F4ADB" w14:textId="77777777" w:rsidR="00AA3813" w:rsidRPr="00AA3813" w:rsidRDefault="00AA3813" w:rsidP="00614695">
      <w:pPr>
        <w:spacing w:line="240" w:lineRule="auto"/>
        <w:ind w:firstLine="1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</w:pPr>
      <w:r w:rsidRPr="00AA381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da-DK"/>
        </w:rPr>
        <w:t>Stk. 4.</w:t>
      </w:r>
      <w:r w:rsidRPr="00AA3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 xml:space="preserve"> Banedanmarks elforsyningsaktiviteter er undtaget fra elforsyningsloven, jf. § 22 i lov om jernbane. Banedanmark er eget </w:t>
      </w:r>
      <w:proofErr w:type="spellStart"/>
      <w:r w:rsidRPr="00AA3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>transmisionsselskab</w:t>
      </w:r>
      <w:proofErr w:type="spellEnd"/>
      <w:r w:rsidRPr="00AA3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 xml:space="preserve"> uden bevilling på fjernbanen.</w:t>
      </w:r>
    </w:p>
    <w:p w14:paraId="0B3620D7" w14:textId="7FEE0926" w:rsidR="00001C30" w:rsidRPr="00AA3813" w:rsidRDefault="00AA3813" w:rsidP="00614695">
      <w:pPr>
        <w:spacing w:line="240" w:lineRule="auto"/>
        <w:ind w:firstLine="1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</w:pPr>
      <w:r w:rsidRPr="00AA381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da-DK"/>
        </w:rPr>
        <w:t>Stk. 5.</w:t>
      </w:r>
      <w:r w:rsidRPr="00AA3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 xml:space="preserve"> Banedanmark forsyner på særlige vilkår jernbanedelen af Øresundsforbindelsen mellem det danske landfæste og </w:t>
      </w:r>
      <w:proofErr w:type="spellStart"/>
      <w:r w:rsidRPr="00AA3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>Lernacken</w:t>
      </w:r>
      <w:proofErr w:type="spellEnd"/>
      <w:r w:rsidRPr="00AA3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 xml:space="preserve"> neutralsektion med elektrisk energi. De særlige vilkår indbefatter de danske skatteregler og specifikt de svenske regler på skat, afgift og el-distribution.</w:t>
      </w:r>
    </w:p>
    <w:p w14:paraId="1AF7B93D" w14:textId="77777777" w:rsidR="00614695" w:rsidRDefault="00614695" w:rsidP="00614695">
      <w:pPr>
        <w:spacing w:line="240" w:lineRule="auto"/>
        <w:ind w:firstLine="17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a-DK"/>
        </w:rPr>
      </w:pPr>
    </w:p>
    <w:p w14:paraId="0EE60228" w14:textId="1D3E04E8" w:rsidR="00696799" w:rsidRDefault="00696799" w:rsidP="00614695">
      <w:pPr>
        <w:spacing w:line="240" w:lineRule="auto"/>
        <w:ind w:firstLine="17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a-DK"/>
        </w:rPr>
      </w:pPr>
      <w:r w:rsidRPr="00E77F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a-DK"/>
        </w:rPr>
        <w:t>Definitioner</w:t>
      </w:r>
    </w:p>
    <w:p w14:paraId="6F4EF293" w14:textId="77777777" w:rsidR="00614695" w:rsidRPr="00E77FF9" w:rsidRDefault="00614695" w:rsidP="00614695">
      <w:pPr>
        <w:spacing w:line="240" w:lineRule="auto"/>
        <w:ind w:firstLine="17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da-DK"/>
        </w:rPr>
      </w:pPr>
    </w:p>
    <w:p w14:paraId="0DA9A976" w14:textId="4874DF83" w:rsidR="00AA3813" w:rsidRPr="00AA3813" w:rsidRDefault="00AA3813" w:rsidP="00614695">
      <w:pPr>
        <w:spacing w:line="240" w:lineRule="auto"/>
        <w:ind w:firstLine="170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>§ 2</w:t>
      </w:r>
      <w:r w:rsidR="00696799" w:rsidRPr="00E77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 xml:space="preserve">. </w:t>
      </w:r>
      <w:r w:rsidR="00A6066D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I </w:t>
      </w:r>
      <w:r w:rsidRPr="00AA381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denne bekendtgørelse forstås ved:</w:t>
      </w:r>
    </w:p>
    <w:p w14:paraId="40D6DBB9" w14:textId="77777777" w:rsidR="00AA3813" w:rsidRPr="00AA3813" w:rsidRDefault="00AA3813" w:rsidP="00614695">
      <w:pPr>
        <w:spacing w:line="240" w:lineRule="auto"/>
        <w:ind w:firstLine="170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A381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1) »Banedanmarks kørestrømssystem«: </w:t>
      </w:r>
      <w:proofErr w:type="spellStart"/>
      <w:r w:rsidRPr="00AA381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Kørestrømsnet</w:t>
      </w:r>
      <w:proofErr w:type="spellEnd"/>
      <w:r w:rsidRPr="00AA381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transformatorer, </w:t>
      </w:r>
      <w:proofErr w:type="spellStart"/>
      <w:r w:rsidRPr="00AA381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fordeleranlæg</w:t>
      </w:r>
      <w:proofErr w:type="spellEnd"/>
      <w:r w:rsidRPr="00AA381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(</w:t>
      </w:r>
      <w:proofErr w:type="spellStart"/>
      <w:r w:rsidRPr="00AA381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fordelingsstation</w:t>
      </w:r>
      <w:proofErr w:type="spellEnd"/>
      <w:r w:rsidRPr="00AA381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) samt </w:t>
      </w:r>
      <w:proofErr w:type="spellStart"/>
      <w:r w:rsidRPr="00AA381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returstrømssystem</w:t>
      </w:r>
      <w:proofErr w:type="spellEnd"/>
      <w:r w:rsidRPr="00AA381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og omformeranlæg (omformerstationer) på de jernbaneanlæg, som er elektrificerede.</w:t>
      </w:r>
    </w:p>
    <w:p w14:paraId="0DB82978" w14:textId="77777777" w:rsidR="00AA3813" w:rsidRPr="00AA3813" w:rsidRDefault="00AA3813" w:rsidP="00614695">
      <w:pPr>
        <w:spacing w:line="240" w:lineRule="auto"/>
        <w:ind w:firstLine="170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A381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2) »Kørestrøm«: Den af Banedanmark leverede elektriske energi på Fjernbanen og på S-banen, som anvendes til drift af elektriske trækkraftenheder på jernbaneanlæg i henhold til § 3, stk. 3, samt til </w:t>
      </w:r>
      <w:proofErr w:type="gramStart"/>
      <w:r w:rsidRPr="00AA381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togforvarme</w:t>
      </w:r>
      <w:proofErr w:type="gramEnd"/>
      <w:r w:rsidRPr="00AA381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og </w:t>
      </w:r>
      <w:proofErr w:type="spellStart"/>
      <w:r w:rsidRPr="00AA381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fremmednetstik</w:t>
      </w:r>
      <w:proofErr w:type="spellEnd"/>
      <w:r w:rsidRPr="00AA381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</w:t>
      </w:r>
    </w:p>
    <w:p w14:paraId="3B0A06B9" w14:textId="1897ABE2" w:rsidR="00696799" w:rsidRPr="00E77FF9" w:rsidRDefault="00696799" w:rsidP="00614695">
      <w:pPr>
        <w:spacing w:line="240" w:lineRule="auto"/>
        <w:ind w:firstLine="170"/>
        <w:rPr>
          <w:rFonts w:ascii="Times New Roman" w:eastAsia="Times New Roman" w:hAnsi="Times New Roman" w:cs="Times New Roman"/>
          <w:color w:val="auto"/>
          <w:sz w:val="24"/>
          <w:szCs w:val="24"/>
          <w:lang w:eastAsia="da-DK"/>
        </w:rPr>
      </w:pPr>
    </w:p>
    <w:p w14:paraId="0C8FBD8E" w14:textId="77777777" w:rsidR="00AA3813" w:rsidRPr="00AA3813" w:rsidRDefault="00AA3813" w:rsidP="00614695">
      <w:pPr>
        <w:spacing w:line="240" w:lineRule="auto"/>
        <w:ind w:firstLine="17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a-DK"/>
        </w:rPr>
      </w:pPr>
      <w:r w:rsidRPr="00AA38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a-DK"/>
        </w:rPr>
        <w:t>Banedanmarks levering af kørestrøm</w:t>
      </w:r>
    </w:p>
    <w:p w14:paraId="23405ED5" w14:textId="77777777" w:rsidR="00AA3813" w:rsidRDefault="00AA3813" w:rsidP="00614695">
      <w:pPr>
        <w:spacing w:line="240" w:lineRule="auto"/>
        <w:ind w:firstLine="17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a-DK"/>
        </w:rPr>
      </w:pPr>
    </w:p>
    <w:p w14:paraId="5CC94EE1" w14:textId="10A19E3E" w:rsidR="00AA3813" w:rsidRPr="00AA3813" w:rsidRDefault="00AA3813" w:rsidP="00614695">
      <w:pPr>
        <w:spacing w:line="240" w:lineRule="auto"/>
        <w:ind w:firstLine="17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</w:pPr>
      <w:r w:rsidRPr="00AA38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a-DK"/>
        </w:rPr>
        <w:t xml:space="preserve"> </w:t>
      </w:r>
      <w:r w:rsidRPr="00AA381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da-DK"/>
        </w:rPr>
        <w:t xml:space="preserve">§ 3. </w:t>
      </w:r>
      <w:r w:rsidRPr="00AA38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>Banedanmark skal levere kørestrøm på lige vilkår til jernbanevirksomheder, der ønsker at anvende elektrisk trækkraft.</w:t>
      </w:r>
    </w:p>
    <w:p w14:paraId="31E3FDAF" w14:textId="77777777" w:rsidR="00AA3813" w:rsidRPr="00AA3813" w:rsidRDefault="00AA3813" w:rsidP="00AA3813">
      <w:pPr>
        <w:spacing w:line="240" w:lineRule="auto"/>
        <w:ind w:firstLine="17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</w:pPr>
      <w:r w:rsidRPr="00AA38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a-DK"/>
        </w:rPr>
        <w:t>Stk. 2.</w:t>
      </w:r>
      <w:r w:rsidRPr="00AA38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> På baggrund af anlæggenes tekniske udformning fastsætter Banedanmark hvilke strømtyper, som skal anvendes på de forskellige strækninger.</w:t>
      </w:r>
    </w:p>
    <w:p w14:paraId="1287E44A" w14:textId="77777777" w:rsidR="00AA3813" w:rsidRPr="00AA3813" w:rsidRDefault="00AA3813" w:rsidP="00AA3813">
      <w:pPr>
        <w:spacing w:line="240" w:lineRule="auto"/>
        <w:ind w:firstLine="17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</w:pPr>
      <w:r w:rsidRPr="00AA38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a-DK"/>
        </w:rPr>
        <w:t>Stk. 3.</w:t>
      </w:r>
      <w:r w:rsidRPr="00AA38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> Banedanmark leverer kørestrøm på følgende jernbaneanlæg:</w:t>
      </w:r>
    </w:p>
    <w:p w14:paraId="024DA9D4" w14:textId="77777777" w:rsidR="00AA3813" w:rsidRPr="00AA3813" w:rsidRDefault="00AA3813" w:rsidP="00AA3813">
      <w:pPr>
        <w:spacing w:line="240" w:lineRule="auto"/>
        <w:ind w:firstLine="17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</w:pPr>
      <w:r w:rsidRPr="00AA38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>1) Den af staten ejede elektrificerede jernbaneinfrastruktur.</w:t>
      </w:r>
    </w:p>
    <w:p w14:paraId="7878CD4E" w14:textId="77777777" w:rsidR="00AA3813" w:rsidRPr="00AA3813" w:rsidRDefault="00AA3813" w:rsidP="00AA3813">
      <w:pPr>
        <w:spacing w:line="240" w:lineRule="auto"/>
        <w:ind w:firstLine="17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</w:pPr>
      <w:r w:rsidRPr="00AA38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>2) Jernbanedelen af Storebæltsforbindelsen.</w:t>
      </w:r>
    </w:p>
    <w:p w14:paraId="4D691862" w14:textId="77777777" w:rsidR="00AA3813" w:rsidRPr="00AA3813" w:rsidRDefault="00AA3813" w:rsidP="00AA3813">
      <w:pPr>
        <w:spacing w:line="240" w:lineRule="auto"/>
        <w:ind w:firstLine="17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</w:pPr>
      <w:r w:rsidRPr="00AA38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>3) Øresundsbanen (Kastrupbanen) mellem Københavns Hovedbanegård/Vigerslev og Øresundsforbindelsens danske landfæste.</w:t>
      </w:r>
    </w:p>
    <w:p w14:paraId="53D9397F" w14:textId="77777777" w:rsidR="00AA3813" w:rsidRPr="00AA3813" w:rsidRDefault="00AA3813" w:rsidP="00AA3813">
      <w:pPr>
        <w:spacing w:line="240" w:lineRule="auto"/>
        <w:ind w:firstLine="17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</w:pPr>
      <w:r w:rsidRPr="00AA38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 xml:space="preserve">4) Mellem Øresundsforbindelsens danske landfæste og </w:t>
      </w:r>
      <w:proofErr w:type="spellStart"/>
      <w:r w:rsidRPr="00AA38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>Lernacken</w:t>
      </w:r>
      <w:proofErr w:type="spellEnd"/>
      <w:r w:rsidRPr="00AA38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 xml:space="preserve"> på særlige vilkår, jf. § 1, stk. 5.</w:t>
      </w:r>
    </w:p>
    <w:p w14:paraId="4F7FAB6E" w14:textId="77777777" w:rsidR="00AA3813" w:rsidRPr="00AA3813" w:rsidRDefault="00AA3813" w:rsidP="00AA3813">
      <w:pPr>
        <w:spacing w:line="240" w:lineRule="auto"/>
        <w:ind w:firstLine="17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</w:pPr>
      <w:r w:rsidRPr="00AA38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 xml:space="preserve">5) Jernbanerelaterede servicefaciliteter, herunder depotanlæg, opstillingsspor, værksteder, terminaler (herunder godsterminaler og </w:t>
      </w:r>
      <w:proofErr w:type="spellStart"/>
      <w:r w:rsidRPr="00AA38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>kombiterminaler</w:t>
      </w:r>
      <w:proofErr w:type="spellEnd"/>
      <w:r w:rsidRPr="00AA38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 xml:space="preserve">), tekniske faciliteter (herunder rengørings- og vaskefaciliteter), </w:t>
      </w:r>
      <w:proofErr w:type="spellStart"/>
      <w:r w:rsidRPr="00AA38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>brændstofspåfyldningsfaciliteter</w:t>
      </w:r>
      <w:proofErr w:type="spellEnd"/>
      <w:r w:rsidRPr="00AA38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 xml:space="preserve"> og andre hjælpefaciliteter mv., når Banedanmarks kørestrømssystem er forbundet til sådanne servicefaciliteter.</w:t>
      </w:r>
    </w:p>
    <w:p w14:paraId="6FE0832F" w14:textId="19E182ED" w:rsidR="00AA3813" w:rsidRDefault="00AA3813" w:rsidP="00AA3813">
      <w:pPr>
        <w:spacing w:line="240" w:lineRule="auto"/>
        <w:ind w:firstLine="17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</w:pPr>
      <w:r w:rsidRPr="00AA38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a-DK"/>
        </w:rPr>
        <w:t>Stk. 4.</w:t>
      </w:r>
      <w:r w:rsidRPr="00AA38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 xml:space="preserve"> Banedanmark kan endvidere levere strøm til brug ved </w:t>
      </w:r>
      <w:proofErr w:type="gramStart"/>
      <w:r w:rsidRPr="00AA38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>togforvarme</w:t>
      </w:r>
      <w:proofErr w:type="gramEnd"/>
      <w:r w:rsidRPr="00AA38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 xml:space="preserve"> og </w:t>
      </w:r>
      <w:proofErr w:type="spellStart"/>
      <w:r w:rsidRPr="00AA38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>fremmednetstik</w:t>
      </w:r>
      <w:proofErr w:type="spellEnd"/>
      <w:r w:rsidRPr="00AA38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>.</w:t>
      </w:r>
    </w:p>
    <w:p w14:paraId="7B68844D" w14:textId="77777777" w:rsidR="00AA3813" w:rsidRPr="00AA3813" w:rsidRDefault="00AA3813" w:rsidP="00AA3813">
      <w:pPr>
        <w:spacing w:line="240" w:lineRule="auto"/>
        <w:ind w:firstLine="17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</w:pPr>
    </w:p>
    <w:p w14:paraId="13159551" w14:textId="77777777" w:rsidR="00AA3813" w:rsidRPr="00AA3813" w:rsidRDefault="00AA3813" w:rsidP="00AA3813">
      <w:pPr>
        <w:spacing w:line="240" w:lineRule="auto"/>
        <w:ind w:firstLine="17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</w:pPr>
      <w:r w:rsidRPr="00AA381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da-DK"/>
        </w:rPr>
        <w:t>§ 4.</w:t>
      </w:r>
      <w:r w:rsidRPr="00AA38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> Jernbanevirksomhederne er forpligtede til at forsyne deres trækkraftenheder med en af Banedanmark godkendt elforbrugsmåler.</w:t>
      </w:r>
    </w:p>
    <w:p w14:paraId="3E0E05FD" w14:textId="77777777" w:rsidR="00AA3813" w:rsidRPr="00AA3813" w:rsidRDefault="00AA3813" w:rsidP="00AA3813">
      <w:pPr>
        <w:spacing w:line="240" w:lineRule="auto"/>
        <w:ind w:firstLine="17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</w:pPr>
      <w:r w:rsidRPr="00AA38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a-DK"/>
        </w:rPr>
        <w:t>Stk. 2.</w:t>
      </w:r>
      <w:r w:rsidRPr="00AA38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> </w:t>
      </w:r>
      <w:proofErr w:type="spellStart"/>
      <w:r w:rsidRPr="00AA38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>Kørestrømsforbruget</w:t>
      </w:r>
      <w:proofErr w:type="spellEnd"/>
      <w:r w:rsidRPr="00AA38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 xml:space="preserve"> afregnes efter målere i hver trækkraftenhed i overensstemmelse med den metode, der er aftalt med Banedanmark.</w:t>
      </w:r>
    </w:p>
    <w:p w14:paraId="3B089247" w14:textId="42BCD761" w:rsidR="00AA3813" w:rsidRDefault="00AA3813" w:rsidP="00AA3813">
      <w:pPr>
        <w:spacing w:line="240" w:lineRule="auto"/>
        <w:ind w:firstLine="17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</w:pPr>
      <w:r w:rsidRPr="00AA38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a-DK"/>
        </w:rPr>
        <w:t>Stk. 3.</w:t>
      </w:r>
      <w:r w:rsidRPr="00AA38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> Hvis en jernbanevirksomheds forbrug kan specificeres tidsmæssigt og geografisk, har virksomheden ret til at få leveret kørestrøm indkøbt fra andre leverandører gennem Banedanmarks kørestrømssystem.</w:t>
      </w:r>
    </w:p>
    <w:p w14:paraId="619F8651" w14:textId="77777777" w:rsidR="00614695" w:rsidRPr="00AA3813" w:rsidRDefault="00614695" w:rsidP="00AA3813">
      <w:pPr>
        <w:spacing w:line="240" w:lineRule="auto"/>
        <w:ind w:firstLine="17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</w:pPr>
    </w:p>
    <w:p w14:paraId="52E07FB0" w14:textId="77777777" w:rsidR="00AA3813" w:rsidRPr="00AA3813" w:rsidRDefault="00AA3813" w:rsidP="00AA3813">
      <w:pPr>
        <w:spacing w:line="240" w:lineRule="auto"/>
        <w:ind w:firstLine="17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</w:pPr>
      <w:r w:rsidRPr="00AA381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da-DK"/>
        </w:rPr>
        <w:t>§ 5.</w:t>
      </w:r>
      <w:r w:rsidRPr="00AA38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> Banedanmark opgør på basis af jernbanevirksomhedernes elektroniske indberetninger via målere det månedlige forbrug, inkl. tabet i Banedanmarks kørestrømssystem.</w:t>
      </w:r>
    </w:p>
    <w:p w14:paraId="098F713C" w14:textId="77777777" w:rsidR="00AA3813" w:rsidRPr="00AA3813" w:rsidRDefault="00AA3813" w:rsidP="00AA3813">
      <w:pPr>
        <w:spacing w:line="240" w:lineRule="auto"/>
        <w:ind w:firstLine="17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</w:pPr>
      <w:r w:rsidRPr="00AA38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a-DK"/>
        </w:rPr>
        <w:t>Stk. 2.</w:t>
      </w:r>
      <w:r w:rsidRPr="00AA38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 xml:space="preserve"> Banedanmark foretager en gang årligt en slutafregning af </w:t>
      </w:r>
      <w:proofErr w:type="spellStart"/>
      <w:r w:rsidRPr="00AA38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>kørestrømsforbruget</w:t>
      </w:r>
      <w:proofErr w:type="spellEnd"/>
      <w:r w:rsidRPr="00AA38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>, opgør det opgjorte net-tab og fordeler dette ligeligt efter jernbanevirksomhedernes indberettede forbrug.</w:t>
      </w:r>
    </w:p>
    <w:p w14:paraId="1350CE8E" w14:textId="77777777" w:rsidR="00614695" w:rsidRDefault="00614695" w:rsidP="00AA3813">
      <w:pPr>
        <w:spacing w:line="240" w:lineRule="auto"/>
        <w:ind w:firstLine="17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da-DK"/>
        </w:rPr>
      </w:pPr>
    </w:p>
    <w:p w14:paraId="5EF7CCA8" w14:textId="3FF0C8B6" w:rsidR="00AA3813" w:rsidRPr="00AA3813" w:rsidRDefault="00AA3813" w:rsidP="00AA3813">
      <w:pPr>
        <w:spacing w:line="240" w:lineRule="auto"/>
        <w:ind w:firstLine="17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</w:pPr>
      <w:r w:rsidRPr="00AA381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da-DK"/>
        </w:rPr>
        <w:t>§ 6.</w:t>
      </w:r>
      <w:r w:rsidRPr="00AA38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 xml:space="preserve"> Banedanmark indkøber el-leverancen til jernbanevirksomhederne på spotmarkedet inkl. handelsomkostninger i det aktuelle prisområde. Banedanmark sælger den indkøbte elektriske energi til jernbanevirksomhederne med tillæg af de </w:t>
      </w:r>
      <w:proofErr w:type="spellStart"/>
      <w:r w:rsidRPr="00AA38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>nettariffer</w:t>
      </w:r>
      <w:proofErr w:type="spellEnd"/>
      <w:r w:rsidRPr="00AA38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 xml:space="preserve">, som Banedanmark betaler til </w:t>
      </w:r>
      <w:proofErr w:type="spellStart"/>
      <w:r w:rsidRPr="00AA38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>netselskaberne</w:t>
      </w:r>
      <w:proofErr w:type="spellEnd"/>
      <w:r w:rsidRPr="00AA38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 xml:space="preserve"> (de selskaber som leverer elektricitet ind på Banedanmarks net).</w:t>
      </w:r>
    </w:p>
    <w:p w14:paraId="63733C45" w14:textId="3504189F" w:rsidR="00AA3813" w:rsidRPr="00AA3813" w:rsidRDefault="00AA3813" w:rsidP="00AA3813">
      <w:pPr>
        <w:spacing w:line="240" w:lineRule="auto"/>
        <w:ind w:firstLine="17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</w:pPr>
      <w:r w:rsidRPr="00AA38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a-DK"/>
        </w:rPr>
        <w:t>Stk. 2.</w:t>
      </w:r>
      <w:r w:rsidRPr="00AA38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> </w:t>
      </w:r>
      <w:r w:rsidR="00DB6404" w:rsidRPr="00DB64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>Banedanmark kan i salgsprisen indregne udgifterne til administration ved energihandel og vedligeholdelsesomkostninger til Banedanmarks anlæg på tredjemands ejendom. Banedanmarks udgifter til drift, vedligehold og afskrivning af kørestrømssystem indgår ikke i salgsprisen</w:t>
      </w:r>
      <w:r w:rsidRPr="00AA38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>.</w:t>
      </w:r>
    </w:p>
    <w:p w14:paraId="04E0D39F" w14:textId="77777777" w:rsidR="00614695" w:rsidRDefault="00614695" w:rsidP="00AA3813">
      <w:pPr>
        <w:spacing w:line="240" w:lineRule="auto"/>
        <w:ind w:firstLine="17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da-DK"/>
        </w:rPr>
      </w:pPr>
    </w:p>
    <w:p w14:paraId="56DC0AD7" w14:textId="1E10C84C" w:rsidR="00AA3813" w:rsidRPr="00AA3813" w:rsidRDefault="00AA3813" w:rsidP="00AA3813">
      <w:pPr>
        <w:spacing w:line="240" w:lineRule="auto"/>
        <w:ind w:firstLine="17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</w:pPr>
      <w:r w:rsidRPr="00AA381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da-DK"/>
        </w:rPr>
        <w:t>§ 7.</w:t>
      </w:r>
      <w:r w:rsidRPr="00AA38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 xml:space="preserve"> Jernbanevirksomhederne kan indgå finansielle kontrakter med finansieringsvirksomheder til prissikring af deres </w:t>
      </w:r>
      <w:proofErr w:type="spellStart"/>
      <w:r w:rsidRPr="00AA38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>kørestrømsforbrug</w:t>
      </w:r>
      <w:proofErr w:type="spellEnd"/>
      <w:r w:rsidRPr="00AA38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>.</w:t>
      </w:r>
    </w:p>
    <w:p w14:paraId="031EB925" w14:textId="77777777" w:rsidR="00614695" w:rsidRDefault="00614695" w:rsidP="00AA3813">
      <w:pPr>
        <w:spacing w:line="240" w:lineRule="auto"/>
        <w:ind w:firstLine="17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da-DK"/>
        </w:rPr>
      </w:pPr>
    </w:p>
    <w:p w14:paraId="5298C9E6" w14:textId="4BAB3BB7" w:rsidR="00AA3813" w:rsidRPr="00AA3813" w:rsidRDefault="00AA3813" w:rsidP="00AA3813">
      <w:pPr>
        <w:spacing w:line="240" w:lineRule="auto"/>
        <w:ind w:firstLine="17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</w:pPr>
      <w:r w:rsidRPr="00AA381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da-DK"/>
        </w:rPr>
        <w:t>§ 8.</w:t>
      </w:r>
      <w:r w:rsidRPr="00AA38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> Ved videresalg af energi i Danmark og i udlandet opkræver og afregner Banedanmark gældende omkostninger, energiafgifter og merværdiafgift.</w:t>
      </w:r>
    </w:p>
    <w:p w14:paraId="4F038CAF" w14:textId="77777777" w:rsidR="00614695" w:rsidRDefault="00614695" w:rsidP="00AA3813">
      <w:pPr>
        <w:spacing w:line="240" w:lineRule="auto"/>
        <w:ind w:firstLine="17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da-DK"/>
        </w:rPr>
      </w:pPr>
    </w:p>
    <w:p w14:paraId="4A8656B1" w14:textId="4CB175DD" w:rsidR="00AA3813" w:rsidRPr="00AA3813" w:rsidRDefault="00AA3813" w:rsidP="00AA3813">
      <w:pPr>
        <w:spacing w:line="240" w:lineRule="auto"/>
        <w:ind w:firstLine="17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</w:pPr>
      <w:r w:rsidRPr="00AA381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da-DK"/>
        </w:rPr>
        <w:t>§ 9.</w:t>
      </w:r>
      <w:r w:rsidRPr="00AA38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> Resultatet af Banedanmarks elforsyningsvirksomhed skal opgøres separat i Banedanmarks årsrapport.</w:t>
      </w:r>
    </w:p>
    <w:p w14:paraId="6017B4C2" w14:textId="77777777" w:rsidR="00614695" w:rsidRDefault="00614695" w:rsidP="00AA3813">
      <w:pPr>
        <w:spacing w:line="240" w:lineRule="auto"/>
        <w:ind w:firstLine="17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da-DK"/>
        </w:rPr>
      </w:pPr>
    </w:p>
    <w:p w14:paraId="1EB8B1D9" w14:textId="5638E78B" w:rsidR="00AA3813" w:rsidRPr="00AA3813" w:rsidRDefault="00AA3813" w:rsidP="00AA3813">
      <w:pPr>
        <w:spacing w:line="240" w:lineRule="auto"/>
        <w:ind w:firstLine="17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</w:pPr>
      <w:r w:rsidRPr="00AA381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da-DK"/>
        </w:rPr>
        <w:lastRenderedPageBreak/>
        <w:t>§ 10.</w:t>
      </w:r>
      <w:r w:rsidRPr="00AA38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> Klage over Banedanmarks elpriser og afgørelser vedrørende levering af kørestrøm efter denne bekendtgørelse kan indgives til Jernbanenævnet.</w:t>
      </w:r>
    </w:p>
    <w:p w14:paraId="2E8B9ABD" w14:textId="77777777" w:rsidR="00AA3813" w:rsidRPr="00AA3813" w:rsidRDefault="00AA3813" w:rsidP="00AA3813">
      <w:pPr>
        <w:spacing w:line="240" w:lineRule="auto"/>
        <w:ind w:firstLine="17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</w:pPr>
      <w:r w:rsidRPr="00AA38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a-DK"/>
        </w:rPr>
        <w:t>Stk. 2.</w:t>
      </w:r>
      <w:r w:rsidRPr="00AA38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> Jernbanenævnet kan af egen drift føre tilsyn med Banedanmarks levering af kørestrøm til jernbanevirksomhederne efter denne bekendtgørelse.</w:t>
      </w:r>
    </w:p>
    <w:p w14:paraId="4E8AF043" w14:textId="2FB7BB63" w:rsidR="00696799" w:rsidRPr="00E77FF9" w:rsidRDefault="00696799" w:rsidP="00AA3813">
      <w:pPr>
        <w:spacing w:line="240" w:lineRule="auto"/>
        <w:ind w:firstLine="17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</w:pPr>
    </w:p>
    <w:p w14:paraId="4FA48539" w14:textId="202578D3" w:rsidR="00696799" w:rsidRPr="00E77FF9" w:rsidRDefault="00696799" w:rsidP="00AA3813">
      <w:pPr>
        <w:spacing w:line="240" w:lineRule="auto"/>
        <w:ind w:firstLine="17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da-DK"/>
        </w:rPr>
      </w:pPr>
      <w:r w:rsidRPr="00E77F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a-DK"/>
        </w:rPr>
        <w:t>Ikrafttræden</w:t>
      </w:r>
    </w:p>
    <w:p w14:paraId="7265D361" w14:textId="77777777" w:rsidR="00614695" w:rsidRDefault="00614695" w:rsidP="00AA3813">
      <w:pPr>
        <w:spacing w:line="240" w:lineRule="auto"/>
        <w:ind w:firstLine="17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</w:pPr>
    </w:p>
    <w:p w14:paraId="6F2CB064" w14:textId="323DC5E7" w:rsidR="00AA3813" w:rsidRDefault="00AA3813" w:rsidP="00AA3813">
      <w:pPr>
        <w:spacing w:line="240" w:lineRule="auto"/>
        <w:ind w:firstLine="170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A38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  <w:t>§ 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r w:rsidRPr="00AA381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Bekendtgørelsen t</w:t>
      </w:r>
      <w:r w:rsidR="00DB640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ræder i kraft den 1. januar 2022</w:t>
      </w:r>
      <w:r w:rsidRPr="00AA381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</w:t>
      </w:r>
    </w:p>
    <w:p w14:paraId="16B02884" w14:textId="2388864A" w:rsidR="00DB6404" w:rsidRPr="00AA3813" w:rsidRDefault="00DB6404" w:rsidP="00AA3813">
      <w:pPr>
        <w:spacing w:line="240" w:lineRule="auto"/>
        <w:ind w:firstLine="170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DB64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>Stk.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r w:rsidRPr="00DB640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§ 6, stk. 2, har virkning fra 1. januar 2020, således at Banedanmark skal foretage en efterregulering over for jernbanevirksomheder for perioden 1. januar 2020 til 31. december 2021.</w:t>
      </w:r>
    </w:p>
    <w:p w14:paraId="231FA8F6" w14:textId="77777777" w:rsidR="00AA3813" w:rsidRDefault="00AA3813" w:rsidP="00AA3813">
      <w:pPr>
        <w:spacing w:line="240" w:lineRule="auto"/>
        <w:ind w:firstLine="1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</w:pPr>
    </w:p>
    <w:p w14:paraId="2077DFB8" w14:textId="1B7829DA" w:rsidR="00AA3813" w:rsidRPr="00AA3813" w:rsidRDefault="00AA3813" w:rsidP="00AA3813">
      <w:pPr>
        <w:spacing w:line="240" w:lineRule="auto"/>
        <w:ind w:firstLine="170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A3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>§ 12.</w:t>
      </w:r>
      <w:r w:rsidRPr="00AA381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 Bekendtgørelse nr. </w:t>
      </w:r>
      <w:r w:rsidR="00DB640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1527</w:t>
      </w:r>
      <w:r w:rsidRPr="00AA381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af </w:t>
      </w:r>
      <w:r w:rsidR="00DB640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15</w:t>
      </w:r>
      <w:r w:rsidRPr="00AA381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</w:t>
      </w:r>
      <w:r w:rsidR="00DB640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december</w:t>
      </w:r>
      <w:r w:rsidRPr="00AA381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r w:rsidR="00DB640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2019</w:t>
      </w:r>
      <w:r w:rsidRPr="00AA381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om Banedanmarks </w:t>
      </w:r>
      <w:r w:rsidR="00DB640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levering af kørestrøm</w:t>
      </w:r>
      <w:r w:rsidRPr="00AA381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ophæves.</w:t>
      </w:r>
    </w:p>
    <w:p w14:paraId="40B3375E" w14:textId="0684E3EE" w:rsidR="00696799" w:rsidRDefault="00AA3813" w:rsidP="00AA3813">
      <w:pPr>
        <w:spacing w:line="240" w:lineRule="auto"/>
        <w:ind w:firstLine="170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E77FF9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</w:p>
    <w:p w14:paraId="3328D35D" w14:textId="77777777" w:rsidR="00DB6404" w:rsidRDefault="00DB6404" w:rsidP="00AA3813">
      <w:pPr>
        <w:spacing w:line="240" w:lineRule="auto"/>
        <w:ind w:firstLine="170"/>
        <w:rPr>
          <w:rFonts w:ascii="Times New Roman" w:eastAsia="Times New Roman" w:hAnsi="Times New Roman" w:cs="Times New Roman"/>
          <w:i/>
          <w:color w:val="auto"/>
          <w:sz w:val="32"/>
          <w:szCs w:val="32"/>
          <w:lang w:eastAsia="da-DK"/>
        </w:rPr>
      </w:pPr>
    </w:p>
    <w:p w14:paraId="5B0DB7AA" w14:textId="77777777" w:rsidR="00DB6404" w:rsidRPr="00DB6404" w:rsidRDefault="00DB6404" w:rsidP="00DB6404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32"/>
          <w:lang w:eastAsia="da-DK"/>
        </w:rPr>
      </w:pPr>
      <w:r w:rsidRPr="00DB6404">
        <w:rPr>
          <w:rFonts w:ascii="Times New Roman" w:eastAsia="Times New Roman" w:hAnsi="Times New Roman" w:cs="Times New Roman"/>
          <w:i/>
          <w:color w:val="auto"/>
          <w:sz w:val="24"/>
          <w:szCs w:val="32"/>
          <w:lang w:eastAsia="da-DK"/>
        </w:rPr>
        <w:t>Banedanmark, den xx. xx. 2021</w:t>
      </w:r>
    </w:p>
    <w:p w14:paraId="2E813201" w14:textId="77777777" w:rsidR="00DB6404" w:rsidRDefault="00DB6404" w:rsidP="00DB6404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32"/>
          <w:lang w:eastAsia="da-DK"/>
        </w:rPr>
      </w:pPr>
    </w:p>
    <w:p w14:paraId="0FE8A169" w14:textId="77777777" w:rsidR="00DB6404" w:rsidRDefault="00DB6404" w:rsidP="00DB6404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32"/>
          <w:lang w:eastAsia="da-DK"/>
        </w:rPr>
      </w:pPr>
    </w:p>
    <w:p w14:paraId="384BE7A0" w14:textId="2D68288E" w:rsidR="00DB6404" w:rsidRPr="00244B61" w:rsidRDefault="00DB6404" w:rsidP="00DB6404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32"/>
          <w:lang w:eastAsia="da-DK"/>
        </w:rPr>
      </w:pPr>
      <w:r w:rsidRPr="00244B61">
        <w:rPr>
          <w:rFonts w:ascii="Times New Roman" w:eastAsia="Times New Roman" w:hAnsi="Times New Roman" w:cs="Times New Roman"/>
          <w:color w:val="auto"/>
          <w:sz w:val="24"/>
          <w:szCs w:val="32"/>
          <w:lang w:eastAsia="da-DK"/>
        </w:rPr>
        <w:t>Hakon Iversen</w:t>
      </w:r>
    </w:p>
    <w:p w14:paraId="0A7BCA29" w14:textId="4A072D08" w:rsidR="00DB6404" w:rsidRPr="00244B61" w:rsidRDefault="00DB6404" w:rsidP="00DB640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32"/>
          <w:lang w:eastAsia="da-DK"/>
        </w:rPr>
      </w:pPr>
    </w:p>
    <w:p w14:paraId="10577735" w14:textId="77777777" w:rsidR="00DB6404" w:rsidRPr="00244B61" w:rsidRDefault="00DB6404" w:rsidP="00DB640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32"/>
          <w:lang w:eastAsia="da-DK"/>
        </w:rPr>
      </w:pPr>
    </w:p>
    <w:p w14:paraId="365FF46E" w14:textId="6A84FA1B" w:rsidR="00696799" w:rsidRPr="00244B61" w:rsidRDefault="00DB6404" w:rsidP="00DB640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32"/>
          <w:lang w:eastAsia="da-DK"/>
        </w:rPr>
      </w:pPr>
      <w:r w:rsidRPr="00244B61">
        <w:rPr>
          <w:rFonts w:ascii="Times New Roman" w:eastAsia="Times New Roman" w:hAnsi="Times New Roman" w:cs="Times New Roman"/>
          <w:color w:val="auto"/>
          <w:sz w:val="24"/>
          <w:szCs w:val="32"/>
          <w:lang w:eastAsia="da-DK"/>
        </w:rPr>
        <w:t>/Kirsten Hestbæk Berthelsen</w:t>
      </w:r>
    </w:p>
    <w:p w14:paraId="22E4843F" w14:textId="25945964" w:rsidR="00696799" w:rsidRPr="00F537EB" w:rsidRDefault="00696799" w:rsidP="00DB6404">
      <w:pPr>
        <w:spacing w:line="276" w:lineRule="auto"/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</w:pPr>
    </w:p>
    <w:p w14:paraId="33B22960" w14:textId="77777777" w:rsidR="00616D97" w:rsidRDefault="00616D97"/>
    <w:sectPr w:rsidR="00616D9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B60A1" w14:textId="77777777" w:rsidR="00E0632F" w:rsidRDefault="00E0632F">
      <w:pPr>
        <w:spacing w:line="240" w:lineRule="auto"/>
      </w:pPr>
      <w:r>
        <w:separator/>
      </w:r>
    </w:p>
  </w:endnote>
  <w:endnote w:type="continuationSeparator" w:id="0">
    <w:p w14:paraId="33559504" w14:textId="77777777" w:rsidR="00E0632F" w:rsidRDefault="00E0632F">
      <w:pPr>
        <w:spacing w:line="240" w:lineRule="auto"/>
      </w:pPr>
      <w:r>
        <w:continuationSeparator/>
      </w:r>
    </w:p>
  </w:endnote>
  <w:endnote w:type="continuationNotice" w:id="1">
    <w:p w14:paraId="1479A75B" w14:textId="77777777" w:rsidR="00E0632F" w:rsidRDefault="00E0632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20C15" w14:textId="77777777" w:rsidR="00E0632F" w:rsidRDefault="00E0632F">
      <w:pPr>
        <w:spacing w:line="240" w:lineRule="auto"/>
      </w:pPr>
      <w:r>
        <w:separator/>
      </w:r>
    </w:p>
  </w:footnote>
  <w:footnote w:type="continuationSeparator" w:id="0">
    <w:p w14:paraId="1862B1BD" w14:textId="77777777" w:rsidR="00E0632F" w:rsidRDefault="00E0632F">
      <w:pPr>
        <w:spacing w:line="240" w:lineRule="auto"/>
      </w:pPr>
      <w:r>
        <w:continuationSeparator/>
      </w:r>
    </w:p>
  </w:footnote>
  <w:footnote w:type="continuationNotice" w:id="1">
    <w:p w14:paraId="1FFEC349" w14:textId="77777777" w:rsidR="00E0632F" w:rsidRDefault="00E0632F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A65AA"/>
    <w:multiLevelType w:val="multilevel"/>
    <w:tmpl w:val="D02CBC2A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entative="1">
      <w:start w:val="1"/>
      <w:numFmt w:val="decimal"/>
      <w:lvlText w:val="%2."/>
      <w:lvlJc w:val="left"/>
      <w:pPr>
        <w:tabs>
          <w:tab w:val="num" w:pos="1970"/>
        </w:tabs>
        <w:ind w:left="1970" w:hanging="360"/>
      </w:pPr>
    </w:lvl>
    <w:lvl w:ilvl="2" w:tentative="1">
      <w:start w:val="1"/>
      <w:numFmt w:val="decimal"/>
      <w:lvlText w:val="%3."/>
      <w:lvlJc w:val="left"/>
      <w:pPr>
        <w:tabs>
          <w:tab w:val="num" w:pos="2690"/>
        </w:tabs>
        <w:ind w:left="2690" w:hanging="360"/>
      </w:pPr>
    </w:lvl>
    <w:lvl w:ilvl="3" w:tentative="1">
      <w:start w:val="1"/>
      <w:numFmt w:val="decimal"/>
      <w:lvlText w:val="%4."/>
      <w:lvlJc w:val="left"/>
      <w:pPr>
        <w:tabs>
          <w:tab w:val="num" w:pos="3410"/>
        </w:tabs>
        <w:ind w:left="3410" w:hanging="360"/>
      </w:pPr>
    </w:lvl>
    <w:lvl w:ilvl="4" w:tentative="1">
      <w:start w:val="1"/>
      <w:numFmt w:val="decimal"/>
      <w:lvlText w:val="%5."/>
      <w:lvlJc w:val="left"/>
      <w:pPr>
        <w:tabs>
          <w:tab w:val="num" w:pos="4130"/>
        </w:tabs>
        <w:ind w:left="4130" w:hanging="360"/>
      </w:pPr>
    </w:lvl>
    <w:lvl w:ilvl="5" w:tentative="1">
      <w:start w:val="1"/>
      <w:numFmt w:val="decimal"/>
      <w:lvlText w:val="%6."/>
      <w:lvlJc w:val="left"/>
      <w:pPr>
        <w:tabs>
          <w:tab w:val="num" w:pos="4850"/>
        </w:tabs>
        <w:ind w:left="4850" w:hanging="360"/>
      </w:pPr>
    </w:lvl>
    <w:lvl w:ilvl="6" w:tentative="1">
      <w:start w:val="1"/>
      <w:numFmt w:val="decimal"/>
      <w:lvlText w:val="%7."/>
      <w:lvlJc w:val="left"/>
      <w:pPr>
        <w:tabs>
          <w:tab w:val="num" w:pos="5570"/>
        </w:tabs>
        <w:ind w:left="5570" w:hanging="360"/>
      </w:pPr>
    </w:lvl>
    <w:lvl w:ilvl="7" w:tentative="1">
      <w:start w:val="1"/>
      <w:numFmt w:val="decimal"/>
      <w:lvlText w:val="%8."/>
      <w:lvlJc w:val="left"/>
      <w:pPr>
        <w:tabs>
          <w:tab w:val="num" w:pos="6290"/>
        </w:tabs>
        <w:ind w:left="6290" w:hanging="360"/>
      </w:pPr>
    </w:lvl>
    <w:lvl w:ilvl="8" w:tentative="1">
      <w:start w:val="1"/>
      <w:numFmt w:val="decimal"/>
      <w:lvlText w:val="%9."/>
      <w:lvlJc w:val="left"/>
      <w:pPr>
        <w:tabs>
          <w:tab w:val="num" w:pos="7010"/>
        </w:tabs>
        <w:ind w:left="7010" w:hanging="360"/>
      </w:pPr>
    </w:lvl>
  </w:abstractNum>
  <w:abstractNum w:abstractNumId="1" w15:restartNumberingAfterBreak="0">
    <w:nsid w:val="34A279C7"/>
    <w:multiLevelType w:val="hybridMultilevel"/>
    <w:tmpl w:val="30A22D86"/>
    <w:lvl w:ilvl="0" w:tplc="DE90B93A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1705F"/>
    <w:multiLevelType w:val="multilevel"/>
    <w:tmpl w:val="7A384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604751E4"/>
    <w:multiLevelType w:val="multilevel"/>
    <w:tmpl w:val="840640F4"/>
    <w:lvl w:ilvl="0">
      <w:start w:val="1"/>
      <w:numFmt w:val="decimal"/>
      <w:pStyle w:val="Normal-Talliste"/>
      <w:lvlText w:val="%1."/>
      <w:lvlJc w:val="left"/>
      <w:pPr>
        <w:tabs>
          <w:tab w:val="num" w:pos="227"/>
        </w:tabs>
        <w:ind w:left="227" w:hanging="726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799"/>
    <w:rsid w:val="00001C30"/>
    <w:rsid w:val="00075308"/>
    <w:rsid w:val="00076220"/>
    <w:rsid w:val="000952C0"/>
    <w:rsid w:val="00117444"/>
    <w:rsid w:val="001413B4"/>
    <w:rsid w:val="00181AE7"/>
    <w:rsid w:val="001923B8"/>
    <w:rsid w:val="001D7D58"/>
    <w:rsid w:val="00244B61"/>
    <w:rsid w:val="00294BE4"/>
    <w:rsid w:val="002D7831"/>
    <w:rsid w:val="002E26EE"/>
    <w:rsid w:val="00445BB9"/>
    <w:rsid w:val="00467380"/>
    <w:rsid w:val="00527773"/>
    <w:rsid w:val="005A4894"/>
    <w:rsid w:val="005B0B86"/>
    <w:rsid w:val="00614695"/>
    <w:rsid w:val="00616D97"/>
    <w:rsid w:val="006614CF"/>
    <w:rsid w:val="00696799"/>
    <w:rsid w:val="006C25EC"/>
    <w:rsid w:val="00730B37"/>
    <w:rsid w:val="007F48E5"/>
    <w:rsid w:val="008C2162"/>
    <w:rsid w:val="00900976"/>
    <w:rsid w:val="0090472D"/>
    <w:rsid w:val="00916EB6"/>
    <w:rsid w:val="00932E0B"/>
    <w:rsid w:val="00944D5B"/>
    <w:rsid w:val="009971D5"/>
    <w:rsid w:val="00A35670"/>
    <w:rsid w:val="00A549F5"/>
    <w:rsid w:val="00A6066D"/>
    <w:rsid w:val="00A7321A"/>
    <w:rsid w:val="00AA1006"/>
    <w:rsid w:val="00AA3813"/>
    <w:rsid w:val="00AB703B"/>
    <w:rsid w:val="00AF3EBB"/>
    <w:rsid w:val="00B00B48"/>
    <w:rsid w:val="00B12397"/>
    <w:rsid w:val="00B66B92"/>
    <w:rsid w:val="00BB35A3"/>
    <w:rsid w:val="00BB39DC"/>
    <w:rsid w:val="00BB5CA4"/>
    <w:rsid w:val="00BF0E39"/>
    <w:rsid w:val="00C16539"/>
    <w:rsid w:val="00C67D10"/>
    <w:rsid w:val="00CA6259"/>
    <w:rsid w:val="00D3341E"/>
    <w:rsid w:val="00D456C9"/>
    <w:rsid w:val="00D65AAB"/>
    <w:rsid w:val="00DA346F"/>
    <w:rsid w:val="00DB6404"/>
    <w:rsid w:val="00DC142F"/>
    <w:rsid w:val="00DC36E3"/>
    <w:rsid w:val="00E0632F"/>
    <w:rsid w:val="00E147E0"/>
    <w:rsid w:val="00E5305B"/>
    <w:rsid w:val="00E660DF"/>
    <w:rsid w:val="00E810F9"/>
    <w:rsid w:val="00E943D5"/>
    <w:rsid w:val="00EA2DFA"/>
    <w:rsid w:val="00F227AB"/>
    <w:rsid w:val="00F37585"/>
    <w:rsid w:val="00F5539A"/>
    <w:rsid w:val="00FA6BDC"/>
    <w:rsid w:val="00FC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2676"/>
  <w15:docId w15:val="{7C27EBD4-5912-49DB-A88B-B6932C83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799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EA2DFA"/>
    <w:pPr>
      <w:keepNext/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EA2DFA"/>
    <w:pPr>
      <w:keepNext/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EA2DFA"/>
    <w:pPr>
      <w:keepNext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A2DFA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2DFA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2DFA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DF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DFA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DF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2DFA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character" w:styleId="Bogenstitel">
    <w:name w:val="Book Title"/>
    <w:basedOn w:val="Standardskrifttypeiafsnit"/>
    <w:uiPriority w:val="33"/>
    <w:rsid w:val="00EA2DFA"/>
    <w:rPr>
      <w:b/>
      <w:bCs/>
      <w:smallCap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qFormat/>
    <w:rsid w:val="00EA2DF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A2DFA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A2DFA"/>
    <w:pPr>
      <w:spacing w:after="100"/>
    </w:pPr>
  </w:style>
  <w:style w:type="character" w:styleId="Kraftigfremhvning">
    <w:name w:val="Intense Emphasis"/>
    <w:basedOn w:val="Standardskrifttypeiafsnit"/>
    <w:uiPriority w:val="21"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rsid w:val="00EA2DFA"/>
    <w:rPr>
      <w:b/>
      <w:bCs/>
      <w:smallCaps/>
      <w:color w:val="F9BA04" w:themeColor="accent2"/>
      <w:spacing w:val="5"/>
      <w:u w:val="single"/>
    </w:rPr>
  </w:style>
  <w:style w:type="paragraph" w:styleId="Listeafsnit">
    <w:name w:val="List Paragraph"/>
    <w:basedOn w:val="Normal"/>
    <w:uiPriority w:val="34"/>
    <w:qFormat/>
    <w:rsid w:val="00EA2DFA"/>
    <w:pPr>
      <w:contextualSpacing/>
    </w:p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uiPriority w:val="9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uiPriority w:val="9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EA2DFA"/>
    <w:pPr>
      <w:numPr>
        <w:numId w:val="1"/>
      </w:numPr>
    </w:pPr>
  </w:style>
  <w:style w:type="paragraph" w:customStyle="1" w:styleId="Normal-Talliste">
    <w:name w:val="Normal - Talliste"/>
    <w:basedOn w:val="Normal"/>
    <w:qFormat/>
    <w:rsid w:val="00EA2DFA"/>
    <w:pPr>
      <w:numPr>
        <w:numId w:val="2"/>
      </w:numPr>
      <w:tabs>
        <w:tab w:val="left" w:pos="567"/>
      </w:tabs>
    </w:pPr>
  </w:style>
  <w:style w:type="character" w:customStyle="1" w:styleId="Overskrift1Tegn">
    <w:name w:val="Overskrift 1 Tegn"/>
    <w:basedOn w:val="Standardskrifttypeiafsnit"/>
    <w:link w:val="Overskrift1"/>
    <w:rsid w:val="00EA2DFA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A2DF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EA2DFA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EA2DFA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A2DFA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A2DFA"/>
    <w:rPr>
      <w:rFonts w:ascii="Georgia" w:eastAsiaTheme="majorEastAsia" w:hAnsi="Georg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DFA"/>
    <w:rPr>
      <w:rFonts w:ascii="Georgia" w:eastAsiaTheme="majorEastAsia" w:hAnsi="Georg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DFA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uiPriority w:val="99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paragraph" w:customStyle="1" w:styleId="Sluthilsen1">
    <w:name w:val="Sluthilsen1"/>
    <w:basedOn w:val="Normal"/>
    <w:rsid w:val="00EA2DFA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A2DFA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EA2DFA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EA2DFA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EA2DFA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A2DFA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A2DFA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table" w:customStyle="1" w:styleId="Trngselskommissionen">
    <w:name w:val="Trængselskommissionen"/>
    <w:basedOn w:val="Tabel-Normal"/>
    <w:uiPriority w:val="99"/>
    <w:rsid w:val="005A4894"/>
    <w:pPr>
      <w:spacing w:after="0" w:line="240" w:lineRule="auto"/>
    </w:pPr>
    <w:rPr>
      <w:rFonts w:ascii="Georgia" w:hAnsi="Georgia"/>
      <w:sz w:val="21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 w:themeFill="text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E0" w:themeFill="accent1"/>
      </w:tc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A7321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7321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7321A"/>
    <w:rPr>
      <w:rFonts w:ascii="Georgia" w:eastAsiaTheme="minorEastAsia" w:hAnsi="Georgia" w:cs="Georgia"/>
      <w:color w:val="0D0D0D" w:themeColor="text1" w:themeTint="F2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7321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7321A"/>
    <w:rPr>
      <w:rFonts w:ascii="Georgia" w:eastAsiaTheme="minorEastAsia" w:hAnsi="Georgia" w:cs="Georgia"/>
      <w:b/>
      <w:bCs/>
      <w:color w:val="0D0D0D" w:themeColor="text1" w:themeTint="F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5010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Transportministeriet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TRM Bjørg Boye Gudbrand</dc:creator>
  <cp:lastModifiedBy>Kirsten Hestbæk Berthelsen (KHKB)</cp:lastModifiedBy>
  <cp:revision>2</cp:revision>
  <dcterms:created xsi:type="dcterms:W3CDTF">2021-10-18T07:03:00Z</dcterms:created>
  <dcterms:modified xsi:type="dcterms:W3CDTF">2021-10-18T07:03:00Z</dcterms:modified>
</cp:coreProperties>
</file>