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92" w:rsidRDefault="00D51A92">
      <w:pPr>
        <w:rPr>
          <w:sz w:val="24"/>
        </w:rPr>
      </w:pPr>
    </w:p>
    <w:p w:rsidR="00D51A92" w:rsidRDefault="00D51A92">
      <w:pPr>
        <w:rPr>
          <w:sz w:val="24"/>
        </w:rPr>
      </w:pPr>
    </w:p>
    <w:p w:rsidR="00D51A92" w:rsidRDefault="00D51A92">
      <w:pPr>
        <w:rPr>
          <w:sz w:val="24"/>
        </w:rPr>
      </w:pPr>
    </w:p>
    <w:p w:rsidR="00D51A92" w:rsidRDefault="00D51A92">
      <w:pPr>
        <w:rPr>
          <w:sz w:val="24"/>
        </w:rPr>
      </w:pPr>
    </w:p>
    <w:p w:rsidR="00D51A92" w:rsidRDefault="00D51A92">
      <w:pPr>
        <w:rPr>
          <w:sz w:val="24"/>
        </w:rPr>
      </w:pPr>
    </w:p>
    <w:p w:rsidR="00D51A92" w:rsidRDefault="00D51A92">
      <w:pPr>
        <w:spacing w:after="0"/>
        <w:rPr>
          <w:sz w:val="24"/>
        </w:rPr>
      </w:pPr>
    </w:p>
    <w:p w:rsidR="004A36D0" w:rsidRDefault="003C3EB4" w:rsidP="009C0546">
      <w:pPr>
        <w:spacing w:line="288" w:lineRule="auto"/>
        <w:jc w:val="center"/>
        <w:rPr>
          <w:b/>
          <w:sz w:val="24"/>
        </w:rPr>
      </w:pPr>
      <w:r w:rsidRPr="004A36D0">
        <w:rPr>
          <w:b/>
          <w:sz w:val="24"/>
        </w:rPr>
        <w:t xml:space="preserve">Resumé </w:t>
      </w:r>
    </w:p>
    <w:p w:rsidR="003C3EB4" w:rsidRPr="004A36D0" w:rsidRDefault="003C3EB4" w:rsidP="009C0546">
      <w:pPr>
        <w:spacing w:line="288" w:lineRule="auto"/>
        <w:jc w:val="center"/>
        <w:rPr>
          <w:b/>
          <w:sz w:val="24"/>
        </w:rPr>
      </w:pPr>
      <w:r w:rsidRPr="004A36D0">
        <w:rPr>
          <w:b/>
          <w:sz w:val="24"/>
        </w:rPr>
        <w:t>af</w:t>
      </w:r>
    </w:p>
    <w:p w:rsidR="00A83335" w:rsidRPr="004A36D0" w:rsidRDefault="00A83335" w:rsidP="004A36D0">
      <w:pPr>
        <w:spacing w:line="288" w:lineRule="auto"/>
        <w:jc w:val="center"/>
        <w:rPr>
          <w:b/>
          <w:color w:val="000000"/>
          <w:sz w:val="24"/>
          <w:vertAlign w:val="superscript"/>
        </w:rPr>
      </w:pPr>
      <w:r w:rsidRPr="004A36D0">
        <w:rPr>
          <w:b/>
          <w:bCs/>
          <w:sz w:val="24"/>
        </w:rPr>
        <w:t>Forslag</w:t>
      </w:r>
      <w:r w:rsidR="004A36D0" w:rsidRPr="004A36D0">
        <w:rPr>
          <w:b/>
          <w:bCs/>
          <w:sz w:val="24"/>
        </w:rPr>
        <w:t xml:space="preserve"> </w:t>
      </w:r>
      <w:r w:rsidR="004A36D0" w:rsidRPr="004A36D0">
        <w:rPr>
          <w:b/>
          <w:sz w:val="24"/>
        </w:rPr>
        <w:t>t</w:t>
      </w:r>
      <w:r w:rsidRPr="004A36D0">
        <w:rPr>
          <w:b/>
          <w:sz w:val="24"/>
        </w:rPr>
        <w:t>il</w:t>
      </w:r>
      <w:r w:rsidR="004A36D0" w:rsidRPr="004A36D0">
        <w:rPr>
          <w:b/>
          <w:sz w:val="24"/>
        </w:rPr>
        <w:t xml:space="preserve"> </w:t>
      </w:r>
      <w:r w:rsidRPr="004A36D0">
        <w:rPr>
          <w:b/>
          <w:sz w:val="24"/>
        </w:rPr>
        <w:t>lov om</w:t>
      </w:r>
      <w:r w:rsidR="004A36D0" w:rsidRPr="004A36D0">
        <w:rPr>
          <w:b/>
          <w:sz w:val="24"/>
        </w:rPr>
        <w:t xml:space="preserve"> </w:t>
      </w:r>
      <w:r w:rsidRPr="004A36D0">
        <w:rPr>
          <w:b/>
          <w:color w:val="000000"/>
          <w:sz w:val="24"/>
        </w:rPr>
        <w:t>ændring af lov om afgift af elektricitet, lov om ku</w:t>
      </w:r>
      <w:r w:rsidRPr="004A36D0">
        <w:rPr>
          <w:b/>
          <w:color w:val="000000"/>
          <w:sz w:val="24"/>
        </w:rPr>
        <w:t>l</w:t>
      </w:r>
      <w:r w:rsidRPr="004A36D0">
        <w:rPr>
          <w:b/>
          <w:color w:val="000000"/>
          <w:sz w:val="24"/>
        </w:rPr>
        <w:t>dioxidafgift af visse energiprodukter, -registreringsafgiftsloven, momsloven og forskellige andre l</w:t>
      </w:r>
      <w:r w:rsidRPr="004A36D0">
        <w:rPr>
          <w:b/>
          <w:color w:val="000000"/>
          <w:sz w:val="24"/>
        </w:rPr>
        <w:t>o</w:t>
      </w:r>
      <w:r w:rsidRPr="004A36D0">
        <w:rPr>
          <w:b/>
          <w:color w:val="000000"/>
          <w:sz w:val="24"/>
        </w:rPr>
        <w:t>ve</w:t>
      </w:r>
      <w:r w:rsidRPr="004A36D0">
        <w:rPr>
          <w:rStyle w:val="Fodnotehenvisning"/>
          <w:b/>
          <w:sz w:val="24"/>
          <w:vertAlign w:val="superscript"/>
        </w:rPr>
        <w:footnoteReference w:id="2"/>
      </w:r>
    </w:p>
    <w:p w:rsidR="00A83335" w:rsidRPr="004A36D0" w:rsidRDefault="00A83335" w:rsidP="00A83335">
      <w:pPr>
        <w:jc w:val="center"/>
        <w:rPr>
          <w:color w:val="000000"/>
          <w:sz w:val="24"/>
          <w:vertAlign w:val="superscript"/>
        </w:rPr>
      </w:pPr>
      <w:r w:rsidRPr="004A36D0">
        <w:rPr>
          <w:color w:val="000000"/>
          <w:sz w:val="24"/>
        </w:rPr>
        <w:t>(Ændrede fordelingsregler på kraftvarmeområdet, forøgelse af fradrag for moms på hote</w:t>
      </w:r>
      <w:r w:rsidRPr="004A36D0">
        <w:rPr>
          <w:color w:val="000000"/>
          <w:sz w:val="24"/>
        </w:rPr>
        <w:t>l</w:t>
      </w:r>
      <w:r w:rsidRPr="004A36D0">
        <w:rPr>
          <w:color w:val="000000"/>
          <w:sz w:val="24"/>
        </w:rPr>
        <w:t>ydelser og færdselsskadede køretøjer).</w:t>
      </w:r>
    </w:p>
    <w:p w:rsidR="0071033F" w:rsidRDefault="0071033F" w:rsidP="00A83335">
      <w:pPr>
        <w:spacing w:after="240"/>
        <w:jc w:val="both"/>
        <w:rPr>
          <w:sz w:val="24"/>
        </w:rPr>
      </w:pPr>
    </w:p>
    <w:p w:rsidR="00A83335" w:rsidRDefault="00A83335" w:rsidP="00A83335">
      <w:pPr>
        <w:spacing w:after="240"/>
        <w:jc w:val="both"/>
        <w:rPr>
          <w:i/>
          <w:sz w:val="24"/>
        </w:rPr>
      </w:pPr>
      <w:r>
        <w:rPr>
          <w:i/>
          <w:sz w:val="24"/>
        </w:rPr>
        <w:t>Kraftvarme</w:t>
      </w:r>
    </w:p>
    <w:p w:rsidR="00A83335" w:rsidRPr="00A83335" w:rsidRDefault="00A83335" w:rsidP="00A83335">
      <w:pPr>
        <w:jc w:val="both"/>
        <w:rPr>
          <w:sz w:val="24"/>
        </w:rPr>
      </w:pPr>
      <w:r>
        <w:rPr>
          <w:sz w:val="24"/>
        </w:rPr>
        <w:t>Det foreslås, at justere reglerne for opgørelse af afgift på varme produceret i samspil med el (kraftvarme), således at afgiften af varme produceret ved kraftvarme øges. Som en afledt effekt af forslaget foreslås der en række balancetilpasninger i energi- og CO</w:t>
      </w:r>
      <w:r>
        <w:rPr>
          <w:sz w:val="24"/>
          <w:vertAlign w:val="subscript"/>
        </w:rPr>
        <w:t>2</w:t>
      </w:r>
      <w:r>
        <w:rPr>
          <w:sz w:val="24"/>
        </w:rPr>
        <w:t>-afgiftslovenes regler om overskud</w:t>
      </w:r>
      <w:r>
        <w:rPr>
          <w:sz w:val="24"/>
        </w:rPr>
        <w:t>s</w:t>
      </w:r>
      <w:r>
        <w:rPr>
          <w:sz w:val="24"/>
        </w:rPr>
        <w:t>varme og elpatronordni</w:t>
      </w:r>
      <w:r>
        <w:rPr>
          <w:sz w:val="24"/>
        </w:rPr>
        <w:t>n</w:t>
      </w:r>
      <w:r>
        <w:rPr>
          <w:sz w:val="24"/>
        </w:rPr>
        <w:t>gen.</w:t>
      </w:r>
    </w:p>
    <w:p w:rsidR="00A83335" w:rsidRDefault="00A83335" w:rsidP="00A83335">
      <w:pPr>
        <w:rPr>
          <w:i/>
          <w:sz w:val="24"/>
        </w:rPr>
      </w:pPr>
      <w:r>
        <w:rPr>
          <w:i/>
          <w:sz w:val="24"/>
        </w:rPr>
        <w:t>Hotelmoms</w:t>
      </w:r>
    </w:p>
    <w:p w:rsidR="00A83335" w:rsidRDefault="00A83335" w:rsidP="00A83335">
      <w:r>
        <w:t>Som led i finanslovsaftalen for 2011 blev det aftalt, at turisterhvervets ko</w:t>
      </w:r>
      <w:r>
        <w:t>n</w:t>
      </w:r>
      <w:r>
        <w:t>kurrencevilkår skulle forbedres over for konkurrenter i vore nabolande. Fø</w:t>
      </w:r>
      <w:r>
        <w:t>r</w:t>
      </w:r>
      <w:r>
        <w:t>ste skridt på vejen er at styrke danske h</w:t>
      </w:r>
      <w:r>
        <w:t>o</w:t>
      </w:r>
      <w:r>
        <w:t>tellers konkurrenceevne ved at give erhvervslivet mulighed for at kunne fradrage en større del af momsen på h</w:t>
      </w:r>
      <w:r>
        <w:t>o</w:t>
      </w:r>
      <w:r>
        <w:t>telydelser. Med dette lovforslag fo</w:t>
      </w:r>
      <w:r>
        <w:t>r</w:t>
      </w:r>
      <w:r>
        <w:t>højes fradragsprocenten fra 25 til 50, når udgiften bliver afholdt i erhvervsmæssig sammenhæng.</w:t>
      </w:r>
    </w:p>
    <w:p w:rsidR="00A83335" w:rsidRDefault="00A83335" w:rsidP="00E96040">
      <w:pPr>
        <w:spacing w:line="288" w:lineRule="auto"/>
        <w:rPr>
          <w:i/>
          <w:sz w:val="24"/>
        </w:rPr>
      </w:pPr>
      <w:r>
        <w:rPr>
          <w:i/>
          <w:sz w:val="24"/>
        </w:rPr>
        <w:t>Færdselsskadede køretøjer</w:t>
      </w:r>
    </w:p>
    <w:p w:rsidR="00A83335" w:rsidRPr="00D30653" w:rsidRDefault="00A83335" w:rsidP="00A83335">
      <w:pPr>
        <w:pStyle w:val="Listeafsni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foreslås, at </w:t>
      </w:r>
      <w:r w:rsidRPr="00D30653">
        <w:rPr>
          <w:rFonts w:ascii="Times New Roman" w:hAnsi="Times New Roman"/>
          <w:sz w:val="24"/>
          <w:szCs w:val="24"/>
        </w:rPr>
        <w:t>reglerne for registreringsafgift af færdselsskadede biler strammes, således omfanget af reparationer, der alene foretages af a</w:t>
      </w:r>
      <w:r w:rsidRPr="00D30653">
        <w:rPr>
          <w:rFonts w:ascii="Times New Roman" w:hAnsi="Times New Roman"/>
          <w:sz w:val="24"/>
          <w:szCs w:val="24"/>
        </w:rPr>
        <w:t>f</w:t>
      </w:r>
      <w:r w:rsidRPr="00D30653">
        <w:rPr>
          <w:rFonts w:ascii="Times New Roman" w:hAnsi="Times New Roman"/>
          <w:sz w:val="24"/>
          <w:szCs w:val="24"/>
        </w:rPr>
        <w:t>giftsmæssige hensyn, begræ</w:t>
      </w:r>
      <w:r w:rsidRPr="00D30653">
        <w:rPr>
          <w:rFonts w:ascii="Times New Roman" w:hAnsi="Times New Roman"/>
          <w:sz w:val="24"/>
          <w:szCs w:val="24"/>
        </w:rPr>
        <w:t>n</w:t>
      </w:r>
      <w:r w:rsidRPr="00D30653">
        <w:rPr>
          <w:rFonts w:ascii="Times New Roman" w:hAnsi="Times New Roman"/>
          <w:sz w:val="24"/>
          <w:szCs w:val="24"/>
        </w:rPr>
        <w:t>ses.</w:t>
      </w:r>
    </w:p>
    <w:p w:rsidR="00A83335" w:rsidRPr="00A83335" w:rsidRDefault="00A83335" w:rsidP="00E96040">
      <w:pPr>
        <w:spacing w:line="288" w:lineRule="auto"/>
        <w:rPr>
          <w:sz w:val="24"/>
        </w:rPr>
      </w:pPr>
    </w:p>
    <w:p w:rsidR="00CD59BB" w:rsidRPr="003056E8" w:rsidRDefault="00CD59BB" w:rsidP="00CD59BB">
      <w:pPr>
        <w:pStyle w:val="Sidefod"/>
        <w:tabs>
          <w:tab w:val="clear" w:pos="4819"/>
          <w:tab w:val="clear" w:pos="9638"/>
        </w:tabs>
        <w:rPr>
          <w:i/>
          <w:sz w:val="24"/>
        </w:rPr>
      </w:pPr>
      <w:r w:rsidRPr="001C73EA">
        <w:rPr>
          <w:i/>
          <w:sz w:val="24"/>
        </w:rPr>
        <w:t>Provenuer</w:t>
      </w:r>
      <w:r>
        <w:rPr>
          <w:i/>
          <w:sz w:val="24"/>
        </w:rPr>
        <w:br/>
      </w:r>
      <w:r>
        <w:rPr>
          <w:sz w:val="24"/>
        </w:rPr>
        <w:t>Forslaget på kraftvarmeområdet skønnes at lede til et umiddelbart me</w:t>
      </w:r>
      <w:r>
        <w:rPr>
          <w:sz w:val="24"/>
        </w:rPr>
        <w:t>r</w:t>
      </w:r>
      <w:r>
        <w:rPr>
          <w:sz w:val="24"/>
        </w:rPr>
        <w:t>provenu for statska</w:t>
      </w:r>
      <w:r>
        <w:rPr>
          <w:sz w:val="24"/>
        </w:rPr>
        <w:t>s</w:t>
      </w:r>
      <w:r>
        <w:rPr>
          <w:sz w:val="24"/>
        </w:rPr>
        <w:t>sen på 125 mio. kr. i 2011 samt en varig virkning på 140 mio. kr. Forslaget om færdsel</w:t>
      </w:r>
      <w:r>
        <w:rPr>
          <w:sz w:val="24"/>
        </w:rPr>
        <w:t>s</w:t>
      </w:r>
      <w:r>
        <w:rPr>
          <w:sz w:val="24"/>
        </w:rPr>
        <w:t xml:space="preserve">skadede køretøjer skønnes at lede til et umiddelbart merprovenu for statskassen på 130 mio. kr. i 2011 og en varig </w:t>
      </w:r>
      <w:r>
        <w:rPr>
          <w:sz w:val="24"/>
        </w:rPr>
        <w:lastRenderedPageBreak/>
        <w:t>virkning 120 mio. kr. Forslaget om hotelmoms skønnes at lede til et umiddelbart proven</w:t>
      </w:r>
      <w:r>
        <w:rPr>
          <w:sz w:val="24"/>
        </w:rPr>
        <w:t>u</w:t>
      </w:r>
      <w:r>
        <w:rPr>
          <w:sz w:val="24"/>
        </w:rPr>
        <w:t>tab for statskassen på 180 mio. kr i 2011 og en varig vir</w:t>
      </w:r>
      <w:r>
        <w:rPr>
          <w:sz w:val="24"/>
        </w:rPr>
        <w:t>k</w:t>
      </w:r>
      <w:r>
        <w:rPr>
          <w:sz w:val="24"/>
        </w:rPr>
        <w:t>ning på 180 mio. kr.</w:t>
      </w:r>
    </w:p>
    <w:p w:rsidR="005B1241" w:rsidRDefault="00B753A1" w:rsidP="00B11B2E">
      <w:pPr>
        <w:rPr>
          <w:sz w:val="24"/>
        </w:rPr>
      </w:pPr>
      <w:r w:rsidRPr="001C73EA">
        <w:rPr>
          <w:i/>
          <w:sz w:val="24"/>
        </w:rPr>
        <w:t>Miljøeffekter</w:t>
      </w:r>
      <w:r w:rsidR="000C0D55">
        <w:rPr>
          <w:i/>
          <w:sz w:val="24"/>
        </w:rPr>
        <w:br/>
      </w:r>
      <w:r w:rsidR="005B1241">
        <w:rPr>
          <w:sz w:val="24"/>
        </w:rPr>
        <w:t>I forhold til miljøbelastningen har k</w:t>
      </w:r>
      <w:r w:rsidR="00B11B2E" w:rsidRPr="007F57FD">
        <w:rPr>
          <w:sz w:val="24"/>
        </w:rPr>
        <w:t>raftvarme</w:t>
      </w:r>
      <w:r w:rsidR="00B11B2E">
        <w:rPr>
          <w:sz w:val="24"/>
        </w:rPr>
        <w:t xml:space="preserve">forslaget </w:t>
      </w:r>
      <w:r w:rsidR="005B1241">
        <w:rPr>
          <w:sz w:val="24"/>
        </w:rPr>
        <w:t xml:space="preserve">den positive effekt, at det </w:t>
      </w:r>
      <w:r w:rsidR="00B11B2E">
        <w:rPr>
          <w:sz w:val="24"/>
        </w:rPr>
        <w:t>skønnes at lede til en øget anvendelse af vedvarende energi</w:t>
      </w:r>
      <w:r w:rsidR="005B1241">
        <w:rPr>
          <w:sz w:val="24"/>
        </w:rPr>
        <w:t xml:space="preserve">. </w:t>
      </w:r>
    </w:p>
    <w:p w:rsidR="005B1241" w:rsidRDefault="005B1241" w:rsidP="005B1241">
      <w:pPr>
        <w:rPr>
          <w:sz w:val="24"/>
        </w:rPr>
      </w:pPr>
      <w:r>
        <w:rPr>
          <w:sz w:val="24"/>
        </w:rPr>
        <w:t>Kraftvarmeforslaget vil i beskedent omfang øge CO</w:t>
      </w:r>
      <w:r>
        <w:rPr>
          <w:sz w:val="24"/>
          <w:vertAlign w:val="subscript"/>
        </w:rPr>
        <w:t>2</w:t>
      </w:r>
      <w:r>
        <w:rPr>
          <w:sz w:val="24"/>
        </w:rPr>
        <w:t>-udledningerne udenfor kvot</w:t>
      </w:r>
      <w:r>
        <w:rPr>
          <w:sz w:val="24"/>
        </w:rPr>
        <w:t>e</w:t>
      </w:r>
      <w:r>
        <w:rPr>
          <w:sz w:val="24"/>
        </w:rPr>
        <w:t>sektoren, mens forslaget om færdselsskadede køretøjer vil lede til en begrænsning af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-udledningerne og </w:t>
      </w:r>
      <w:r w:rsidR="00C44500">
        <w:rPr>
          <w:sz w:val="24"/>
        </w:rPr>
        <w:t xml:space="preserve">andre </w:t>
      </w:r>
      <w:r>
        <w:rPr>
          <w:sz w:val="24"/>
        </w:rPr>
        <w:t>skadelige sto</w:t>
      </w:r>
      <w:r>
        <w:rPr>
          <w:sz w:val="24"/>
        </w:rPr>
        <w:t>f</w:t>
      </w:r>
      <w:r>
        <w:rPr>
          <w:sz w:val="24"/>
        </w:rPr>
        <w:t>fer.</w:t>
      </w:r>
    </w:p>
    <w:p w:rsidR="00A83335" w:rsidRPr="00552796" w:rsidRDefault="00B11B2E" w:rsidP="00B11B2E">
      <w:pPr>
        <w:rPr>
          <w:sz w:val="24"/>
        </w:rPr>
      </w:pPr>
      <w:r>
        <w:rPr>
          <w:sz w:val="24"/>
        </w:rPr>
        <w:t>Forslaget om hotelmoms skønnes ikke at have miljømæssige konsekve</w:t>
      </w:r>
      <w:r>
        <w:rPr>
          <w:sz w:val="24"/>
        </w:rPr>
        <w:t>n</w:t>
      </w:r>
      <w:r>
        <w:rPr>
          <w:sz w:val="24"/>
        </w:rPr>
        <w:t xml:space="preserve">ser. </w:t>
      </w:r>
    </w:p>
    <w:sectPr w:rsidR="00A83335" w:rsidRPr="00552796">
      <w:footerReference w:type="default" r:id="rId7"/>
      <w:headerReference w:type="first" r:id="rId8"/>
      <w:pgSz w:w="11906" w:h="16838" w:code="9"/>
      <w:pgMar w:top="1258" w:right="1826" w:bottom="1134" w:left="1247" w:header="180" w:footer="709" w:gutter="0"/>
      <w:paperSrc w:first="256" w:other="2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60" w:rsidRDefault="00BD1960">
      <w:r>
        <w:separator/>
      </w:r>
    </w:p>
  </w:endnote>
  <w:endnote w:type="continuationSeparator" w:id="1">
    <w:p w:rsidR="00BD1960" w:rsidRDefault="00B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35" w:rsidRDefault="00A83335">
    <w:pPr>
      <w:pStyle w:val="DepartementSidefod"/>
      <w:jc w:val="right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E342D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60" w:rsidRDefault="00BD1960">
      <w:r>
        <w:separator/>
      </w:r>
    </w:p>
  </w:footnote>
  <w:footnote w:type="continuationSeparator" w:id="1">
    <w:p w:rsidR="00BD1960" w:rsidRDefault="00BD1960">
      <w:r>
        <w:continuationSeparator/>
      </w:r>
    </w:p>
  </w:footnote>
  <w:footnote w:id="2">
    <w:p w:rsidR="00A83335" w:rsidRPr="00A83335" w:rsidRDefault="00A83335" w:rsidP="00A83335">
      <w:pPr>
        <w:pStyle w:val="Fodnotetekst"/>
        <w:rPr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8699" w:tblpY="1"/>
      <w:tblOverlap w:val="never"/>
      <w:tblW w:w="2484" w:type="dxa"/>
      <w:tblInd w:w="805" w:type="dxa"/>
      <w:tblCellMar>
        <w:top w:w="2262" w:type="dxa"/>
      </w:tblCellMar>
      <w:tblLook w:val="01E0"/>
    </w:tblPr>
    <w:tblGrid>
      <w:gridCol w:w="2484"/>
    </w:tblGrid>
    <w:tr w:rsidR="00A83335">
      <w:trPr>
        <w:trHeight w:val="13551"/>
      </w:trPr>
      <w:tc>
        <w:tcPr>
          <w:tcW w:w="2484" w:type="dxa"/>
        </w:tcPr>
        <w:p w:rsidR="00A83335" w:rsidRDefault="00A83335">
          <w:pPr>
            <w:pStyle w:val="Departementtekst"/>
            <w:ind w:right="-105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   </w:t>
          </w:r>
          <w:r>
            <w:rPr>
              <w:rFonts w:ascii="Arial" w:hAnsi="Arial" w:cs="Arial"/>
              <w:sz w:val="14"/>
            </w:rPr>
            <w:t xml:space="preserve">J.nr. </w:t>
          </w:r>
          <w:bookmarkStart w:id="0" w:name="sagsnr"/>
          <w:bookmarkEnd w:id="0"/>
          <w:r>
            <w:rPr>
              <w:rFonts w:ascii="Arial" w:hAnsi="Arial" w:cs="Arial"/>
              <w:sz w:val="14"/>
            </w:rPr>
            <w:t>2009-231-0039</w:t>
          </w:r>
        </w:p>
        <w:p w:rsidR="00A83335" w:rsidRDefault="00A83335">
          <w:pPr>
            <w:pStyle w:val="Departementtekst"/>
            <w:ind w:right="-105"/>
            <w:rPr>
              <w:rFonts w:ascii="Arial" w:hAnsi="Arial" w:cs="Arial"/>
              <w:bCs/>
              <w:sz w:val="14"/>
            </w:rPr>
          </w:pPr>
          <w:r>
            <w:rPr>
              <w:rFonts w:ascii="Arial" w:hAnsi="Arial" w:cs="Arial"/>
              <w:bCs/>
              <w:sz w:val="14"/>
            </w:rPr>
            <w:t xml:space="preserve">   Dato: 11. november 2010</w:t>
          </w:r>
        </w:p>
        <w:p w:rsidR="00A83335" w:rsidRDefault="00A83335">
          <w:pPr>
            <w:pStyle w:val="Departementtekst"/>
            <w:tabs>
              <w:tab w:val="left" w:pos="720"/>
            </w:tabs>
            <w:ind w:left="540" w:right="-105"/>
            <w:rPr>
              <w:sz w:val="14"/>
            </w:rPr>
          </w:pPr>
        </w:p>
        <w:p w:rsidR="00A83335" w:rsidRDefault="00A83335">
          <w:pPr>
            <w:pStyle w:val="Departementtekst"/>
            <w:ind w:left="540" w:right="-105"/>
            <w:rPr>
              <w:sz w:val="14"/>
            </w:rPr>
          </w:pPr>
        </w:p>
        <w:p w:rsidR="00A83335" w:rsidRDefault="00A83335">
          <w:pPr>
            <w:pStyle w:val="Departementtekst"/>
            <w:ind w:left="540" w:right="-105"/>
            <w:rPr>
              <w:sz w:val="14"/>
            </w:rPr>
          </w:pPr>
        </w:p>
        <w:p w:rsidR="00A83335" w:rsidRDefault="00A83335">
          <w:pPr>
            <w:pStyle w:val="Departementtekst"/>
          </w:pPr>
        </w:p>
      </w:tc>
    </w:tr>
  </w:tbl>
  <w:p w:rsidR="00A83335" w:rsidRDefault="00A83335">
    <w:pPr>
      <w:pStyle w:val="Departementtekst"/>
      <w:ind w:right="-130"/>
      <w:jc w:val="right"/>
    </w:pPr>
    <w:r>
      <w:rPr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66pt">
          <v:imagedata r:id="rId1" o:title="SK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A92"/>
    <w:rsid w:val="00012F9D"/>
    <w:rsid w:val="0009691D"/>
    <w:rsid w:val="000A615A"/>
    <w:rsid w:val="000B73E0"/>
    <w:rsid w:val="000C0D55"/>
    <w:rsid w:val="000E0C65"/>
    <w:rsid w:val="000E49AD"/>
    <w:rsid w:val="000F709D"/>
    <w:rsid w:val="001B0F78"/>
    <w:rsid w:val="001C73EA"/>
    <w:rsid w:val="001F753C"/>
    <w:rsid w:val="00292A1A"/>
    <w:rsid w:val="002C7115"/>
    <w:rsid w:val="003056E8"/>
    <w:rsid w:val="003C3EB4"/>
    <w:rsid w:val="00401029"/>
    <w:rsid w:val="00417C82"/>
    <w:rsid w:val="00454204"/>
    <w:rsid w:val="00455423"/>
    <w:rsid w:val="00460257"/>
    <w:rsid w:val="004953AF"/>
    <w:rsid w:val="004A36D0"/>
    <w:rsid w:val="004F4AE9"/>
    <w:rsid w:val="0054724C"/>
    <w:rsid w:val="00552796"/>
    <w:rsid w:val="005B1241"/>
    <w:rsid w:val="005D3409"/>
    <w:rsid w:val="005E203E"/>
    <w:rsid w:val="00666775"/>
    <w:rsid w:val="00680082"/>
    <w:rsid w:val="006D3BA7"/>
    <w:rsid w:val="0071033F"/>
    <w:rsid w:val="007770DD"/>
    <w:rsid w:val="00795F59"/>
    <w:rsid w:val="00884475"/>
    <w:rsid w:val="008B3914"/>
    <w:rsid w:val="0091122E"/>
    <w:rsid w:val="00964CAC"/>
    <w:rsid w:val="009C0546"/>
    <w:rsid w:val="00A254F4"/>
    <w:rsid w:val="00A73484"/>
    <w:rsid w:val="00A83335"/>
    <w:rsid w:val="00B06CC8"/>
    <w:rsid w:val="00B11B2E"/>
    <w:rsid w:val="00B208CE"/>
    <w:rsid w:val="00B753A1"/>
    <w:rsid w:val="00BD1960"/>
    <w:rsid w:val="00C169F2"/>
    <w:rsid w:val="00C40ED6"/>
    <w:rsid w:val="00C44500"/>
    <w:rsid w:val="00C96A07"/>
    <w:rsid w:val="00CD59BB"/>
    <w:rsid w:val="00CD6978"/>
    <w:rsid w:val="00D51A92"/>
    <w:rsid w:val="00D655F3"/>
    <w:rsid w:val="00DB4BBE"/>
    <w:rsid w:val="00E15B7C"/>
    <w:rsid w:val="00E6776B"/>
    <w:rsid w:val="00E96040"/>
    <w:rsid w:val="00ED2EAF"/>
    <w:rsid w:val="00EE342D"/>
    <w:rsid w:val="00EF1F29"/>
    <w:rsid w:val="00F04C52"/>
    <w:rsid w:val="00F6682E"/>
    <w:rsid w:val="00FB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50"/>
    </w:pPr>
    <w:rPr>
      <w:sz w:val="23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spacing w:line="288" w:lineRule="auto"/>
      <w:jc w:val="center"/>
      <w:outlineLvl w:val="0"/>
    </w:pPr>
    <w:rPr>
      <w:b/>
      <w:bCs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Fodnotehenvisning">
    <w:name w:val="footnote reference"/>
    <w:rsid w:val="00A83335"/>
  </w:style>
  <w:style w:type="paragraph" w:styleId="Brdtekst">
    <w:name w:val="Body Text"/>
    <w:basedOn w:val="Normal"/>
    <w:pPr>
      <w:spacing w:after="240" w:line="240" w:lineRule="atLeast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Adressat">
    <w:name w:val="Adressat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pPr>
      <w:spacing w:after="170"/>
    </w:pPr>
    <w:rPr>
      <w:rFonts w:ascii="Verdana" w:hAnsi="Verdana"/>
      <w:sz w:val="13"/>
      <w:szCs w:val="13"/>
    </w:rPr>
  </w:style>
  <w:style w:type="paragraph" w:customStyle="1" w:styleId="fodnote">
    <w:name w:val="fodnote"/>
    <w:basedOn w:val="Normal"/>
    <w:rsid w:val="00A83335"/>
    <w:pPr>
      <w:spacing w:before="200" w:after="200"/>
    </w:pPr>
    <w:rPr>
      <w:rFonts w:ascii="Tahoma" w:hAnsi="Tahoma" w:cs="Tahoma"/>
      <w:color w:val="000000"/>
      <w:sz w:val="20"/>
      <w:szCs w:val="20"/>
    </w:rPr>
  </w:style>
  <w:style w:type="paragraph" w:styleId="Fodnotetekst">
    <w:name w:val="footnote text"/>
    <w:basedOn w:val="Normal"/>
    <w:link w:val="FodnotetekstTegn"/>
    <w:rsid w:val="00A8333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A83335"/>
  </w:style>
  <w:style w:type="paragraph" w:styleId="Listeafsnit">
    <w:name w:val="List Paragraph"/>
    <w:basedOn w:val="Normal"/>
    <w:uiPriority w:val="34"/>
    <w:qFormat/>
    <w:rsid w:val="00A83335"/>
    <w:pPr>
      <w:spacing w:after="0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757E-A63E-459C-938B-92A7851C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</Template>
  <TotalTime>0</TotalTime>
  <Pages>2</Pages>
  <Words>307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Skatteministeriet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w06361</dc:creator>
  <cp:keywords/>
  <dc:description/>
  <cp:lastModifiedBy>w17776</cp:lastModifiedBy>
  <cp:revision>2</cp:revision>
  <cp:lastPrinted>2010-11-15T08:23:00Z</cp:lastPrinted>
  <dcterms:created xsi:type="dcterms:W3CDTF">2010-11-16T14:29:00Z</dcterms:created>
  <dcterms:modified xsi:type="dcterms:W3CDTF">2010-11-16T14:29:00Z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C:\DOCUME~1\W17715\LOKALE~1\Temp\SJ20101115081624761 [DOK414357].DOC</vt:lpwstr>
  </property>
  <property fmtid="{D5CDD505-2E9C-101B-9397-08002B2CF9AE}" pid="6" name="title">
    <vt:lpwstr>Resume.lf</vt:lpwstr>
  </property>
  <property fmtid="{D5CDD505-2E9C-101B-9397-08002B2CF9AE}" pid="7" name="command">
    <vt:lpwstr/>
  </property>
  <property fmtid="{D5CDD505-2E9C-101B-9397-08002B2CF9AE}" pid="8" name="_AdHocReviewCycleID">
    <vt:i4>-730654164</vt:i4>
  </property>
  <property fmtid="{D5CDD505-2E9C-101B-9397-08002B2CF9AE}" pid="9" name="_NewReviewCycle">
    <vt:lpwstr/>
  </property>
  <property fmtid="{D5CDD505-2E9C-101B-9397-08002B2CF9AE}" pid="10" name="_EmailSubject">
    <vt:lpwstr>Høring over afgiftslovforslag med relation til finanslov 2011 (kraftvarme, hotelmoms og færdselsskadede biler)</vt:lpwstr>
  </property>
  <property fmtid="{D5CDD505-2E9C-101B-9397-08002B2CF9AE}" pid="11" name="_AuthorEmail">
    <vt:lpwstr>js@skat.dk</vt:lpwstr>
  </property>
  <property fmtid="{D5CDD505-2E9C-101B-9397-08002B2CF9AE}" pid="12" name="_AuthorEmailDisplayName">
    <vt:lpwstr>JP-Jura og Samfundsøkonomi</vt:lpwstr>
  </property>
  <property fmtid="{D5CDD505-2E9C-101B-9397-08002B2CF9AE}" pid="13" name="_PreviousAdHocReviewCycleID">
    <vt:i4>520291133</vt:i4>
  </property>
  <property fmtid="{D5CDD505-2E9C-101B-9397-08002B2CF9AE}" pid="14" name="_ReviewingToolsShownOnce">
    <vt:lpwstr/>
  </property>
</Properties>
</file>