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B03A" w14:textId="77777777" w:rsidR="00696799" w:rsidRPr="00933BC8" w:rsidRDefault="00696799" w:rsidP="00696799">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b/>
          <w:bCs/>
          <w:i/>
          <w:iCs/>
          <w:color w:val="000000"/>
          <w:sz w:val="24"/>
          <w:szCs w:val="24"/>
          <w:lang w:eastAsia="da-DK"/>
        </w:rPr>
        <w:t>UDKAST</w:t>
      </w:r>
    </w:p>
    <w:p w14:paraId="175B86C0" w14:textId="77777777" w:rsidR="00696799" w:rsidRPr="00933BC8" w:rsidRDefault="00696799" w:rsidP="00696799">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color w:val="000000"/>
          <w:sz w:val="24"/>
          <w:szCs w:val="24"/>
          <w:lang w:eastAsia="da-DK"/>
        </w:rPr>
        <w:t>til</w:t>
      </w:r>
    </w:p>
    <w:p w14:paraId="2D4D39E2" w14:textId="77777777" w:rsidR="00696799" w:rsidRPr="00933BC8" w:rsidRDefault="00696799" w:rsidP="00696799">
      <w:pPr>
        <w:spacing w:before="100" w:beforeAutospacing="1" w:line="240" w:lineRule="auto"/>
        <w:ind w:firstLine="170"/>
        <w:jc w:val="center"/>
        <w:rPr>
          <w:rFonts w:ascii="Times New Roman" w:eastAsia="Times New Roman" w:hAnsi="Times New Roman" w:cs="Times New Roman"/>
          <w:b/>
          <w:color w:val="auto"/>
          <w:sz w:val="24"/>
          <w:szCs w:val="24"/>
          <w:lang w:eastAsia="da-DK"/>
        </w:rPr>
      </w:pPr>
      <w:r w:rsidRPr="00933BC8">
        <w:rPr>
          <w:rFonts w:ascii="Times New Roman" w:eastAsia="Times New Roman" w:hAnsi="Times New Roman" w:cs="Times New Roman"/>
          <w:b/>
          <w:color w:val="000000"/>
          <w:sz w:val="24"/>
          <w:szCs w:val="24"/>
          <w:lang w:eastAsia="da-DK"/>
        </w:rPr>
        <w:t>Forslag</w:t>
      </w:r>
    </w:p>
    <w:p w14:paraId="06B26D8B" w14:textId="77777777" w:rsidR="00696799" w:rsidRPr="00933BC8" w:rsidRDefault="00696799" w:rsidP="00696799">
      <w:pPr>
        <w:spacing w:before="100" w:beforeAutospacing="1" w:line="240" w:lineRule="auto"/>
        <w:ind w:firstLine="170"/>
        <w:jc w:val="center"/>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color w:val="000000"/>
          <w:sz w:val="24"/>
          <w:szCs w:val="24"/>
          <w:lang w:eastAsia="da-DK"/>
        </w:rPr>
        <w:t>til</w:t>
      </w:r>
    </w:p>
    <w:p w14:paraId="476B7294" w14:textId="0EB57667" w:rsidR="00557233" w:rsidRPr="00933BC8" w:rsidRDefault="00D3341E" w:rsidP="00930755">
      <w:pPr>
        <w:spacing w:before="100" w:beforeAutospacing="1" w:line="240" w:lineRule="auto"/>
        <w:ind w:firstLine="170"/>
        <w:jc w:val="center"/>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Bekendtgørelse</w:t>
      </w:r>
      <w:r w:rsidR="00696799" w:rsidRPr="00933BC8">
        <w:rPr>
          <w:rFonts w:ascii="Times New Roman" w:eastAsia="Times New Roman" w:hAnsi="Times New Roman" w:cs="Times New Roman"/>
          <w:color w:val="000000"/>
          <w:sz w:val="24"/>
          <w:szCs w:val="24"/>
          <w:lang w:eastAsia="da-DK"/>
        </w:rPr>
        <w:t xml:space="preserve"> om</w:t>
      </w:r>
      <w:r w:rsidR="00585F89" w:rsidRPr="00933BC8">
        <w:rPr>
          <w:rFonts w:ascii="Times New Roman" w:eastAsia="Times New Roman" w:hAnsi="Times New Roman" w:cs="Times New Roman"/>
          <w:color w:val="000000"/>
          <w:sz w:val="24"/>
          <w:szCs w:val="24"/>
          <w:lang w:eastAsia="da-DK"/>
        </w:rPr>
        <w:t xml:space="preserve"> forenkling af foranstaltninger til fremme af gennemførelsen af det </w:t>
      </w:r>
      <w:proofErr w:type="spellStart"/>
      <w:r w:rsidR="00585F89" w:rsidRPr="00933BC8">
        <w:rPr>
          <w:rFonts w:ascii="Times New Roman" w:eastAsia="Times New Roman" w:hAnsi="Times New Roman" w:cs="Times New Roman"/>
          <w:color w:val="000000"/>
          <w:sz w:val="24"/>
          <w:szCs w:val="24"/>
          <w:lang w:eastAsia="da-DK"/>
        </w:rPr>
        <w:t>transeuropæiske</w:t>
      </w:r>
      <w:proofErr w:type="spellEnd"/>
      <w:r w:rsidR="00585F89" w:rsidRPr="00933BC8">
        <w:rPr>
          <w:rFonts w:ascii="Times New Roman" w:eastAsia="Times New Roman" w:hAnsi="Times New Roman" w:cs="Times New Roman"/>
          <w:color w:val="000000"/>
          <w:sz w:val="24"/>
          <w:szCs w:val="24"/>
          <w:lang w:eastAsia="da-DK"/>
        </w:rPr>
        <w:t xml:space="preserve"> transportnet</w:t>
      </w:r>
      <w:r w:rsidR="00585F89" w:rsidRPr="00933BC8">
        <w:rPr>
          <w:rStyle w:val="Fodnotehenvisning"/>
          <w:rFonts w:ascii="Times New Roman" w:eastAsia="Times New Roman" w:hAnsi="Times New Roman" w:cs="Times New Roman"/>
          <w:color w:val="000000"/>
          <w:sz w:val="24"/>
          <w:szCs w:val="24"/>
          <w:lang w:eastAsia="da-DK"/>
        </w:rPr>
        <w:footnoteReference w:id="2"/>
      </w:r>
      <w:r w:rsidR="00696799" w:rsidRPr="00933BC8">
        <w:rPr>
          <w:rFonts w:ascii="Times New Roman" w:eastAsia="Times New Roman" w:hAnsi="Times New Roman" w:cs="Times New Roman"/>
          <w:color w:val="000000"/>
          <w:sz w:val="24"/>
          <w:szCs w:val="24"/>
          <w:lang w:eastAsia="da-DK"/>
        </w:rPr>
        <w:t xml:space="preserve"> </w:t>
      </w:r>
    </w:p>
    <w:p w14:paraId="01B006E2" w14:textId="64777C96" w:rsidR="00557233" w:rsidRPr="00933BC8" w:rsidRDefault="00557233" w:rsidP="00557233">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I medfør af § 1 a i lov om havne, jf. lovbekendtgørelse nr. 457 af 23. maj 2012, som ændret ved § 3 i lov nr. 658 af 8. juni 2016 og § 5 i lov nr. 144 af 28. februar 2018, § 130, stk. 1, i lov om offentlige veje m.v.</w:t>
      </w:r>
      <w:r w:rsidR="003D2F90">
        <w:rPr>
          <w:rFonts w:ascii="Times New Roman" w:eastAsia="Times New Roman" w:hAnsi="Times New Roman" w:cs="Times New Roman"/>
          <w:iCs/>
          <w:color w:val="000000"/>
          <w:sz w:val="24"/>
          <w:szCs w:val="24"/>
          <w:lang w:eastAsia="da-DK"/>
        </w:rPr>
        <w:t>, jf. lovbekendtgørelse nr. 421 af 25. april 2023</w:t>
      </w:r>
      <w:r w:rsidRPr="00933BC8">
        <w:rPr>
          <w:rFonts w:ascii="Times New Roman" w:eastAsia="Times New Roman" w:hAnsi="Times New Roman" w:cs="Times New Roman"/>
          <w:iCs/>
          <w:color w:val="000000"/>
          <w:sz w:val="24"/>
          <w:szCs w:val="24"/>
          <w:lang w:eastAsia="da-DK"/>
        </w:rPr>
        <w:t>, § 102, stk. 1, i jernbaneloven, jf. lov nr. 686 af 27. maj 2015, som ændret ved § 2 i lov nr. 658 af 8. juni 2016,</w:t>
      </w:r>
      <w:r w:rsidR="00F811B0" w:rsidRPr="00933BC8">
        <w:rPr>
          <w:rFonts w:ascii="Times New Roman" w:eastAsia="Times New Roman" w:hAnsi="Times New Roman" w:cs="Times New Roman"/>
          <w:iCs/>
          <w:color w:val="000000"/>
          <w:sz w:val="24"/>
          <w:szCs w:val="24"/>
          <w:lang w:eastAsia="da-DK"/>
        </w:rPr>
        <w:t xml:space="preserve"> og</w:t>
      </w:r>
      <w:r w:rsidRPr="00933BC8">
        <w:rPr>
          <w:rFonts w:ascii="Times New Roman" w:eastAsia="Times New Roman" w:hAnsi="Times New Roman" w:cs="Times New Roman"/>
          <w:iCs/>
          <w:color w:val="000000"/>
          <w:sz w:val="24"/>
          <w:szCs w:val="24"/>
          <w:lang w:eastAsia="da-DK"/>
        </w:rPr>
        <w:t xml:space="preserve"> § 1 a i lov om luftfart, jf. lovbekendtgørelse nr. 1149 af 13. oktober 2017, som ændret ved lov nr. 970 af 26. juni 2020, fastsættes:</w:t>
      </w:r>
    </w:p>
    <w:p w14:paraId="315D6702" w14:textId="46C66367" w:rsidR="00DA462B" w:rsidRPr="00933BC8" w:rsidRDefault="00DA462B" w:rsidP="00BB39DC">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Kapitel 1 </w:t>
      </w:r>
    </w:p>
    <w:p w14:paraId="01DCCE61" w14:textId="2E85B71C" w:rsidR="00696799" w:rsidRPr="00933BC8" w:rsidRDefault="0080757B" w:rsidP="00DB4B5C">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A</w:t>
      </w:r>
      <w:r w:rsidR="00DA462B" w:rsidRPr="00933BC8">
        <w:rPr>
          <w:rFonts w:ascii="Times New Roman" w:eastAsia="Times New Roman" w:hAnsi="Times New Roman" w:cs="Times New Roman"/>
          <w:i/>
          <w:iCs/>
          <w:color w:val="000000"/>
          <w:sz w:val="24"/>
          <w:szCs w:val="24"/>
          <w:lang w:eastAsia="da-DK"/>
        </w:rPr>
        <w:t xml:space="preserve">nvendelsesområde og definitioner </w:t>
      </w:r>
    </w:p>
    <w:p w14:paraId="63D08DC1" w14:textId="0E192DAD" w:rsidR="00F227AB" w:rsidRPr="00933BC8" w:rsidRDefault="00F227AB"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r w:rsidRPr="00933BC8">
        <w:rPr>
          <w:rFonts w:ascii="Times New Roman" w:eastAsia="Times New Roman" w:hAnsi="Times New Roman" w:cs="Times New Roman"/>
          <w:b/>
          <w:bCs/>
          <w:color w:val="000000"/>
          <w:sz w:val="24"/>
          <w:szCs w:val="24"/>
          <w:lang w:eastAsia="da-DK"/>
        </w:rPr>
        <w:t xml:space="preserve">§ </w:t>
      </w:r>
      <w:r w:rsidR="00DB4B5C" w:rsidRPr="00933BC8">
        <w:rPr>
          <w:rFonts w:ascii="Times New Roman" w:eastAsia="Times New Roman" w:hAnsi="Times New Roman" w:cs="Times New Roman"/>
          <w:b/>
          <w:bCs/>
          <w:color w:val="000000"/>
          <w:sz w:val="24"/>
          <w:szCs w:val="24"/>
          <w:lang w:eastAsia="da-DK"/>
        </w:rPr>
        <w:t>1</w:t>
      </w:r>
      <w:r w:rsidRPr="00933BC8">
        <w:rPr>
          <w:rFonts w:ascii="Times New Roman" w:eastAsia="Times New Roman" w:hAnsi="Times New Roman" w:cs="Times New Roman"/>
          <w:bCs/>
          <w:color w:val="000000"/>
          <w:sz w:val="24"/>
          <w:szCs w:val="24"/>
          <w:lang w:eastAsia="da-DK"/>
        </w:rPr>
        <w:t xml:space="preserve">. Bekendtgørelsen </w:t>
      </w:r>
      <w:r w:rsidR="00C14D66" w:rsidRPr="00933BC8">
        <w:rPr>
          <w:rFonts w:ascii="Times New Roman" w:eastAsia="Times New Roman" w:hAnsi="Times New Roman" w:cs="Times New Roman"/>
          <w:bCs/>
          <w:color w:val="000000"/>
          <w:sz w:val="24"/>
          <w:szCs w:val="24"/>
          <w:lang w:eastAsia="da-DK"/>
        </w:rPr>
        <w:t xml:space="preserve">finder anvendelse </w:t>
      </w:r>
      <w:r w:rsidR="006C345F" w:rsidRPr="00933BC8">
        <w:rPr>
          <w:rFonts w:ascii="Times New Roman" w:eastAsia="Times New Roman" w:hAnsi="Times New Roman" w:cs="Times New Roman"/>
          <w:bCs/>
          <w:color w:val="000000"/>
          <w:sz w:val="24"/>
          <w:szCs w:val="24"/>
          <w:lang w:eastAsia="da-DK"/>
        </w:rPr>
        <w:t>på</w:t>
      </w:r>
      <w:r w:rsidR="00C14D66" w:rsidRPr="00933BC8">
        <w:rPr>
          <w:rFonts w:ascii="Times New Roman" w:eastAsia="Times New Roman" w:hAnsi="Times New Roman" w:cs="Times New Roman"/>
          <w:bCs/>
          <w:color w:val="000000"/>
          <w:sz w:val="24"/>
          <w:szCs w:val="24"/>
          <w:lang w:eastAsia="da-DK"/>
        </w:rPr>
        <w:t xml:space="preserve"> de tilladelsesprocedurer, der er påkrævede for at godkende gennemførelsen af følgende</w:t>
      </w:r>
      <w:r w:rsidR="00D7132B" w:rsidRPr="00933BC8">
        <w:rPr>
          <w:rFonts w:ascii="Times New Roman" w:eastAsia="Times New Roman" w:hAnsi="Times New Roman" w:cs="Times New Roman"/>
          <w:bCs/>
          <w:color w:val="000000"/>
          <w:sz w:val="24"/>
          <w:szCs w:val="24"/>
          <w:lang w:eastAsia="da-DK"/>
        </w:rPr>
        <w:t xml:space="preserve"> projekter</w:t>
      </w:r>
      <w:r w:rsidR="00C14D66" w:rsidRPr="00933BC8">
        <w:rPr>
          <w:rFonts w:ascii="Times New Roman" w:eastAsia="Times New Roman" w:hAnsi="Times New Roman" w:cs="Times New Roman"/>
          <w:bCs/>
          <w:color w:val="000000"/>
          <w:sz w:val="24"/>
          <w:szCs w:val="24"/>
          <w:lang w:eastAsia="da-DK"/>
        </w:rPr>
        <w:t xml:space="preserve">: </w:t>
      </w:r>
    </w:p>
    <w:p w14:paraId="1C3D9EDF" w14:textId="27F06BFE" w:rsidR="00C14D66" w:rsidRPr="00933BC8" w:rsidRDefault="00C14D66"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r w:rsidRPr="00933BC8">
        <w:rPr>
          <w:rFonts w:ascii="Times New Roman" w:eastAsia="Times New Roman" w:hAnsi="Times New Roman" w:cs="Times New Roman"/>
          <w:bCs/>
          <w:color w:val="000000"/>
          <w:sz w:val="24"/>
          <w:szCs w:val="24"/>
          <w:lang w:eastAsia="da-DK"/>
        </w:rPr>
        <w:t>1</w:t>
      </w:r>
      <w:r w:rsidR="00365F1E" w:rsidRPr="00933BC8">
        <w:rPr>
          <w:rFonts w:ascii="Times New Roman" w:eastAsia="Times New Roman" w:hAnsi="Times New Roman" w:cs="Times New Roman"/>
          <w:bCs/>
          <w:color w:val="000000"/>
          <w:sz w:val="24"/>
          <w:szCs w:val="24"/>
          <w:lang w:eastAsia="da-DK"/>
        </w:rPr>
        <w:t>)</w:t>
      </w:r>
      <w:r w:rsidRPr="00933BC8">
        <w:rPr>
          <w:rFonts w:ascii="Times New Roman" w:eastAsia="Times New Roman" w:hAnsi="Times New Roman" w:cs="Times New Roman"/>
          <w:bCs/>
          <w:color w:val="000000"/>
          <w:sz w:val="24"/>
          <w:szCs w:val="24"/>
          <w:lang w:eastAsia="da-DK"/>
        </w:rPr>
        <w:t xml:space="preserve"> Projekter</w:t>
      </w:r>
      <w:r w:rsidR="00C1762E" w:rsidRPr="00933BC8">
        <w:rPr>
          <w:rFonts w:ascii="Times New Roman" w:eastAsia="Times New Roman" w:hAnsi="Times New Roman" w:cs="Times New Roman"/>
          <w:bCs/>
          <w:color w:val="000000"/>
          <w:sz w:val="24"/>
          <w:szCs w:val="24"/>
          <w:lang w:eastAsia="da-DK"/>
        </w:rPr>
        <w:t>, som er en del af de forhåndsudpegede stræknin</w:t>
      </w:r>
      <w:r w:rsidR="00301A4E" w:rsidRPr="00933BC8">
        <w:rPr>
          <w:rFonts w:ascii="Times New Roman" w:eastAsia="Times New Roman" w:hAnsi="Times New Roman" w:cs="Times New Roman"/>
          <w:bCs/>
          <w:color w:val="000000"/>
          <w:sz w:val="24"/>
          <w:szCs w:val="24"/>
          <w:lang w:eastAsia="da-DK"/>
        </w:rPr>
        <w:t xml:space="preserve">ger på </w:t>
      </w:r>
      <w:proofErr w:type="spellStart"/>
      <w:r w:rsidR="00301A4E" w:rsidRPr="00933BC8">
        <w:rPr>
          <w:rFonts w:ascii="Times New Roman" w:eastAsia="Times New Roman" w:hAnsi="Times New Roman" w:cs="Times New Roman"/>
          <w:bCs/>
          <w:color w:val="000000"/>
          <w:sz w:val="24"/>
          <w:szCs w:val="24"/>
          <w:lang w:eastAsia="da-DK"/>
        </w:rPr>
        <w:t>hovednetkorridoren</w:t>
      </w:r>
      <w:proofErr w:type="spellEnd"/>
      <w:r w:rsidR="00301A4E" w:rsidRPr="00933BC8">
        <w:rPr>
          <w:rFonts w:ascii="Times New Roman" w:eastAsia="Times New Roman" w:hAnsi="Times New Roman" w:cs="Times New Roman"/>
          <w:bCs/>
          <w:color w:val="000000"/>
          <w:sz w:val="24"/>
          <w:szCs w:val="24"/>
          <w:lang w:eastAsia="da-DK"/>
        </w:rPr>
        <w:t xml:space="preserve">, Skandinavien-Middelhavet, </w:t>
      </w:r>
      <w:r w:rsidR="00365F1E" w:rsidRPr="00933BC8">
        <w:rPr>
          <w:rFonts w:ascii="Times New Roman" w:eastAsia="Times New Roman" w:hAnsi="Times New Roman" w:cs="Times New Roman"/>
          <w:bCs/>
          <w:color w:val="000000"/>
          <w:sz w:val="24"/>
          <w:szCs w:val="24"/>
          <w:lang w:eastAsia="da-DK"/>
        </w:rPr>
        <w:t>jf.</w:t>
      </w:r>
      <w:r w:rsidR="00301A4E" w:rsidRPr="00933BC8">
        <w:rPr>
          <w:rFonts w:ascii="Times New Roman" w:eastAsia="Times New Roman" w:hAnsi="Times New Roman" w:cs="Times New Roman"/>
          <w:bCs/>
          <w:color w:val="000000"/>
          <w:sz w:val="24"/>
          <w:szCs w:val="24"/>
          <w:lang w:eastAsia="da-DK"/>
        </w:rPr>
        <w:t xml:space="preserve"> </w:t>
      </w:r>
      <w:r w:rsidRPr="00933BC8">
        <w:rPr>
          <w:rFonts w:ascii="Times New Roman" w:eastAsia="Times New Roman" w:hAnsi="Times New Roman" w:cs="Times New Roman"/>
          <w:bCs/>
          <w:color w:val="000000"/>
          <w:sz w:val="24"/>
          <w:szCs w:val="24"/>
          <w:lang w:eastAsia="da-DK"/>
        </w:rPr>
        <w:t>bilag</w:t>
      </w:r>
      <w:r w:rsidR="009A69BA" w:rsidRPr="00933BC8">
        <w:rPr>
          <w:rFonts w:ascii="Times New Roman" w:eastAsia="Times New Roman" w:hAnsi="Times New Roman" w:cs="Times New Roman"/>
          <w:bCs/>
          <w:color w:val="000000"/>
          <w:sz w:val="24"/>
          <w:szCs w:val="24"/>
          <w:lang w:eastAsia="da-DK"/>
        </w:rPr>
        <w:t xml:space="preserve"> 1</w:t>
      </w:r>
      <w:r w:rsidR="0080757B" w:rsidRPr="00933BC8">
        <w:rPr>
          <w:rFonts w:ascii="Times New Roman" w:eastAsia="Times New Roman" w:hAnsi="Times New Roman" w:cs="Times New Roman"/>
          <w:bCs/>
          <w:color w:val="000000"/>
          <w:sz w:val="24"/>
          <w:szCs w:val="24"/>
          <w:lang w:eastAsia="da-DK"/>
        </w:rPr>
        <w:t>.</w:t>
      </w:r>
    </w:p>
    <w:p w14:paraId="7937D46F" w14:textId="60FF492F" w:rsidR="008F2633" w:rsidRPr="00933BC8" w:rsidRDefault="00C14D66"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r w:rsidRPr="00933BC8">
        <w:rPr>
          <w:rFonts w:ascii="Times New Roman" w:eastAsia="Times New Roman" w:hAnsi="Times New Roman" w:cs="Times New Roman"/>
          <w:bCs/>
          <w:color w:val="000000"/>
          <w:sz w:val="24"/>
          <w:szCs w:val="24"/>
          <w:lang w:eastAsia="da-DK"/>
        </w:rPr>
        <w:t>2</w:t>
      </w:r>
      <w:r w:rsidR="00365F1E" w:rsidRPr="00933BC8">
        <w:rPr>
          <w:rFonts w:ascii="Times New Roman" w:eastAsia="Times New Roman" w:hAnsi="Times New Roman" w:cs="Times New Roman"/>
          <w:bCs/>
          <w:color w:val="000000"/>
          <w:sz w:val="24"/>
          <w:szCs w:val="24"/>
          <w:lang w:eastAsia="da-DK"/>
        </w:rPr>
        <w:t>)</w:t>
      </w:r>
      <w:r w:rsidRPr="00933BC8">
        <w:rPr>
          <w:rFonts w:ascii="Times New Roman" w:eastAsia="Times New Roman" w:hAnsi="Times New Roman" w:cs="Times New Roman"/>
          <w:bCs/>
          <w:color w:val="000000"/>
          <w:sz w:val="24"/>
          <w:szCs w:val="24"/>
          <w:lang w:eastAsia="da-DK"/>
        </w:rPr>
        <w:t xml:space="preserve"> Projekter </w:t>
      </w:r>
      <w:r w:rsidR="00C0252C" w:rsidRPr="00933BC8">
        <w:rPr>
          <w:rFonts w:ascii="Times New Roman" w:eastAsia="Times New Roman" w:hAnsi="Times New Roman" w:cs="Times New Roman"/>
          <w:bCs/>
          <w:color w:val="000000"/>
          <w:sz w:val="24"/>
          <w:szCs w:val="24"/>
          <w:lang w:eastAsia="da-DK"/>
        </w:rPr>
        <w:t>vedrørende</w:t>
      </w:r>
      <w:r w:rsidR="008F2633" w:rsidRPr="00933BC8">
        <w:rPr>
          <w:rFonts w:ascii="Times New Roman" w:eastAsia="Times New Roman" w:hAnsi="Times New Roman" w:cs="Times New Roman"/>
          <w:bCs/>
          <w:color w:val="000000"/>
          <w:sz w:val="24"/>
          <w:szCs w:val="24"/>
          <w:lang w:eastAsia="da-DK"/>
        </w:rPr>
        <w:t xml:space="preserve"> </w:t>
      </w:r>
      <w:proofErr w:type="spellStart"/>
      <w:r w:rsidR="008F2633" w:rsidRPr="00933BC8">
        <w:rPr>
          <w:rFonts w:ascii="Times New Roman" w:eastAsia="Times New Roman" w:hAnsi="Times New Roman" w:cs="Times New Roman"/>
          <w:bCs/>
          <w:color w:val="000000"/>
          <w:sz w:val="24"/>
          <w:szCs w:val="24"/>
          <w:lang w:eastAsia="da-DK"/>
        </w:rPr>
        <w:t>hovednetkorridoren</w:t>
      </w:r>
      <w:proofErr w:type="spellEnd"/>
      <w:r w:rsidR="008F2633" w:rsidRPr="00933BC8">
        <w:rPr>
          <w:rFonts w:ascii="Times New Roman" w:eastAsia="Times New Roman" w:hAnsi="Times New Roman" w:cs="Times New Roman"/>
          <w:bCs/>
          <w:color w:val="000000"/>
          <w:sz w:val="24"/>
          <w:szCs w:val="24"/>
          <w:lang w:eastAsia="da-DK"/>
        </w:rPr>
        <w:t>, Skandinavien-Middelhavet</w:t>
      </w:r>
      <w:r w:rsidR="00365F1E" w:rsidRPr="00933BC8">
        <w:rPr>
          <w:rFonts w:ascii="Times New Roman" w:eastAsia="Times New Roman" w:hAnsi="Times New Roman" w:cs="Times New Roman"/>
          <w:bCs/>
          <w:color w:val="000000"/>
          <w:sz w:val="24"/>
          <w:szCs w:val="24"/>
          <w:lang w:eastAsia="da-DK"/>
        </w:rPr>
        <w:t xml:space="preserve">, </w:t>
      </w:r>
      <w:r w:rsidR="008F2633" w:rsidRPr="00933BC8">
        <w:rPr>
          <w:rFonts w:ascii="Times New Roman" w:eastAsia="Times New Roman" w:hAnsi="Times New Roman" w:cs="Times New Roman"/>
          <w:bCs/>
          <w:color w:val="000000"/>
          <w:sz w:val="24"/>
          <w:szCs w:val="24"/>
          <w:lang w:eastAsia="da-DK"/>
        </w:rPr>
        <w:t xml:space="preserve">som </w:t>
      </w:r>
      <w:r w:rsidR="00365F1E" w:rsidRPr="00933BC8">
        <w:rPr>
          <w:rFonts w:ascii="Times New Roman" w:eastAsia="Times New Roman" w:hAnsi="Times New Roman" w:cs="Times New Roman"/>
          <w:bCs/>
          <w:color w:val="000000"/>
          <w:sz w:val="24"/>
          <w:szCs w:val="24"/>
          <w:lang w:eastAsia="da-DK"/>
        </w:rPr>
        <w:t xml:space="preserve">er </w:t>
      </w:r>
      <w:r w:rsidR="00301A4E" w:rsidRPr="00933BC8">
        <w:rPr>
          <w:rFonts w:ascii="Times New Roman" w:eastAsia="Times New Roman" w:hAnsi="Times New Roman" w:cs="Times New Roman"/>
          <w:bCs/>
          <w:color w:val="000000"/>
          <w:sz w:val="24"/>
          <w:szCs w:val="24"/>
          <w:lang w:eastAsia="da-DK"/>
        </w:rPr>
        <w:t>udpeget</w:t>
      </w:r>
      <w:r w:rsidR="008F2633" w:rsidRPr="00933BC8">
        <w:rPr>
          <w:rFonts w:ascii="Times New Roman" w:eastAsia="Times New Roman" w:hAnsi="Times New Roman" w:cs="Times New Roman"/>
          <w:bCs/>
          <w:color w:val="000000"/>
          <w:sz w:val="24"/>
          <w:szCs w:val="24"/>
          <w:lang w:eastAsia="da-DK"/>
        </w:rPr>
        <w:t xml:space="preserve"> i henhold</w:t>
      </w:r>
      <w:r w:rsidR="00016D55" w:rsidRPr="00933BC8">
        <w:rPr>
          <w:rFonts w:ascii="Times New Roman" w:eastAsia="Times New Roman" w:hAnsi="Times New Roman" w:cs="Times New Roman"/>
          <w:bCs/>
          <w:color w:val="000000"/>
          <w:sz w:val="24"/>
          <w:szCs w:val="24"/>
          <w:lang w:eastAsia="da-DK"/>
        </w:rPr>
        <w:t xml:space="preserve"> til bilag 1, del III, i Europa-Parlamentets og Rådets forordning</w:t>
      </w:r>
      <w:r w:rsidR="00785366">
        <w:rPr>
          <w:rFonts w:ascii="Times New Roman" w:eastAsia="Times New Roman" w:hAnsi="Times New Roman" w:cs="Times New Roman"/>
          <w:bCs/>
          <w:color w:val="000000"/>
          <w:sz w:val="24"/>
          <w:szCs w:val="24"/>
          <w:lang w:eastAsia="da-DK"/>
        </w:rPr>
        <w:t xml:space="preserve"> (EU) 2021/1153 af 7. juli 2021</w:t>
      </w:r>
      <w:r w:rsidR="00016D55" w:rsidRPr="00933BC8">
        <w:rPr>
          <w:rFonts w:ascii="Times New Roman" w:eastAsia="Times New Roman" w:hAnsi="Times New Roman" w:cs="Times New Roman"/>
          <w:bCs/>
          <w:color w:val="000000"/>
          <w:sz w:val="24"/>
          <w:szCs w:val="24"/>
          <w:lang w:eastAsia="da-DK"/>
        </w:rPr>
        <w:t xml:space="preserve"> om oprettelse af </w:t>
      </w:r>
      <w:proofErr w:type="spellStart"/>
      <w:r w:rsidR="00016D55" w:rsidRPr="00933BC8">
        <w:rPr>
          <w:rFonts w:ascii="Times New Roman" w:eastAsia="Times New Roman" w:hAnsi="Times New Roman" w:cs="Times New Roman"/>
          <w:bCs/>
          <w:color w:val="000000"/>
          <w:sz w:val="24"/>
          <w:szCs w:val="24"/>
          <w:lang w:eastAsia="da-DK"/>
        </w:rPr>
        <w:t>Connecting</w:t>
      </w:r>
      <w:proofErr w:type="spellEnd"/>
      <w:r w:rsidR="00016D55" w:rsidRPr="00933BC8">
        <w:rPr>
          <w:rFonts w:ascii="Times New Roman" w:eastAsia="Times New Roman" w:hAnsi="Times New Roman" w:cs="Times New Roman"/>
          <w:bCs/>
          <w:color w:val="000000"/>
          <w:sz w:val="24"/>
          <w:szCs w:val="24"/>
          <w:lang w:eastAsia="da-DK"/>
        </w:rPr>
        <w:t xml:space="preserve"> Europe-faciliteten og om ophævelse af forordning (EU) nr. 1316/2013 og (EU) nr. 283/2014, EU-Tidende 2021, nr. L 249, side 38-81</w:t>
      </w:r>
      <w:r w:rsidR="00930755" w:rsidRPr="00933BC8">
        <w:rPr>
          <w:rFonts w:ascii="Times New Roman" w:eastAsia="Times New Roman" w:hAnsi="Times New Roman" w:cs="Times New Roman"/>
          <w:bCs/>
          <w:color w:val="000000"/>
          <w:sz w:val="24"/>
          <w:szCs w:val="24"/>
          <w:lang w:eastAsia="da-DK"/>
        </w:rPr>
        <w:t>,</w:t>
      </w:r>
      <w:r w:rsidR="00C0252C" w:rsidRPr="00933BC8">
        <w:rPr>
          <w:rFonts w:ascii="Times New Roman" w:eastAsia="Times New Roman" w:hAnsi="Times New Roman" w:cs="Times New Roman"/>
          <w:bCs/>
          <w:color w:val="000000"/>
          <w:sz w:val="24"/>
          <w:szCs w:val="24"/>
          <w:lang w:eastAsia="da-DK"/>
        </w:rPr>
        <w:t xml:space="preserve"> </w:t>
      </w:r>
      <w:r w:rsidR="008F2633" w:rsidRPr="00933BC8">
        <w:rPr>
          <w:rFonts w:ascii="Times New Roman" w:eastAsia="Times New Roman" w:hAnsi="Times New Roman" w:cs="Times New Roman"/>
          <w:bCs/>
          <w:color w:val="000000"/>
          <w:sz w:val="24"/>
          <w:szCs w:val="24"/>
          <w:lang w:eastAsia="da-DK"/>
        </w:rPr>
        <w:t>hvor projektets samlede omkostninger overstiger 300</w:t>
      </w:r>
      <w:r w:rsidR="00C0252C" w:rsidRPr="00933BC8">
        <w:rPr>
          <w:rFonts w:ascii="Times New Roman" w:eastAsia="Times New Roman" w:hAnsi="Times New Roman" w:cs="Times New Roman"/>
          <w:bCs/>
          <w:color w:val="000000"/>
          <w:sz w:val="24"/>
          <w:szCs w:val="24"/>
          <w:lang w:eastAsia="da-DK"/>
        </w:rPr>
        <w:t>.</w:t>
      </w:r>
      <w:r w:rsidR="008F2633" w:rsidRPr="00933BC8">
        <w:rPr>
          <w:rFonts w:ascii="Times New Roman" w:eastAsia="Times New Roman" w:hAnsi="Times New Roman" w:cs="Times New Roman"/>
          <w:bCs/>
          <w:color w:val="000000"/>
          <w:sz w:val="24"/>
          <w:szCs w:val="24"/>
          <w:lang w:eastAsia="da-DK"/>
        </w:rPr>
        <w:t>000</w:t>
      </w:r>
      <w:r w:rsidR="00C0252C" w:rsidRPr="00933BC8">
        <w:rPr>
          <w:rFonts w:ascii="Times New Roman" w:eastAsia="Times New Roman" w:hAnsi="Times New Roman" w:cs="Times New Roman"/>
          <w:bCs/>
          <w:color w:val="000000"/>
          <w:sz w:val="24"/>
          <w:szCs w:val="24"/>
          <w:lang w:eastAsia="da-DK"/>
        </w:rPr>
        <w:t>.</w:t>
      </w:r>
      <w:r w:rsidR="008F2633" w:rsidRPr="00933BC8">
        <w:rPr>
          <w:rFonts w:ascii="Times New Roman" w:eastAsia="Times New Roman" w:hAnsi="Times New Roman" w:cs="Times New Roman"/>
          <w:bCs/>
          <w:color w:val="000000"/>
          <w:sz w:val="24"/>
          <w:szCs w:val="24"/>
          <w:lang w:eastAsia="da-DK"/>
        </w:rPr>
        <w:t xml:space="preserve">000 euro. </w:t>
      </w:r>
    </w:p>
    <w:p w14:paraId="3BA993C8" w14:textId="2C65BAB8" w:rsidR="00EE131F" w:rsidRPr="00933BC8" w:rsidRDefault="00EE131F"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r w:rsidRPr="00933BC8">
        <w:rPr>
          <w:rFonts w:ascii="Times New Roman" w:eastAsia="Times New Roman" w:hAnsi="Times New Roman" w:cs="Times New Roman"/>
          <w:bCs/>
          <w:i/>
          <w:color w:val="000000"/>
          <w:sz w:val="24"/>
          <w:szCs w:val="24"/>
          <w:lang w:eastAsia="da-DK"/>
        </w:rPr>
        <w:t xml:space="preserve">Stk. 2. </w:t>
      </w:r>
      <w:r w:rsidRPr="00933BC8">
        <w:rPr>
          <w:rFonts w:ascii="Times New Roman" w:eastAsia="Times New Roman" w:hAnsi="Times New Roman" w:cs="Times New Roman"/>
          <w:bCs/>
          <w:color w:val="000000"/>
          <w:sz w:val="24"/>
          <w:szCs w:val="24"/>
          <w:lang w:eastAsia="da-DK"/>
        </w:rPr>
        <w:t xml:space="preserve">Bekendtgørelsen finder </w:t>
      </w:r>
      <w:r w:rsidR="00C0252C" w:rsidRPr="00933BC8">
        <w:rPr>
          <w:rFonts w:ascii="Times New Roman" w:eastAsia="Times New Roman" w:hAnsi="Times New Roman" w:cs="Times New Roman"/>
          <w:bCs/>
          <w:color w:val="000000"/>
          <w:sz w:val="24"/>
          <w:szCs w:val="24"/>
          <w:lang w:eastAsia="da-DK"/>
        </w:rPr>
        <w:t>endvidere</w:t>
      </w:r>
      <w:r w:rsidR="00BD6FFE" w:rsidRPr="00933BC8">
        <w:rPr>
          <w:rFonts w:ascii="Times New Roman" w:eastAsia="Times New Roman" w:hAnsi="Times New Roman" w:cs="Times New Roman"/>
          <w:bCs/>
          <w:color w:val="000000"/>
          <w:sz w:val="24"/>
          <w:szCs w:val="24"/>
          <w:lang w:eastAsia="da-DK"/>
        </w:rPr>
        <w:t xml:space="preserve"> </w:t>
      </w:r>
      <w:r w:rsidRPr="00933BC8">
        <w:rPr>
          <w:rFonts w:ascii="Times New Roman" w:eastAsia="Times New Roman" w:hAnsi="Times New Roman" w:cs="Times New Roman"/>
          <w:bCs/>
          <w:color w:val="000000"/>
          <w:sz w:val="24"/>
          <w:szCs w:val="24"/>
          <w:lang w:eastAsia="da-DK"/>
        </w:rPr>
        <w:t>anvendelse på offentlige udbud i forbindelse med grænseoverskridende projekter, der er omfattet af stk. 1</w:t>
      </w:r>
      <w:r w:rsidR="009F5038">
        <w:rPr>
          <w:rFonts w:ascii="Times New Roman" w:eastAsia="Times New Roman" w:hAnsi="Times New Roman" w:cs="Times New Roman"/>
          <w:bCs/>
          <w:color w:val="000000"/>
          <w:sz w:val="24"/>
          <w:szCs w:val="24"/>
          <w:lang w:eastAsia="da-DK"/>
        </w:rPr>
        <w:t>.</w:t>
      </w:r>
    </w:p>
    <w:p w14:paraId="0B3620D7" w14:textId="3A33A7DF" w:rsidR="00001C30" w:rsidRDefault="00EE131F"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r w:rsidRPr="00933BC8">
        <w:rPr>
          <w:rFonts w:ascii="Times New Roman" w:eastAsia="Times New Roman" w:hAnsi="Times New Roman" w:cs="Times New Roman"/>
          <w:bCs/>
          <w:i/>
          <w:color w:val="000000"/>
          <w:sz w:val="24"/>
          <w:szCs w:val="24"/>
          <w:lang w:eastAsia="da-DK"/>
        </w:rPr>
        <w:t>Stk. 3</w:t>
      </w:r>
      <w:r w:rsidR="008F2633" w:rsidRPr="00933BC8">
        <w:rPr>
          <w:rFonts w:ascii="Times New Roman" w:eastAsia="Times New Roman" w:hAnsi="Times New Roman" w:cs="Times New Roman"/>
          <w:bCs/>
          <w:i/>
          <w:color w:val="000000"/>
          <w:sz w:val="24"/>
          <w:szCs w:val="24"/>
          <w:lang w:eastAsia="da-DK"/>
        </w:rPr>
        <w:t xml:space="preserve">. </w:t>
      </w:r>
      <w:r w:rsidR="008F2633" w:rsidRPr="00933BC8">
        <w:rPr>
          <w:rFonts w:ascii="Times New Roman" w:eastAsia="Times New Roman" w:hAnsi="Times New Roman" w:cs="Times New Roman"/>
          <w:bCs/>
          <w:color w:val="000000"/>
          <w:sz w:val="24"/>
          <w:szCs w:val="24"/>
          <w:lang w:eastAsia="da-DK"/>
        </w:rPr>
        <w:t>Bekendtgørelsen finder ikke anvendelse på projekter, der udelukkende vedrører trafiktelematik, nye teknologier og innovation</w:t>
      </w:r>
      <w:r w:rsidR="00C0252C" w:rsidRPr="00933BC8">
        <w:rPr>
          <w:rFonts w:ascii="Times New Roman" w:eastAsia="Times New Roman" w:hAnsi="Times New Roman" w:cs="Times New Roman"/>
          <w:bCs/>
          <w:color w:val="000000"/>
          <w:sz w:val="24"/>
          <w:szCs w:val="24"/>
          <w:lang w:eastAsia="da-DK"/>
        </w:rPr>
        <w:t>, jf.</w:t>
      </w:r>
      <w:r w:rsidR="008F2633" w:rsidRPr="00933BC8">
        <w:rPr>
          <w:rFonts w:ascii="Times New Roman" w:eastAsia="Times New Roman" w:hAnsi="Times New Roman" w:cs="Times New Roman"/>
          <w:bCs/>
          <w:color w:val="000000"/>
          <w:sz w:val="24"/>
          <w:szCs w:val="24"/>
          <w:lang w:eastAsia="da-DK"/>
        </w:rPr>
        <w:t xml:space="preserve"> artikel 31 og 33 i </w:t>
      </w:r>
      <w:r w:rsidR="00A24C9C" w:rsidRPr="00933BC8">
        <w:rPr>
          <w:rFonts w:ascii="Times New Roman" w:eastAsia="Times New Roman" w:hAnsi="Times New Roman" w:cs="Times New Roman"/>
          <w:bCs/>
          <w:color w:val="000000"/>
          <w:sz w:val="24"/>
          <w:szCs w:val="24"/>
          <w:lang w:eastAsia="da-DK"/>
        </w:rPr>
        <w:t>Europa-Parlamentets og Rådets forordning</w:t>
      </w:r>
      <w:r w:rsidR="00785366">
        <w:rPr>
          <w:rFonts w:ascii="Times New Roman" w:eastAsia="Times New Roman" w:hAnsi="Times New Roman" w:cs="Times New Roman"/>
          <w:bCs/>
          <w:color w:val="000000"/>
          <w:sz w:val="24"/>
          <w:szCs w:val="24"/>
          <w:lang w:eastAsia="da-DK"/>
        </w:rPr>
        <w:t xml:space="preserve"> (EU) 1315/2013 af 11. december 2013</w:t>
      </w:r>
      <w:r w:rsidR="00A24C9C" w:rsidRPr="00933BC8">
        <w:rPr>
          <w:rFonts w:ascii="Times New Roman" w:eastAsia="Times New Roman" w:hAnsi="Times New Roman" w:cs="Times New Roman"/>
          <w:bCs/>
          <w:color w:val="000000"/>
          <w:sz w:val="24"/>
          <w:szCs w:val="24"/>
          <w:lang w:eastAsia="da-DK"/>
        </w:rPr>
        <w:t xml:space="preserve"> om Unionens retningslinjer for udvikling af det </w:t>
      </w:r>
      <w:proofErr w:type="spellStart"/>
      <w:r w:rsidR="00A24C9C" w:rsidRPr="00933BC8">
        <w:rPr>
          <w:rFonts w:ascii="Times New Roman" w:eastAsia="Times New Roman" w:hAnsi="Times New Roman" w:cs="Times New Roman"/>
          <w:bCs/>
          <w:color w:val="000000"/>
          <w:sz w:val="24"/>
          <w:szCs w:val="24"/>
          <w:lang w:eastAsia="da-DK"/>
        </w:rPr>
        <w:t>transeuropæiske</w:t>
      </w:r>
      <w:proofErr w:type="spellEnd"/>
      <w:r w:rsidR="00A24C9C" w:rsidRPr="00933BC8">
        <w:rPr>
          <w:rFonts w:ascii="Times New Roman" w:eastAsia="Times New Roman" w:hAnsi="Times New Roman" w:cs="Times New Roman"/>
          <w:bCs/>
          <w:color w:val="000000"/>
          <w:sz w:val="24"/>
          <w:szCs w:val="24"/>
          <w:lang w:eastAsia="da-DK"/>
        </w:rPr>
        <w:t xml:space="preserve"> transportnet og om ophævelse af afgørelse nr. 661/2010/EU, EU-Tidende 2013, nr. L 348, side 1–128</w:t>
      </w:r>
      <w:r w:rsidR="008F2633" w:rsidRPr="00933BC8">
        <w:rPr>
          <w:rFonts w:ascii="Times New Roman" w:eastAsia="Times New Roman" w:hAnsi="Times New Roman" w:cs="Times New Roman"/>
          <w:bCs/>
          <w:color w:val="000000"/>
          <w:sz w:val="24"/>
          <w:szCs w:val="24"/>
          <w:lang w:eastAsia="da-DK"/>
        </w:rPr>
        <w:t xml:space="preserve">.   </w:t>
      </w:r>
      <w:r w:rsidR="00C14D66" w:rsidRPr="00933BC8">
        <w:rPr>
          <w:rFonts w:ascii="Times New Roman" w:eastAsia="Times New Roman" w:hAnsi="Times New Roman" w:cs="Times New Roman"/>
          <w:bCs/>
          <w:color w:val="000000"/>
          <w:sz w:val="24"/>
          <w:szCs w:val="24"/>
          <w:lang w:eastAsia="da-DK"/>
        </w:rPr>
        <w:t xml:space="preserve"> </w:t>
      </w:r>
    </w:p>
    <w:p w14:paraId="6ABBF94A" w14:textId="77777777" w:rsidR="00024487" w:rsidRPr="00933BC8" w:rsidRDefault="00024487" w:rsidP="00696799">
      <w:pPr>
        <w:spacing w:before="100" w:beforeAutospacing="1" w:line="240" w:lineRule="auto"/>
        <w:ind w:firstLine="170"/>
        <w:rPr>
          <w:rFonts w:ascii="Times New Roman" w:eastAsia="Times New Roman" w:hAnsi="Times New Roman" w:cs="Times New Roman"/>
          <w:bCs/>
          <w:color w:val="000000"/>
          <w:sz w:val="24"/>
          <w:szCs w:val="24"/>
          <w:lang w:eastAsia="da-DK"/>
        </w:rPr>
      </w:pPr>
    </w:p>
    <w:p w14:paraId="3B0A06B9" w14:textId="6F2F3333" w:rsidR="00696799" w:rsidRPr="00933BC8" w:rsidRDefault="00696799" w:rsidP="00696799">
      <w:pPr>
        <w:spacing w:before="100" w:beforeAutospacing="1" w:line="240" w:lineRule="auto"/>
        <w:ind w:firstLine="170"/>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b/>
          <w:bCs/>
          <w:color w:val="000000"/>
          <w:sz w:val="24"/>
          <w:szCs w:val="24"/>
          <w:lang w:eastAsia="da-DK"/>
        </w:rPr>
        <w:lastRenderedPageBreak/>
        <w:t xml:space="preserve">§ </w:t>
      </w:r>
      <w:r w:rsidR="00DB4B5C" w:rsidRPr="00933BC8">
        <w:rPr>
          <w:rFonts w:ascii="Times New Roman" w:eastAsia="Times New Roman" w:hAnsi="Times New Roman" w:cs="Times New Roman"/>
          <w:b/>
          <w:bCs/>
          <w:color w:val="000000"/>
          <w:sz w:val="24"/>
          <w:szCs w:val="24"/>
          <w:lang w:eastAsia="da-DK"/>
        </w:rPr>
        <w:t>2</w:t>
      </w:r>
      <w:r w:rsidRPr="00933BC8">
        <w:rPr>
          <w:rFonts w:ascii="Times New Roman" w:eastAsia="Times New Roman" w:hAnsi="Times New Roman" w:cs="Times New Roman"/>
          <w:b/>
          <w:bCs/>
          <w:color w:val="000000"/>
          <w:sz w:val="24"/>
          <w:szCs w:val="24"/>
          <w:lang w:eastAsia="da-DK"/>
        </w:rPr>
        <w:t xml:space="preserve">. </w:t>
      </w:r>
      <w:r w:rsidR="00A6066D" w:rsidRPr="00933BC8">
        <w:rPr>
          <w:rFonts w:ascii="Times New Roman" w:eastAsia="Times New Roman" w:hAnsi="Times New Roman" w:cs="Times New Roman"/>
          <w:color w:val="000000"/>
          <w:sz w:val="24"/>
          <w:szCs w:val="24"/>
          <w:lang w:eastAsia="da-DK"/>
        </w:rPr>
        <w:t>I denne bekendtgørelse</w:t>
      </w:r>
      <w:r w:rsidRPr="00933BC8">
        <w:rPr>
          <w:rFonts w:ascii="Times New Roman" w:eastAsia="Times New Roman" w:hAnsi="Times New Roman" w:cs="Times New Roman"/>
          <w:color w:val="000000"/>
          <w:sz w:val="24"/>
          <w:szCs w:val="24"/>
          <w:lang w:eastAsia="da-DK"/>
        </w:rPr>
        <w:t xml:space="preserve"> forstås ved:</w:t>
      </w:r>
    </w:p>
    <w:p w14:paraId="0AB0CCAA" w14:textId="1F5D028D" w:rsidR="00696799" w:rsidRPr="00933BC8" w:rsidRDefault="002464C8" w:rsidP="00696799">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Godkendelsesafgørelse</w:t>
      </w:r>
      <w:r w:rsidR="00696799" w:rsidRPr="00933BC8">
        <w:rPr>
          <w:rFonts w:ascii="Times New Roman" w:eastAsia="Times New Roman" w:hAnsi="Times New Roman" w:cs="Times New Roman"/>
          <w:i/>
          <w:iCs/>
          <w:color w:val="000000"/>
          <w:sz w:val="24"/>
          <w:szCs w:val="24"/>
          <w:lang w:eastAsia="da-DK"/>
        </w:rPr>
        <w:t xml:space="preserve">: </w:t>
      </w:r>
      <w:r w:rsidR="00604B6C" w:rsidRPr="00933BC8">
        <w:rPr>
          <w:rFonts w:ascii="Times New Roman" w:eastAsia="Times New Roman" w:hAnsi="Times New Roman" w:cs="Times New Roman"/>
          <w:color w:val="000000"/>
          <w:sz w:val="24"/>
          <w:szCs w:val="24"/>
          <w:lang w:eastAsia="da-DK"/>
        </w:rPr>
        <w:t>Afgørelse eller samling af afgørelser, som kan have en administrativ karakter, og som er truffet samtidig eller successivt af en myndighed eller myndigheder</w:t>
      </w:r>
      <w:r w:rsidR="0080757B" w:rsidRPr="00933BC8">
        <w:rPr>
          <w:rFonts w:ascii="Times New Roman" w:eastAsia="Times New Roman" w:hAnsi="Times New Roman" w:cs="Times New Roman"/>
          <w:color w:val="000000"/>
          <w:sz w:val="24"/>
          <w:szCs w:val="24"/>
          <w:lang w:eastAsia="da-DK"/>
        </w:rPr>
        <w:t>, med undtagelse af</w:t>
      </w:r>
      <w:r w:rsidR="00604B6C" w:rsidRPr="00933BC8">
        <w:rPr>
          <w:rFonts w:ascii="Times New Roman" w:eastAsia="Times New Roman" w:hAnsi="Times New Roman" w:cs="Times New Roman"/>
          <w:color w:val="000000"/>
          <w:sz w:val="24"/>
          <w:szCs w:val="24"/>
          <w:lang w:eastAsia="da-DK"/>
        </w:rPr>
        <w:t xml:space="preserve"> administrative og judicielle klagemyndigheder, der fastslår, hvorvidt en bygherre har ret til at gennemføre projektet på det pågældende geografiske område, uden at det berører afgørelser, som træffes i forbindelse med en administrativ eller judiciel klageprocedure. </w:t>
      </w:r>
    </w:p>
    <w:p w14:paraId="3BA846FC" w14:textId="70029622" w:rsidR="00696799" w:rsidRPr="00933BC8" w:rsidRDefault="002464C8" w:rsidP="00815EF2">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Tilladelsesprocedure</w:t>
      </w:r>
      <w:r w:rsidR="00696799" w:rsidRPr="00933BC8">
        <w:rPr>
          <w:rFonts w:ascii="Times New Roman" w:eastAsia="Times New Roman" w:hAnsi="Times New Roman" w:cs="Times New Roman"/>
          <w:i/>
          <w:iCs/>
          <w:color w:val="000000"/>
          <w:sz w:val="24"/>
          <w:szCs w:val="24"/>
          <w:lang w:eastAsia="da-DK"/>
        </w:rPr>
        <w:t>:</w:t>
      </w:r>
      <w:r w:rsidR="00696799" w:rsidRPr="00933BC8">
        <w:rPr>
          <w:rFonts w:ascii="Times New Roman" w:eastAsia="Times New Roman" w:hAnsi="Times New Roman" w:cs="Times New Roman"/>
          <w:color w:val="000000"/>
          <w:sz w:val="24"/>
          <w:szCs w:val="24"/>
          <w:lang w:eastAsia="da-DK"/>
        </w:rPr>
        <w:t xml:space="preserve"> </w:t>
      </w:r>
      <w:r w:rsidR="003B0FBA" w:rsidRPr="00933BC8">
        <w:rPr>
          <w:rFonts w:ascii="Times New Roman" w:eastAsia="Times New Roman" w:hAnsi="Times New Roman" w:cs="Times New Roman"/>
          <w:color w:val="000000"/>
          <w:sz w:val="24"/>
          <w:szCs w:val="24"/>
          <w:lang w:eastAsia="da-DK"/>
        </w:rPr>
        <w:t xml:space="preserve">Enhver procedure, som i henhold til EU-retten eller national ret skal følges i forbindelse med et konkret projekt, der falder under </w:t>
      </w:r>
      <w:r w:rsidR="00EE2348" w:rsidRPr="00933BC8">
        <w:rPr>
          <w:rFonts w:ascii="Times New Roman" w:eastAsia="Times New Roman" w:hAnsi="Times New Roman" w:cs="Times New Roman"/>
          <w:color w:val="000000"/>
          <w:sz w:val="24"/>
          <w:szCs w:val="24"/>
          <w:lang w:eastAsia="da-DK"/>
        </w:rPr>
        <w:t xml:space="preserve">bekendtgørelsens </w:t>
      </w:r>
      <w:r w:rsidR="003B0FBA" w:rsidRPr="00933BC8">
        <w:rPr>
          <w:rFonts w:ascii="Times New Roman" w:eastAsia="Times New Roman" w:hAnsi="Times New Roman" w:cs="Times New Roman"/>
          <w:color w:val="000000"/>
          <w:sz w:val="24"/>
          <w:szCs w:val="24"/>
          <w:lang w:eastAsia="da-DK"/>
        </w:rPr>
        <w:t>anvendelsesområde</w:t>
      </w:r>
      <w:r w:rsidR="00EE2348" w:rsidRPr="00933BC8">
        <w:rPr>
          <w:rFonts w:ascii="Times New Roman" w:eastAsia="Times New Roman" w:hAnsi="Times New Roman" w:cs="Times New Roman"/>
          <w:color w:val="000000"/>
          <w:sz w:val="24"/>
          <w:szCs w:val="24"/>
          <w:lang w:eastAsia="da-DK"/>
        </w:rPr>
        <w:t>, jf.</w:t>
      </w:r>
      <w:r w:rsidR="003B0FBA" w:rsidRPr="00933BC8">
        <w:rPr>
          <w:rFonts w:ascii="Times New Roman" w:eastAsia="Times New Roman" w:hAnsi="Times New Roman" w:cs="Times New Roman"/>
          <w:color w:val="000000"/>
          <w:sz w:val="24"/>
          <w:szCs w:val="24"/>
          <w:lang w:eastAsia="da-DK"/>
        </w:rPr>
        <w:t xml:space="preserve"> §</w:t>
      </w:r>
      <w:r w:rsidR="0080757B" w:rsidRPr="00933BC8">
        <w:rPr>
          <w:rFonts w:ascii="Times New Roman" w:eastAsia="Times New Roman" w:hAnsi="Times New Roman" w:cs="Times New Roman"/>
          <w:color w:val="000000"/>
          <w:sz w:val="24"/>
          <w:szCs w:val="24"/>
          <w:lang w:eastAsia="da-DK"/>
        </w:rPr>
        <w:t xml:space="preserve"> </w:t>
      </w:r>
      <w:r w:rsidR="00D744C9" w:rsidRPr="00933BC8">
        <w:rPr>
          <w:rFonts w:ascii="Times New Roman" w:eastAsia="Times New Roman" w:hAnsi="Times New Roman" w:cs="Times New Roman"/>
          <w:color w:val="000000"/>
          <w:sz w:val="24"/>
          <w:szCs w:val="24"/>
          <w:lang w:eastAsia="da-DK"/>
        </w:rPr>
        <w:t>1</w:t>
      </w:r>
      <w:r w:rsidR="00EE2348" w:rsidRPr="00933BC8">
        <w:rPr>
          <w:rFonts w:ascii="Times New Roman" w:eastAsia="Times New Roman" w:hAnsi="Times New Roman" w:cs="Times New Roman"/>
          <w:color w:val="000000"/>
          <w:sz w:val="24"/>
          <w:szCs w:val="24"/>
          <w:lang w:eastAsia="da-DK"/>
        </w:rPr>
        <w:t>,</w:t>
      </w:r>
      <w:r w:rsidR="003B0FBA" w:rsidRPr="00933BC8">
        <w:rPr>
          <w:rFonts w:ascii="Times New Roman" w:eastAsia="Times New Roman" w:hAnsi="Times New Roman" w:cs="Times New Roman"/>
          <w:color w:val="000000"/>
          <w:sz w:val="24"/>
          <w:szCs w:val="24"/>
          <w:lang w:eastAsia="da-DK"/>
        </w:rPr>
        <w:t xml:space="preserve"> for at opnå godkendelsesafgørelsen, bortset fra by- eller arealplanlægningsprocedurer, procedurer vedrørende tildeling af offentlige udbud og skridt, der tages på strategisk plan, og som ikke vedrører et specifikt projekt, såsom strategisk miljøvurdering, offentlig budgetplanlægning samt nationale eller regionale transportplaner.  </w:t>
      </w:r>
    </w:p>
    <w:p w14:paraId="2E68EBDD" w14:textId="7CEE758F" w:rsidR="002464C8" w:rsidRPr="00933BC8" w:rsidRDefault="002464C8" w:rsidP="003B0FBA">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Projekt</w:t>
      </w:r>
      <w:r w:rsidR="00273451" w:rsidRPr="00933BC8">
        <w:rPr>
          <w:rFonts w:ascii="Times New Roman" w:eastAsia="Times New Roman" w:hAnsi="Times New Roman" w:cs="Times New Roman"/>
          <w:i/>
          <w:iCs/>
          <w:color w:val="000000"/>
          <w:sz w:val="24"/>
          <w:szCs w:val="24"/>
          <w:lang w:eastAsia="da-DK"/>
        </w:rPr>
        <w:t>:</w:t>
      </w:r>
      <w:r w:rsidR="003B0FBA" w:rsidRPr="00933BC8">
        <w:rPr>
          <w:rFonts w:ascii="Times New Roman" w:eastAsia="Times New Roman" w:hAnsi="Times New Roman" w:cs="Times New Roman"/>
          <w:i/>
          <w:iCs/>
          <w:color w:val="000000"/>
          <w:sz w:val="24"/>
          <w:szCs w:val="24"/>
          <w:lang w:eastAsia="da-DK"/>
        </w:rPr>
        <w:t xml:space="preserve"> </w:t>
      </w:r>
      <w:r w:rsidR="003B0FBA" w:rsidRPr="00933BC8">
        <w:rPr>
          <w:rFonts w:ascii="Times New Roman" w:eastAsia="Times New Roman" w:hAnsi="Times New Roman" w:cs="Times New Roman"/>
          <w:iCs/>
          <w:color w:val="000000"/>
          <w:sz w:val="24"/>
          <w:szCs w:val="24"/>
          <w:lang w:eastAsia="da-DK"/>
        </w:rPr>
        <w:t>E</w:t>
      </w:r>
      <w:r w:rsidR="003B0FBA" w:rsidRPr="00933BC8">
        <w:rPr>
          <w:rFonts w:ascii="Times New Roman" w:eastAsia="Times New Roman" w:hAnsi="Times New Roman" w:cs="Times New Roman"/>
          <w:color w:val="auto"/>
          <w:sz w:val="24"/>
          <w:szCs w:val="24"/>
          <w:lang w:eastAsia="da-DK"/>
        </w:rPr>
        <w:t xml:space="preserve">t forslag til opførelse, tilpasning eller ændring af en bestemt transportinfrastruktur, som har til formål at forbedre nævnte infrastrukturs kapacitet, sikkerhed og effektivitet, og hvis gennemførelse skal godkendes ved en godkendelsesafgørelse. </w:t>
      </w:r>
    </w:p>
    <w:p w14:paraId="349351CA" w14:textId="13FD7D3C" w:rsidR="002464C8" w:rsidRPr="00933BC8" w:rsidRDefault="002464C8" w:rsidP="00696799">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Grænseoverskridende projekt</w:t>
      </w:r>
      <w:r w:rsidR="00273451" w:rsidRPr="00933BC8">
        <w:rPr>
          <w:rFonts w:ascii="Times New Roman" w:eastAsia="Times New Roman" w:hAnsi="Times New Roman" w:cs="Times New Roman"/>
          <w:i/>
          <w:iCs/>
          <w:color w:val="000000"/>
          <w:sz w:val="24"/>
          <w:szCs w:val="24"/>
          <w:lang w:eastAsia="da-DK"/>
        </w:rPr>
        <w:t>:</w:t>
      </w:r>
      <w:r w:rsidR="003B0FBA" w:rsidRPr="00933BC8">
        <w:rPr>
          <w:rFonts w:ascii="Times New Roman" w:eastAsia="Times New Roman" w:hAnsi="Times New Roman" w:cs="Times New Roman"/>
          <w:i/>
          <w:iCs/>
          <w:color w:val="000000"/>
          <w:sz w:val="24"/>
          <w:szCs w:val="24"/>
          <w:lang w:eastAsia="da-DK"/>
        </w:rPr>
        <w:t xml:space="preserve"> </w:t>
      </w:r>
      <w:r w:rsidR="003B0FBA" w:rsidRPr="00933BC8">
        <w:rPr>
          <w:rFonts w:ascii="Times New Roman" w:eastAsia="Times New Roman" w:hAnsi="Times New Roman" w:cs="Times New Roman"/>
          <w:iCs/>
          <w:color w:val="000000"/>
          <w:sz w:val="24"/>
          <w:szCs w:val="24"/>
          <w:lang w:eastAsia="da-DK"/>
        </w:rPr>
        <w:t xml:space="preserve">Et projekt, der dækker en grænseoverskridende strækning mellem to eller flere medlemsstater </w:t>
      </w:r>
      <w:r w:rsidR="009B1F84" w:rsidRPr="00933BC8">
        <w:rPr>
          <w:rFonts w:ascii="Times New Roman" w:eastAsia="Times New Roman" w:hAnsi="Times New Roman" w:cs="Times New Roman"/>
          <w:iCs/>
          <w:color w:val="000000"/>
          <w:sz w:val="24"/>
          <w:szCs w:val="24"/>
          <w:lang w:eastAsia="da-DK"/>
        </w:rPr>
        <w:t>i</w:t>
      </w:r>
      <w:r w:rsidR="003B0FBA" w:rsidRPr="00933BC8">
        <w:rPr>
          <w:rFonts w:ascii="Times New Roman" w:eastAsia="Times New Roman" w:hAnsi="Times New Roman" w:cs="Times New Roman"/>
          <w:iCs/>
          <w:color w:val="000000"/>
          <w:sz w:val="24"/>
          <w:szCs w:val="24"/>
          <w:lang w:eastAsia="da-DK"/>
        </w:rPr>
        <w:t xml:space="preserve"> den Europæiske Union. </w:t>
      </w:r>
    </w:p>
    <w:p w14:paraId="0ED4CD40" w14:textId="5E29E9EF" w:rsidR="002464C8" w:rsidRPr="00933BC8" w:rsidRDefault="009A69BA" w:rsidP="00696799">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Bygherre</w:t>
      </w:r>
      <w:r w:rsidR="00273451" w:rsidRPr="00933BC8">
        <w:rPr>
          <w:rFonts w:ascii="Times New Roman" w:eastAsia="Times New Roman" w:hAnsi="Times New Roman" w:cs="Times New Roman"/>
          <w:i/>
          <w:iCs/>
          <w:color w:val="000000"/>
          <w:sz w:val="24"/>
          <w:szCs w:val="24"/>
          <w:lang w:eastAsia="da-DK"/>
        </w:rPr>
        <w:t>:</w:t>
      </w:r>
      <w:r w:rsidR="002464C8" w:rsidRPr="00933BC8">
        <w:rPr>
          <w:rFonts w:ascii="Times New Roman" w:eastAsia="Times New Roman" w:hAnsi="Times New Roman" w:cs="Times New Roman"/>
          <w:i/>
          <w:iCs/>
          <w:color w:val="000000"/>
          <w:sz w:val="24"/>
          <w:szCs w:val="24"/>
          <w:lang w:eastAsia="da-DK"/>
        </w:rPr>
        <w:t xml:space="preserve"> </w:t>
      </w:r>
      <w:r w:rsidR="003B0FBA" w:rsidRPr="00933BC8">
        <w:rPr>
          <w:rFonts w:ascii="Times New Roman" w:eastAsia="Times New Roman" w:hAnsi="Times New Roman" w:cs="Times New Roman"/>
          <w:iCs/>
          <w:color w:val="000000"/>
          <w:sz w:val="24"/>
          <w:szCs w:val="24"/>
          <w:lang w:eastAsia="da-DK"/>
        </w:rPr>
        <w:t xml:space="preserve">Den </w:t>
      </w:r>
      <w:r w:rsidR="00013E79" w:rsidRPr="00933BC8">
        <w:rPr>
          <w:rFonts w:ascii="Times New Roman" w:eastAsia="Times New Roman" w:hAnsi="Times New Roman" w:cs="Times New Roman"/>
          <w:iCs/>
          <w:color w:val="000000"/>
          <w:sz w:val="24"/>
          <w:szCs w:val="24"/>
          <w:lang w:eastAsia="da-DK"/>
        </w:rPr>
        <w:t xml:space="preserve">fysiske eller juridiske </w:t>
      </w:r>
      <w:r w:rsidR="003B0FBA" w:rsidRPr="00933BC8">
        <w:rPr>
          <w:rFonts w:ascii="Times New Roman" w:eastAsia="Times New Roman" w:hAnsi="Times New Roman" w:cs="Times New Roman"/>
          <w:iCs/>
          <w:color w:val="000000"/>
          <w:sz w:val="24"/>
          <w:szCs w:val="24"/>
          <w:lang w:eastAsia="da-DK"/>
        </w:rPr>
        <w:t xml:space="preserve">person, der ansøger om godkendelse af gennemførelsen af et projekt, eller den offentlige myndighed, som tager initiativ til et projekt. </w:t>
      </w:r>
    </w:p>
    <w:p w14:paraId="481EE6A5" w14:textId="24A1FA7D" w:rsidR="002464C8" w:rsidRPr="00933BC8" w:rsidRDefault="002464C8" w:rsidP="00696799">
      <w:pPr>
        <w:numPr>
          <w:ilvl w:val="0"/>
          <w:numId w:val="3"/>
        </w:numPr>
        <w:spacing w:before="100" w:beforeAutospacing="1" w:line="240" w:lineRule="auto"/>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i/>
          <w:iCs/>
          <w:color w:val="000000"/>
          <w:sz w:val="24"/>
          <w:szCs w:val="24"/>
          <w:lang w:eastAsia="da-DK"/>
        </w:rPr>
        <w:t>Udpeget myndighed</w:t>
      </w:r>
      <w:r w:rsidR="00273451" w:rsidRPr="00933BC8">
        <w:rPr>
          <w:rFonts w:ascii="Times New Roman" w:eastAsia="Times New Roman" w:hAnsi="Times New Roman" w:cs="Times New Roman"/>
          <w:i/>
          <w:iCs/>
          <w:color w:val="000000"/>
          <w:sz w:val="24"/>
          <w:szCs w:val="24"/>
          <w:lang w:eastAsia="da-DK"/>
        </w:rPr>
        <w:t>:</w:t>
      </w:r>
      <w:r w:rsidR="003B0FBA" w:rsidRPr="00933BC8">
        <w:rPr>
          <w:rFonts w:ascii="Times New Roman" w:eastAsia="Times New Roman" w:hAnsi="Times New Roman" w:cs="Times New Roman"/>
          <w:iCs/>
          <w:color w:val="000000"/>
          <w:sz w:val="24"/>
          <w:szCs w:val="24"/>
          <w:lang w:eastAsia="da-DK"/>
        </w:rPr>
        <w:t xml:space="preserve"> Den myndighed, der er kontaktpunkt for </w:t>
      </w:r>
      <w:r w:rsidR="00962119" w:rsidRPr="00933BC8">
        <w:rPr>
          <w:rFonts w:ascii="Times New Roman" w:eastAsia="Times New Roman" w:hAnsi="Times New Roman" w:cs="Times New Roman"/>
          <w:iCs/>
          <w:color w:val="000000"/>
          <w:sz w:val="24"/>
          <w:szCs w:val="24"/>
          <w:lang w:eastAsia="da-DK"/>
        </w:rPr>
        <w:t>bygherre,</w:t>
      </w:r>
      <w:r w:rsidR="003B0FBA" w:rsidRPr="00933BC8">
        <w:rPr>
          <w:rFonts w:ascii="Times New Roman" w:eastAsia="Times New Roman" w:hAnsi="Times New Roman" w:cs="Times New Roman"/>
          <w:iCs/>
          <w:color w:val="000000"/>
          <w:sz w:val="24"/>
          <w:szCs w:val="24"/>
          <w:lang w:eastAsia="da-DK"/>
        </w:rPr>
        <w:t xml:space="preserve"> og som letter en effektiv og struktureret gennemførelse af tilladelsesprocedurerne</w:t>
      </w:r>
      <w:r w:rsidR="0080757B" w:rsidRPr="00933BC8">
        <w:rPr>
          <w:rFonts w:ascii="Times New Roman" w:eastAsia="Times New Roman" w:hAnsi="Times New Roman" w:cs="Times New Roman"/>
          <w:iCs/>
          <w:color w:val="000000"/>
          <w:sz w:val="24"/>
          <w:szCs w:val="24"/>
          <w:lang w:eastAsia="da-DK"/>
        </w:rPr>
        <w:t xml:space="preserve">. </w:t>
      </w:r>
    </w:p>
    <w:p w14:paraId="41B81859" w14:textId="4CEE9EF4" w:rsidR="00696799" w:rsidRPr="00933BC8" w:rsidRDefault="002A0AEC" w:rsidP="00696799">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Kapitel 2 </w:t>
      </w:r>
    </w:p>
    <w:p w14:paraId="7954E768" w14:textId="0FC2C74B" w:rsidR="002A0AEC" w:rsidRPr="00933BC8" w:rsidRDefault="000A223F" w:rsidP="00696799">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U</w:t>
      </w:r>
      <w:r w:rsidR="002A0AEC" w:rsidRPr="00933BC8">
        <w:rPr>
          <w:rFonts w:ascii="Times New Roman" w:eastAsia="Times New Roman" w:hAnsi="Times New Roman" w:cs="Times New Roman"/>
          <w:i/>
          <w:iCs/>
          <w:color w:val="000000"/>
          <w:sz w:val="24"/>
          <w:szCs w:val="24"/>
          <w:lang w:eastAsia="da-DK"/>
        </w:rPr>
        <w:t>dpeget myndighed</w:t>
      </w:r>
    </w:p>
    <w:p w14:paraId="1614988C" w14:textId="6B6A2BB2" w:rsidR="002A0AEC" w:rsidRPr="00933BC8" w:rsidRDefault="002A0AEC" w:rsidP="002A0AE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b/>
          <w:iCs/>
          <w:color w:val="000000"/>
          <w:sz w:val="24"/>
          <w:szCs w:val="24"/>
          <w:lang w:eastAsia="da-DK"/>
        </w:rPr>
        <w:t xml:space="preserve">§ </w:t>
      </w:r>
      <w:r w:rsidR="00DB4B5C" w:rsidRPr="00933BC8">
        <w:rPr>
          <w:rFonts w:ascii="Times New Roman" w:eastAsia="Times New Roman" w:hAnsi="Times New Roman" w:cs="Times New Roman"/>
          <w:b/>
          <w:iCs/>
          <w:color w:val="000000"/>
          <w:sz w:val="24"/>
          <w:szCs w:val="24"/>
          <w:lang w:eastAsia="da-DK"/>
        </w:rPr>
        <w:t>3</w:t>
      </w:r>
      <w:r w:rsidRPr="00933BC8">
        <w:rPr>
          <w:rFonts w:ascii="Times New Roman" w:eastAsia="Times New Roman" w:hAnsi="Times New Roman" w:cs="Times New Roman"/>
          <w:b/>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Tr</w:t>
      </w:r>
      <w:r w:rsidR="008C68B2" w:rsidRPr="00933BC8">
        <w:rPr>
          <w:rFonts w:ascii="Times New Roman" w:eastAsia="Times New Roman" w:hAnsi="Times New Roman" w:cs="Times New Roman"/>
          <w:iCs/>
          <w:color w:val="000000"/>
          <w:sz w:val="24"/>
          <w:szCs w:val="24"/>
          <w:lang w:eastAsia="da-DK"/>
        </w:rPr>
        <w:t>afikstyrelsen bemyndiges til at være den udpegede myndighed for projekter, der er omfattet af §</w:t>
      </w:r>
      <w:r w:rsidR="00301A4E" w:rsidRPr="00933BC8">
        <w:rPr>
          <w:rFonts w:ascii="Times New Roman" w:eastAsia="Times New Roman" w:hAnsi="Times New Roman" w:cs="Times New Roman"/>
          <w:iCs/>
          <w:color w:val="000000"/>
          <w:sz w:val="24"/>
          <w:szCs w:val="24"/>
          <w:lang w:eastAsia="da-DK"/>
        </w:rPr>
        <w:t xml:space="preserve"> </w:t>
      </w:r>
      <w:r w:rsidR="00D744C9" w:rsidRPr="00933BC8">
        <w:rPr>
          <w:rFonts w:ascii="Times New Roman" w:eastAsia="Times New Roman" w:hAnsi="Times New Roman" w:cs="Times New Roman"/>
          <w:iCs/>
          <w:color w:val="000000"/>
          <w:sz w:val="24"/>
          <w:szCs w:val="24"/>
          <w:lang w:eastAsia="da-DK"/>
        </w:rPr>
        <w:t>1</w:t>
      </w:r>
      <w:r w:rsidR="008C68B2" w:rsidRPr="00933BC8">
        <w:rPr>
          <w:rFonts w:ascii="Times New Roman" w:eastAsia="Times New Roman" w:hAnsi="Times New Roman" w:cs="Times New Roman"/>
          <w:iCs/>
          <w:color w:val="000000"/>
          <w:sz w:val="24"/>
          <w:szCs w:val="24"/>
          <w:lang w:eastAsia="da-DK"/>
        </w:rPr>
        <w:t xml:space="preserve">. </w:t>
      </w:r>
    </w:p>
    <w:p w14:paraId="56743DBE" w14:textId="12F75C4B" w:rsidR="00EE39AF" w:rsidRPr="00933BC8" w:rsidRDefault="009607BE" w:rsidP="002A0AE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2. </w:t>
      </w:r>
      <w:r w:rsidRPr="00933BC8">
        <w:rPr>
          <w:rFonts w:ascii="Times New Roman" w:eastAsia="Times New Roman" w:hAnsi="Times New Roman" w:cs="Times New Roman"/>
          <w:iCs/>
          <w:color w:val="000000"/>
          <w:sz w:val="24"/>
          <w:szCs w:val="24"/>
          <w:lang w:eastAsia="da-DK"/>
        </w:rPr>
        <w:t xml:space="preserve">Trafikstyrelsen </w:t>
      </w:r>
      <w:r w:rsidR="00EE39AF" w:rsidRPr="00933BC8">
        <w:rPr>
          <w:rFonts w:ascii="Times New Roman" w:eastAsia="Times New Roman" w:hAnsi="Times New Roman" w:cs="Times New Roman"/>
          <w:iCs/>
          <w:color w:val="000000"/>
          <w:sz w:val="24"/>
          <w:szCs w:val="24"/>
          <w:lang w:eastAsia="da-DK"/>
        </w:rPr>
        <w:t>er kontaktpunkt</w:t>
      </w:r>
      <w:r w:rsidR="00611034" w:rsidRPr="00933BC8">
        <w:rPr>
          <w:rFonts w:ascii="Times New Roman" w:eastAsia="Times New Roman" w:hAnsi="Times New Roman" w:cs="Times New Roman"/>
          <w:iCs/>
          <w:color w:val="000000"/>
          <w:sz w:val="24"/>
          <w:szCs w:val="24"/>
          <w:lang w:eastAsia="da-DK"/>
        </w:rPr>
        <w:t xml:space="preserve"> for oplysninger til </w:t>
      </w:r>
      <w:r w:rsidR="00EE39AF" w:rsidRPr="00933BC8">
        <w:rPr>
          <w:rFonts w:ascii="Times New Roman" w:eastAsia="Times New Roman" w:hAnsi="Times New Roman" w:cs="Times New Roman"/>
          <w:iCs/>
          <w:color w:val="000000"/>
          <w:sz w:val="24"/>
          <w:szCs w:val="24"/>
          <w:lang w:eastAsia="da-DK"/>
        </w:rPr>
        <w:t xml:space="preserve">bygherre og andre relevante myndigheder, der er involveret i tilladelsesproceduren, der fører til udstedelsen </w:t>
      </w:r>
      <w:r w:rsidR="00E36472" w:rsidRPr="00933BC8">
        <w:rPr>
          <w:rFonts w:ascii="Times New Roman" w:eastAsia="Times New Roman" w:hAnsi="Times New Roman" w:cs="Times New Roman"/>
          <w:iCs/>
          <w:color w:val="000000"/>
          <w:sz w:val="24"/>
          <w:szCs w:val="24"/>
          <w:lang w:eastAsia="da-DK"/>
        </w:rPr>
        <w:t>af godkendelsesafgørelsen</w:t>
      </w:r>
      <w:r w:rsidR="00611034" w:rsidRPr="00933BC8">
        <w:rPr>
          <w:rFonts w:ascii="Times New Roman" w:eastAsia="Times New Roman" w:hAnsi="Times New Roman" w:cs="Times New Roman"/>
          <w:iCs/>
          <w:color w:val="000000"/>
          <w:sz w:val="24"/>
          <w:szCs w:val="24"/>
          <w:lang w:eastAsia="da-DK"/>
        </w:rPr>
        <w:t xml:space="preserve"> for et givet projekt</w:t>
      </w:r>
      <w:r w:rsidR="00E36472" w:rsidRPr="00933BC8">
        <w:rPr>
          <w:rFonts w:ascii="Times New Roman" w:eastAsia="Times New Roman" w:hAnsi="Times New Roman" w:cs="Times New Roman"/>
          <w:iCs/>
          <w:color w:val="000000"/>
          <w:sz w:val="24"/>
          <w:szCs w:val="24"/>
          <w:lang w:eastAsia="da-DK"/>
        </w:rPr>
        <w:t>.</w:t>
      </w:r>
    </w:p>
    <w:p w14:paraId="7710B13A" w14:textId="72F4BA4D" w:rsidR="009607BE" w:rsidRPr="00933BC8" w:rsidRDefault="00EE39AF" w:rsidP="002A0AE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3. </w:t>
      </w:r>
      <w:r w:rsidRPr="00933BC8">
        <w:rPr>
          <w:rFonts w:ascii="Times New Roman" w:eastAsia="Times New Roman" w:hAnsi="Times New Roman" w:cs="Times New Roman"/>
          <w:iCs/>
          <w:color w:val="000000"/>
          <w:sz w:val="24"/>
          <w:szCs w:val="24"/>
          <w:lang w:eastAsia="da-DK"/>
        </w:rPr>
        <w:t>Trafikstyrelsen fører tilsyn med tidsrammen for tilladelsesproceduren</w:t>
      </w:r>
      <w:r w:rsidR="009A69BA" w:rsidRPr="00933BC8">
        <w:rPr>
          <w:rFonts w:ascii="Times New Roman" w:eastAsia="Times New Roman" w:hAnsi="Times New Roman" w:cs="Times New Roman"/>
          <w:iCs/>
          <w:color w:val="000000"/>
          <w:sz w:val="24"/>
          <w:szCs w:val="24"/>
          <w:lang w:eastAsia="da-DK"/>
        </w:rPr>
        <w:t xml:space="preserve">, jf. </w:t>
      </w:r>
      <w:r w:rsidR="00C07E84" w:rsidRPr="00933BC8">
        <w:rPr>
          <w:rFonts w:ascii="Times New Roman" w:eastAsia="Times New Roman" w:hAnsi="Times New Roman" w:cs="Times New Roman"/>
          <w:iCs/>
          <w:color w:val="000000"/>
          <w:sz w:val="24"/>
          <w:szCs w:val="24"/>
          <w:lang w:eastAsia="da-DK"/>
        </w:rPr>
        <w:t>§</w:t>
      </w:r>
      <w:r w:rsidR="00611034"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iCs/>
          <w:color w:val="000000"/>
          <w:sz w:val="24"/>
          <w:szCs w:val="24"/>
          <w:lang w:eastAsia="da-DK"/>
        </w:rPr>
        <w:t>5</w:t>
      </w:r>
      <w:r w:rsidR="00C07E84" w:rsidRPr="00933BC8">
        <w:rPr>
          <w:rFonts w:ascii="Times New Roman" w:eastAsia="Times New Roman" w:hAnsi="Times New Roman" w:cs="Times New Roman"/>
          <w:iCs/>
          <w:color w:val="000000"/>
          <w:sz w:val="24"/>
          <w:szCs w:val="24"/>
          <w:lang w:eastAsia="da-DK"/>
        </w:rPr>
        <w:t>, stk. 1</w:t>
      </w:r>
      <w:r w:rsidR="001D25E1" w:rsidRPr="00933BC8">
        <w:rPr>
          <w:rFonts w:ascii="Times New Roman" w:eastAsia="Times New Roman" w:hAnsi="Times New Roman" w:cs="Times New Roman"/>
          <w:iCs/>
          <w:color w:val="000000"/>
          <w:sz w:val="24"/>
          <w:szCs w:val="24"/>
          <w:lang w:eastAsia="da-DK"/>
        </w:rPr>
        <w:t>, og navnlig registrerer en eventuel forlængelse af fristen, der er omhandlet i § 6, stk. 1 og 2.</w:t>
      </w:r>
    </w:p>
    <w:p w14:paraId="379E596B" w14:textId="77777777" w:rsidR="00A16DB3" w:rsidRDefault="009F5174" w:rsidP="003B0FBA">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4. </w:t>
      </w:r>
      <w:r w:rsidRPr="00933BC8">
        <w:rPr>
          <w:rFonts w:ascii="Times New Roman" w:eastAsia="Times New Roman" w:hAnsi="Times New Roman" w:cs="Times New Roman"/>
          <w:iCs/>
          <w:color w:val="000000"/>
          <w:sz w:val="24"/>
          <w:szCs w:val="24"/>
          <w:lang w:eastAsia="da-DK"/>
        </w:rPr>
        <w:t xml:space="preserve">Trafikstyrelsen </w:t>
      </w:r>
      <w:r w:rsidR="00180336" w:rsidRPr="00933BC8">
        <w:rPr>
          <w:rFonts w:ascii="Times New Roman" w:eastAsia="Times New Roman" w:hAnsi="Times New Roman" w:cs="Times New Roman"/>
          <w:iCs/>
          <w:color w:val="000000"/>
          <w:sz w:val="24"/>
          <w:szCs w:val="24"/>
          <w:lang w:eastAsia="da-DK"/>
        </w:rPr>
        <w:t>vejled</w:t>
      </w:r>
      <w:r w:rsidR="00210CBF">
        <w:rPr>
          <w:rFonts w:ascii="Times New Roman" w:eastAsia="Times New Roman" w:hAnsi="Times New Roman" w:cs="Times New Roman"/>
          <w:iCs/>
          <w:color w:val="000000"/>
          <w:sz w:val="24"/>
          <w:szCs w:val="24"/>
          <w:lang w:eastAsia="da-DK"/>
        </w:rPr>
        <w:t>er efter anmodning fra bygherre</w:t>
      </w:r>
      <w:r w:rsidR="00180336" w:rsidRPr="00933BC8">
        <w:rPr>
          <w:rFonts w:ascii="Times New Roman" w:eastAsia="Times New Roman" w:hAnsi="Times New Roman" w:cs="Times New Roman"/>
          <w:iCs/>
          <w:color w:val="000000"/>
          <w:sz w:val="24"/>
          <w:szCs w:val="24"/>
          <w:lang w:eastAsia="da-DK"/>
        </w:rPr>
        <w:t xml:space="preserve"> om processen for indgivelsen af alle relevante oplysninger og dokumenter, herunder de tilladelser, afgørelser og udtalelser, der skal indhentes og forelægges med henblik på </w:t>
      </w:r>
      <w:r w:rsidR="009B1F84" w:rsidRPr="00933BC8">
        <w:rPr>
          <w:rFonts w:ascii="Times New Roman" w:eastAsia="Times New Roman" w:hAnsi="Times New Roman" w:cs="Times New Roman"/>
          <w:iCs/>
          <w:color w:val="000000"/>
          <w:sz w:val="24"/>
          <w:szCs w:val="24"/>
          <w:lang w:eastAsia="da-DK"/>
        </w:rPr>
        <w:t>godkendelsesafgørelsen.</w:t>
      </w:r>
    </w:p>
    <w:p w14:paraId="1943CF80" w14:textId="59C36248" w:rsidR="00E36472" w:rsidRPr="00A16DB3" w:rsidRDefault="00180336" w:rsidP="003B0FBA">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auto"/>
          <w:sz w:val="24"/>
          <w:szCs w:val="24"/>
          <w:lang w:eastAsia="da-DK"/>
        </w:rPr>
        <w:t>Stk. 5.</w:t>
      </w:r>
      <w:r w:rsidRPr="00933BC8">
        <w:rPr>
          <w:rFonts w:ascii="Times New Roman" w:eastAsia="Times New Roman" w:hAnsi="Times New Roman" w:cs="Times New Roman"/>
          <w:i/>
          <w:iCs/>
          <w:color w:val="FF0000"/>
          <w:sz w:val="24"/>
          <w:szCs w:val="24"/>
          <w:lang w:eastAsia="da-DK"/>
        </w:rPr>
        <w:t xml:space="preserve"> </w:t>
      </w:r>
      <w:r w:rsidR="009D15E3" w:rsidRPr="00933BC8">
        <w:rPr>
          <w:rFonts w:ascii="Times New Roman" w:eastAsia="Times New Roman" w:hAnsi="Times New Roman" w:cs="Times New Roman"/>
          <w:iCs/>
          <w:color w:val="auto"/>
          <w:sz w:val="24"/>
          <w:szCs w:val="24"/>
          <w:lang w:eastAsia="da-DK"/>
        </w:rPr>
        <w:t xml:space="preserve">Trafikstyrelsens beføjelser i henhold til stk. 1-4, </w:t>
      </w:r>
      <w:r w:rsidR="00962E9C">
        <w:rPr>
          <w:rFonts w:ascii="Times New Roman" w:eastAsia="Times New Roman" w:hAnsi="Times New Roman" w:cs="Times New Roman"/>
          <w:iCs/>
          <w:color w:val="auto"/>
          <w:sz w:val="24"/>
          <w:szCs w:val="24"/>
          <w:lang w:eastAsia="da-DK"/>
        </w:rPr>
        <w:t>berører</w:t>
      </w:r>
      <w:r w:rsidR="009D15E3" w:rsidRPr="00933BC8">
        <w:rPr>
          <w:rFonts w:ascii="Times New Roman" w:eastAsia="Times New Roman" w:hAnsi="Times New Roman" w:cs="Times New Roman"/>
          <w:iCs/>
          <w:color w:val="auto"/>
          <w:sz w:val="24"/>
          <w:szCs w:val="24"/>
          <w:lang w:eastAsia="da-DK"/>
        </w:rPr>
        <w:t xml:space="preserve"> ikke de beføjelser, der tilkommer andre myndigheder, som er involveret i till</w:t>
      </w:r>
      <w:r w:rsidR="00210CBF">
        <w:rPr>
          <w:rFonts w:ascii="Times New Roman" w:eastAsia="Times New Roman" w:hAnsi="Times New Roman" w:cs="Times New Roman"/>
          <w:iCs/>
          <w:color w:val="auto"/>
          <w:sz w:val="24"/>
          <w:szCs w:val="24"/>
          <w:lang w:eastAsia="da-DK"/>
        </w:rPr>
        <w:t>adelsesproceduren samt bygherre</w:t>
      </w:r>
      <w:r w:rsidR="009D15E3" w:rsidRPr="00933BC8">
        <w:rPr>
          <w:rFonts w:ascii="Times New Roman" w:eastAsia="Times New Roman" w:hAnsi="Times New Roman" w:cs="Times New Roman"/>
          <w:iCs/>
          <w:color w:val="auto"/>
          <w:sz w:val="24"/>
          <w:szCs w:val="24"/>
          <w:lang w:eastAsia="da-DK"/>
        </w:rPr>
        <w:t xml:space="preserve">s mulighed for at rette </w:t>
      </w:r>
      <w:r w:rsidR="009D15E3" w:rsidRPr="00933BC8">
        <w:rPr>
          <w:rFonts w:ascii="Times New Roman" w:eastAsia="Times New Roman" w:hAnsi="Times New Roman" w:cs="Times New Roman"/>
          <w:iCs/>
          <w:color w:val="auto"/>
          <w:sz w:val="24"/>
          <w:szCs w:val="24"/>
          <w:lang w:eastAsia="da-DK"/>
        </w:rPr>
        <w:lastRenderedPageBreak/>
        <w:t xml:space="preserve">henvendelse til de enkelte myndigheder for de specifikke tilladelser, afgørelser eller udtalelser, som indgår i </w:t>
      </w:r>
      <w:r w:rsidR="009B1F84" w:rsidRPr="00933BC8">
        <w:rPr>
          <w:rFonts w:ascii="Times New Roman" w:eastAsia="Times New Roman" w:hAnsi="Times New Roman" w:cs="Times New Roman"/>
          <w:iCs/>
          <w:color w:val="auto"/>
          <w:sz w:val="24"/>
          <w:szCs w:val="24"/>
          <w:lang w:eastAsia="da-DK"/>
        </w:rPr>
        <w:t>godkendelsesafgørelsen</w:t>
      </w:r>
      <w:r w:rsidR="00DC1BCD" w:rsidRPr="00933BC8">
        <w:rPr>
          <w:rFonts w:ascii="Times New Roman" w:eastAsia="Times New Roman" w:hAnsi="Times New Roman" w:cs="Times New Roman"/>
          <w:iCs/>
          <w:color w:val="auto"/>
          <w:sz w:val="24"/>
          <w:szCs w:val="24"/>
          <w:lang w:eastAsia="da-DK"/>
        </w:rPr>
        <w:t xml:space="preserve">. </w:t>
      </w:r>
    </w:p>
    <w:p w14:paraId="3709C160" w14:textId="31727293" w:rsidR="00930755" w:rsidRPr="00933BC8" w:rsidRDefault="009F60F0" w:rsidP="003B0FBA">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DB4B5C" w:rsidRPr="00933BC8">
        <w:rPr>
          <w:rFonts w:ascii="Times New Roman" w:eastAsia="Times New Roman" w:hAnsi="Times New Roman" w:cs="Times New Roman"/>
          <w:b/>
          <w:iCs/>
          <w:color w:val="000000"/>
          <w:sz w:val="24"/>
          <w:szCs w:val="24"/>
          <w:lang w:eastAsia="da-DK"/>
        </w:rPr>
        <w:t>4</w:t>
      </w:r>
      <w:r w:rsidRPr="00933BC8">
        <w:rPr>
          <w:rFonts w:ascii="Times New Roman" w:eastAsia="Times New Roman" w:hAnsi="Times New Roman" w:cs="Times New Roman"/>
          <w:b/>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w:t>
      </w:r>
      <w:r w:rsidR="00785366" w:rsidRPr="00933BC8">
        <w:rPr>
          <w:rFonts w:ascii="Times New Roman" w:eastAsia="Times New Roman" w:hAnsi="Times New Roman" w:cs="Times New Roman"/>
          <w:iCs/>
          <w:color w:val="000000"/>
          <w:sz w:val="24"/>
          <w:szCs w:val="24"/>
          <w:lang w:eastAsia="da-DK"/>
        </w:rPr>
        <w:t>De</w:t>
      </w:r>
      <w:r w:rsidR="00785366">
        <w:rPr>
          <w:rFonts w:ascii="Times New Roman" w:eastAsia="Times New Roman" w:hAnsi="Times New Roman" w:cs="Times New Roman"/>
          <w:iCs/>
          <w:color w:val="000000"/>
          <w:sz w:val="24"/>
          <w:szCs w:val="24"/>
          <w:lang w:eastAsia="da-DK"/>
        </w:rPr>
        <w:t>t</w:t>
      </w:r>
      <w:r w:rsidR="00785366" w:rsidRPr="00933BC8">
        <w:rPr>
          <w:rFonts w:ascii="Times New Roman" w:eastAsia="Times New Roman" w:hAnsi="Times New Roman" w:cs="Times New Roman"/>
          <w:iCs/>
          <w:color w:val="000000"/>
          <w:sz w:val="24"/>
          <w:szCs w:val="24"/>
          <w:lang w:eastAsia="da-DK"/>
        </w:rPr>
        <w:t xml:space="preserve"> </w:t>
      </w:r>
      <w:r w:rsidR="009732F6" w:rsidRPr="00933BC8">
        <w:rPr>
          <w:rFonts w:ascii="Times New Roman" w:eastAsia="Times New Roman" w:hAnsi="Times New Roman" w:cs="Times New Roman"/>
          <w:iCs/>
          <w:color w:val="000000"/>
          <w:sz w:val="24"/>
          <w:szCs w:val="24"/>
          <w:lang w:eastAsia="da-DK"/>
        </w:rPr>
        <w:t xml:space="preserve">skal på Trafikstyrelsens hjemmeside fremgå, at Trafikstyrelsen er den udpegede myndighed. </w:t>
      </w:r>
    </w:p>
    <w:p w14:paraId="1FCB0497" w14:textId="00C178CC" w:rsidR="00E36472" w:rsidRPr="00933BC8" w:rsidRDefault="00E36472" w:rsidP="00E36472">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auto"/>
          <w:sz w:val="24"/>
          <w:szCs w:val="24"/>
          <w:lang w:eastAsia="da-DK"/>
        </w:rPr>
        <w:t xml:space="preserve">Kapitel 3 </w:t>
      </w:r>
    </w:p>
    <w:p w14:paraId="6FF08ABB" w14:textId="6941A7F2" w:rsidR="009A2120" w:rsidRPr="00933BC8" w:rsidRDefault="00643948" w:rsidP="000A223F">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Tilladelsesproceduren</w:t>
      </w:r>
    </w:p>
    <w:p w14:paraId="4645BA19" w14:textId="066F1A6C" w:rsidR="00E36472" w:rsidRPr="00933BC8" w:rsidRDefault="009A2120" w:rsidP="000A223F">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Tilladelsesprocedurens varighed</w:t>
      </w:r>
    </w:p>
    <w:p w14:paraId="5BFCCB82" w14:textId="6FCB86A1" w:rsidR="00E36472" w:rsidRPr="00933BC8" w:rsidRDefault="00E36472"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b/>
          <w:iCs/>
          <w:color w:val="000000"/>
          <w:sz w:val="24"/>
          <w:szCs w:val="24"/>
          <w:lang w:eastAsia="da-DK"/>
        </w:rPr>
        <w:t>5</w:t>
      </w:r>
      <w:r w:rsidRPr="00933BC8">
        <w:rPr>
          <w:rFonts w:ascii="Times New Roman" w:eastAsia="Times New Roman" w:hAnsi="Times New Roman" w:cs="Times New Roman"/>
          <w:b/>
          <w:iCs/>
          <w:color w:val="000000"/>
          <w:sz w:val="24"/>
          <w:szCs w:val="24"/>
          <w:lang w:eastAsia="da-DK"/>
        </w:rPr>
        <w:t xml:space="preserve">.  </w:t>
      </w:r>
      <w:r w:rsidR="00D47AF2" w:rsidRPr="00933BC8">
        <w:rPr>
          <w:rFonts w:ascii="Times New Roman" w:eastAsia="Times New Roman" w:hAnsi="Times New Roman" w:cs="Times New Roman"/>
          <w:iCs/>
          <w:color w:val="000000"/>
          <w:sz w:val="24"/>
          <w:szCs w:val="24"/>
          <w:lang w:eastAsia="da-DK"/>
        </w:rPr>
        <w:t>Tilladelsesproceduren for projekter omfattet af §</w:t>
      </w:r>
      <w:r w:rsidR="00611034" w:rsidRPr="00933BC8">
        <w:rPr>
          <w:rFonts w:ascii="Times New Roman" w:eastAsia="Times New Roman" w:hAnsi="Times New Roman" w:cs="Times New Roman"/>
          <w:iCs/>
          <w:color w:val="000000"/>
          <w:sz w:val="24"/>
          <w:szCs w:val="24"/>
          <w:lang w:eastAsia="da-DK"/>
        </w:rPr>
        <w:t xml:space="preserve"> </w:t>
      </w:r>
      <w:r w:rsidR="00D744C9" w:rsidRPr="00933BC8">
        <w:rPr>
          <w:rFonts w:ascii="Times New Roman" w:eastAsia="Times New Roman" w:hAnsi="Times New Roman" w:cs="Times New Roman"/>
          <w:iCs/>
          <w:color w:val="000000"/>
          <w:sz w:val="24"/>
          <w:szCs w:val="24"/>
          <w:lang w:eastAsia="da-DK"/>
        </w:rPr>
        <w:t>1</w:t>
      </w:r>
      <w:r w:rsidR="00B35F13" w:rsidRPr="00933BC8">
        <w:rPr>
          <w:rFonts w:ascii="Times New Roman" w:eastAsia="Times New Roman" w:hAnsi="Times New Roman" w:cs="Times New Roman"/>
          <w:iCs/>
          <w:color w:val="000000"/>
          <w:sz w:val="24"/>
          <w:szCs w:val="24"/>
          <w:lang w:eastAsia="da-DK"/>
        </w:rPr>
        <w:t>, må maksimalt vare fire år</w:t>
      </w:r>
      <w:r w:rsidR="000B100B" w:rsidRPr="00933BC8">
        <w:rPr>
          <w:rFonts w:ascii="Times New Roman" w:eastAsia="Times New Roman" w:hAnsi="Times New Roman" w:cs="Times New Roman"/>
          <w:iCs/>
          <w:color w:val="000000"/>
          <w:sz w:val="24"/>
          <w:szCs w:val="24"/>
          <w:lang w:eastAsia="da-DK"/>
        </w:rPr>
        <w:t>, jf. dog stk. 2-4, og § 6</w:t>
      </w:r>
      <w:r w:rsidR="009B1F84" w:rsidRPr="00933BC8">
        <w:rPr>
          <w:rFonts w:ascii="Times New Roman" w:eastAsia="Times New Roman" w:hAnsi="Times New Roman" w:cs="Times New Roman"/>
          <w:iCs/>
          <w:color w:val="000000"/>
          <w:sz w:val="24"/>
          <w:szCs w:val="24"/>
          <w:lang w:eastAsia="da-DK"/>
        </w:rPr>
        <w:t xml:space="preserve">. </w:t>
      </w:r>
    </w:p>
    <w:p w14:paraId="0B1A040C" w14:textId="1F65511F" w:rsidR="00EE37C7" w:rsidRPr="00933BC8" w:rsidRDefault="00EE37C7"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2. </w:t>
      </w:r>
      <w:r w:rsidRPr="00933BC8">
        <w:rPr>
          <w:rFonts w:ascii="Times New Roman" w:eastAsia="Times New Roman" w:hAnsi="Times New Roman" w:cs="Times New Roman"/>
          <w:iCs/>
          <w:color w:val="000000"/>
          <w:sz w:val="24"/>
          <w:szCs w:val="24"/>
          <w:lang w:eastAsia="da-DK"/>
        </w:rPr>
        <w:t xml:space="preserve">Den fireårige periode </w:t>
      </w:r>
      <w:r w:rsidR="003716C6" w:rsidRPr="00933BC8">
        <w:rPr>
          <w:rFonts w:ascii="Times New Roman" w:eastAsia="Times New Roman" w:hAnsi="Times New Roman" w:cs="Times New Roman"/>
          <w:iCs/>
          <w:color w:val="000000"/>
          <w:sz w:val="24"/>
          <w:szCs w:val="24"/>
          <w:lang w:eastAsia="da-DK"/>
        </w:rPr>
        <w:t xml:space="preserve">efter stk. 1, </w:t>
      </w:r>
      <w:r w:rsidR="00551354">
        <w:rPr>
          <w:rFonts w:ascii="Times New Roman" w:eastAsia="Times New Roman" w:hAnsi="Times New Roman" w:cs="Times New Roman"/>
          <w:iCs/>
          <w:color w:val="000000"/>
          <w:sz w:val="24"/>
          <w:szCs w:val="24"/>
          <w:lang w:eastAsia="da-DK"/>
        </w:rPr>
        <w:t xml:space="preserve">berører </w:t>
      </w:r>
      <w:r w:rsidR="003716C6" w:rsidRPr="00933BC8">
        <w:rPr>
          <w:rFonts w:ascii="Times New Roman" w:eastAsia="Times New Roman" w:hAnsi="Times New Roman" w:cs="Times New Roman"/>
          <w:iCs/>
          <w:color w:val="000000"/>
          <w:sz w:val="24"/>
          <w:szCs w:val="24"/>
          <w:lang w:eastAsia="da-DK"/>
        </w:rPr>
        <w:t>ikke forpligtigelser, der</w:t>
      </w:r>
      <w:r w:rsidR="009A69BA" w:rsidRPr="00933BC8">
        <w:rPr>
          <w:rFonts w:ascii="Times New Roman" w:eastAsia="Times New Roman" w:hAnsi="Times New Roman" w:cs="Times New Roman"/>
          <w:iCs/>
          <w:color w:val="000000"/>
          <w:sz w:val="24"/>
          <w:szCs w:val="24"/>
          <w:lang w:eastAsia="da-DK"/>
        </w:rPr>
        <w:t xml:space="preserve"> </w:t>
      </w:r>
      <w:r w:rsidR="003716C6" w:rsidRPr="00933BC8">
        <w:rPr>
          <w:rFonts w:ascii="Times New Roman" w:eastAsia="Times New Roman" w:hAnsi="Times New Roman" w:cs="Times New Roman"/>
          <w:iCs/>
          <w:color w:val="000000"/>
          <w:sz w:val="24"/>
          <w:szCs w:val="24"/>
          <w:lang w:eastAsia="da-DK"/>
        </w:rPr>
        <w:t xml:space="preserve">følger af folkeretten og EU-retten. </w:t>
      </w:r>
    </w:p>
    <w:p w14:paraId="4F66F441" w14:textId="22624FF1" w:rsidR="00D47AF2" w:rsidRPr="00933BC8" w:rsidRDefault="003716C6"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3. </w:t>
      </w:r>
      <w:r w:rsidRPr="00933BC8">
        <w:rPr>
          <w:rFonts w:ascii="Times New Roman" w:eastAsia="Times New Roman" w:hAnsi="Times New Roman" w:cs="Times New Roman"/>
          <w:iCs/>
          <w:color w:val="000000"/>
          <w:sz w:val="24"/>
          <w:szCs w:val="24"/>
          <w:lang w:eastAsia="da-DK"/>
        </w:rPr>
        <w:t xml:space="preserve">Den fireårige periode efter stk. 1, omhandler ikke perioder, der er nødvendige for at gennemføre administrative og judicielle klageprocedurer og søge </w:t>
      </w:r>
      <w:proofErr w:type="spellStart"/>
      <w:r w:rsidRPr="00933BC8">
        <w:rPr>
          <w:rFonts w:ascii="Times New Roman" w:eastAsia="Times New Roman" w:hAnsi="Times New Roman" w:cs="Times New Roman"/>
          <w:iCs/>
          <w:color w:val="000000"/>
          <w:sz w:val="24"/>
          <w:szCs w:val="24"/>
          <w:lang w:eastAsia="da-DK"/>
        </w:rPr>
        <w:t>retsmidler</w:t>
      </w:r>
      <w:proofErr w:type="spellEnd"/>
      <w:r w:rsidRPr="00933BC8">
        <w:rPr>
          <w:rFonts w:ascii="Times New Roman" w:eastAsia="Times New Roman" w:hAnsi="Times New Roman" w:cs="Times New Roman"/>
          <w:iCs/>
          <w:color w:val="000000"/>
          <w:sz w:val="24"/>
          <w:szCs w:val="24"/>
          <w:lang w:eastAsia="da-DK"/>
        </w:rPr>
        <w:t xml:space="preserve"> ved en ret eller domstol, samt alle perioder, der er nødvendige for at gennemføre eventuelle deraf følgende afgørelser eller </w:t>
      </w:r>
      <w:proofErr w:type="spellStart"/>
      <w:r w:rsidR="00E57057" w:rsidRPr="00933BC8">
        <w:rPr>
          <w:rFonts w:ascii="Times New Roman" w:eastAsia="Times New Roman" w:hAnsi="Times New Roman" w:cs="Times New Roman"/>
          <w:iCs/>
          <w:color w:val="000000"/>
          <w:sz w:val="24"/>
          <w:szCs w:val="24"/>
          <w:lang w:eastAsia="da-DK"/>
        </w:rPr>
        <w:t>retsmidler</w:t>
      </w:r>
      <w:proofErr w:type="spellEnd"/>
      <w:r w:rsidR="00E57057" w:rsidRPr="00933BC8">
        <w:rPr>
          <w:rFonts w:ascii="Times New Roman" w:eastAsia="Times New Roman" w:hAnsi="Times New Roman" w:cs="Times New Roman"/>
          <w:iCs/>
          <w:color w:val="000000"/>
          <w:sz w:val="24"/>
          <w:szCs w:val="24"/>
          <w:lang w:eastAsia="da-DK"/>
        </w:rPr>
        <w:t xml:space="preserve">. </w:t>
      </w:r>
      <w:r w:rsidR="00D47AF2" w:rsidRPr="00933BC8">
        <w:rPr>
          <w:rFonts w:ascii="Times New Roman" w:eastAsia="Times New Roman" w:hAnsi="Times New Roman" w:cs="Times New Roman"/>
          <w:iCs/>
          <w:color w:val="000000"/>
          <w:sz w:val="24"/>
          <w:szCs w:val="24"/>
          <w:lang w:eastAsia="da-DK"/>
        </w:rPr>
        <w:t xml:space="preserve"> </w:t>
      </w:r>
    </w:p>
    <w:p w14:paraId="50BD84B1" w14:textId="2230457E" w:rsidR="00D47AF2" w:rsidRPr="00933BC8" w:rsidRDefault="00D47AF2"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Stk. 4</w:t>
      </w:r>
      <w:r w:rsidR="00E57057" w:rsidRPr="00933BC8">
        <w:rPr>
          <w:rFonts w:ascii="Times New Roman" w:eastAsia="Times New Roman" w:hAnsi="Times New Roman" w:cs="Times New Roman"/>
          <w:i/>
          <w:iCs/>
          <w:color w:val="000000"/>
          <w:sz w:val="24"/>
          <w:szCs w:val="24"/>
          <w:lang w:eastAsia="da-DK"/>
        </w:rPr>
        <w:t xml:space="preserve">. </w:t>
      </w:r>
      <w:r w:rsidR="00E57057" w:rsidRPr="00933BC8">
        <w:rPr>
          <w:rFonts w:ascii="Times New Roman" w:eastAsia="Times New Roman" w:hAnsi="Times New Roman" w:cs="Times New Roman"/>
          <w:iCs/>
          <w:color w:val="000000"/>
          <w:sz w:val="24"/>
          <w:szCs w:val="24"/>
          <w:lang w:eastAsia="da-DK"/>
        </w:rPr>
        <w:t>For projekter</w:t>
      </w:r>
      <w:r w:rsidR="00C4624F" w:rsidRPr="00933BC8">
        <w:rPr>
          <w:rFonts w:ascii="Times New Roman" w:eastAsia="Times New Roman" w:hAnsi="Times New Roman" w:cs="Times New Roman"/>
          <w:iCs/>
          <w:color w:val="000000"/>
          <w:sz w:val="24"/>
          <w:szCs w:val="24"/>
          <w:lang w:eastAsia="da-DK"/>
        </w:rPr>
        <w:t>,</w:t>
      </w:r>
      <w:r w:rsidR="00881741" w:rsidRPr="00933BC8">
        <w:rPr>
          <w:rFonts w:ascii="Times New Roman" w:eastAsia="Times New Roman" w:hAnsi="Times New Roman" w:cs="Times New Roman"/>
          <w:iCs/>
          <w:color w:val="000000"/>
          <w:sz w:val="24"/>
          <w:szCs w:val="24"/>
          <w:lang w:eastAsia="da-DK"/>
        </w:rPr>
        <w:t xml:space="preserve"> der vedtages ved anlægslov, hvis tilladelsesprocedurer er</w:t>
      </w:r>
      <w:r w:rsidR="00E57057" w:rsidRPr="00933BC8">
        <w:rPr>
          <w:rFonts w:ascii="Times New Roman" w:eastAsia="Times New Roman" w:hAnsi="Times New Roman" w:cs="Times New Roman"/>
          <w:iCs/>
          <w:color w:val="000000"/>
          <w:sz w:val="24"/>
          <w:szCs w:val="24"/>
          <w:lang w:eastAsia="da-DK"/>
        </w:rPr>
        <w:t xml:space="preserve"> omfattet af §</w:t>
      </w:r>
      <w:r w:rsidR="00D744C9" w:rsidRPr="00933BC8">
        <w:rPr>
          <w:rFonts w:ascii="Times New Roman" w:eastAsia="Times New Roman" w:hAnsi="Times New Roman" w:cs="Times New Roman"/>
          <w:iCs/>
          <w:color w:val="000000"/>
          <w:sz w:val="24"/>
          <w:szCs w:val="24"/>
          <w:lang w:eastAsia="da-DK"/>
        </w:rPr>
        <w:t xml:space="preserve"> 1</w:t>
      </w:r>
      <w:r w:rsidR="00E57057" w:rsidRPr="00933BC8">
        <w:rPr>
          <w:rFonts w:ascii="Times New Roman" w:eastAsia="Times New Roman" w:hAnsi="Times New Roman" w:cs="Times New Roman"/>
          <w:iCs/>
          <w:color w:val="000000"/>
          <w:sz w:val="24"/>
          <w:szCs w:val="24"/>
          <w:lang w:eastAsia="da-DK"/>
        </w:rPr>
        <w:t>, kan tilladelsesproceduren overstige fire år, såfremt det forberedende arbejde, der danner grundlag for anlægsloven</w:t>
      </w:r>
      <w:r w:rsidR="00B439E4">
        <w:rPr>
          <w:rFonts w:ascii="Times New Roman" w:eastAsia="Times New Roman" w:hAnsi="Times New Roman" w:cs="Times New Roman"/>
          <w:iCs/>
          <w:color w:val="000000"/>
          <w:sz w:val="24"/>
          <w:szCs w:val="24"/>
          <w:lang w:eastAsia="da-DK"/>
        </w:rPr>
        <w:t>,</w:t>
      </w:r>
      <w:r w:rsidR="00E57057" w:rsidRPr="00933BC8">
        <w:rPr>
          <w:rFonts w:ascii="Times New Roman" w:eastAsia="Times New Roman" w:hAnsi="Times New Roman" w:cs="Times New Roman"/>
          <w:iCs/>
          <w:color w:val="000000"/>
          <w:sz w:val="24"/>
          <w:szCs w:val="24"/>
          <w:lang w:eastAsia="da-DK"/>
        </w:rPr>
        <w:t xml:space="preserve"> afsluttes inden for</w:t>
      </w:r>
      <w:r w:rsidR="00C4624F" w:rsidRPr="00933BC8">
        <w:rPr>
          <w:rFonts w:ascii="Times New Roman" w:eastAsia="Times New Roman" w:hAnsi="Times New Roman" w:cs="Times New Roman"/>
          <w:iCs/>
          <w:color w:val="000000"/>
          <w:sz w:val="24"/>
          <w:szCs w:val="24"/>
          <w:lang w:eastAsia="da-DK"/>
        </w:rPr>
        <w:t xml:space="preserve"> den periode</w:t>
      </w:r>
      <w:r w:rsidR="000F3352" w:rsidRPr="00933BC8">
        <w:rPr>
          <w:rFonts w:ascii="Times New Roman" w:eastAsia="Times New Roman" w:hAnsi="Times New Roman" w:cs="Times New Roman"/>
          <w:iCs/>
          <w:color w:val="000000"/>
          <w:sz w:val="24"/>
          <w:szCs w:val="24"/>
          <w:lang w:eastAsia="da-DK"/>
        </w:rPr>
        <w:t>,</w:t>
      </w:r>
      <w:r w:rsidR="00C4624F" w:rsidRPr="00933BC8">
        <w:rPr>
          <w:rFonts w:ascii="Times New Roman" w:eastAsia="Times New Roman" w:hAnsi="Times New Roman" w:cs="Times New Roman"/>
          <w:iCs/>
          <w:color w:val="000000"/>
          <w:sz w:val="24"/>
          <w:szCs w:val="24"/>
          <w:lang w:eastAsia="da-DK"/>
        </w:rPr>
        <w:t xml:space="preserve"> som </w:t>
      </w:r>
      <w:r w:rsidR="000B100B" w:rsidRPr="00933BC8">
        <w:rPr>
          <w:rFonts w:ascii="Times New Roman" w:eastAsia="Times New Roman" w:hAnsi="Times New Roman" w:cs="Times New Roman"/>
          <w:iCs/>
          <w:color w:val="000000"/>
          <w:sz w:val="24"/>
          <w:szCs w:val="24"/>
          <w:lang w:eastAsia="da-DK"/>
        </w:rPr>
        <w:t xml:space="preserve">er </w:t>
      </w:r>
      <w:r w:rsidR="00C4624F" w:rsidRPr="00933BC8">
        <w:rPr>
          <w:rFonts w:ascii="Times New Roman" w:eastAsia="Times New Roman" w:hAnsi="Times New Roman" w:cs="Times New Roman"/>
          <w:iCs/>
          <w:color w:val="000000"/>
          <w:sz w:val="24"/>
          <w:szCs w:val="24"/>
          <w:lang w:eastAsia="da-DK"/>
        </w:rPr>
        <w:t>fastsat i stk. 1</w:t>
      </w:r>
      <w:r w:rsidR="00E57057" w:rsidRPr="00933BC8">
        <w:rPr>
          <w:rFonts w:ascii="Times New Roman" w:eastAsia="Times New Roman" w:hAnsi="Times New Roman" w:cs="Times New Roman"/>
          <w:iCs/>
          <w:color w:val="000000"/>
          <w:sz w:val="24"/>
          <w:szCs w:val="24"/>
          <w:lang w:eastAsia="da-DK"/>
        </w:rPr>
        <w:t xml:space="preserve">. Det forberedende arbejde anses for afsluttet, når anlægsloven </w:t>
      </w:r>
      <w:r w:rsidR="009732F6" w:rsidRPr="00933BC8">
        <w:rPr>
          <w:rFonts w:ascii="Times New Roman" w:eastAsia="Times New Roman" w:hAnsi="Times New Roman" w:cs="Times New Roman"/>
          <w:iCs/>
          <w:color w:val="000000"/>
          <w:sz w:val="24"/>
          <w:szCs w:val="24"/>
          <w:lang w:eastAsia="da-DK"/>
        </w:rPr>
        <w:t xml:space="preserve">fremsættes i </w:t>
      </w:r>
      <w:r w:rsidR="00E57057" w:rsidRPr="00933BC8">
        <w:rPr>
          <w:rFonts w:ascii="Times New Roman" w:eastAsia="Times New Roman" w:hAnsi="Times New Roman" w:cs="Times New Roman"/>
          <w:iCs/>
          <w:color w:val="000000"/>
          <w:sz w:val="24"/>
          <w:szCs w:val="24"/>
          <w:lang w:eastAsia="da-DK"/>
        </w:rPr>
        <w:t xml:space="preserve">Folketinget. </w:t>
      </w:r>
    </w:p>
    <w:p w14:paraId="0DD3BD22" w14:textId="60606CF6" w:rsidR="00AC7A6C" w:rsidRPr="00933BC8" w:rsidRDefault="00E57057" w:rsidP="00AC7A6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b/>
          <w:iCs/>
          <w:color w:val="000000"/>
          <w:sz w:val="24"/>
          <w:szCs w:val="24"/>
          <w:lang w:eastAsia="da-DK"/>
        </w:rPr>
        <w:t>6</w:t>
      </w:r>
      <w:r w:rsidRPr="00933BC8">
        <w:rPr>
          <w:rFonts w:ascii="Times New Roman" w:eastAsia="Times New Roman" w:hAnsi="Times New Roman" w:cs="Times New Roman"/>
          <w:b/>
          <w:iCs/>
          <w:color w:val="000000"/>
          <w:sz w:val="24"/>
          <w:szCs w:val="24"/>
          <w:lang w:eastAsia="da-DK"/>
        </w:rPr>
        <w:t xml:space="preserve">. </w:t>
      </w:r>
      <w:r w:rsidR="00AC7A6C" w:rsidRPr="00933BC8">
        <w:rPr>
          <w:rFonts w:ascii="Times New Roman" w:eastAsia="Times New Roman" w:hAnsi="Times New Roman" w:cs="Times New Roman"/>
          <w:iCs/>
          <w:color w:val="000000"/>
          <w:sz w:val="24"/>
          <w:szCs w:val="24"/>
          <w:lang w:eastAsia="da-DK"/>
        </w:rPr>
        <w:t xml:space="preserve">Trafikstyrelsen kan i særlige tilfælde </w:t>
      </w:r>
      <w:r w:rsidR="00C4624F" w:rsidRPr="00933BC8">
        <w:rPr>
          <w:rFonts w:ascii="Times New Roman" w:eastAsia="Times New Roman" w:hAnsi="Times New Roman" w:cs="Times New Roman"/>
          <w:iCs/>
          <w:color w:val="000000"/>
          <w:sz w:val="24"/>
          <w:szCs w:val="24"/>
          <w:lang w:eastAsia="da-DK"/>
        </w:rPr>
        <w:t>forlænge den fireårige periode for tilladelsesproceduren</w:t>
      </w:r>
      <w:r w:rsidR="000B100B" w:rsidRPr="00933BC8">
        <w:rPr>
          <w:rFonts w:ascii="Times New Roman" w:eastAsia="Times New Roman" w:hAnsi="Times New Roman" w:cs="Times New Roman"/>
          <w:iCs/>
          <w:color w:val="000000"/>
          <w:sz w:val="24"/>
          <w:szCs w:val="24"/>
          <w:lang w:eastAsia="da-DK"/>
        </w:rPr>
        <w:t>, jf.</w:t>
      </w:r>
      <w:r w:rsidR="00AC7A6C" w:rsidRPr="00933BC8">
        <w:rPr>
          <w:rFonts w:ascii="Times New Roman" w:eastAsia="Times New Roman" w:hAnsi="Times New Roman" w:cs="Times New Roman"/>
          <w:iCs/>
          <w:color w:val="000000"/>
          <w:sz w:val="24"/>
          <w:szCs w:val="24"/>
          <w:lang w:eastAsia="da-DK"/>
        </w:rPr>
        <w:t xml:space="preserve"> §</w:t>
      </w:r>
      <w:r w:rsidR="00B35F13"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iCs/>
          <w:color w:val="000000"/>
          <w:sz w:val="24"/>
          <w:szCs w:val="24"/>
          <w:lang w:eastAsia="da-DK"/>
        </w:rPr>
        <w:t>5</w:t>
      </w:r>
      <w:r w:rsidR="00AC7A6C" w:rsidRPr="00933BC8">
        <w:rPr>
          <w:rFonts w:ascii="Times New Roman" w:eastAsia="Times New Roman" w:hAnsi="Times New Roman" w:cs="Times New Roman"/>
          <w:iCs/>
          <w:color w:val="000000"/>
          <w:sz w:val="24"/>
          <w:szCs w:val="24"/>
          <w:lang w:eastAsia="da-DK"/>
        </w:rPr>
        <w:t>, stk. 1.</w:t>
      </w:r>
      <w:r w:rsidR="009A69BA" w:rsidRPr="00933BC8">
        <w:rPr>
          <w:rFonts w:ascii="Times New Roman" w:eastAsia="Times New Roman" w:hAnsi="Times New Roman" w:cs="Times New Roman"/>
          <w:iCs/>
          <w:color w:val="000000"/>
          <w:sz w:val="24"/>
          <w:szCs w:val="24"/>
          <w:lang w:eastAsia="da-DK"/>
        </w:rPr>
        <w:t xml:space="preserve"> Varigheden af forlængelsen fastsætter Trafikstyrelsen for hvert enkelt projekt, som anmeldt i henhold til § 8, stk. 1.</w:t>
      </w:r>
      <w:r w:rsidR="007566FF" w:rsidRPr="00933BC8">
        <w:rPr>
          <w:rFonts w:ascii="Times New Roman" w:eastAsia="Times New Roman" w:hAnsi="Times New Roman" w:cs="Times New Roman"/>
          <w:iCs/>
          <w:color w:val="000000"/>
          <w:sz w:val="24"/>
          <w:szCs w:val="24"/>
          <w:lang w:eastAsia="da-DK"/>
        </w:rPr>
        <w:t xml:space="preserve"> Varigheden af forlængelsen skal</w:t>
      </w:r>
      <w:r w:rsidR="00071428" w:rsidRPr="00933BC8">
        <w:rPr>
          <w:rFonts w:ascii="Times New Roman" w:eastAsia="Times New Roman" w:hAnsi="Times New Roman" w:cs="Times New Roman"/>
          <w:iCs/>
          <w:color w:val="000000"/>
          <w:sz w:val="24"/>
          <w:szCs w:val="24"/>
          <w:lang w:eastAsia="da-DK"/>
        </w:rPr>
        <w:t xml:space="preserve"> stå i forhold til</w:t>
      </w:r>
      <w:r w:rsidR="007566FF" w:rsidRPr="00933BC8">
        <w:rPr>
          <w:rFonts w:ascii="Times New Roman" w:eastAsia="Times New Roman" w:hAnsi="Times New Roman" w:cs="Times New Roman"/>
          <w:iCs/>
          <w:color w:val="000000"/>
          <w:sz w:val="24"/>
          <w:szCs w:val="24"/>
          <w:lang w:eastAsia="da-DK"/>
        </w:rPr>
        <w:t xml:space="preserve"> indfri</w:t>
      </w:r>
      <w:r w:rsidR="00071428" w:rsidRPr="00933BC8">
        <w:rPr>
          <w:rFonts w:ascii="Times New Roman" w:eastAsia="Times New Roman" w:hAnsi="Times New Roman" w:cs="Times New Roman"/>
          <w:iCs/>
          <w:color w:val="000000"/>
          <w:sz w:val="24"/>
          <w:szCs w:val="24"/>
          <w:lang w:eastAsia="da-DK"/>
        </w:rPr>
        <w:t>elsen af</w:t>
      </w:r>
      <w:r w:rsidR="007566FF" w:rsidRPr="00933BC8">
        <w:rPr>
          <w:rFonts w:ascii="Times New Roman" w:eastAsia="Times New Roman" w:hAnsi="Times New Roman" w:cs="Times New Roman"/>
          <w:iCs/>
          <w:color w:val="000000"/>
          <w:sz w:val="24"/>
          <w:szCs w:val="24"/>
          <w:lang w:eastAsia="da-DK"/>
        </w:rPr>
        <w:t xml:space="preserve"> målet om at afslutte tilladelsesproceduren og udstede godkendelsesafgørelsen.</w:t>
      </w:r>
      <w:r w:rsidR="00730E8D" w:rsidRPr="00933BC8">
        <w:rPr>
          <w:rFonts w:ascii="Times New Roman" w:eastAsia="Times New Roman" w:hAnsi="Times New Roman" w:cs="Times New Roman"/>
          <w:iCs/>
          <w:color w:val="000000"/>
          <w:sz w:val="24"/>
          <w:szCs w:val="24"/>
          <w:lang w:eastAsia="da-DK"/>
        </w:rPr>
        <w:t xml:space="preserve"> Trafikstyr</w:t>
      </w:r>
      <w:r w:rsidR="00C4624F" w:rsidRPr="00933BC8">
        <w:rPr>
          <w:rFonts w:ascii="Times New Roman" w:eastAsia="Times New Roman" w:hAnsi="Times New Roman" w:cs="Times New Roman"/>
          <w:iCs/>
          <w:color w:val="000000"/>
          <w:sz w:val="24"/>
          <w:szCs w:val="24"/>
          <w:lang w:eastAsia="da-DK"/>
        </w:rPr>
        <w:t>elsen begrunder behørigt årsagen</w:t>
      </w:r>
      <w:r w:rsidR="00730E8D" w:rsidRPr="00933BC8">
        <w:rPr>
          <w:rFonts w:ascii="Times New Roman" w:eastAsia="Times New Roman" w:hAnsi="Times New Roman" w:cs="Times New Roman"/>
          <w:iCs/>
          <w:color w:val="000000"/>
          <w:sz w:val="24"/>
          <w:szCs w:val="24"/>
          <w:lang w:eastAsia="da-DK"/>
        </w:rPr>
        <w:t xml:space="preserve"> til forlængelsen</w:t>
      </w:r>
      <w:r w:rsidR="009732F6" w:rsidRPr="00933BC8">
        <w:rPr>
          <w:rFonts w:ascii="Times New Roman" w:eastAsia="Times New Roman" w:hAnsi="Times New Roman" w:cs="Times New Roman"/>
          <w:iCs/>
          <w:color w:val="000000"/>
          <w:sz w:val="24"/>
          <w:szCs w:val="24"/>
          <w:lang w:eastAsia="da-DK"/>
        </w:rPr>
        <w:t xml:space="preserve"> og</w:t>
      </w:r>
      <w:r w:rsidR="00730E8D" w:rsidRPr="00933BC8">
        <w:rPr>
          <w:rFonts w:ascii="Times New Roman" w:eastAsia="Times New Roman" w:hAnsi="Times New Roman" w:cs="Times New Roman"/>
          <w:iCs/>
          <w:color w:val="000000"/>
          <w:sz w:val="24"/>
          <w:szCs w:val="24"/>
          <w:lang w:eastAsia="da-DK"/>
        </w:rPr>
        <w:t xml:space="preserve"> </w:t>
      </w:r>
      <w:r w:rsidR="00210CBF">
        <w:rPr>
          <w:rFonts w:ascii="Times New Roman" w:eastAsia="Times New Roman" w:hAnsi="Times New Roman" w:cs="Times New Roman"/>
          <w:iCs/>
          <w:color w:val="000000"/>
          <w:sz w:val="24"/>
          <w:szCs w:val="24"/>
          <w:lang w:eastAsia="da-DK"/>
        </w:rPr>
        <w:t>underretter skriftligt bygherre</w:t>
      </w:r>
      <w:r w:rsidR="00730E8D" w:rsidRPr="00933BC8">
        <w:rPr>
          <w:rFonts w:ascii="Times New Roman" w:eastAsia="Times New Roman" w:hAnsi="Times New Roman" w:cs="Times New Roman"/>
          <w:iCs/>
          <w:color w:val="000000"/>
          <w:sz w:val="24"/>
          <w:szCs w:val="24"/>
          <w:lang w:eastAsia="da-DK"/>
        </w:rPr>
        <w:t xml:space="preserve"> </w:t>
      </w:r>
      <w:r w:rsidR="00E46490" w:rsidRPr="00933BC8">
        <w:rPr>
          <w:rFonts w:ascii="Times New Roman" w:eastAsia="Times New Roman" w:hAnsi="Times New Roman" w:cs="Times New Roman"/>
          <w:iCs/>
          <w:color w:val="000000"/>
          <w:sz w:val="24"/>
          <w:szCs w:val="24"/>
          <w:lang w:eastAsia="da-DK"/>
        </w:rPr>
        <w:t xml:space="preserve">herom. </w:t>
      </w:r>
    </w:p>
    <w:p w14:paraId="44B32426" w14:textId="3845C836" w:rsidR="00730E8D" w:rsidRPr="00933BC8" w:rsidRDefault="00730E8D" w:rsidP="00AC7A6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2. </w:t>
      </w:r>
      <w:r w:rsidRPr="00933BC8">
        <w:rPr>
          <w:rFonts w:ascii="Times New Roman" w:eastAsia="Times New Roman" w:hAnsi="Times New Roman" w:cs="Times New Roman"/>
          <w:iCs/>
          <w:color w:val="000000"/>
          <w:sz w:val="24"/>
          <w:szCs w:val="24"/>
          <w:lang w:eastAsia="da-DK"/>
        </w:rPr>
        <w:t>Trafikstyrelsen kan give</w:t>
      </w:r>
      <w:r w:rsidR="00B35F13"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yderligere</w:t>
      </w:r>
      <w:r w:rsidR="00B35F13" w:rsidRPr="00933BC8">
        <w:rPr>
          <w:rFonts w:ascii="Times New Roman" w:eastAsia="Times New Roman" w:hAnsi="Times New Roman" w:cs="Times New Roman"/>
          <w:iCs/>
          <w:color w:val="000000"/>
          <w:sz w:val="24"/>
          <w:szCs w:val="24"/>
          <w:lang w:eastAsia="da-DK"/>
        </w:rPr>
        <w:t xml:space="preserve"> én</w:t>
      </w:r>
      <w:r w:rsidRPr="00933BC8">
        <w:rPr>
          <w:rFonts w:ascii="Times New Roman" w:eastAsia="Times New Roman" w:hAnsi="Times New Roman" w:cs="Times New Roman"/>
          <w:iCs/>
          <w:color w:val="000000"/>
          <w:sz w:val="24"/>
          <w:szCs w:val="24"/>
          <w:lang w:eastAsia="da-DK"/>
        </w:rPr>
        <w:t xml:space="preserve"> forlængelse af tilladelsesproceduren ud fra</w:t>
      </w:r>
      <w:r w:rsidR="00B35F13" w:rsidRPr="00933BC8">
        <w:rPr>
          <w:rFonts w:ascii="Times New Roman" w:eastAsia="Times New Roman" w:hAnsi="Times New Roman" w:cs="Times New Roman"/>
          <w:iCs/>
          <w:color w:val="000000"/>
          <w:sz w:val="24"/>
          <w:szCs w:val="24"/>
          <w:lang w:eastAsia="da-DK"/>
        </w:rPr>
        <w:t xml:space="preserve"> samme</w:t>
      </w:r>
      <w:r w:rsidRPr="00933BC8">
        <w:rPr>
          <w:rFonts w:ascii="Times New Roman" w:eastAsia="Times New Roman" w:hAnsi="Times New Roman" w:cs="Times New Roman"/>
          <w:iCs/>
          <w:color w:val="000000"/>
          <w:sz w:val="24"/>
          <w:szCs w:val="24"/>
          <w:lang w:eastAsia="da-DK"/>
        </w:rPr>
        <w:t xml:space="preserve"> betingelser som anført i stk. 1. </w:t>
      </w:r>
    </w:p>
    <w:p w14:paraId="09F7914A" w14:textId="5128B71A" w:rsidR="00557233" w:rsidRPr="00933BC8" w:rsidRDefault="00730E8D" w:rsidP="00AC7A6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b/>
          <w:iCs/>
          <w:color w:val="000000"/>
          <w:sz w:val="24"/>
          <w:szCs w:val="24"/>
          <w:lang w:eastAsia="da-DK"/>
        </w:rPr>
        <w:t>7</w:t>
      </w:r>
      <w:r w:rsidRPr="00933BC8">
        <w:rPr>
          <w:rFonts w:ascii="Times New Roman" w:eastAsia="Times New Roman" w:hAnsi="Times New Roman" w:cs="Times New Roman"/>
          <w:b/>
          <w:iCs/>
          <w:color w:val="000000"/>
          <w:sz w:val="24"/>
          <w:szCs w:val="24"/>
          <w:lang w:eastAsia="da-DK"/>
        </w:rPr>
        <w:t xml:space="preserve">. </w:t>
      </w:r>
      <w:r w:rsidR="008A7DBF" w:rsidRPr="00933BC8">
        <w:rPr>
          <w:rFonts w:ascii="Times New Roman" w:eastAsia="Times New Roman" w:hAnsi="Times New Roman" w:cs="Times New Roman"/>
          <w:iCs/>
          <w:color w:val="000000"/>
          <w:sz w:val="24"/>
          <w:szCs w:val="24"/>
          <w:lang w:eastAsia="da-DK"/>
        </w:rPr>
        <w:t>Trafikstyrelsen holdes ikke ansvarlig for en overskridelse af tilladelsesproceduren</w:t>
      </w:r>
      <w:r w:rsidR="00C4624F" w:rsidRPr="00933BC8">
        <w:rPr>
          <w:rFonts w:ascii="Times New Roman" w:eastAsia="Times New Roman" w:hAnsi="Times New Roman" w:cs="Times New Roman"/>
          <w:iCs/>
          <w:color w:val="000000"/>
          <w:sz w:val="24"/>
          <w:szCs w:val="24"/>
          <w:lang w:eastAsia="da-DK"/>
        </w:rPr>
        <w:t>s fireårige periode som fastlagt i</w:t>
      </w:r>
      <w:r w:rsidR="008A7DBF" w:rsidRPr="00933BC8">
        <w:rPr>
          <w:rFonts w:ascii="Times New Roman" w:eastAsia="Times New Roman" w:hAnsi="Times New Roman" w:cs="Times New Roman"/>
          <w:iCs/>
          <w:color w:val="000000"/>
          <w:sz w:val="24"/>
          <w:szCs w:val="24"/>
          <w:lang w:eastAsia="da-DK"/>
        </w:rPr>
        <w:t xml:space="preserve"> §</w:t>
      </w:r>
      <w:r w:rsidR="00B35F13" w:rsidRPr="00933BC8">
        <w:rPr>
          <w:rFonts w:ascii="Times New Roman" w:eastAsia="Times New Roman" w:hAnsi="Times New Roman" w:cs="Times New Roman"/>
          <w:iCs/>
          <w:color w:val="000000"/>
          <w:sz w:val="24"/>
          <w:szCs w:val="24"/>
          <w:lang w:eastAsia="da-DK"/>
        </w:rPr>
        <w:t xml:space="preserve"> </w:t>
      </w:r>
      <w:r w:rsidR="008A7DBF" w:rsidRPr="00933BC8">
        <w:rPr>
          <w:rFonts w:ascii="Times New Roman" w:eastAsia="Times New Roman" w:hAnsi="Times New Roman" w:cs="Times New Roman"/>
          <w:iCs/>
          <w:color w:val="000000"/>
          <w:sz w:val="24"/>
          <w:szCs w:val="24"/>
          <w:lang w:eastAsia="da-DK"/>
        </w:rPr>
        <w:t xml:space="preserve">5, stk. 1, </w:t>
      </w:r>
      <w:r w:rsidR="000B100B" w:rsidRPr="00933BC8">
        <w:rPr>
          <w:rFonts w:ascii="Times New Roman" w:eastAsia="Times New Roman" w:hAnsi="Times New Roman" w:cs="Times New Roman"/>
          <w:iCs/>
          <w:color w:val="000000"/>
          <w:sz w:val="24"/>
          <w:szCs w:val="24"/>
          <w:lang w:eastAsia="da-DK"/>
        </w:rPr>
        <w:t xml:space="preserve">og </w:t>
      </w:r>
      <w:r w:rsidR="008A7DBF" w:rsidRPr="00933BC8">
        <w:rPr>
          <w:rFonts w:ascii="Times New Roman" w:eastAsia="Times New Roman" w:hAnsi="Times New Roman" w:cs="Times New Roman"/>
          <w:iCs/>
          <w:color w:val="000000"/>
          <w:sz w:val="24"/>
          <w:szCs w:val="24"/>
          <w:lang w:eastAsia="da-DK"/>
        </w:rPr>
        <w:t>som forlænget i henhold til §</w:t>
      </w:r>
      <w:r w:rsidR="00B35F13" w:rsidRPr="00933BC8">
        <w:rPr>
          <w:rFonts w:ascii="Times New Roman" w:eastAsia="Times New Roman" w:hAnsi="Times New Roman" w:cs="Times New Roman"/>
          <w:iCs/>
          <w:color w:val="000000"/>
          <w:sz w:val="24"/>
          <w:szCs w:val="24"/>
          <w:lang w:eastAsia="da-DK"/>
        </w:rPr>
        <w:t xml:space="preserve"> </w:t>
      </w:r>
      <w:r w:rsidR="008A7DBF" w:rsidRPr="00933BC8">
        <w:rPr>
          <w:rFonts w:ascii="Times New Roman" w:eastAsia="Times New Roman" w:hAnsi="Times New Roman" w:cs="Times New Roman"/>
          <w:iCs/>
          <w:color w:val="000000"/>
          <w:sz w:val="24"/>
          <w:szCs w:val="24"/>
          <w:lang w:eastAsia="da-DK"/>
        </w:rPr>
        <w:t xml:space="preserve">6, stk. 1 og 2, såfremt </w:t>
      </w:r>
      <w:r w:rsidR="00210CBF">
        <w:rPr>
          <w:rFonts w:ascii="Times New Roman" w:eastAsia="Times New Roman" w:hAnsi="Times New Roman" w:cs="Times New Roman"/>
          <w:iCs/>
          <w:color w:val="000000"/>
          <w:sz w:val="24"/>
          <w:szCs w:val="24"/>
          <w:lang w:eastAsia="da-DK"/>
        </w:rPr>
        <w:t>overskridelsen skyldes bygherre</w:t>
      </w:r>
      <w:r w:rsidR="008A7DBF" w:rsidRPr="00933BC8">
        <w:rPr>
          <w:rFonts w:ascii="Times New Roman" w:eastAsia="Times New Roman" w:hAnsi="Times New Roman" w:cs="Times New Roman"/>
          <w:iCs/>
          <w:color w:val="000000"/>
          <w:sz w:val="24"/>
          <w:szCs w:val="24"/>
          <w:lang w:eastAsia="da-DK"/>
        </w:rPr>
        <w:t xml:space="preserve">s forsinkelse.   </w:t>
      </w:r>
    </w:p>
    <w:p w14:paraId="47CBFB3B" w14:textId="11274051" w:rsidR="009A2120" w:rsidRPr="00933BC8" w:rsidRDefault="009A2120" w:rsidP="009A2120">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Tilrettelæggelse af tilladelsesproceduren</w:t>
      </w:r>
    </w:p>
    <w:p w14:paraId="67CB7C5F" w14:textId="22B04C1D" w:rsidR="00E427DA" w:rsidRPr="00933BC8" w:rsidRDefault="00BF4A0B"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b/>
          <w:iCs/>
          <w:color w:val="000000"/>
          <w:sz w:val="24"/>
          <w:szCs w:val="24"/>
          <w:lang w:eastAsia="da-DK"/>
        </w:rPr>
        <w:t>8</w:t>
      </w:r>
      <w:r w:rsidRPr="00933BC8">
        <w:rPr>
          <w:rFonts w:ascii="Times New Roman" w:eastAsia="Times New Roman" w:hAnsi="Times New Roman" w:cs="Times New Roman"/>
          <w:b/>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w:t>
      </w:r>
      <w:r w:rsidR="009A2120" w:rsidRPr="00933BC8">
        <w:rPr>
          <w:rFonts w:ascii="Times New Roman" w:eastAsia="Times New Roman" w:hAnsi="Times New Roman" w:cs="Times New Roman"/>
          <w:iCs/>
          <w:color w:val="000000"/>
          <w:sz w:val="24"/>
          <w:szCs w:val="24"/>
          <w:lang w:eastAsia="da-DK"/>
        </w:rPr>
        <w:t>Bygherre anmelder projekter omfattet af §</w:t>
      </w:r>
      <w:r w:rsidR="00D744C9" w:rsidRPr="00933BC8">
        <w:rPr>
          <w:rFonts w:ascii="Times New Roman" w:eastAsia="Times New Roman" w:hAnsi="Times New Roman" w:cs="Times New Roman"/>
          <w:iCs/>
          <w:color w:val="000000"/>
          <w:sz w:val="24"/>
          <w:szCs w:val="24"/>
          <w:lang w:eastAsia="da-DK"/>
        </w:rPr>
        <w:t xml:space="preserve"> 1</w:t>
      </w:r>
      <w:r w:rsidR="009732F6" w:rsidRPr="00933BC8">
        <w:rPr>
          <w:rFonts w:ascii="Times New Roman" w:eastAsia="Times New Roman" w:hAnsi="Times New Roman" w:cs="Times New Roman"/>
          <w:iCs/>
          <w:color w:val="000000"/>
          <w:sz w:val="24"/>
          <w:szCs w:val="24"/>
          <w:lang w:eastAsia="da-DK"/>
        </w:rPr>
        <w:t xml:space="preserve"> skriftligt</w:t>
      </w:r>
      <w:r w:rsidR="009A2120" w:rsidRPr="00933BC8">
        <w:rPr>
          <w:rFonts w:ascii="Times New Roman" w:eastAsia="Times New Roman" w:hAnsi="Times New Roman" w:cs="Times New Roman"/>
          <w:iCs/>
          <w:color w:val="000000"/>
          <w:sz w:val="24"/>
          <w:szCs w:val="24"/>
          <w:lang w:eastAsia="da-DK"/>
        </w:rPr>
        <w:t xml:space="preserve"> til Trafikstyrelsen. </w:t>
      </w:r>
      <w:r w:rsidR="004E3E6A" w:rsidRPr="00933BC8">
        <w:rPr>
          <w:rFonts w:ascii="Times New Roman" w:eastAsia="Times New Roman" w:hAnsi="Times New Roman" w:cs="Times New Roman"/>
          <w:iCs/>
          <w:color w:val="000000"/>
          <w:sz w:val="24"/>
          <w:szCs w:val="24"/>
          <w:lang w:eastAsia="da-DK"/>
        </w:rPr>
        <w:t>Bygherre</w:t>
      </w:r>
      <w:r w:rsidR="00830AF8" w:rsidRPr="00933BC8">
        <w:rPr>
          <w:rFonts w:ascii="Times New Roman" w:eastAsia="Times New Roman" w:hAnsi="Times New Roman" w:cs="Times New Roman"/>
          <w:iCs/>
          <w:color w:val="000000"/>
          <w:sz w:val="24"/>
          <w:szCs w:val="24"/>
          <w:lang w:eastAsia="da-DK"/>
        </w:rPr>
        <w:t xml:space="preserve">s anmeldelse af projektet </w:t>
      </w:r>
      <w:r w:rsidR="00F15DCD" w:rsidRPr="00933BC8">
        <w:rPr>
          <w:rFonts w:ascii="Times New Roman" w:eastAsia="Times New Roman" w:hAnsi="Times New Roman" w:cs="Times New Roman"/>
          <w:iCs/>
          <w:color w:val="000000"/>
          <w:sz w:val="24"/>
          <w:szCs w:val="24"/>
          <w:lang w:eastAsia="da-DK"/>
        </w:rPr>
        <w:t>udg</w:t>
      </w:r>
      <w:r w:rsidR="00071428" w:rsidRPr="00933BC8">
        <w:rPr>
          <w:rFonts w:ascii="Times New Roman" w:eastAsia="Times New Roman" w:hAnsi="Times New Roman" w:cs="Times New Roman"/>
          <w:iCs/>
          <w:color w:val="000000"/>
          <w:sz w:val="24"/>
          <w:szCs w:val="24"/>
          <w:lang w:eastAsia="da-DK"/>
        </w:rPr>
        <w:t>ø</w:t>
      </w:r>
      <w:r w:rsidR="00F15DCD" w:rsidRPr="00933BC8">
        <w:rPr>
          <w:rFonts w:ascii="Times New Roman" w:eastAsia="Times New Roman" w:hAnsi="Times New Roman" w:cs="Times New Roman"/>
          <w:iCs/>
          <w:color w:val="000000"/>
          <w:sz w:val="24"/>
          <w:szCs w:val="24"/>
          <w:lang w:eastAsia="da-DK"/>
        </w:rPr>
        <w:t>r</w:t>
      </w:r>
      <w:r w:rsidR="00830AF8" w:rsidRPr="00933BC8">
        <w:rPr>
          <w:rFonts w:ascii="Times New Roman" w:eastAsia="Times New Roman" w:hAnsi="Times New Roman" w:cs="Times New Roman"/>
          <w:iCs/>
          <w:color w:val="000000"/>
          <w:sz w:val="24"/>
          <w:szCs w:val="24"/>
          <w:lang w:eastAsia="da-DK"/>
        </w:rPr>
        <w:t xml:space="preserve"> indledningen på den fireårige periode for tilladelsesproceduren</w:t>
      </w:r>
      <w:r w:rsidR="00F15DCD" w:rsidRPr="00933BC8">
        <w:rPr>
          <w:rFonts w:ascii="Times New Roman" w:eastAsia="Times New Roman" w:hAnsi="Times New Roman" w:cs="Times New Roman"/>
          <w:iCs/>
          <w:color w:val="000000"/>
          <w:sz w:val="24"/>
          <w:szCs w:val="24"/>
          <w:lang w:eastAsia="da-DK"/>
        </w:rPr>
        <w:t>,</w:t>
      </w:r>
      <w:r w:rsidR="00830AF8" w:rsidRPr="00933BC8">
        <w:rPr>
          <w:rFonts w:ascii="Times New Roman" w:eastAsia="Times New Roman" w:hAnsi="Times New Roman" w:cs="Times New Roman"/>
          <w:iCs/>
          <w:color w:val="000000"/>
          <w:sz w:val="24"/>
          <w:szCs w:val="24"/>
          <w:lang w:eastAsia="da-DK"/>
        </w:rPr>
        <w:t xml:space="preserve"> jf. § 5, stk. 1.</w:t>
      </w:r>
    </w:p>
    <w:p w14:paraId="6641A2D6" w14:textId="68F07206" w:rsidR="009A2120" w:rsidRPr="00933BC8" w:rsidRDefault="00E427DA"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lastRenderedPageBreak/>
        <w:t xml:space="preserve"> Stk. 2. </w:t>
      </w:r>
      <w:r w:rsidRPr="00933BC8">
        <w:rPr>
          <w:rFonts w:ascii="Times New Roman" w:eastAsia="Times New Roman" w:hAnsi="Times New Roman" w:cs="Times New Roman"/>
          <w:iCs/>
          <w:color w:val="000000"/>
          <w:sz w:val="24"/>
          <w:szCs w:val="24"/>
          <w:lang w:eastAsia="da-DK"/>
        </w:rPr>
        <w:t>Ved anmeldelse af projekt efter stk. 1</w:t>
      </w:r>
      <w:r w:rsidR="000575F1">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benyttes den til enhver tid gældende </w:t>
      </w:r>
      <w:r w:rsidR="00210CBF">
        <w:rPr>
          <w:rFonts w:ascii="Times New Roman" w:eastAsia="Times New Roman" w:hAnsi="Times New Roman" w:cs="Times New Roman"/>
          <w:iCs/>
          <w:color w:val="000000"/>
          <w:sz w:val="24"/>
          <w:szCs w:val="24"/>
          <w:lang w:eastAsia="da-DK"/>
        </w:rPr>
        <w:t>anmeldelsesblanket</w:t>
      </w:r>
      <w:r w:rsidR="00210CBF"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 xml:space="preserve">på Trafikstyrelsens hjemmeside. Trafikstyrelsen sikrer, at detaljeringsgraden af oplysningerne og de relevante dokumenter, som bygherre skal indgive i forbindelse med anmeldelsen, følger af </w:t>
      </w:r>
      <w:r w:rsidR="00210CBF">
        <w:rPr>
          <w:rFonts w:ascii="Times New Roman" w:eastAsia="Times New Roman" w:hAnsi="Times New Roman" w:cs="Times New Roman"/>
          <w:iCs/>
          <w:color w:val="000000"/>
          <w:sz w:val="24"/>
          <w:szCs w:val="24"/>
          <w:lang w:eastAsia="da-DK"/>
        </w:rPr>
        <w:t>anmeldelsesblanketten</w:t>
      </w:r>
      <w:r w:rsidRPr="00933BC8">
        <w:rPr>
          <w:rFonts w:ascii="Times New Roman" w:eastAsia="Times New Roman" w:hAnsi="Times New Roman" w:cs="Times New Roman"/>
          <w:iCs/>
          <w:color w:val="000000"/>
          <w:sz w:val="24"/>
          <w:szCs w:val="24"/>
          <w:lang w:eastAsia="da-DK"/>
        </w:rPr>
        <w:t xml:space="preserve">.  </w:t>
      </w:r>
    </w:p>
    <w:p w14:paraId="0816D168" w14:textId="6B53436B" w:rsidR="00E427DA" w:rsidRPr="00933BC8" w:rsidRDefault="004D43EC" w:rsidP="004D43EC">
      <w:pPr>
        <w:spacing w:before="100" w:beforeAutospacing="1" w:line="240" w:lineRule="auto"/>
        <w:ind w:firstLine="170"/>
        <w:rPr>
          <w:rStyle w:val="Kommentarhenvisning"/>
          <w:rFonts w:ascii="Times New Roman" w:hAnsi="Times New Roman" w:cs="Times New Roman"/>
        </w:rPr>
      </w:pPr>
      <w:r w:rsidRPr="00933BC8">
        <w:rPr>
          <w:rFonts w:ascii="Times New Roman" w:eastAsia="Times New Roman" w:hAnsi="Times New Roman" w:cs="Times New Roman"/>
          <w:i/>
          <w:iCs/>
          <w:color w:val="000000"/>
          <w:sz w:val="24"/>
          <w:szCs w:val="24"/>
          <w:lang w:eastAsia="da-DK"/>
        </w:rPr>
        <w:t xml:space="preserve">Stk. </w:t>
      </w:r>
      <w:r w:rsidR="00E46490" w:rsidRPr="00933BC8">
        <w:rPr>
          <w:rFonts w:ascii="Times New Roman" w:eastAsia="Times New Roman" w:hAnsi="Times New Roman" w:cs="Times New Roman"/>
          <w:i/>
          <w:iCs/>
          <w:color w:val="000000"/>
          <w:sz w:val="24"/>
          <w:szCs w:val="24"/>
          <w:lang w:eastAsia="da-DK"/>
        </w:rPr>
        <w:t>3</w:t>
      </w:r>
      <w:r w:rsidRPr="00933BC8">
        <w:rPr>
          <w:rFonts w:ascii="Times New Roman" w:eastAsia="Times New Roman" w:hAnsi="Times New Roman" w:cs="Times New Roman"/>
          <w:i/>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Trafikstyrelsen vurderer modenheden af det anmeldte projekt ud f</w:t>
      </w:r>
      <w:r w:rsidR="004E3E6A" w:rsidRPr="00933BC8">
        <w:rPr>
          <w:rFonts w:ascii="Times New Roman" w:eastAsia="Times New Roman" w:hAnsi="Times New Roman" w:cs="Times New Roman"/>
          <w:iCs/>
          <w:color w:val="000000"/>
          <w:sz w:val="24"/>
          <w:szCs w:val="24"/>
          <w:lang w:eastAsia="da-DK"/>
        </w:rPr>
        <w:t>ra de oplysninger, som bygherre</w:t>
      </w:r>
      <w:r w:rsidRPr="00933BC8">
        <w:rPr>
          <w:rFonts w:ascii="Times New Roman" w:eastAsia="Times New Roman" w:hAnsi="Times New Roman" w:cs="Times New Roman"/>
          <w:iCs/>
          <w:color w:val="000000"/>
          <w:sz w:val="24"/>
          <w:szCs w:val="24"/>
          <w:lang w:eastAsia="da-DK"/>
        </w:rPr>
        <w:t xml:space="preserve"> har anmeldt i </w:t>
      </w:r>
      <w:r w:rsidR="00210CBF">
        <w:rPr>
          <w:rFonts w:ascii="Times New Roman" w:eastAsia="Times New Roman" w:hAnsi="Times New Roman" w:cs="Times New Roman"/>
          <w:iCs/>
          <w:color w:val="000000"/>
          <w:sz w:val="24"/>
          <w:szCs w:val="24"/>
          <w:lang w:eastAsia="da-DK"/>
        </w:rPr>
        <w:t>anmeldelses</w:t>
      </w:r>
      <w:r w:rsidR="00210CBF" w:rsidRPr="00933BC8">
        <w:rPr>
          <w:rFonts w:ascii="Times New Roman" w:eastAsia="Times New Roman" w:hAnsi="Times New Roman" w:cs="Times New Roman"/>
          <w:iCs/>
          <w:color w:val="000000"/>
          <w:sz w:val="24"/>
          <w:szCs w:val="24"/>
          <w:lang w:eastAsia="da-DK"/>
        </w:rPr>
        <w:t xml:space="preserve">blanketten </w:t>
      </w:r>
      <w:r w:rsidRPr="00933BC8">
        <w:rPr>
          <w:rFonts w:ascii="Times New Roman" w:eastAsia="Times New Roman" w:hAnsi="Times New Roman" w:cs="Times New Roman"/>
          <w:iCs/>
          <w:color w:val="000000"/>
          <w:sz w:val="24"/>
          <w:szCs w:val="24"/>
          <w:lang w:eastAsia="da-DK"/>
        </w:rPr>
        <w:t xml:space="preserve">i henhold til stk. 2, navnlig 1) detaljeringsgraden af oplysningerne, 2) projektets tids- og projektplan og 3) projektets finansieringsplan. </w:t>
      </w:r>
      <w:r w:rsidRPr="00933BC8" w:rsidDel="004D43EC">
        <w:rPr>
          <w:rStyle w:val="Kommentarhenvisning"/>
          <w:rFonts w:ascii="Times New Roman" w:hAnsi="Times New Roman" w:cs="Times New Roman"/>
        </w:rPr>
        <w:t xml:space="preserve"> </w:t>
      </w:r>
    </w:p>
    <w:p w14:paraId="1C376111" w14:textId="3ECBFE97" w:rsidR="00E46490" w:rsidRPr="00933BC8" w:rsidRDefault="00E46490" w:rsidP="004D43E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4. </w:t>
      </w:r>
      <w:r w:rsidRPr="00933BC8">
        <w:rPr>
          <w:rFonts w:ascii="Times New Roman" w:eastAsia="Times New Roman" w:hAnsi="Times New Roman" w:cs="Times New Roman"/>
          <w:iCs/>
          <w:color w:val="000000"/>
          <w:sz w:val="24"/>
          <w:szCs w:val="24"/>
          <w:lang w:eastAsia="da-DK"/>
        </w:rPr>
        <w:t>Vurderer Trafikstyrelsen, at det anmeldte projekt i henhold til stk. 1, ikke er modent, afviser Trafikstyrelsen anmeldelsen ved en behørigt begrundet afgørelse sen</w:t>
      </w:r>
      <w:r w:rsidR="004E3E6A" w:rsidRPr="00933BC8">
        <w:rPr>
          <w:rFonts w:ascii="Times New Roman" w:eastAsia="Times New Roman" w:hAnsi="Times New Roman" w:cs="Times New Roman"/>
          <w:iCs/>
          <w:color w:val="000000"/>
          <w:sz w:val="24"/>
          <w:szCs w:val="24"/>
          <w:lang w:eastAsia="da-DK"/>
        </w:rPr>
        <w:t>est fire måneder efter bygherre</w:t>
      </w:r>
      <w:r w:rsidRPr="00933BC8">
        <w:rPr>
          <w:rFonts w:ascii="Times New Roman" w:eastAsia="Times New Roman" w:hAnsi="Times New Roman" w:cs="Times New Roman"/>
          <w:iCs/>
          <w:color w:val="000000"/>
          <w:sz w:val="24"/>
          <w:szCs w:val="24"/>
          <w:lang w:eastAsia="da-DK"/>
        </w:rPr>
        <w:t xml:space="preserve">s anmeldelse af projektet. </w:t>
      </w:r>
    </w:p>
    <w:p w14:paraId="5CAD285F" w14:textId="2C912895" w:rsidR="005241D9" w:rsidRPr="00933BC8" w:rsidRDefault="005241D9" w:rsidP="004D43EC">
      <w:pPr>
        <w:spacing w:before="100" w:beforeAutospacing="1" w:line="240" w:lineRule="auto"/>
        <w:ind w:firstLine="170"/>
        <w:rPr>
          <w:rFonts w:ascii="Times New Roman" w:eastAsia="Times New Roman" w:hAnsi="Times New Roman" w:cs="Times New Roman"/>
          <w:iCs/>
          <w:color w:val="auto"/>
          <w:sz w:val="24"/>
          <w:szCs w:val="24"/>
          <w:lang w:eastAsia="da-DK"/>
        </w:rPr>
      </w:pPr>
      <w:r w:rsidRPr="00933BC8">
        <w:rPr>
          <w:rFonts w:ascii="Times New Roman" w:eastAsia="Times New Roman" w:hAnsi="Times New Roman" w:cs="Times New Roman"/>
          <w:iCs/>
          <w:color w:val="auto"/>
          <w:sz w:val="24"/>
          <w:szCs w:val="24"/>
          <w:lang w:eastAsia="da-DK"/>
        </w:rPr>
        <w:t xml:space="preserve">§ </w:t>
      </w:r>
      <w:r w:rsidRPr="00933BC8">
        <w:rPr>
          <w:rFonts w:ascii="Times New Roman" w:eastAsia="Times New Roman" w:hAnsi="Times New Roman" w:cs="Times New Roman"/>
          <w:b/>
          <w:iCs/>
          <w:color w:val="auto"/>
          <w:sz w:val="24"/>
          <w:szCs w:val="24"/>
          <w:lang w:eastAsia="da-DK"/>
        </w:rPr>
        <w:t>9.</w:t>
      </w:r>
      <w:r w:rsidRPr="00933BC8">
        <w:rPr>
          <w:rFonts w:ascii="Times New Roman" w:eastAsia="Times New Roman" w:hAnsi="Times New Roman" w:cs="Times New Roman"/>
          <w:iCs/>
          <w:color w:val="auto"/>
          <w:sz w:val="24"/>
          <w:szCs w:val="24"/>
          <w:lang w:eastAsia="da-DK"/>
        </w:rPr>
        <w:t xml:space="preserve"> </w:t>
      </w:r>
      <w:r w:rsidR="009A69BA" w:rsidRPr="00933BC8">
        <w:rPr>
          <w:rFonts w:ascii="Times New Roman" w:eastAsia="Times New Roman" w:hAnsi="Times New Roman" w:cs="Times New Roman"/>
          <w:iCs/>
          <w:color w:val="auto"/>
          <w:sz w:val="24"/>
          <w:szCs w:val="24"/>
          <w:lang w:eastAsia="da-DK"/>
        </w:rPr>
        <w:t xml:space="preserve">Når Trafikstyrelsen har modtaget anmeldelsen i henhold til § 8, stk. 1, oplyser Trafikstyrelsen </w:t>
      </w:r>
      <w:r w:rsidR="002D483F" w:rsidRPr="00933BC8">
        <w:rPr>
          <w:rFonts w:ascii="Times New Roman" w:eastAsia="Times New Roman" w:hAnsi="Times New Roman" w:cs="Times New Roman"/>
          <w:iCs/>
          <w:color w:val="auto"/>
          <w:sz w:val="24"/>
          <w:szCs w:val="24"/>
          <w:lang w:eastAsia="da-DK"/>
        </w:rPr>
        <w:t xml:space="preserve">de </w:t>
      </w:r>
      <w:r w:rsidRPr="00933BC8">
        <w:rPr>
          <w:rFonts w:ascii="Times New Roman" w:eastAsia="Times New Roman" w:hAnsi="Times New Roman" w:cs="Times New Roman"/>
          <w:iCs/>
          <w:color w:val="auto"/>
          <w:sz w:val="24"/>
          <w:szCs w:val="24"/>
          <w:lang w:eastAsia="da-DK"/>
        </w:rPr>
        <w:t>myndighed</w:t>
      </w:r>
      <w:r w:rsidR="009A69BA" w:rsidRPr="00933BC8">
        <w:rPr>
          <w:rFonts w:ascii="Times New Roman" w:eastAsia="Times New Roman" w:hAnsi="Times New Roman" w:cs="Times New Roman"/>
          <w:iCs/>
          <w:color w:val="auto"/>
          <w:sz w:val="24"/>
          <w:szCs w:val="24"/>
          <w:lang w:eastAsia="da-DK"/>
        </w:rPr>
        <w:t>er</w:t>
      </w:r>
      <w:r w:rsidRPr="00933BC8">
        <w:rPr>
          <w:rFonts w:ascii="Times New Roman" w:eastAsia="Times New Roman" w:hAnsi="Times New Roman" w:cs="Times New Roman"/>
          <w:iCs/>
          <w:color w:val="auto"/>
          <w:sz w:val="24"/>
          <w:szCs w:val="24"/>
          <w:lang w:eastAsia="da-DK"/>
        </w:rPr>
        <w:t xml:space="preserve">, </w:t>
      </w:r>
      <w:r w:rsidR="00C774A1" w:rsidRPr="00933BC8">
        <w:rPr>
          <w:rFonts w:ascii="Times New Roman" w:eastAsia="Times New Roman" w:hAnsi="Times New Roman" w:cs="Times New Roman"/>
          <w:iCs/>
          <w:color w:val="auto"/>
          <w:sz w:val="24"/>
          <w:szCs w:val="24"/>
          <w:lang w:eastAsia="da-DK"/>
        </w:rPr>
        <w:t>som</w:t>
      </w:r>
      <w:r w:rsidR="000F3352" w:rsidRPr="00933BC8">
        <w:rPr>
          <w:rFonts w:ascii="Times New Roman" w:eastAsia="Times New Roman" w:hAnsi="Times New Roman" w:cs="Times New Roman"/>
          <w:iCs/>
          <w:color w:val="auto"/>
          <w:sz w:val="24"/>
          <w:szCs w:val="24"/>
          <w:lang w:eastAsia="da-DK"/>
        </w:rPr>
        <w:t xml:space="preserve"> er</w:t>
      </w:r>
      <w:r w:rsidR="00C774A1" w:rsidRPr="00933BC8">
        <w:rPr>
          <w:rFonts w:ascii="Times New Roman" w:eastAsia="Times New Roman" w:hAnsi="Times New Roman" w:cs="Times New Roman"/>
          <w:iCs/>
          <w:color w:val="auto"/>
          <w:sz w:val="24"/>
          <w:szCs w:val="24"/>
          <w:lang w:eastAsia="da-DK"/>
        </w:rPr>
        <w:t xml:space="preserve"> </w:t>
      </w:r>
      <w:r w:rsidR="00473963" w:rsidRPr="00933BC8">
        <w:rPr>
          <w:rFonts w:ascii="Times New Roman" w:eastAsia="Times New Roman" w:hAnsi="Times New Roman" w:cs="Times New Roman"/>
          <w:iCs/>
          <w:color w:val="auto"/>
          <w:sz w:val="24"/>
          <w:szCs w:val="24"/>
          <w:lang w:eastAsia="da-DK"/>
        </w:rPr>
        <w:t>involveret i</w:t>
      </w:r>
      <w:r w:rsidR="00C774A1" w:rsidRPr="00933BC8">
        <w:rPr>
          <w:rFonts w:ascii="Times New Roman" w:eastAsia="Times New Roman" w:hAnsi="Times New Roman" w:cs="Times New Roman"/>
          <w:iCs/>
          <w:color w:val="auto"/>
          <w:sz w:val="24"/>
          <w:szCs w:val="24"/>
          <w:lang w:eastAsia="da-DK"/>
        </w:rPr>
        <w:t xml:space="preserve"> </w:t>
      </w:r>
      <w:r w:rsidR="00643948" w:rsidRPr="00933BC8">
        <w:rPr>
          <w:rFonts w:ascii="Times New Roman" w:eastAsia="Times New Roman" w:hAnsi="Times New Roman" w:cs="Times New Roman"/>
          <w:iCs/>
          <w:color w:val="auto"/>
          <w:sz w:val="24"/>
          <w:szCs w:val="24"/>
          <w:lang w:eastAsia="da-DK"/>
        </w:rPr>
        <w:t>tilladelsesproceduren for det anmeldte projekt</w:t>
      </w:r>
      <w:r w:rsidR="00F15DCD" w:rsidRPr="00933BC8">
        <w:rPr>
          <w:rFonts w:ascii="Times New Roman" w:eastAsia="Times New Roman" w:hAnsi="Times New Roman" w:cs="Times New Roman"/>
          <w:iCs/>
          <w:color w:val="auto"/>
          <w:sz w:val="24"/>
          <w:szCs w:val="24"/>
          <w:lang w:eastAsia="da-DK"/>
        </w:rPr>
        <w:t>,</w:t>
      </w:r>
      <w:r w:rsidR="009A69BA" w:rsidRPr="00933BC8">
        <w:rPr>
          <w:rFonts w:ascii="Times New Roman" w:eastAsia="Times New Roman" w:hAnsi="Times New Roman" w:cs="Times New Roman"/>
          <w:iCs/>
          <w:color w:val="auto"/>
          <w:sz w:val="24"/>
          <w:szCs w:val="24"/>
          <w:lang w:eastAsia="da-DK"/>
        </w:rPr>
        <w:t xml:space="preserve"> </w:t>
      </w:r>
      <w:r w:rsidR="005B1627" w:rsidRPr="00933BC8">
        <w:rPr>
          <w:rFonts w:ascii="Times New Roman" w:eastAsia="Times New Roman" w:hAnsi="Times New Roman" w:cs="Times New Roman"/>
          <w:iCs/>
          <w:color w:val="auto"/>
          <w:sz w:val="24"/>
          <w:szCs w:val="24"/>
          <w:lang w:eastAsia="da-DK"/>
        </w:rPr>
        <w:t>om,</w:t>
      </w:r>
      <w:r w:rsidR="00C774A1" w:rsidRPr="00933BC8">
        <w:rPr>
          <w:rFonts w:ascii="Times New Roman" w:eastAsia="Times New Roman" w:hAnsi="Times New Roman" w:cs="Times New Roman"/>
          <w:iCs/>
          <w:color w:val="auto"/>
          <w:sz w:val="24"/>
          <w:szCs w:val="24"/>
          <w:lang w:eastAsia="da-DK"/>
        </w:rPr>
        <w:t xml:space="preserve"> </w:t>
      </w:r>
      <w:r w:rsidR="00643948" w:rsidRPr="00933BC8">
        <w:rPr>
          <w:rFonts w:ascii="Times New Roman" w:eastAsia="Times New Roman" w:hAnsi="Times New Roman" w:cs="Times New Roman"/>
          <w:iCs/>
          <w:color w:val="auto"/>
          <w:sz w:val="24"/>
          <w:szCs w:val="24"/>
          <w:lang w:eastAsia="da-DK"/>
        </w:rPr>
        <w:t>at tilladelsesproceduren påbegyndes i henhold til §</w:t>
      </w:r>
      <w:r w:rsidR="005B1627" w:rsidRPr="00933BC8">
        <w:rPr>
          <w:rFonts w:ascii="Times New Roman" w:eastAsia="Times New Roman" w:hAnsi="Times New Roman" w:cs="Times New Roman"/>
          <w:iCs/>
          <w:color w:val="auto"/>
          <w:sz w:val="24"/>
          <w:szCs w:val="24"/>
          <w:lang w:eastAsia="da-DK"/>
        </w:rPr>
        <w:t xml:space="preserve"> </w:t>
      </w:r>
      <w:r w:rsidR="00643948" w:rsidRPr="00933BC8">
        <w:rPr>
          <w:rFonts w:ascii="Times New Roman" w:eastAsia="Times New Roman" w:hAnsi="Times New Roman" w:cs="Times New Roman"/>
          <w:iCs/>
          <w:color w:val="auto"/>
          <w:sz w:val="24"/>
          <w:szCs w:val="24"/>
          <w:lang w:eastAsia="da-DK"/>
        </w:rPr>
        <w:t xml:space="preserve">5, stk. 1, </w:t>
      </w:r>
      <w:r w:rsidR="00117CB4" w:rsidRPr="00933BC8">
        <w:rPr>
          <w:rFonts w:ascii="Times New Roman" w:eastAsia="Times New Roman" w:hAnsi="Times New Roman" w:cs="Times New Roman"/>
          <w:iCs/>
          <w:color w:val="auto"/>
          <w:sz w:val="24"/>
          <w:szCs w:val="24"/>
          <w:lang w:eastAsia="da-DK"/>
        </w:rPr>
        <w:t>jf. dog §</w:t>
      </w:r>
      <w:r w:rsidR="005B1627" w:rsidRPr="00933BC8">
        <w:rPr>
          <w:rFonts w:ascii="Times New Roman" w:eastAsia="Times New Roman" w:hAnsi="Times New Roman" w:cs="Times New Roman"/>
          <w:iCs/>
          <w:color w:val="auto"/>
          <w:sz w:val="24"/>
          <w:szCs w:val="24"/>
          <w:lang w:eastAsia="da-DK"/>
        </w:rPr>
        <w:t xml:space="preserve"> </w:t>
      </w:r>
      <w:r w:rsidR="00117CB4" w:rsidRPr="00933BC8">
        <w:rPr>
          <w:rFonts w:ascii="Times New Roman" w:eastAsia="Times New Roman" w:hAnsi="Times New Roman" w:cs="Times New Roman"/>
          <w:iCs/>
          <w:color w:val="auto"/>
          <w:sz w:val="24"/>
          <w:szCs w:val="24"/>
          <w:lang w:eastAsia="da-DK"/>
        </w:rPr>
        <w:t xml:space="preserve">8, stk. </w:t>
      </w:r>
      <w:r w:rsidR="00785366">
        <w:rPr>
          <w:rFonts w:ascii="Times New Roman" w:eastAsia="Times New Roman" w:hAnsi="Times New Roman" w:cs="Times New Roman"/>
          <w:iCs/>
          <w:color w:val="auto"/>
          <w:sz w:val="24"/>
          <w:szCs w:val="24"/>
          <w:lang w:eastAsia="da-DK"/>
        </w:rPr>
        <w:t>4</w:t>
      </w:r>
      <w:r w:rsidR="00117CB4" w:rsidRPr="00933BC8">
        <w:rPr>
          <w:rFonts w:ascii="Times New Roman" w:eastAsia="Times New Roman" w:hAnsi="Times New Roman" w:cs="Times New Roman"/>
          <w:iCs/>
          <w:color w:val="auto"/>
          <w:sz w:val="24"/>
          <w:szCs w:val="24"/>
          <w:lang w:eastAsia="da-DK"/>
        </w:rPr>
        <w:t>.</w:t>
      </w:r>
    </w:p>
    <w:p w14:paraId="3AACCF23" w14:textId="08E00917" w:rsidR="00443862" w:rsidRPr="00933BC8" w:rsidRDefault="00443862" w:rsidP="004D43EC">
      <w:pPr>
        <w:spacing w:before="100" w:beforeAutospacing="1" w:line="240" w:lineRule="auto"/>
        <w:ind w:firstLine="170"/>
        <w:rPr>
          <w:rFonts w:ascii="Times New Roman" w:eastAsia="Times New Roman" w:hAnsi="Times New Roman" w:cs="Times New Roman"/>
          <w:iCs/>
          <w:color w:val="auto"/>
          <w:sz w:val="24"/>
          <w:szCs w:val="24"/>
          <w:lang w:eastAsia="da-DK"/>
        </w:rPr>
      </w:pPr>
      <w:r w:rsidRPr="00933BC8">
        <w:rPr>
          <w:rFonts w:ascii="Times New Roman" w:eastAsia="Times New Roman" w:hAnsi="Times New Roman" w:cs="Times New Roman"/>
          <w:i/>
          <w:iCs/>
          <w:color w:val="auto"/>
          <w:sz w:val="24"/>
          <w:szCs w:val="24"/>
          <w:lang w:eastAsia="da-DK"/>
        </w:rPr>
        <w:t>Stk. 2</w:t>
      </w:r>
      <w:r w:rsidR="00830AF8" w:rsidRPr="00933BC8">
        <w:rPr>
          <w:rFonts w:ascii="Times New Roman" w:eastAsia="Times New Roman" w:hAnsi="Times New Roman" w:cs="Times New Roman"/>
          <w:iCs/>
          <w:color w:val="auto"/>
          <w:sz w:val="24"/>
          <w:szCs w:val="24"/>
          <w:lang w:eastAsia="da-DK"/>
        </w:rPr>
        <w:t>. Trafikstyrelsen oplyser myndighederne om deres forpligtigelser med henblik på at sikre, at tilladelsesproceduren</w:t>
      </w:r>
      <w:r w:rsidR="000F3352" w:rsidRPr="00933BC8">
        <w:rPr>
          <w:rFonts w:ascii="Times New Roman" w:eastAsia="Times New Roman" w:hAnsi="Times New Roman" w:cs="Times New Roman"/>
          <w:iCs/>
          <w:color w:val="auto"/>
          <w:sz w:val="24"/>
          <w:szCs w:val="24"/>
          <w:lang w:eastAsia="da-DK"/>
        </w:rPr>
        <w:t>,</w:t>
      </w:r>
      <w:r w:rsidR="00830AF8" w:rsidRPr="00933BC8">
        <w:rPr>
          <w:rFonts w:ascii="Times New Roman" w:eastAsia="Times New Roman" w:hAnsi="Times New Roman" w:cs="Times New Roman"/>
          <w:iCs/>
          <w:color w:val="auto"/>
          <w:sz w:val="24"/>
          <w:szCs w:val="24"/>
          <w:lang w:eastAsia="da-DK"/>
        </w:rPr>
        <w:t xml:space="preserve"> som</w:t>
      </w:r>
      <w:r w:rsidR="000F3352" w:rsidRPr="00933BC8">
        <w:rPr>
          <w:rFonts w:ascii="Times New Roman" w:eastAsia="Times New Roman" w:hAnsi="Times New Roman" w:cs="Times New Roman"/>
          <w:iCs/>
          <w:color w:val="auto"/>
          <w:sz w:val="24"/>
          <w:szCs w:val="24"/>
          <w:lang w:eastAsia="da-DK"/>
        </w:rPr>
        <w:t xml:space="preserve"> er</w:t>
      </w:r>
      <w:r w:rsidR="00830AF8" w:rsidRPr="00933BC8">
        <w:rPr>
          <w:rFonts w:ascii="Times New Roman" w:eastAsia="Times New Roman" w:hAnsi="Times New Roman" w:cs="Times New Roman"/>
          <w:iCs/>
          <w:color w:val="auto"/>
          <w:sz w:val="24"/>
          <w:szCs w:val="24"/>
          <w:lang w:eastAsia="da-DK"/>
        </w:rPr>
        <w:t xml:space="preserve"> fastsat i §</w:t>
      </w:r>
      <w:r w:rsidR="009A69BA" w:rsidRPr="00933BC8">
        <w:rPr>
          <w:rFonts w:ascii="Times New Roman" w:eastAsia="Times New Roman" w:hAnsi="Times New Roman" w:cs="Times New Roman"/>
          <w:iCs/>
          <w:color w:val="auto"/>
          <w:sz w:val="24"/>
          <w:szCs w:val="24"/>
          <w:lang w:eastAsia="da-DK"/>
        </w:rPr>
        <w:t xml:space="preserve"> </w:t>
      </w:r>
      <w:r w:rsidR="00830AF8" w:rsidRPr="00933BC8">
        <w:rPr>
          <w:rFonts w:ascii="Times New Roman" w:eastAsia="Times New Roman" w:hAnsi="Times New Roman" w:cs="Times New Roman"/>
          <w:iCs/>
          <w:color w:val="auto"/>
          <w:sz w:val="24"/>
          <w:szCs w:val="24"/>
          <w:lang w:eastAsia="da-DK"/>
        </w:rPr>
        <w:t xml:space="preserve">5, stk. 1, overholdes. </w:t>
      </w:r>
    </w:p>
    <w:p w14:paraId="1ADDD1BD" w14:textId="60FE8D9B" w:rsidR="00473963" w:rsidRPr="00933BC8" w:rsidRDefault="0088131C" w:rsidP="0088131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10.</w:t>
      </w:r>
      <w:r w:rsidRPr="00933BC8">
        <w:rPr>
          <w:rFonts w:ascii="Times New Roman" w:eastAsia="Times New Roman" w:hAnsi="Times New Roman" w:cs="Times New Roman"/>
          <w:iCs/>
          <w:color w:val="000000"/>
          <w:sz w:val="24"/>
          <w:szCs w:val="24"/>
          <w:lang w:eastAsia="da-DK"/>
        </w:rPr>
        <w:t xml:space="preserve"> </w:t>
      </w:r>
      <w:r w:rsidR="00473963" w:rsidRPr="00933BC8">
        <w:rPr>
          <w:rFonts w:ascii="Times New Roman" w:eastAsia="Times New Roman" w:hAnsi="Times New Roman" w:cs="Times New Roman"/>
          <w:iCs/>
          <w:color w:val="000000"/>
          <w:sz w:val="24"/>
          <w:szCs w:val="24"/>
          <w:lang w:eastAsia="da-DK"/>
        </w:rPr>
        <w:t xml:space="preserve">Myndighederne involveret i tilladelsesproceduren underretter Trafikstyrelsen, når </w:t>
      </w:r>
      <w:r w:rsidR="00443862" w:rsidRPr="00933BC8">
        <w:rPr>
          <w:rFonts w:ascii="Times New Roman" w:eastAsia="Times New Roman" w:hAnsi="Times New Roman" w:cs="Times New Roman"/>
          <w:iCs/>
          <w:color w:val="000000"/>
          <w:sz w:val="24"/>
          <w:szCs w:val="24"/>
          <w:lang w:eastAsia="da-DK"/>
        </w:rPr>
        <w:t>myndighederne</w:t>
      </w:r>
      <w:r w:rsidR="00473963" w:rsidRPr="00933BC8">
        <w:rPr>
          <w:rFonts w:ascii="Times New Roman" w:eastAsia="Times New Roman" w:hAnsi="Times New Roman" w:cs="Times New Roman"/>
          <w:iCs/>
          <w:color w:val="000000"/>
          <w:sz w:val="24"/>
          <w:szCs w:val="24"/>
          <w:lang w:eastAsia="da-DK"/>
        </w:rPr>
        <w:t xml:space="preserve"> har udstedt de pågældende tilladelser, afgørelser eller udtalelser </w:t>
      </w:r>
      <w:r w:rsidR="00443862" w:rsidRPr="00933BC8">
        <w:rPr>
          <w:rFonts w:ascii="Times New Roman" w:eastAsia="Times New Roman" w:hAnsi="Times New Roman" w:cs="Times New Roman"/>
          <w:iCs/>
          <w:color w:val="000000"/>
          <w:sz w:val="24"/>
          <w:szCs w:val="24"/>
          <w:lang w:eastAsia="da-DK"/>
        </w:rPr>
        <w:t xml:space="preserve">for det anmeldte projekt. </w:t>
      </w:r>
    </w:p>
    <w:p w14:paraId="688F5AD8" w14:textId="64D7872B" w:rsidR="009A69BA" w:rsidRPr="00933BC8" w:rsidRDefault="009A69BA" w:rsidP="0088131C">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 xml:space="preserve">11. </w:t>
      </w:r>
      <w:r w:rsidRPr="00933BC8">
        <w:rPr>
          <w:rFonts w:ascii="Times New Roman" w:eastAsia="Times New Roman" w:hAnsi="Times New Roman" w:cs="Times New Roman"/>
          <w:iCs/>
          <w:color w:val="000000"/>
          <w:sz w:val="24"/>
          <w:szCs w:val="24"/>
          <w:lang w:eastAsia="da-DK"/>
        </w:rPr>
        <w:t>Tilladelsesproceduren for det anmeldte projekt anses som afsluttet, når den sidste tilladelse, afgørelse eller udtalelse, som</w:t>
      </w:r>
      <w:r w:rsidR="000F3352" w:rsidRPr="00933BC8">
        <w:rPr>
          <w:rFonts w:ascii="Times New Roman" w:eastAsia="Times New Roman" w:hAnsi="Times New Roman" w:cs="Times New Roman"/>
          <w:iCs/>
          <w:color w:val="000000"/>
          <w:sz w:val="24"/>
          <w:szCs w:val="24"/>
          <w:lang w:eastAsia="da-DK"/>
        </w:rPr>
        <w:t xml:space="preserve"> er</w:t>
      </w:r>
      <w:r w:rsidRPr="00933BC8">
        <w:rPr>
          <w:rFonts w:ascii="Times New Roman" w:eastAsia="Times New Roman" w:hAnsi="Times New Roman" w:cs="Times New Roman"/>
          <w:iCs/>
          <w:color w:val="000000"/>
          <w:sz w:val="24"/>
          <w:szCs w:val="24"/>
          <w:lang w:eastAsia="da-DK"/>
        </w:rPr>
        <w:t xml:space="preserve"> omfattet af tilladelsesproceduren, </w:t>
      </w:r>
      <w:r w:rsidR="00DD25A6" w:rsidRPr="00933BC8">
        <w:rPr>
          <w:rFonts w:ascii="Times New Roman" w:eastAsia="Times New Roman" w:hAnsi="Times New Roman" w:cs="Times New Roman"/>
          <w:iCs/>
          <w:color w:val="000000"/>
          <w:sz w:val="24"/>
          <w:szCs w:val="24"/>
          <w:lang w:eastAsia="da-DK"/>
        </w:rPr>
        <w:t xml:space="preserve">er udstedt, jf. dog § 5, stk. 4.   </w:t>
      </w:r>
      <w:r w:rsidRPr="00933BC8">
        <w:rPr>
          <w:rFonts w:ascii="Times New Roman" w:eastAsia="Times New Roman" w:hAnsi="Times New Roman" w:cs="Times New Roman"/>
          <w:iCs/>
          <w:color w:val="000000"/>
          <w:sz w:val="24"/>
          <w:szCs w:val="24"/>
          <w:lang w:eastAsia="da-DK"/>
        </w:rPr>
        <w:t xml:space="preserve">   </w:t>
      </w:r>
    </w:p>
    <w:p w14:paraId="65E76FCB" w14:textId="265B7864" w:rsidR="000F3352" w:rsidRPr="00933BC8" w:rsidRDefault="00DD25A6" w:rsidP="00071428">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Stk. 2.</w:t>
      </w:r>
      <w:r w:rsidRPr="00933BC8">
        <w:rPr>
          <w:rFonts w:ascii="Times New Roman" w:eastAsia="Times New Roman" w:hAnsi="Times New Roman" w:cs="Times New Roman"/>
          <w:iCs/>
          <w:color w:val="000000"/>
          <w:sz w:val="24"/>
          <w:szCs w:val="24"/>
          <w:lang w:eastAsia="da-DK"/>
        </w:rPr>
        <w:t xml:space="preserve"> Når den sidste tilladelse for det anmeldte projekt er udstedt og oplyst til Trafikstyrelsen i henhold til § 10, info</w:t>
      </w:r>
      <w:r w:rsidR="004E3E6A" w:rsidRPr="00933BC8">
        <w:rPr>
          <w:rFonts w:ascii="Times New Roman" w:eastAsia="Times New Roman" w:hAnsi="Times New Roman" w:cs="Times New Roman"/>
          <w:iCs/>
          <w:color w:val="000000"/>
          <w:sz w:val="24"/>
          <w:szCs w:val="24"/>
          <w:lang w:eastAsia="da-DK"/>
        </w:rPr>
        <w:t>rmerer Trafikstyrelsen bygherre</w:t>
      </w:r>
      <w:r w:rsidRPr="00933BC8">
        <w:rPr>
          <w:rFonts w:ascii="Times New Roman" w:eastAsia="Times New Roman" w:hAnsi="Times New Roman" w:cs="Times New Roman"/>
          <w:iCs/>
          <w:color w:val="000000"/>
          <w:sz w:val="24"/>
          <w:szCs w:val="24"/>
          <w:lang w:eastAsia="da-DK"/>
        </w:rPr>
        <w:t xml:space="preserve"> om, at tilladelsesproceduren for det anmeldte projekt er afsluttet.</w:t>
      </w:r>
    </w:p>
    <w:p w14:paraId="6BBC0C10" w14:textId="1E26499B" w:rsidR="0005500A" w:rsidRPr="00933BC8" w:rsidRDefault="000F3352" w:rsidP="00071428">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12.</w:t>
      </w:r>
      <w:r w:rsidRPr="00933BC8">
        <w:rPr>
          <w:rFonts w:ascii="Times New Roman" w:eastAsia="Times New Roman" w:hAnsi="Times New Roman" w:cs="Times New Roman"/>
          <w:iCs/>
          <w:color w:val="000000"/>
          <w:sz w:val="24"/>
          <w:szCs w:val="24"/>
          <w:lang w:eastAsia="da-DK"/>
        </w:rPr>
        <w:t xml:space="preserve"> Hvor der i henhold til anden lovgivning findes særlige tilladelsesprocedurer for prioriterede projekter, sikrer Trafikstyrelsen, uden at det berører </w:t>
      </w:r>
      <w:r w:rsidR="00E46490" w:rsidRPr="00933BC8">
        <w:rPr>
          <w:rFonts w:ascii="Times New Roman" w:eastAsia="Times New Roman" w:hAnsi="Times New Roman" w:cs="Times New Roman"/>
          <w:iCs/>
          <w:color w:val="000000"/>
          <w:sz w:val="24"/>
          <w:szCs w:val="24"/>
          <w:lang w:eastAsia="da-DK"/>
        </w:rPr>
        <w:t xml:space="preserve">denne bekendtgørelses </w:t>
      </w:r>
      <w:r w:rsidRPr="00933BC8">
        <w:rPr>
          <w:rFonts w:ascii="Times New Roman" w:eastAsia="Times New Roman" w:hAnsi="Times New Roman" w:cs="Times New Roman"/>
          <w:iCs/>
          <w:color w:val="000000"/>
          <w:sz w:val="24"/>
          <w:szCs w:val="24"/>
          <w:lang w:eastAsia="da-DK"/>
        </w:rPr>
        <w:t>mål, krav og frister, at projekter</w:t>
      </w:r>
      <w:r w:rsidR="004E3E6A"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der er omfattet af § 1, håndteres i </w:t>
      </w:r>
      <w:r w:rsidR="0005500A" w:rsidRPr="00933BC8">
        <w:rPr>
          <w:rFonts w:ascii="Times New Roman" w:eastAsia="Times New Roman" w:hAnsi="Times New Roman" w:cs="Times New Roman"/>
          <w:iCs/>
          <w:color w:val="000000"/>
          <w:sz w:val="24"/>
          <w:szCs w:val="24"/>
          <w:lang w:eastAsia="da-DK"/>
        </w:rPr>
        <w:t xml:space="preserve">overensstemmelse med </w:t>
      </w:r>
      <w:r w:rsidRPr="00933BC8">
        <w:rPr>
          <w:rFonts w:ascii="Times New Roman" w:eastAsia="Times New Roman" w:hAnsi="Times New Roman" w:cs="Times New Roman"/>
          <w:iCs/>
          <w:color w:val="000000"/>
          <w:sz w:val="24"/>
          <w:szCs w:val="24"/>
          <w:lang w:eastAsia="da-DK"/>
        </w:rPr>
        <w:t>disse særlige tilladelsesprocedurer.</w:t>
      </w:r>
    </w:p>
    <w:p w14:paraId="42E59F4F" w14:textId="0C4C4C61" w:rsidR="0005500A" w:rsidRPr="00933BC8" w:rsidRDefault="0005500A" w:rsidP="00071428">
      <w:pPr>
        <w:spacing w:before="100" w:beforeAutospacing="1" w:line="240" w:lineRule="auto"/>
        <w:ind w:firstLine="170"/>
        <w:rPr>
          <w:rFonts w:ascii="Times New Roman" w:eastAsia="Times New Roman" w:hAnsi="Times New Roman" w:cs="Times New Roman"/>
          <w:iCs/>
          <w:color w:val="auto"/>
          <w:sz w:val="24"/>
          <w:szCs w:val="24"/>
          <w:lang w:eastAsia="da-DK"/>
        </w:rPr>
      </w:pPr>
      <w:r w:rsidRPr="00933BC8">
        <w:rPr>
          <w:rFonts w:ascii="Times New Roman" w:eastAsia="Times New Roman" w:hAnsi="Times New Roman" w:cs="Times New Roman"/>
          <w:i/>
          <w:iCs/>
          <w:color w:val="auto"/>
          <w:sz w:val="24"/>
          <w:szCs w:val="24"/>
          <w:lang w:eastAsia="da-DK"/>
        </w:rPr>
        <w:t>Stk. 2.</w:t>
      </w:r>
      <w:r w:rsidRPr="00933BC8">
        <w:rPr>
          <w:rFonts w:ascii="Times New Roman" w:eastAsia="Times New Roman" w:hAnsi="Times New Roman" w:cs="Times New Roman"/>
          <w:iCs/>
          <w:color w:val="auto"/>
          <w:sz w:val="24"/>
          <w:szCs w:val="24"/>
          <w:lang w:eastAsia="da-DK"/>
        </w:rPr>
        <w:t xml:space="preserve"> Et projekts prioriterede status berøres ikke af de beslutninger, der træffes ud fra budget- og investeringsmæssige hensyn. </w:t>
      </w:r>
    </w:p>
    <w:p w14:paraId="6C209852" w14:textId="09617A51" w:rsidR="001742CC" w:rsidRPr="00933BC8" w:rsidRDefault="0005500A" w:rsidP="00071428">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3. </w:t>
      </w:r>
      <w:r w:rsidRPr="00933BC8">
        <w:rPr>
          <w:rFonts w:ascii="Times New Roman" w:eastAsia="Times New Roman" w:hAnsi="Times New Roman" w:cs="Times New Roman"/>
          <w:iCs/>
          <w:color w:val="000000"/>
          <w:sz w:val="24"/>
          <w:szCs w:val="24"/>
          <w:lang w:eastAsia="da-DK"/>
        </w:rPr>
        <w:t xml:space="preserve">Særlige tilladelsesprocedurer, der er under afprøvning på et begrænset antal projekter med henblik på at evaluere deres potentielle udvidelse til andre projekter, er ikke omfattet af stk. 1. </w:t>
      </w:r>
    </w:p>
    <w:p w14:paraId="57521ECA" w14:textId="416FFB9A" w:rsidR="0088131C" w:rsidRPr="00933BC8" w:rsidRDefault="0088131C" w:rsidP="0088131C">
      <w:pPr>
        <w:spacing w:before="100" w:beforeAutospacing="1" w:line="240" w:lineRule="auto"/>
        <w:ind w:firstLine="170"/>
        <w:jc w:val="center"/>
        <w:rPr>
          <w:rFonts w:ascii="Times New Roman" w:eastAsia="Times New Roman" w:hAnsi="Times New Roman" w:cs="Times New Roman"/>
          <w:i/>
          <w:iCs/>
          <w:color w:val="FF0000"/>
          <w:sz w:val="24"/>
          <w:szCs w:val="24"/>
          <w:lang w:eastAsia="da-DK"/>
        </w:rPr>
      </w:pPr>
      <w:r w:rsidRPr="00933BC8">
        <w:rPr>
          <w:rFonts w:ascii="Times New Roman" w:eastAsia="Times New Roman" w:hAnsi="Times New Roman" w:cs="Times New Roman"/>
          <w:i/>
          <w:iCs/>
          <w:color w:val="auto"/>
          <w:sz w:val="24"/>
          <w:szCs w:val="24"/>
          <w:lang w:eastAsia="da-DK"/>
        </w:rPr>
        <w:t>Vejledning om tilladelsesproceduren</w:t>
      </w:r>
      <w:r w:rsidRPr="00933BC8">
        <w:rPr>
          <w:rFonts w:ascii="Times New Roman" w:eastAsia="Times New Roman" w:hAnsi="Times New Roman" w:cs="Times New Roman"/>
          <w:i/>
          <w:iCs/>
          <w:color w:val="FF0000"/>
          <w:sz w:val="24"/>
          <w:szCs w:val="24"/>
          <w:lang w:eastAsia="da-DK"/>
        </w:rPr>
        <w:t xml:space="preserve"> </w:t>
      </w:r>
    </w:p>
    <w:p w14:paraId="116CE746" w14:textId="3431F0FE" w:rsidR="0022297F" w:rsidRPr="00933BC8" w:rsidRDefault="0022297F"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005241D9" w:rsidRPr="00933BC8">
        <w:rPr>
          <w:rFonts w:ascii="Times New Roman" w:eastAsia="Times New Roman" w:hAnsi="Times New Roman" w:cs="Times New Roman"/>
          <w:b/>
          <w:iCs/>
          <w:color w:val="000000"/>
          <w:sz w:val="24"/>
          <w:szCs w:val="24"/>
          <w:lang w:eastAsia="da-DK"/>
        </w:rPr>
        <w:t>1</w:t>
      </w:r>
      <w:r w:rsidR="000F3352" w:rsidRPr="00933BC8">
        <w:rPr>
          <w:rFonts w:ascii="Times New Roman" w:eastAsia="Times New Roman" w:hAnsi="Times New Roman" w:cs="Times New Roman"/>
          <w:b/>
          <w:iCs/>
          <w:color w:val="000000"/>
          <w:sz w:val="24"/>
          <w:szCs w:val="24"/>
          <w:lang w:eastAsia="da-DK"/>
        </w:rPr>
        <w:t>3</w:t>
      </w:r>
      <w:r w:rsidRPr="00933BC8">
        <w:rPr>
          <w:rFonts w:ascii="Times New Roman" w:eastAsia="Times New Roman" w:hAnsi="Times New Roman" w:cs="Times New Roman"/>
          <w:b/>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Trafikst</w:t>
      </w:r>
      <w:r w:rsidR="004E3E6A" w:rsidRPr="00933BC8">
        <w:rPr>
          <w:rFonts w:ascii="Times New Roman" w:eastAsia="Times New Roman" w:hAnsi="Times New Roman" w:cs="Times New Roman"/>
          <w:iCs/>
          <w:color w:val="000000"/>
          <w:sz w:val="24"/>
          <w:szCs w:val="24"/>
          <w:lang w:eastAsia="da-DK"/>
        </w:rPr>
        <w:t>yrelsen skal sikre, at bygherre</w:t>
      </w:r>
      <w:r w:rsidRPr="00933BC8">
        <w:rPr>
          <w:rFonts w:ascii="Times New Roman" w:eastAsia="Times New Roman" w:hAnsi="Times New Roman" w:cs="Times New Roman"/>
          <w:iCs/>
          <w:color w:val="000000"/>
          <w:sz w:val="24"/>
          <w:szCs w:val="24"/>
          <w:lang w:eastAsia="da-DK"/>
        </w:rPr>
        <w:t xml:space="preserve"> modtager generelle oplysninger som vejledning for anmeldelsen. Oplysningerne skal indeholde information om de tilladelser, afgørelse</w:t>
      </w:r>
      <w:r w:rsidR="00C15514" w:rsidRPr="00933BC8">
        <w:rPr>
          <w:rFonts w:ascii="Times New Roman" w:eastAsia="Times New Roman" w:hAnsi="Times New Roman" w:cs="Times New Roman"/>
          <w:iCs/>
          <w:color w:val="000000"/>
          <w:sz w:val="24"/>
          <w:szCs w:val="24"/>
          <w:lang w:eastAsia="da-DK"/>
        </w:rPr>
        <w:t>r</w:t>
      </w:r>
      <w:r w:rsidRPr="00933BC8">
        <w:rPr>
          <w:rFonts w:ascii="Times New Roman" w:eastAsia="Times New Roman" w:hAnsi="Times New Roman" w:cs="Times New Roman"/>
          <w:iCs/>
          <w:color w:val="000000"/>
          <w:sz w:val="24"/>
          <w:szCs w:val="24"/>
          <w:lang w:eastAsia="da-DK"/>
        </w:rPr>
        <w:t xml:space="preserve"> og udtalelser, der kan være påkrævet for at gennemføre et projekt. For hver tilladelse, afgørelse eller udtalelse </w:t>
      </w:r>
      <w:r w:rsidR="009A2120" w:rsidRPr="00933BC8">
        <w:rPr>
          <w:rFonts w:ascii="Times New Roman" w:eastAsia="Times New Roman" w:hAnsi="Times New Roman" w:cs="Times New Roman"/>
          <w:iCs/>
          <w:color w:val="000000"/>
          <w:sz w:val="24"/>
          <w:szCs w:val="24"/>
          <w:lang w:eastAsia="da-DK"/>
        </w:rPr>
        <w:t>skal Trafikstyrelsen oplyse om følgende</w:t>
      </w:r>
      <w:r w:rsidRPr="00933BC8">
        <w:rPr>
          <w:rFonts w:ascii="Times New Roman" w:eastAsia="Times New Roman" w:hAnsi="Times New Roman" w:cs="Times New Roman"/>
          <w:iCs/>
          <w:color w:val="000000"/>
          <w:sz w:val="24"/>
          <w:szCs w:val="24"/>
          <w:lang w:eastAsia="da-DK"/>
        </w:rPr>
        <w:t xml:space="preserve">: </w:t>
      </w:r>
    </w:p>
    <w:p w14:paraId="3AFA989B" w14:textId="744D00BB" w:rsidR="0022297F" w:rsidRPr="00933BC8" w:rsidRDefault="0022297F"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lastRenderedPageBreak/>
        <w:t>1</w:t>
      </w:r>
      <w:r w:rsidR="00C15514"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Generelle oplysninger om det materielle anvendelsesområde og detaljeringsgraden </w:t>
      </w:r>
      <w:r w:rsidR="004E3E6A" w:rsidRPr="00933BC8">
        <w:rPr>
          <w:rFonts w:ascii="Times New Roman" w:eastAsia="Times New Roman" w:hAnsi="Times New Roman" w:cs="Times New Roman"/>
          <w:iCs/>
          <w:color w:val="000000"/>
          <w:sz w:val="24"/>
          <w:szCs w:val="24"/>
          <w:lang w:eastAsia="da-DK"/>
        </w:rPr>
        <w:t>af de oplysninger, som bygherre</w:t>
      </w:r>
      <w:r w:rsidRPr="00933BC8">
        <w:rPr>
          <w:rFonts w:ascii="Times New Roman" w:eastAsia="Times New Roman" w:hAnsi="Times New Roman" w:cs="Times New Roman"/>
          <w:iCs/>
          <w:color w:val="000000"/>
          <w:sz w:val="24"/>
          <w:szCs w:val="24"/>
          <w:lang w:eastAsia="da-DK"/>
        </w:rPr>
        <w:t xml:space="preserve"> skal fremlægge. </w:t>
      </w:r>
    </w:p>
    <w:p w14:paraId="3D1EA203" w14:textId="16CF8FE8" w:rsidR="00AA19A2" w:rsidRPr="00933BC8" w:rsidRDefault="0022297F"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2</w:t>
      </w:r>
      <w:r w:rsidR="00C15514"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Gældende frister eller, hvis </w:t>
      </w:r>
      <w:r w:rsidR="00AA19A2" w:rsidRPr="00933BC8">
        <w:rPr>
          <w:rFonts w:ascii="Times New Roman" w:eastAsia="Times New Roman" w:hAnsi="Times New Roman" w:cs="Times New Roman"/>
          <w:iCs/>
          <w:color w:val="000000"/>
          <w:sz w:val="24"/>
          <w:szCs w:val="24"/>
          <w:lang w:eastAsia="da-DK"/>
        </w:rPr>
        <w:t xml:space="preserve">der ikke er sådanne frister, vejledende </w:t>
      </w:r>
      <w:r w:rsidR="00D62492" w:rsidRPr="00933BC8">
        <w:rPr>
          <w:rFonts w:ascii="Times New Roman" w:eastAsia="Times New Roman" w:hAnsi="Times New Roman" w:cs="Times New Roman"/>
          <w:iCs/>
          <w:color w:val="000000"/>
          <w:sz w:val="24"/>
          <w:szCs w:val="24"/>
          <w:lang w:eastAsia="da-DK"/>
        </w:rPr>
        <w:t>frister for de enkelte tilladelser, afgørelser eller udtalelser som omfattet af tilladelsesproceduren.</w:t>
      </w:r>
      <w:r w:rsidR="00AA19A2" w:rsidRPr="00933BC8">
        <w:rPr>
          <w:rFonts w:ascii="Times New Roman" w:eastAsia="Times New Roman" w:hAnsi="Times New Roman" w:cs="Times New Roman"/>
          <w:iCs/>
          <w:color w:val="000000"/>
          <w:sz w:val="24"/>
          <w:szCs w:val="24"/>
          <w:lang w:eastAsia="da-DK"/>
        </w:rPr>
        <w:t xml:space="preserve"> </w:t>
      </w:r>
    </w:p>
    <w:p w14:paraId="613A6D3F" w14:textId="7B41A431" w:rsidR="0022297F" w:rsidRPr="00933BC8" w:rsidRDefault="00AA19A2"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3</w:t>
      </w:r>
      <w:r w:rsidR="00C15514"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Nærmere oplysninger om de myndigheder og interessenter, der normalt deltager i høringer i forbindelse med de forskellige tilladelser, afgørelser og udtalelser. </w:t>
      </w:r>
      <w:r w:rsidR="0022297F" w:rsidRPr="00933BC8">
        <w:rPr>
          <w:rFonts w:ascii="Times New Roman" w:eastAsia="Times New Roman" w:hAnsi="Times New Roman" w:cs="Times New Roman"/>
          <w:iCs/>
          <w:color w:val="000000"/>
          <w:sz w:val="24"/>
          <w:szCs w:val="24"/>
          <w:lang w:eastAsia="da-DK"/>
        </w:rPr>
        <w:t xml:space="preserve"> </w:t>
      </w:r>
    </w:p>
    <w:p w14:paraId="39A7E462" w14:textId="1808F7F6" w:rsidR="009A2120" w:rsidRPr="00933BC8" w:rsidRDefault="00AA19A2" w:rsidP="00BF4A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2. </w:t>
      </w:r>
      <w:r w:rsidRPr="00933BC8">
        <w:rPr>
          <w:rFonts w:ascii="Times New Roman" w:eastAsia="Times New Roman" w:hAnsi="Times New Roman" w:cs="Times New Roman"/>
          <w:iCs/>
          <w:color w:val="000000"/>
          <w:sz w:val="24"/>
          <w:szCs w:val="24"/>
          <w:lang w:eastAsia="da-DK"/>
        </w:rPr>
        <w:t>Trafikstyrelsen sikrer, at oplysningerne omfatte</w:t>
      </w:r>
      <w:r w:rsidR="005B1627" w:rsidRPr="00933BC8">
        <w:rPr>
          <w:rFonts w:ascii="Times New Roman" w:eastAsia="Times New Roman" w:hAnsi="Times New Roman" w:cs="Times New Roman"/>
          <w:iCs/>
          <w:color w:val="000000"/>
          <w:sz w:val="24"/>
          <w:szCs w:val="24"/>
          <w:lang w:eastAsia="da-DK"/>
        </w:rPr>
        <w:t xml:space="preserve">t af </w:t>
      </w:r>
      <w:r w:rsidRPr="00933BC8">
        <w:rPr>
          <w:rFonts w:ascii="Times New Roman" w:eastAsia="Times New Roman" w:hAnsi="Times New Roman" w:cs="Times New Roman"/>
          <w:iCs/>
          <w:color w:val="000000"/>
          <w:sz w:val="24"/>
          <w:szCs w:val="24"/>
          <w:lang w:eastAsia="da-DK"/>
        </w:rPr>
        <w:t xml:space="preserve">stk. 1, </w:t>
      </w:r>
      <w:r w:rsidR="008A7DBF" w:rsidRPr="00933BC8">
        <w:rPr>
          <w:rFonts w:ascii="Times New Roman" w:eastAsia="Times New Roman" w:hAnsi="Times New Roman" w:cs="Times New Roman"/>
          <w:iCs/>
          <w:color w:val="000000"/>
          <w:sz w:val="24"/>
          <w:szCs w:val="24"/>
          <w:lang w:eastAsia="da-DK"/>
        </w:rPr>
        <w:t>nr.</w:t>
      </w:r>
      <w:r w:rsidRPr="00933BC8">
        <w:rPr>
          <w:rFonts w:ascii="Times New Roman" w:eastAsia="Times New Roman" w:hAnsi="Times New Roman" w:cs="Times New Roman"/>
          <w:iCs/>
          <w:color w:val="000000"/>
          <w:sz w:val="24"/>
          <w:szCs w:val="24"/>
          <w:lang w:eastAsia="da-DK"/>
        </w:rPr>
        <w:t xml:space="preserve"> 1-3,</w:t>
      </w:r>
      <w:r w:rsidR="00785366">
        <w:rPr>
          <w:rFonts w:ascii="Times New Roman" w:eastAsia="Times New Roman" w:hAnsi="Times New Roman" w:cs="Times New Roman"/>
          <w:iCs/>
          <w:color w:val="000000"/>
          <w:sz w:val="24"/>
          <w:szCs w:val="24"/>
          <w:lang w:eastAsia="da-DK"/>
        </w:rPr>
        <w:t xml:space="preserve"> </w:t>
      </w:r>
      <w:r w:rsidR="00C07E84" w:rsidRPr="00933BC8">
        <w:rPr>
          <w:rFonts w:ascii="Times New Roman" w:eastAsia="Times New Roman" w:hAnsi="Times New Roman" w:cs="Times New Roman"/>
          <w:iCs/>
          <w:color w:val="000000"/>
          <w:sz w:val="24"/>
          <w:szCs w:val="24"/>
          <w:lang w:eastAsia="da-DK"/>
        </w:rPr>
        <w:t xml:space="preserve">er </w:t>
      </w:r>
      <w:r w:rsidRPr="00933BC8">
        <w:rPr>
          <w:rFonts w:ascii="Times New Roman" w:eastAsia="Times New Roman" w:hAnsi="Times New Roman" w:cs="Times New Roman"/>
          <w:iCs/>
          <w:color w:val="000000"/>
          <w:sz w:val="24"/>
          <w:szCs w:val="24"/>
          <w:lang w:eastAsia="da-DK"/>
        </w:rPr>
        <w:t xml:space="preserve">tilgængelige på Trafikstyrelsens hjemmeside. </w:t>
      </w:r>
    </w:p>
    <w:p w14:paraId="2F2A2285" w14:textId="01968503" w:rsidR="0097356D" w:rsidRPr="00933BC8" w:rsidRDefault="0097356D" w:rsidP="0097356D">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Kapitel 4 </w:t>
      </w:r>
    </w:p>
    <w:p w14:paraId="06796536" w14:textId="4F1F8334" w:rsidR="0097356D" w:rsidRPr="00933BC8" w:rsidRDefault="0097356D" w:rsidP="0097356D">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Grænseoverskridende projekter </w:t>
      </w:r>
    </w:p>
    <w:p w14:paraId="06F9337E" w14:textId="134AAE7C" w:rsidR="00FF3F5F" w:rsidRPr="00933BC8" w:rsidRDefault="00FF3F5F" w:rsidP="0097356D">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Koordination </w:t>
      </w:r>
    </w:p>
    <w:p w14:paraId="252CEA0A" w14:textId="07CF5825" w:rsidR="0097356D" w:rsidRPr="00933BC8" w:rsidRDefault="008311C2" w:rsidP="0097356D">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w:t>
      </w:r>
      <w:r w:rsidR="000F3352" w:rsidRPr="00933BC8">
        <w:rPr>
          <w:rFonts w:ascii="Times New Roman" w:eastAsia="Times New Roman" w:hAnsi="Times New Roman" w:cs="Times New Roman"/>
          <w:b/>
          <w:iCs/>
          <w:color w:val="000000"/>
          <w:sz w:val="24"/>
          <w:szCs w:val="24"/>
          <w:lang w:eastAsia="da-DK"/>
        </w:rPr>
        <w:t>4</w:t>
      </w:r>
      <w:r w:rsidRPr="00933BC8">
        <w:rPr>
          <w:rFonts w:ascii="Times New Roman" w:eastAsia="Times New Roman" w:hAnsi="Times New Roman" w:cs="Times New Roman"/>
          <w:iCs/>
          <w:color w:val="000000"/>
          <w:sz w:val="24"/>
          <w:szCs w:val="24"/>
          <w:lang w:eastAsia="da-DK"/>
        </w:rPr>
        <w:t>. Fo</w:t>
      </w:r>
      <w:r w:rsidR="000F3352" w:rsidRPr="00933BC8">
        <w:rPr>
          <w:rFonts w:ascii="Times New Roman" w:eastAsia="Times New Roman" w:hAnsi="Times New Roman" w:cs="Times New Roman"/>
          <w:iCs/>
          <w:color w:val="000000"/>
          <w:sz w:val="24"/>
          <w:szCs w:val="24"/>
          <w:lang w:eastAsia="da-DK"/>
        </w:rPr>
        <w:t>r grænseoverskridende projekter</w:t>
      </w:r>
      <w:r w:rsidRPr="00933BC8">
        <w:rPr>
          <w:rFonts w:ascii="Times New Roman" w:eastAsia="Times New Roman" w:hAnsi="Times New Roman" w:cs="Times New Roman"/>
          <w:iCs/>
          <w:color w:val="000000"/>
          <w:sz w:val="24"/>
          <w:szCs w:val="24"/>
          <w:lang w:eastAsia="da-DK"/>
        </w:rPr>
        <w:t xml:space="preserve"> samarbejder Trafikstyrelsen med de udpegede myndigheder fra de andre medlemsstater med henblik på at koordinere tidsplaner og nå til enighed om en fælles tidsplan </w:t>
      </w:r>
      <w:r w:rsidR="00457B0B" w:rsidRPr="00933BC8">
        <w:rPr>
          <w:rFonts w:ascii="Times New Roman" w:eastAsia="Times New Roman" w:hAnsi="Times New Roman" w:cs="Times New Roman"/>
          <w:iCs/>
          <w:color w:val="000000"/>
          <w:sz w:val="24"/>
          <w:szCs w:val="24"/>
          <w:lang w:eastAsia="da-DK"/>
        </w:rPr>
        <w:t>for</w:t>
      </w:r>
      <w:r w:rsidRPr="00933BC8">
        <w:rPr>
          <w:rFonts w:ascii="Times New Roman" w:eastAsia="Times New Roman" w:hAnsi="Times New Roman" w:cs="Times New Roman"/>
          <w:iCs/>
          <w:color w:val="000000"/>
          <w:sz w:val="24"/>
          <w:szCs w:val="24"/>
          <w:lang w:eastAsia="da-DK"/>
        </w:rPr>
        <w:t xml:space="preserve"> tilladelsesproceduren.  </w:t>
      </w:r>
    </w:p>
    <w:p w14:paraId="75B6F3DB" w14:textId="2F90F6F3" w:rsidR="00D377EE" w:rsidRPr="00933BC8" w:rsidRDefault="008311C2" w:rsidP="008311C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w:t>
      </w:r>
      <w:r w:rsidR="000F3352" w:rsidRPr="00933BC8">
        <w:rPr>
          <w:rFonts w:ascii="Times New Roman" w:eastAsia="Times New Roman" w:hAnsi="Times New Roman" w:cs="Times New Roman"/>
          <w:b/>
          <w:iCs/>
          <w:color w:val="000000"/>
          <w:sz w:val="24"/>
          <w:szCs w:val="24"/>
          <w:lang w:eastAsia="da-DK"/>
        </w:rPr>
        <w:t>5</w:t>
      </w:r>
      <w:r w:rsidRPr="00933BC8">
        <w:rPr>
          <w:rFonts w:ascii="Times New Roman" w:eastAsia="Times New Roman" w:hAnsi="Times New Roman" w:cs="Times New Roman"/>
          <w:b/>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Trafikstyrelsen giver de europæiske koordinatorer</w:t>
      </w:r>
      <w:r w:rsidR="00071428"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som</w:t>
      </w:r>
      <w:r w:rsidR="000F3352" w:rsidRPr="00933BC8">
        <w:rPr>
          <w:rFonts w:ascii="Times New Roman" w:eastAsia="Times New Roman" w:hAnsi="Times New Roman" w:cs="Times New Roman"/>
          <w:iCs/>
          <w:color w:val="000000"/>
          <w:sz w:val="24"/>
          <w:szCs w:val="24"/>
          <w:lang w:eastAsia="da-DK"/>
        </w:rPr>
        <w:t xml:space="preserve"> er</w:t>
      </w:r>
      <w:r w:rsidRPr="00933BC8">
        <w:rPr>
          <w:rFonts w:ascii="Times New Roman" w:eastAsia="Times New Roman" w:hAnsi="Times New Roman" w:cs="Times New Roman"/>
          <w:iCs/>
          <w:color w:val="000000"/>
          <w:sz w:val="24"/>
          <w:szCs w:val="24"/>
          <w:lang w:eastAsia="da-DK"/>
        </w:rPr>
        <w:t xml:space="preserve"> udpeget i henhold til artikel 45 i </w:t>
      </w:r>
      <w:r w:rsidR="00A24C9C" w:rsidRPr="00933BC8">
        <w:rPr>
          <w:rFonts w:ascii="Times New Roman" w:eastAsia="Times New Roman" w:hAnsi="Times New Roman" w:cs="Times New Roman"/>
          <w:bCs/>
          <w:color w:val="000000"/>
          <w:sz w:val="24"/>
          <w:szCs w:val="24"/>
          <w:lang w:eastAsia="da-DK"/>
        </w:rPr>
        <w:t>Europa-Parlamentets og Rådets forordning</w:t>
      </w:r>
      <w:r w:rsidR="00D86486">
        <w:rPr>
          <w:rFonts w:ascii="Times New Roman" w:eastAsia="Times New Roman" w:hAnsi="Times New Roman" w:cs="Times New Roman"/>
          <w:bCs/>
          <w:color w:val="000000"/>
          <w:sz w:val="24"/>
          <w:szCs w:val="24"/>
          <w:lang w:eastAsia="da-DK"/>
        </w:rPr>
        <w:t xml:space="preserve"> (EU) 1315/2013 af 11. december 2023</w:t>
      </w:r>
      <w:r w:rsidR="00A24C9C" w:rsidRPr="00933BC8">
        <w:rPr>
          <w:rFonts w:ascii="Times New Roman" w:eastAsia="Times New Roman" w:hAnsi="Times New Roman" w:cs="Times New Roman"/>
          <w:bCs/>
          <w:color w:val="000000"/>
          <w:sz w:val="24"/>
          <w:szCs w:val="24"/>
          <w:lang w:eastAsia="da-DK"/>
        </w:rPr>
        <w:t xml:space="preserve"> om Unionens retningslinjer for udvikling af det </w:t>
      </w:r>
      <w:proofErr w:type="spellStart"/>
      <w:r w:rsidR="00A24C9C" w:rsidRPr="00933BC8">
        <w:rPr>
          <w:rFonts w:ascii="Times New Roman" w:eastAsia="Times New Roman" w:hAnsi="Times New Roman" w:cs="Times New Roman"/>
          <w:bCs/>
          <w:color w:val="000000"/>
          <w:sz w:val="24"/>
          <w:szCs w:val="24"/>
          <w:lang w:eastAsia="da-DK"/>
        </w:rPr>
        <w:t>transeuropæiske</w:t>
      </w:r>
      <w:proofErr w:type="spellEnd"/>
      <w:r w:rsidR="00A24C9C" w:rsidRPr="00933BC8">
        <w:rPr>
          <w:rFonts w:ascii="Times New Roman" w:eastAsia="Times New Roman" w:hAnsi="Times New Roman" w:cs="Times New Roman"/>
          <w:bCs/>
          <w:color w:val="000000"/>
          <w:sz w:val="24"/>
          <w:szCs w:val="24"/>
          <w:lang w:eastAsia="da-DK"/>
        </w:rPr>
        <w:t xml:space="preserve"> transportnet og om ophævelse af afgørelse nr. 661/2010/EU, EU-Tidende 2013, nr. L 348, side 1–128</w:t>
      </w:r>
      <w:r w:rsidR="00071428" w:rsidRPr="00933BC8">
        <w:rPr>
          <w:rFonts w:ascii="Times New Roman" w:eastAsia="Times New Roman" w:hAnsi="Times New Roman" w:cs="Times New Roman"/>
          <w:b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oplysninger om tilladelsesprocedurerne</w:t>
      </w:r>
      <w:r w:rsidR="00D377EE" w:rsidRPr="00933BC8">
        <w:rPr>
          <w:rFonts w:ascii="Times New Roman" w:eastAsia="Times New Roman" w:hAnsi="Times New Roman" w:cs="Times New Roman"/>
          <w:iCs/>
          <w:color w:val="000000"/>
          <w:sz w:val="24"/>
          <w:szCs w:val="24"/>
          <w:lang w:eastAsia="da-DK"/>
        </w:rPr>
        <w:t xml:space="preserve"> for grænseoverskridende projekter</w:t>
      </w:r>
      <w:r w:rsidR="000575F1">
        <w:rPr>
          <w:rFonts w:ascii="Times New Roman" w:eastAsia="Times New Roman" w:hAnsi="Times New Roman" w:cs="Times New Roman"/>
          <w:iCs/>
          <w:color w:val="000000"/>
          <w:sz w:val="24"/>
          <w:szCs w:val="24"/>
          <w:lang w:eastAsia="da-DK"/>
        </w:rPr>
        <w:t>,</w:t>
      </w:r>
      <w:r w:rsidR="00071428" w:rsidRPr="00933BC8">
        <w:rPr>
          <w:rFonts w:ascii="Times New Roman" w:eastAsia="Times New Roman" w:hAnsi="Times New Roman" w:cs="Times New Roman"/>
          <w:iCs/>
          <w:color w:val="000000"/>
          <w:sz w:val="24"/>
          <w:szCs w:val="24"/>
          <w:lang w:eastAsia="da-DK"/>
        </w:rPr>
        <w:t xml:space="preserve"> som</w:t>
      </w:r>
      <w:r w:rsidR="000575F1">
        <w:rPr>
          <w:rFonts w:ascii="Times New Roman" w:eastAsia="Times New Roman" w:hAnsi="Times New Roman" w:cs="Times New Roman"/>
          <w:iCs/>
          <w:color w:val="000000"/>
          <w:sz w:val="24"/>
          <w:szCs w:val="24"/>
          <w:lang w:eastAsia="da-DK"/>
        </w:rPr>
        <w:t xml:space="preserve"> er</w:t>
      </w:r>
      <w:r w:rsidR="00071428" w:rsidRPr="00933BC8">
        <w:rPr>
          <w:rFonts w:ascii="Times New Roman" w:eastAsia="Times New Roman" w:hAnsi="Times New Roman" w:cs="Times New Roman"/>
          <w:iCs/>
          <w:color w:val="000000"/>
          <w:sz w:val="24"/>
          <w:szCs w:val="24"/>
          <w:lang w:eastAsia="da-DK"/>
        </w:rPr>
        <w:t xml:space="preserve"> omfattet af § 1. </w:t>
      </w:r>
    </w:p>
    <w:p w14:paraId="4FBDE97A" w14:textId="6FD02A8D" w:rsidR="0097356D" w:rsidRPr="00933BC8" w:rsidRDefault="00D377EE" w:rsidP="008311C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Stk. 2. </w:t>
      </w:r>
      <w:r w:rsidRPr="00933BC8">
        <w:rPr>
          <w:rFonts w:ascii="Times New Roman" w:eastAsia="Times New Roman" w:hAnsi="Times New Roman" w:cs="Times New Roman"/>
          <w:iCs/>
          <w:color w:val="000000"/>
          <w:sz w:val="24"/>
          <w:szCs w:val="24"/>
          <w:lang w:eastAsia="da-DK"/>
        </w:rPr>
        <w:t xml:space="preserve">Trafikstyrelsen træffer de nødvendige foranstaltninger for at sikre, at de europæiske koordinatorer kan lette kontakten mellem de udpegede myndigheder </w:t>
      </w:r>
      <w:r w:rsidR="00856251" w:rsidRPr="00933BC8">
        <w:rPr>
          <w:rFonts w:ascii="Times New Roman" w:eastAsia="Times New Roman" w:hAnsi="Times New Roman" w:cs="Times New Roman"/>
          <w:iCs/>
          <w:color w:val="000000"/>
          <w:sz w:val="24"/>
          <w:szCs w:val="24"/>
          <w:lang w:eastAsia="da-DK"/>
        </w:rPr>
        <w:t>i</w:t>
      </w:r>
      <w:r w:rsidRPr="00933BC8">
        <w:rPr>
          <w:rFonts w:ascii="Times New Roman" w:eastAsia="Times New Roman" w:hAnsi="Times New Roman" w:cs="Times New Roman"/>
          <w:iCs/>
          <w:color w:val="000000"/>
          <w:sz w:val="24"/>
          <w:szCs w:val="24"/>
          <w:lang w:eastAsia="da-DK"/>
        </w:rPr>
        <w:t xml:space="preserve"> forbindelse med tilladelsesprocedurerne for grænseoverskridende projekter</w:t>
      </w:r>
      <w:r w:rsidR="00071428" w:rsidRPr="00933BC8">
        <w:rPr>
          <w:rFonts w:ascii="Times New Roman" w:eastAsia="Times New Roman" w:hAnsi="Times New Roman" w:cs="Times New Roman"/>
          <w:iCs/>
          <w:color w:val="000000"/>
          <w:sz w:val="24"/>
          <w:szCs w:val="24"/>
          <w:lang w:eastAsia="da-DK"/>
        </w:rPr>
        <w:t xml:space="preserve"> som omfattet af § 1</w:t>
      </w:r>
      <w:r w:rsidRPr="00933BC8">
        <w:rPr>
          <w:rFonts w:ascii="Times New Roman" w:eastAsia="Times New Roman" w:hAnsi="Times New Roman" w:cs="Times New Roman"/>
          <w:iCs/>
          <w:color w:val="000000"/>
          <w:sz w:val="24"/>
          <w:szCs w:val="24"/>
          <w:lang w:eastAsia="da-DK"/>
        </w:rPr>
        <w:t>.</w:t>
      </w:r>
    </w:p>
    <w:p w14:paraId="35E1B9DC" w14:textId="15EEF3DF" w:rsidR="00FF3F5F" w:rsidRPr="00933BC8" w:rsidRDefault="008311C2"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w:t>
      </w:r>
      <w:r w:rsidR="000F3352" w:rsidRPr="00933BC8">
        <w:rPr>
          <w:rFonts w:ascii="Times New Roman" w:eastAsia="Times New Roman" w:hAnsi="Times New Roman" w:cs="Times New Roman"/>
          <w:b/>
          <w:iCs/>
          <w:color w:val="000000"/>
          <w:sz w:val="24"/>
          <w:szCs w:val="24"/>
          <w:lang w:eastAsia="da-DK"/>
        </w:rPr>
        <w:t>6</w:t>
      </w:r>
      <w:r w:rsidRPr="00933BC8">
        <w:rPr>
          <w:rFonts w:ascii="Times New Roman" w:eastAsia="Times New Roman" w:hAnsi="Times New Roman" w:cs="Times New Roman"/>
          <w:iCs/>
          <w:color w:val="000000"/>
          <w:sz w:val="24"/>
          <w:szCs w:val="24"/>
          <w:lang w:eastAsia="da-DK"/>
        </w:rPr>
        <w:t>. Overskrides</w:t>
      </w:r>
      <w:r w:rsidR="00DD25A6" w:rsidRPr="00933BC8">
        <w:rPr>
          <w:rFonts w:ascii="Times New Roman" w:eastAsia="Times New Roman" w:hAnsi="Times New Roman" w:cs="Times New Roman"/>
          <w:iCs/>
          <w:color w:val="000000"/>
          <w:sz w:val="24"/>
          <w:szCs w:val="24"/>
          <w:lang w:eastAsia="da-DK"/>
        </w:rPr>
        <w:t xml:space="preserve"> tidsperioden for </w:t>
      </w:r>
      <w:r w:rsidRPr="00933BC8">
        <w:rPr>
          <w:rFonts w:ascii="Times New Roman" w:eastAsia="Times New Roman" w:hAnsi="Times New Roman" w:cs="Times New Roman"/>
          <w:iCs/>
          <w:color w:val="000000"/>
          <w:sz w:val="24"/>
          <w:szCs w:val="24"/>
          <w:lang w:eastAsia="da-DK"/>
        </w:rPr>
        <w:t xml:space="preserve">tilladelsesproceduren </w:t>
      </w:r>
      <w:r w:rsidR="009E7C4D" w:rsidRPr="00933BC8">
        <w:rPr>
          <w:rFonts w:ascii="Times New Roman" w:eastAsia="Times New Roman" w:hAnsi="Times New Roman" w:cs="Times New Roman"/>
          <w:iCs/>
          <w:color w:val="000000"/>
          <w:sz w:val="24"/>
          <w:szCs w:val="24"/>
          <w:lang w:eastAsia="da-DK"/>
        </w:rPr>
        <w:t>i henhold til</w:t>
      </w:r>
      <w:r w:rsidRPr="00933BC8">
        <w:rPr>
          <w:rFonts w:ascii="Times New Roman" w:eastAsia="Times New Roman" w:hAnsi="Times New Roman" w:cs="Times New Roman"/>
          <w:iCs/>
          <w:color w:val="000000"/>
          <w:sz w:val="24"/>
          <w:szCs w:val="24"/>
          <w:lang w:eastAsia="da-DK"/>
        </w:rPr>
        <w:t xml:space="preserve"> §</w:t>
      </w:r>
      <w:r w:rsidR="00550D66"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iCs/>
          <w:color w:val="000000"/>
          <w:sz w:val="24"/>
          <w:szCs w:val="24"/>
          <w:lang w:eastAsia="da-DK"/>
        </w:rPr>
        <w:t>5, stk. 1</w:t>
      </w:r>
      <w:r w:rsidR="00495753" w:rsidRPr="00933BC8">
        <w:rPr>
          <w:rFonts w:ascii="Times New Roman" w:eastAsia="Times New Roman" w:hAnsi="Times New Roman" w:cs="Times New Roman"/>
          <w:iCs/>
          <w:color w:val="000000"/>
          <w:sz w:val="24"/>
          <w:szCs w:val="24"/>
          <w:lang w:eastAsia="da-DK"/>
        </w:rPr>
        <w:t>,</w:t>
      </w:r>
      <w:r w:rsidR="00DD25A6" w:rsidRPr="00933BC8">
        <w:rPr>
          <w:rFonts w:ascii="Times New Roman" w:eastAsia="Times New Roman" w:hAnsi="Times New Roman" w:cs="Times New Roman"/>
          <w:iCs/>
          <w:color w:val="000000"/>
          <w:sz w:val="24"/>
          <w:szCs w:val="24"/>
          <w:lang w:eastAsia="da-DK"/>
        </w:rPr>
        <w:t xml:space="preserve"> for et grænseoverskridende projekt</w:t>
      </w:r>
      <w:r w:rsidR="004E3E6A" w:rsidRPr="00933BC8">
        <w:rPr>
          <w:rFonts w:ascii="Times New Roman" w:eastAsia="Times New Roman" w:hAnsi="Times New Roman" w:cs="Times New Roman"/>
          <w:iCs/>
          <w:color w:val="000000"/>
          <w:sz w:val="24"/>
          <w:szCs w:val="24"/>
          <w:lang w:eastAsia="da-DK"/>
        </w:rPr>
        <w:t>,</w:t>
      </w:r>
      <w:r w:rsidR="00C96A9D" w:rsidRPr="00933BC8">
        <w:rPr>
          <w:rFonts w:ascii="Times New Roman" w:eastAsia="Times New Roman" w:hAnsi="Times New Roman" w:cs="Times New Roman"/>
          <w:iCs/>
          <w:color w:val="000000"/>
          <w:sz w:val="24"/>
          <w:szCs w:val="24"/>
          <w:lang w:eastAsia="da-DK"/>
        </w:rPr>
        <w:t xml:space="preserve"> som</w:t>
      </w:r>
      <w:r w:rsidR="004E3E6A" w:rsidRPr="00933BC8">
        <w:rPr>
          <w:rFonts w:ascii="Times New Roman" w:eastAsia="Times New Roman" w:hAnsi="Times New Roman" w:cs="Times New Roman"/>
          <w:iCs/>
          <w:color w:val="000000"/>
          <w:sz w:val="24"/>
          <w:szCs w:val="24"/>
          <w:lang w:eastAsia="da-DK"/>
        </w:rPr>
        <w:t xml:space="preserve"> er</w:t>
      </w:r>
      <w:r w:rsidR="00C96A9D" w:rsidRPr="00933BC8">
        <w:rPr>
          <w:rFonts w:ascii="Times New Roman" w:eastAsia="Times New Roman" w:hAnsi="Times New Roman" w:cs="Times New Roman"/>
          <w:iCs/>
          <w:color w:val="000000"/>
          <w:sz w:val="24"/>
          <w:szCs w:val="24"/>
          <w:lang w:eastAsia="da-DK"/>
        </w:rPr>
        <w:t xml:space="preserve"> omfattet af § 1</w:t>
      </w:r>
      <w:r w:rsidR="00DD25A6" w:rsidRPr="00933BC8">
        <w:rPr>
          <w:rFonts w:ascii="Times New Roman" w:eastAsia="Times New Roman" w:hAnsi="Times New Roman" w:cs="Times New Roman"/>
          <w:iCs/>
          <w:color w:val="000000"/>
          <w:sz w:val="24"/>
          <w:szCs w:val="24"/>
          <w:lang w:eastAsia="da-DK"/>
        </w:rPr>
        <w:t>,</w:t>
      </w:r>
      <w:r w:rsidR="009E7C4D" w:rsidRPr="00933BC8">
        <w:rPr>
          <w:rFonts w:ascii="Times New Roman" w:eastAsia="Times New Roman" w:hAnsi="Times New Roman" w:cs="Times New Roman"/>
          <w:iCs/>
          <w:color w:val="000000"/>
          <w:sz w:val="24"/>
          <w:szCs w:val="24"/>
          <w:lang w:eastAsia="da-DK"/>
        </w:rPr>
        <w:t xml:space="preserve"> </w:t>
      </w:r>
      <w:r w:rsidR="00495753" w:rsidRPr="00933BC8">
        <w:rPr>
          <w:rFonts w:ascii="Times New Roman" w:eastAsia="Times New Roman" w:hAnsi="Times New Roman" w:cs="Times New Roman"/>
          <w:iCs/>
          <w:color w:val="000000"/>
          <w:sz w:val="24"/>
          <w:szCs w:val="24"/>
          <w:lang w:eastAsia="da-DK"/>
        </w:rPr>
        <w:t xml:space="preserve">giver medlemsstaterne efter anmodning de </w:t>
      </w:r>
      <w:r w:rsidR="000575F1">
        <w:rPr>
          <w:rFonts w:ascii="Times New Roman" w:eastAsia="Times New Roman" w:hAnsi="Times New Roman" w:cs="Times New Roman"/>
          <w:iCs/>
          <w:color w:val="000000"/>
          <w:sz w:val="24"/>
          <w:szCs w:val="24"/>
          <w:lang w:eastAsia="da-DK"/>
        </w:rPr>
        <w:t xml:space="preserve">berørte </w:t>
      </w:r>
      <w:r w:rsidR="00495753" w:rsidRPr="00933BC8">
        <w:rPr>
          <w:rFonts w:ascii="Times New Roman" w:eastAsia="Times New Roman" w:hAnsi="Times New Roman" w:cs="Times New Roman"/>
          <w:iCs/>
          <w:color w:val="000000"/>
          <w:sz w:val="24"/>
          <w:szCs w:val="24"/>
          <w:lang w:eastAsia="da-DK"/>
        </w:rPr>
        <w:t>europæiske koordinatorer oplysninger om de foranstaltninger, der er truffet eller efter planen vil blive truffet for at gøre det muligt at afslutte tilladelsesproceduren med mindst mulig forsinkelse.</w:t>
      </w:r>
    </w:p>
    <w:p w14:paraId="79C279B0" w14:textId="6764FE42" w:rsidR="003B0FBA" w:rsidRPr="00933BC8" w:rsidRDefault="004D43EC" w:rsidP="00FF3F5F">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Offentlige udbud</w:t>
      </w:r>
    </w:p>
    <w:p w14:paraId="641008DF" w14:textId="53A4507C" w:rsidR="009F5038" w:rsidRDefault="009F5038" w:rsidP="00E36472">
      <w:pPr>
        <w:spacing w:before="100" w:beforeAutospacing="1" w:line="240" w:lineRule="auto"/>
        <w:ind w:firstLine="170"/>
        <w:rPr>
          <w:rFonts w:ascii="Times New Roman" w:eastAsia="Times New Roman" w:hAnsi="Times New Roman" w:cs="Times New Roman"/>
          <w:iCs/>
          <w:color w:val="000000"/>
          <w:sz w:val="24"/>
          <w:szCs w:val="24"/>
          <w:lang w:eastAsia="da-DK"/>
        </w:rPr>
      </w:pPr>
    </w:p>
    <w:p w14:paraId="1C8C8D44" w14:textId="25F26277" w:rsidR="00223855" w:rsidRPr="002B2AF5" w:rsidRDefault="00223855" w:rsidP="00223855">
      <w:pPr>
        <w:ind w:firstLine="284"/>
        <w:rPr>
          <w:rFonts w:ascii="Times New Roman" w:hAnsi="Times New Roman" w:cs="Times New Roman"/>
          <w:sz w:val="24"/>
          <w:szCs w:val="24"/>
        </w:rPr>
      </w:pPr>
      <w:r w:rsidRPr="002B2AF5">
        <w:rPr>
          <w:rFonts w:ascii="Times New Roman" w:hAnsi="Times New Roman" w:cs="Times New Roman"/>
          <w:b/>
          <w:sz w:val="24"/>
          <w:szCs w:val="24"/>
        </w:rPr>
        <w:t>§ 17.</w:t>
      </w:r>
      <w:r w:rsidRPr="002B2AF5">
        <w:rPr>
          <w:rFonts w:ascii="Times New Roman" w:hAnsi="Times New Roman" w:cs="Times New Roman"/>
          <w:sz w:val="24"/>
          <w:szCs w:val="24"/>
        </w:rPr>
        <w:t xml:space="preserve"> Gennemføres udbudsprocedurer af en fælles enhed i forbindelse med et grænseoverskridende projekt omfattet af § 1, skal den fælles enhed anvende den nationale ret i den medlemsstat, hvor den fælles enhed har sit hjemsted, medmindre andet er fastsat i en aftale mellem de deltagende medlemsstater. </w:t>
      </w:r>
    </w:p>
    <w:p w14:paraId="5EB843F9" w14:textId="77777777" w:rsidR="002B2AF5" w:rsidRPr="002B2AF5" w:rsidRDefault="002B2AF5" w:rsidP="00223855">
      <w:pPr>
        <w:ind w:firstLine="284"/>
        <w:rPr>
          <w:rFonts w:ascii="Times New Roman" w:hAnsi="Times New Roman" w:cs="Times New Roman"/>
          <w:sz w:val="24"/>
          <w:szCs w:val="24"/>
        </w:rPr>
      </w:pPr>
    </w:p>
    <w:p w14:paraId="571437C7" w14:textId="24EBC33A" w:rsidR="00223855" w:rsidRPr="002B2AF5" w:rsidRDefault="00223855" w:rsidP="00223855">
      <w:pPr>
        <w:ind w:firstLine="284"/>
        <w:rPr>
          <w:rFonts w:ascii="Times New Roman" w:hAnsi="Times New Roman" w:cs="Times New Roman"/>
          <w:sz w:val="24"/>
          <w:szCs w:val="24"/>
        </w:rPr>
      </w:pPr>
      <w:r w:rsidRPr="002B2AF5">
        <w:rPr>
          <w:rFonts w:ascii="Times New Roman" w:hAnsi="Times New Roman" w:cs="Times New Roman"/>
          <w:i/>
          <w:sz w:val="24"/>
          <w:szCs w:val="24"/>
        </w:rPr>
        <w:t xml:space="preserve">Stk. 2. </w:t>
      </w:r>
      <w:r w:rsidRPr="002B2AF5">
        <w:rPr>
          <w:rFonts w:ascii="Times New Roman" w:hAnsi="Times New Roman" w:cs="Times New Roman"/>
          <w:sz w:val="24"/>
          <w:szCs w:val="24"/>
        </w:rPr>
        <w:t xml:space="preserve">En aftale mellem de deltagende medlemsstater, jf. stk. 1, skal indeholde bestemmelser om anvendelse af en medlemsstats nationale ret på de udbudsprocedurer, der gennemføres af en fælles </w:t>
      </w:r>
      <w:r w:rsidRPr="002B2AF5">
        <w:rPr>
          <w:rFonts w:ascii="Times New Roman" w:hAnsi="Times New Roman" w:cs="Times New Roman"/>
          <w:sz w:val="24"/>
          <w:szCs w:val="24"/>
        </w:rPr>
        <w:lastRenderedPageBreak/>
        <w:t>enhed. Aftalen skal være i overensstemmelse med følgende regler, i det omfang reglerne er relevante:</w:t>
      </w:r>
    </w:p>
    <w:p w14:paraId="446ADB4F" w14:textId="77777777" w:rsidR="00423F15" w:rsidRPr="002B2AF5" w:rsidRDefault="00223855" w:rsidP="00423F15">
      <w:pPr>
        <w:pStyle w:val="Listeafsnit"/>
        <w:numPr>
          <w:ilvl w:val="0"/>
          <w:numId w:val="11"/>
        </w:numPr>
        <w:rPr>
          <w:rFonts w:ascii="Times New Roman" w:hAnsi="Times New Roman" w:cs="Times New Roman"/>
          <w:sz w:val="24"/>
          <w:szCs w:val="24"/>
        </w:rPr>
      </w:pPr>
      <w:r w:rsidRPr="002B2AF5">
        <w:rPr>
          <w:rFonts w:ascii="Times New Roman" w:hAnsi="Times New Roman" w:cs="Times New Roman"/>
          <w:sz w:val="24"/>
          <w:szCs w:val="24"/>
        </w:rPr>
        <w:t>Udbudslovens § 126.</w:t>
      </w:r>
    </w:p>
    <w:p w14:paraId="16032C1C" w14:textId="2A3167E1" w:rsidR="003E52B4" w:rsidRPr="002B2AF5" w:rsidRDefault="00223855" w:rsidP="00423F15">
      <w:pPr>
        <w:pStyle w:val="Listeafsnit"/>
        <w:numPr>
          <w:ilvl w:val="0"/>
          <w:numId w:val="11"/>
        </w:numPr>
        <w:rPr>
          <w:rFonts w:ascii="Times New Roman" w:hAnsi="Times New Roman" w:cs="Times New Roman"/>
          <w:sz w:val="24"/>
          <w:szCs w:val="24"/>
        </w:rPr>
      </w:pPr>
      <w:r w:rsidRPr="002B2AF5">
        <w:rPr>
          <w:rFonts w:ascii="Times New Roman" w:hAnsi="Times New Roman" w:cs="Times New Roman"/>
          <w:sz w:val="24"/>
          <w:szCs w:val="24"/>
        </w:rPr>
        <w:t>§ 1 i bekendtgørelse om fremgangsmåderne ved indgåelse af kontrakter inden for vand- og energiforsyning, transport samt posttjenester.</w:t>
      </w:r>
    </w:p>
    <w:p w14:paraId="0DDDAB6B" w14:textId="654CC271" w:rsidR="009F5038" w:rsidRPr="002B2AF5" w:rsidRDefault="009F5038" w:rsidP="009F5038">
      <w:pPr>
        <w:jc w:val="both"/>
        <w:rPr>
          <w:rFonts w:ascii="Times New Roman" w:hAnsi="Times New Roman" w:cs="Times New Roman"/>
          <w:b/>
          <w:sz w:val="24"/>
          <w:szCs w:val="24"/>
        </w:rPr>
      </w:pPr>
    </w:p>
    <w:p w14:paraId="493D1A90" w14:textId="77777777" w:rsidR="00223855" w:rsidRPr="002B2AF5" w:rsidRDefault="00223855" w:rsidP="00223855">
      <w:pPr>
        <w:ind w:firstLine="284"/>
        <w:rPr>
          <w:rFonts w:ascii="Times New Roman" w:hAnsi="Times New Roman" w:cs="Times New Roman"/>
          <w:sz w:val="24"/>
          <w:szCs w:val="24"/>
        </w:rPr>
      </w:pPr>
      <w:r w:rsidRPr="002B2AF5">
        <w:rPr>
          <w:rFonts w:ascii="Times New Roman" w:hAnsi="Times New Roman" w:cs="Times New Roman"/>
          <w:b/>
          <w:sz w:val="24"/>
          <w:szCs w:val="24"/>
        </w:rPr>
        <w:t xml:space="preserve">§ 18. </w:t>
      </w:r>
      <w:r w:rsidRPr="002B2AF5">
        <w:rPr>
          <w:rFonts w:ascii="Times New Roman" w:hAnsi="Times New Roman" w:cs="Times New Roman"/>
          <w:sz w:val="24"/>
          <w:szCs w:val="24"/>
        </w:rPr>
        <w:t>Offentlige udbud, der gennemføres af en fælles enheds datterselskab, skal ske under anvendelse af én af medlemsstaternes nationale ret. De deltagende medlemsstater kan beslutte, at datterselskabet skal anvende den nationale ret, der finder anvendelse for den fælles enhed, jf. § 17.</w:t>
      </w:r>
    </w:p>
    <w:p w14:paraId="4CCC691A" w14:textId="77777777" w:rsidR="00223855" w:rsidRPr="002B2AF5" w:rsidRDefault="00223855" w:rsidP="009F5038">
      <w:pPr>
        <w:jc w:val="both"/>
        <w:rPr>
          <w:b/>
          <w:sz w:val="24"/>
          <w:szCs w:val="24"/>
        </w:rPr>
      </w:pPr>
    </w:p>
    <w:p w14:paraId="1920FB71" w14:textId="2169DFFD" w:rsidR="003E52B4" w:rsidRPr="00933BC8" w:rsidRDefault="003E52B4" w:rsidP="003E52B4">
      <w:pPr>
        <w:spacing w:before="100" w:beforeAutospacing="1" w:line="240" w:lineRule="auto"/>
        <w:ind w:firstLine="170"/>
        <w:jc w:val="center"/>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Kapitel 5 </w:t>
      </w:r>
    </w:p>
    <w:p w14:paraId="4DEA5A1B" w14:textId="2BB9490D" w:rsidR="003E52B4" w:rsidRPr="00933BC8" w:rsidRDefault="003E52B4" w:rsidP="003E52B4">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Rapportering,</w:t>
      </w:r>
      <w:r w:rsidR="00414908" w:rsidRPr="00933BC8">
        <w:rPr>
          <w:rFonts w:ascii="Times New Roman" w:eastAsia="Times New Roman" w:hAnsi="Times New Roman" w:cs="Times New Roman"/>
          <w:i/>
          <w:iCs/>
          <w:color w:val="000000"/>
          <w:sz w:val="24"/>
          <w:szCs w:val="24"/>
          <w:lang w:eastAsia="da-DK"/>
        </w:rPr>
        <w:t xml:space="preserve"> klageadgang</w:t>
      </w:r>
      <w:r w:rsidR="009840C1">
        <w:rPr>
          <w:rFonts w:ascii="Times New Roman" w:eastAsia="Times New Roman" w:hAnsi="Times New Roman" w:cs="Times New Roman"/>
          <w:i/>
          <w:iCs/>
          <w:color w:val="000000"/>
          <w:sz w:val="24"/>
          <w:szCs w:val="24"/>
          <w:lang w:eastAsia="da-DK"/>
        </w:rPr>
        <w:t>,</w:t>
      </w:r>
      <w:r w:rsidRPr="00933BC8">
        <w:rPr>
          <w:rFonts w:ascii="Times New Roman" w:eastAsia="Times New Roman" w:hAnsi="Times New Roman" w:cs="Times New Roman"/>
          <w:i/>
          <w:iCs/>
          <w:color w:val="000000"/>
          <w:sz w:val="24"/>
          <w:szCs w:val="24"/>
          <w:lang w:eastAsia="da-DK"/>
        </w:rPr>
        <w:t xml:space="preserve"> ikrafttræden</w:t>
      </w:r>
      <w:r w:rsidR="009840C1">
        <w:rPr>
          <w:rFonts w:ascii="Times New Roman" w:eastAsia="Times New Roman" w:hAnsi="Times New Roman" w:cs="Times New Roman"/>
          <w:i/>
          <w:iCs/>
          <w:color w:val="000000"/>
          <w:sz w:val="24"/>
          <w:szCs w:val="24"/>
          <w:lang w:eastAsia="da-DK"/>
        </w:rPr>
        <w:t>, overgangsbestemmelser</w:t>
      </w:r>
      <w:r w:rsidR="00494725" w:rsidRPr="00933BC8">
        <w:rPr>
          <w:rFonts w:ascii="Times New Roman" w:eastAsia="Times New Roman" w:hAnsi="Times New Roman" w:cs="Times New Roman"/>
          <w:i/>
          <w:iCs/>
          <w:color w:val="000000"/>
          <w:sz w:val="24"/>
          <w:szCs w:val="24"/>
          <w:lang w:eastAsia="da-DK"/>
        </w:rPr>
        <w:t xml:space="preserve"> </w:t>
      </w:r>
      <w:r w:rsidRPr="00933BC8">
        <w:rPr>
          <w:rFonts w:ascii="Times New Roman" w:eastAsia="Times New Roman" w:hAnsi="Times New Roman" w:cs="Times New Roman"/>
          <w:i/>
          <w:iCs/>
          <w:color w:val="000000"/>
          <w:sz w:val="24"/>
          <w:szCs w:val="24"/>
          <w:lang w:eastAsia="da-DK"/>
        </w:rPr>
        <w:t>og territoriale bestemmelser</w:t>
      </w:r>
    </w:p>
    <w:p w14:paraId="6EA9162F" w14:textId="296F22AF" w:rsidR="003E52B4" w:rsidRPr="00933BC8" w:rsidRDefault="003E52B4" w:rsidP="003E52B4">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 xml:space="preserve">Rapportering </w:t>
      </w:r>
    </w:p>
    <w:p w14:paraId="1309EC18" w14:textId="56663DC4" w:rsidR="00E31799" w:rsidRPr="00933BC8" w:rsidRDefault="003E52B4" w:rsidP="003E52B4">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1</w:t>
      </w:r>
      <w:r w:rsidR="000F3352" w:rsidRPr="00933BC8">
        <w:rPr>
          <w:rFonts w:ascii="Times New Roman" w:eastAsia="Times New Roman" w:hAnsi="Times New Roman" w:cs="Times New Roman"/>
          <w:b/>
          <w:iCs/>
          <w:color w:val="000000"/>
          <w:sz w:val="24"/>
          <w:szCs w:val="24"/>
          <w:lang w:eastAsia="da-DK"/>
        </w:rPr>
        <w:t>9</w:t>
      </w:r>
      <w:r w:rsidR="00E31799" w:rsidRPr="00933BC8">
        <w:rPr>
          <w:rFonts w:ascii="Times New Roman" w:eastAsia="Times New Roman" w:hAnsi="Times New Roman" w:cs="Times New Roman"/>
          <w:iCs/>
          <w:color w:val="000000"/>
          <w:sz w:val="24"/>
          <w:szCs w:val="24"/>
          <w:lang w:eastAsia="da-DK"/>
        </w:rPr>
        <w:t xml:space="preserve">. Trafikstyrelsen skal føre optegnelser over følgende: </w:t>
      </w:r>
    </w:p>
    <w:p w14:paraId="2792621A" w14:textId="4F1EFD62" w:rsidR="003E52B4" w:rsidRPr="00933BC8" w:rsidRDefault="00E31799" w:rsidP="003E52B4">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1</w:t>
      </w:r>
      <w:r w:rsidR="000B7179"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Antallet af</w:t>
      </w:r>
      <w:r w:rsidR="00457B0B" w:rsidRPr="00933BC8">
        <w:rPr>
          <w:rFonts w:ascii="Times New Roman" w:eastAsia="Times New Roman" w:hAnsi="Times New Roman" w:cs="Times New Roman"/>
          <w:iCs/>
          <w:color w:val="000000"/>
          <w:sz w:val="24"/>
          <w:szCs w:val="24"/>
          <w:lang w:eastAsia="da-DK"/>
        </w:rPr>
        <w:t xml:space="preserve"> projekter, hvis</w:t>
      </w:r>
      <w:r w:rsidRPr="00933BC8">
        <w:rPr>
          <w:rFonts w:ascii="Times New Roman" w:eastAsia="Times New Roman" w:hAnsi="Times New Roman" w:cs="Times New Roman"/>
          <w:iCs/>
          <w:color w:val="000000"/>
          <w:sz w:val="24"/>
          <w:szCs w:val="24"/>
          <w:lang w:eastAsia="da-DK"/>
        </w:rPr>
        <w:t xml:space="preserve"> tilladelsesprocedurer Trafikstyrelsen </w:t>
      </w:r>
      <w:r w:rsidR="00457B0B" w:rsidRPr="00933BC8">
        <w:rPr>
          <w:rFonts w:ascii="Times New Roman" w:eastAsia="Times New Roman" w:hAnsi="Times New Roman" w:cs="Times New Roman"/>
          <w:iCs/>
          <w:color w:val="000000"/>
          <w:sz w:val="24"/>
          <w:szCs w:val="24"/>
          <w:lang w:eastAsia="da-DK"/>
        </w:rPr>
        <w:t>er eller har</w:t>
      </w:r>
      <w:r w:rsidRPr="00933BC8">
        <w:rPr>
          <w:rFonts w:ascii="Times New Roman" w:eastAsia="Times New Roman" w:hAnsi="Times New Roman" w:cs="Times New Roman"/>
          <w:iCs/>
          <w:color w:val="000000"/>
          <w:sz w:val="24"/>
          <w:szCs w:val="24"/>
          <w:lang w:eastAsia="da-DK"/>
        </w:rPr>
        <w:t xml:space="preserve"> været udpeget myndighed for. </w:t>
      </w:r>
    </w:p>
    <w:p w14:paraId="6D589082" w14:textId="7075B043" w:rsidR="00E31799" w:rsidRPr="00933BC8" w:rsidRDefault="00E31799" w:rsidP="00457B0B">
      <w:pPr>
        <w:spacing w:before="100" w:beforeAutospacing="1" w:line="240" w:lineRule="auto"/>
        <w:ind w:firstLine="170"/>
        <w:rPr>
          <w:rFonts w:ascii="Times New Roman" w:eastAsia="Times New Roman" w:hAnsi="Times New Roman" w:cs="Times New Roman"/>
          <w:iCs/>
          <w:color w:val="000000"/>
          <w:sz w:val="24"/>
          <w:szCs w:val="24"/>
          <w:lang w:eastAsia="da-DK"/>
        </w:rPr>
      </w:pPr>
      <w:r w:rsidRPr="00933BC8">
        <w:rPr>
          <w:rFonts w:ascii="Times New Roman" w:eastAsia="Times New Roman" w:hAnsi="Times New Roman" w:cs="Times New Roman"/>
          <w:iCs/>
          <w:color w:val="000000"/>
          <w:sz w:val="24"/>
          <w:szCs w:val="24"/>
          <w:lang w:eastAsia="da-DK"/>
        </w:rPr>
        <w:t>2</w:t>
      </w:r>
      <w:r w:rsidR="000B7179" w:rsidRPr="00933BC8">
        <w:rPr>
          <w:rFonts w:ascii="Times New Roman" w:eastAsia="Times New Roman" w:hAnsi="Times New Roman" w:cs="Times New Roman"/>
          <w:iCs/>
          <w:color w:val="000000"/>
          <w:sz w:val="24"/>
          <w:szCs w:val="24"/>
          <w:lang w:eastAsia="da-DK"/>
        </w:rPr>
        <w:t>)</w:t>
      </w:r>
      <w:r w:rsidRPr="00933BC8">
        <w:rPr>
          <w:rFonts w:ascii="Times New Roman" w:eastAsia="Times New Roman" w:hAnsi="Times New Roman" w:cs="Times New Roman"/>
          <w:iCs/>
          <w:color w:val="000000"/>
          <w:sz w:val="24"/>
          <w:szCs w:val="24"/>
          <w:lang w:eastAsia="da-DK"/>
        </w:rPr>
        <w:t xml:space="preserve"> </w:t>
      </w:r>
      <w:r w:rsidR="00457B0B" w:rsidRPr="00933BC8">
        <w:rPr>
          <w:rFonts w:ascii="Times New Roman" w:eastAsia="Times New Roman" w:hAnsi="Times New Roman" w:cs="Times New Roman"/>
          <w:iCs/>
          <w:color w:val="000000"/>
          <w:sz w:val="24"/>
          <w:szCs w:val="24"/>
          <w:lang w:eastAsia="da-DK"/>
        </w:rPr>
        <w:t xml:space="preserve">Tidspunkt for påbegyndelse og afslutning af tilladelsesprocedurerne for et givet projekt, som </w:t>
      </w:r>
      <w:r w:rsidR="000F3352" w:rsidRPr="00933BC8">
        <w:rPr>
          <w:rFonts w:ascii="Times New Roman" w:eastAsia="Times New Roman" w:hAnsi="Times New Roman" w:cs="Times New Roman"/>
          <w:iCs/>
          <w:color w:val="000000"/>
          <w:sz w:val="24"/>
          <w:szCs w:val="24"/>
          <w:lang w:eastAsia="da-DK"/>
        </w:rPr>
        <w:t xml:space="preserve">er </w:t>
      </w:r>
      <w:r w:rsidR="00457B0B" w:rsidRPr="00933BC8">
        <w:rPr>
          <w:rFonts w:ascii="Times New Roman" w:eastAsia="Times New Roman" w:hAnsi="Times New Roman" w:cs="Times New Roman"/>
          <w:iCs/>
          <w:color w:val="000000"/>
          <w:sz w:val="24"/>
          <w:szCs w:val="24"/>
          <w:lang w:eastAsia="da-DK"/>
        </w:rPr>
        <w:t>omfattet af § 1</w:t>
      </w:r>
      <w:r w:rsidR="00C161B9" w:rsidRPr="00933BC8">
        <w:rPr>
          <w:rFonts w:ascii="Times New Roman" w:eastAsia="Times New Roman" w:hAnsi="Times New Roman" w:cs="Times New Roman"/>
          <w:iCs/>
          <w:color w:val="000000"/>
          <w:sz w:val="24"/>
          <w:szCs w:val="24"/>
          <w:lang w:eastAsia="da-DK"/>
        </w:rPr>
        <w:t xml:space="preserve">. </w:t>
      </w:r>
    </w:p>
    <w:p w14:paraId="07E23DD5" w14:textId="77777777" w:rsidR="00414908" w:rsidRPr="00933BC8" w:rsidRDefault="00494725" w:rsidP="00696799">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Klageadgang</w:t>
      </w:r>
    </w:p>
    <w:p w14:paraId="52BCC88F" w14:textId="28670362" w:rsidR="00414908" w:rsidRPr="00933BC8" w:rsidRDefault="00494725" w:rsidP="00414908">
      <w:pPr>
        <w:spacing w:before="100" w:beforeAutospacing="1" w:line="240" w:lineRule="auto"/>
        <w:ind w:firstLine="170"/>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Cs/>
          <w:color w:val="000000"/>
          <w:sz w:val="24"/>
          <w:szCs w:val="24"/>
          <w:lang w:eastAsia="da-DK"/>
        </w:rPr>
        <w:t xml:space="preserve">§ </w:t>
      </w:r>
      <w:r w:rsidRPr="00933BC8">
        <w:rPr>
          <w:rFonts w:ascii="Times New Roman" w:eastAsia="Times New Roman" w:hAnsi="Times New Roman" w:cs="Times New Roman"/>
          <w:b/>
          <w:iCs/>
          <w:color w:val="000000"/>
          <w:sz w:val="24"/>
          <w:szCs w:val="24"/>
          <w:lang w:eastAsia="da-DK"/>
        </w:rPr>
        <w:t xml:space="preserve">20. </w:t>
      </w:r>
      <w:r w:rsidRPr="00933BC8">
        <w:rPr>
          <w:rFonts w:ascii="Times New Roman" w:eastAsia="Times New Roman" w:hAnsi="Times New Roman" w:cs="Times New Roman"/>
          <w:iCs/>
          <w:color w:val="000000"/>
          <w:sz w:val="24"/>
          <w:szCs w:val="24"/>
          <w:lang w:eastAsia="da-DK"/>
        </w:rPr>
        <w:t>Afgørelser truffet af Trafikstyrelsen efter denne bekendtgørelse kan ikke indbringes for transportministeren eller anden administrativ myndighed</w:t>
      </w:r>
      <w:r w:rsidR="00414908" w:rsidRPr="00933BC8">
        <w:rPr>
          <w:rFonts w:ascii="Times New Roman" w:eastAsia="Times New Roman" w:hAnsi="Times New Roman" w:cs="Times New Roman"/>
          <w:iCs/>
          <w:color w:val="000000"/>
          <w:sz w:val="24"/>
          <w:szCs w:val="24"/>
          <w:lang w:eastAsia="da-DK"/>
        </w:rPr>
        <w:t xml:space="preserve">, jf. bekendtgørelse om Trafikstyrelsens opgaver og beføjelser, klageadgang og kundgørelse af visse af Trafikstyrelsens forskrifter.  </w:t>
      </w:r>
    </w:p>
    <w:p w14:paraId="0BE98DB5" w14:textId="0389A648" w:rsidR="00E36472" w:rsidRPr="00933BC8" w:rsidRDefault="00696799" w:rsidP="00696799">
      <w:pPr>
        <w:spacing w:before="100" w:beforeAutospacing="1" w:line="240" w:lineRule="auto"/>
        <w:ind w:firstLine="170"/>
        <w:jc w:val="center"/>
        <w:rPr>
          <w:rFonts w:ascii="Times New Roman" w:eastAsia="Times New Roman" w:hAnsi="Times New Roman" w:cs="Times New Roman"/>
          <w:i/>
          <w:iCs/>
          <w:color w:val="000000"/>
          <w:sz w:val="24"/>
          <w:szCs w:val="24"/>
          <w:lang w:eastAsia="da-DK"/>
        </w:rPr>
      </w:pPr>
      <w:r w:rsidRPr="00933BC8">
        <w:rPr>
          <w:rFonts w:ascii="Times New Roman" w:eastAsia="Times New Roman" w:hAnsi="Times New Roman" w:cs="Times New Roman"/>
          <w:i/>
          <w:iCs/>
          <w:color w:val="000000"/>
          <w:sz w:val="24"/>
          <w:szCs w:val="24"/>
          <w:lang w:eastAsia="da-DK"/>
        </w:rPr>
        <w:t>Ikrafttræden</w:t>
      </w:r>
      <w:r w:rsidR="00494725" w:rsidRPr="00933BC8">
        <w:rPr>
          <w:rFonts w:ascii="Times New Roman" w:eastAsia="Times New Roman" w:hAnsi="Times New Roman" w:cs="Times New Roman"/>
          <w:i/>
          <w:iCs/>
          <w:color w:val="000000"/>
          <w:sz w:val="24"/>
          <w:szCs w:val="24"/>
          <w:lang w:eastAsia="da-DK"/>
        </w:rPr>
        <w:t xml:space="preserve"> og overgangsbestemmelser</w:t>
      </w:r>
    </w:p>
    <w:p w14:paraId="132346FA" w14:textId="60DE4FDB" w:rsidR="003E52B4" w:rsidRDefault="00696799" w:rsidP="00696799">
      <w:pPr>
        <w:spacing w:before="100" w:beforeAutospacing="1" w:line="240" w:lineRule="auto"/>
        <w:ind w:firstLine="170"/>
        <w:rPr>
          <w:rFonts w:ascii="Times New Roman" w:eastAsia="Times New Roman" w:hAnsi="Times New Roman" w:cs="Times New Roman"/>
          <w:color w:val="auto"/>
          <w:sz w:val="24"/>
          <w:szCs w:val="24"/>
          <w:lang w:eastAsia="da-DK"/>
        </w:rPr>
      </w:pPr>
      <w:r w:rsidRPr="00933BC8">
        <w:rPr>
          <w:rFonts w:ascii="Times New Roman" w:eastAsia="Times New Roman" w:hAnsi="Times New Roman" w:cs="Times New Roman"/>
          <w:bCs/>
          <w:color w:val="000000"/>
          <w:sz w:val="24"/>
          <w:szCs w:val="24"/>
          <w:lang w:eastAsia="da-DK"/>
        </w:rPr>
        <w:t>§</w:t>
      </w:r>
      <w:r w:rsidR="00494725" w:rsidRPr="00933BC8">
        <w:rPr>
          <w:rFonts w:ascii="Times New Roman" w:eastAsia="Times New Roman" w:hAnsi="Times New Roman" w:cs="Times New Roman"/>
          <w:b/>
          <w:bCs/>
          <w:color w:val="000000"/>
          <w:sz w:val="24"/>
          <w:szCs w:val="24"/>
          <w:lang w:eastAsia="da-DK"/>
        </w:rPr>
        <w:t xml:space="preserve"> 2</w:t>
      </w:r>
      <w:r w:rsidR="00414908" w:rsidRPr="00933BC8">
        <w:rPr>
          <w:rFonts w:ascii="Times New Roman" w:eastAsia="Times New Roman" w:hAnsi="Times New Roman" w:cs="Times New Roman"/>
          <w:b/>
          <w:bCs/>
          <w:color w:val="000000"/>
          <w:sz w:val="24"/>
          <w:szCs w:val="24"/>
          <w:lang w:eastAsia="da-DK"/>
        </w:rPr>
        <w:t>1</w:t>
      </w:r>
      <w:r w:rsidRPr="00933BC8">
        <w:rPr>
          <w:rFonts w:ascii="Times New Roman" w:eastAsia="Times New Roman" w:hAnsi="Times New Roman" w:cs="Times New Roman"/>
          <w:b/>
          <w:bCs/>
          <w:color w:val="000000"/>
          <w:sz w:val="24"/>
          <w:szCs w:val="24"/>
          <w:lang w:eastAsia="da-DK"/>
        </w:rPr>
        <w:t xml:space="preserve">. </w:t>
      </w:r>
      <w:r w:rsidR="00F227AB" w:rsidRPr="00933BC8">
        <w:rPr>
          <w:rFonts w:ascii="Times New Roman" w:eastAsia="Times New Roman" w:hAnsi="Times New Roman" w:cs="Times New Roman"/>
          <w:bCs/>
          <w:color w:val="000000"/>
          <w:sz w:val="24"/>
          <w:szCs w:val="24"/>
          <w:lang w:eastAsia="da-DK"/>
        </w:rPr>
        <w:t>Bekendtgørelsen</w:t>
      </w:r>
      <w:r w:rsidRPr="00933BC8">
        <w:rPr>
          <w:rFonts w:ascii="Times New Roman" w:eastAsia="Times New Roman" w:hAnsi="Times New Roman" w:cs="Times New Roman"/>
          <w:bCs/>
          <w:color w:val="000000"/>
          <w:sz w:val="24"/>
          <w:szCs w:val="24"/>
          <w:lang w:eastAsia="da-DK"/>
        </w:rPr>
        <w:t xml:space="preserve"> træder i kraft den</w:t>
      </w:r>
      <w:r w:rsidR="000A223F" w:rsidRPr="00933BC8">
        <w:rPr>
          <w:rFonts w:ascii="Times New Roman" w:eastAsia="Times New Roman" w:hAnsi="Times New Roman" w:cs="Times New Roman"/>
          <w:bCs/>
          <w:color w:val="000000"/>
          <w:sz w:val="24"/>
          <w:szCs w:val="24"/>
          <w:lang w:eastAsia="da-DK"/>
        </w:rPr>
        <w:t xml:space="preserve"> 1. juli 2023</w:t>
      </w:r>
      <w:r w:rsidRPr="00933BC8">
        <w:rPr>
          <w:rFonts w:ascii="Times New Roman" w:eastAsia="Times New Roman" w:hAnsi="Times New Roman" w:cs="Times New Roman"/>
          <w:color w:val="auto"/>
          <w:sz w:val="24"/>
          <w:szCs w:val="24"/>
          <w:lang w:eastAsia="da-DK"/>
        </w:rPr>
        <w:t>.</w:t>
      </w:r>
    </w:p>
    <w:p w14:paraId="4BAA6CB5" w14:textId="117AB042" w:rsidR="00107AF6" w:rsidRPr="00933BC8" w:rsidRDefault="00107AF6" w:rsidP="00696799">
      <w:pPr>
        <w:spacing w:before="100" w:beforeAutospacing="1" w:line="240" w:lineRule="auto"/>
        <w:ind w:firstLine="170"/>
        <w:rPr>
          <w:rFonts w:ascii="Times New Roman" w:eastAsia="Times New Roman" w:hAnsi="Times New Roman" w:cs="Times New Roman"/>
          <w:color w:val="auto"/>
          <w:sz w:val="24"/>
          <w:szCs w:val="24"/>
          <w:lang w:eastAsia="da-DK"/>
        </w:rPr>
      </w:pPr>
      <w:r>
        <w:rPr>
          <w:rFonts w:ascii="Times New Roman" w:eastAsia="Times New Roman" w:hAnsi="Times New Roman" w:cs="Times New Roman"/>
          <w:i/>
          <w:color w:val="auto"/>
          <w:sz w:val="24"/>
          <w:szCs w:val="24"/>
          <w:lang w:eastAsia="da-DK"/>
        </w:rPr>
        <w:t xml:space="preserve">Stk. 2. </w:t>
      </w:r>
      <w:r>
        <w:rPr>
          <w:rFonts w:ascii="Times New Roman" w:eastAsia="Times New Roman" w:hAnsi="Times New Roman" w:cs="Times New Roman"/>
          <w:color w:val="auto"/>
          <w:sz w:val="24"/>
          <w:szCs w:val="24"/>
          <w:lang w:eastAsia="da-DK"/>
        </w:rPr>
        <w:t>Bekendtgørelsen har virkning fra og med 10. august 2023.</w:t>
      </w:r>
    </w:p>
    <w:p w14:paraId="1E7491A8" w14:textId="20D814B9" w:rsidR="00696799" w:rsidRPr="00933BC8" w:rsidRDefault="00696799" w:rsidP="000A223F">
      <w:pPr>
        <w:spacing w:before="100" w:beforeAutospacing="1" w:line="240" w:lineRule="auto"/>
        <w:ind w:firstLine="170"/>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w:t>
      </w:r>
      <w:r w:rsidRPr="00933BC8">
        <w:rPr>
          <w:rFonts w:ascii="Times New Roman" w:eastAsia="Times New Roman" w:hAnsi="Times New Roman" w:cs="Times New Roman"/>
          <w:b/>
          <w:color w:val="000000"/>
          <w:sz w:val="24"/>
          <w:szCs w:val="24"/>
          <w:lang w:eastAsia="da-DK"/>
        </w:rPr>
        <w:t xml:space="preserve"> </w:t>
      </w:r>
      <w:r w:rsidR="00494725" w:rsidRPr="00933BC8">
        <w:rPr>
          <w:rFonts w:ascii="Times New Roman" w:eastAsia="Times New Roman" w:hAnsi="Times New Roman" w:cs="Times New Roman"/>
          <w:b/>
          <w:color w:val="000000"/>
          <w:sz w:val="24"/>
          <w:szCs w:val="24"/>
          <w:lang w:eastAsia="da-DK"/>
        </w:rPr>
        <w:t>2</w:t>
      </w:r>
      <w:r w:rsidR="00414908" w:rsidRPr="00933BC8">
        <w:rPr>
          <w:rFonts w:ascii="Times New Roman" w:eastAsia="Times New Roman" w:hAnsi="Times New Roman" w:cs="Times New Roman"/>
          <w:b/>
          <w:color w:val="000000"/>
          <w:sz w:val="24"/>
          <w:szCs w:val="24"/>
          <w:lang w:eastAsia="da-DK"/>
        </w:rPr>
        <w:t>2</w:t>
      </w:r>
      <w:r w:rsidRPr="00933BC8">
        <w:rPr>
          <w:rFonts w:ascii="Times New Roman" w:eastAsia="Times New Roman" w:hAnsi="Times New Roman" w:cs="Times New Roman"/>
          <w:b/>
          <w:color w:val="000000"/>
          <w:sz w:val="24"/>
          <w:szCs w:val="24"/>
          <w:lang w:eastAsia="da-DK"/>
        </w:rPr>
        <w:t xml:space="preserve">. </w:t>
      </w:r>
      <w:r w:rsidR="000A223F" w:rsidRPr="00933BC8">
        <w:rPr>
          <w:rFonts w:ascii="Times New Roman" w:eastAsia="Times New Roman" w:hAnsi="Times New Roman" w:cs="Times New Roman"/>
          <w:color w:val="000000"/>
          <w:sz w:val="24"/>
          <w:szCs w:val="24"/>
          <w:lang w:eastAsia="da-DK"/>
        </w:rPr>
        <w:t xml:space="preserve">Bekendtgørelsen finder ikke anvendelse på projekter, hvor tilladelsesproceduren er påbegyndt før den 10. august 2023.  </w:t>
      </w:r>
    </w:p>
    <w:p w14:paraId="09243280" w14:textId="35DC94A7" w:rsidR="008F6F63" w:rsidRPr="00933BC8" w:rsidRDefault="008F6F63" w:rsidP="000A223F">
      <w:pPr>
        <w:spacing w:before="100" w:beforeAutospacing="1" w:line="240" w:lineRule="auto"/>
        <w:ind w:firstLine="170"/>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 xml:space="preserve">§ </w:t>
      </w:r>
      <w:r w:rsidR="00494725" w:rsidRPr="00933BC8">
        <w:rPr>
          <w:rFonts w:ascii="Times New Roman" w:eastAsia="Times New Roman" w:hAnsi="Times New Roman" w:cs="Times New Roman"/>
          <w:b/>
          <w:color w:val="000000"/>
          <w:sz w:val="24"/>
          <w:szCs w:val="24"/>
          <w:lang w:eastAsia="da-DK"/>
        </w:rPr>
        <w:t>2</w:t>
      </w:r>
      <w:r w:rsidR="00414908" w:rsidRPr="00933BC8">
        <w:rPr>
          <w:rFonts w:ascii="Times New Roman" w:eastAsia="Times New Roman" w:hAnsi="Times New Roman" w:cs="Times New Roman"/>
          <w:b/>
          <w:color w:val="000000"/>
          <w:sz w:val="24"/>
          <w:szCs w:val="24"/>
          <w:lang w:eastAsia="da-DK"/>
        </w:rPr>
        <w:t>3</w:t>
      </w:r>
      <w:r w:rsidRPr="00933BC8">
        <w:rPr>
          <w:rFonts w:ascii="Times New Roman" w:eastAsia="Times New Roman" w:hAnsi="Times New Roman" w:cs="Times New Roman"/>
          <w:color w:val="000000"/>
          <w:sz w:val="24"/>
          <w:szCs w:val="24"/>
          <w:lang w:eastAsia="da-DK"/>
        </w:rPr>
        <w:t>.  §§ 1</w:t>
      </w:r>
      <w:r w:rsidR="000F3352" w:rsidRPr="00933BC8">
        <w:rPr>
          <w:rFonts w:ascii="Times New Roman" w:eastAsia="Times New Roman" w:hAnsi="Times New Roman" w:cs="Times New Roman"/>
          <w:color w:val="000000"/>
          <w:sz w:val="24"/>
          <w:szCs w:val="24"/>
          <w:lang w:eastAsia="da-DK"/>
        </w:rPr>
        <w:t>7</w:t>
      </w:r>
      <w:r w:rsidR="00550D66" w:rsidRPr="00933BC8">
        <w:rPr>
          <w:rFonts w:ascii="Times New Roman" w:eastAsia="Times New Roman" w:hAnsi="Times New Roman" w:cs="Times New Roman"/>
          <w:color w:val="000000"/>
          <w:sz w:val="24"/>
          <w:szCs w:val="24"/>
          <w:lang w:eastAsia="da-DK"/>
        </w:rPr>
        <w:t xml:space="preserve"> og </w:t>
      </w:r>
      <w:r w:rsidRPr="00933BC8">
        <w:rPr>
          <w:rFonts w:ascii="Times New Roman" w:eastAsia="Times New Roman" w:hAnsi="Times New Roman" w:cs="Times New Roman"/>
          <w:color w:val="000000"/>
          <w:sz w:val="24"/>
          <w:szCs w:val="24"/>
          <w:lang w:eastAsia="da-DK"/>
        </w:rPr>
        <w:t>1</w:t>
      </w:r>
      <w:r w:rsidR="000F3352" w:rsidRPr="00933BC8">
        <w:rPr>
          <w:rFonts w:ascii="Times New Roman" w:eastAsia="Times New Roman" w:hAnsi="Times New Roman" w:cs="Times New Roman"/>
          <w:color w:val="000000"/>
          <w:sz w:val="24"/>
          <w:szCs w:val="24"/>
          <w:lang w:eastAsia="da-DK"/>
        </w:rPr>
        <w:t>8</w:t>
      </w:r>
      <w:r w:rsidRPr="00933BC8">
        <w:rPr>
          <w:rFonts w:ascii="Times New Roman" w:eastAsia="Times New Roman" w:hAnsi="Times New Roman" w:cs="Times New Roman"/>
          <w:color w:val="000000"/>
          <w:sz w:val="24"/>
          <w:szCs w:val="24"/>
          <w:lang w:eastAsia="da-DK"/>
        </w:rPr>
        <w:t xml:space="preserve"> finder kun anvendelse på sådanne kontrakter, for hvilke indkaldelsen af tilbud er udsendt, eller, såfremt der ikke kræves en indkaldelse af tilbud, hvor den ordregivende myndighed eller enhed indledte udbudsproceduren efter den 10. august 2023. </w:t>
      </w:r>
    </w:p>
    <w:p w14:paraId="5A152B7A" w14:textId="526C44DB" w:rsidR="008F6F63" w:rsidRDefault="008F6F63" w:rsidP="000A223F">
      <w:pPr>
        <w:spacing w:before="100" w:beforeAutospacing="1" w:line="240" w:lineRule="auto"/>
        <w:ind w:firstLine="170"/>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 xml:space="preserve">§ </w:t>
      </w:r>
      <w:r w:rsidR="00494725" w:rsidRPr="00933BC8">
        <w:rPr>
          <w:rFonts w:ascii="Times New Roman" w:eastAsia="Times New Roman" w:hAnsi="Times New Roman" w:cs="Times New Roman"/>
          <w:b/>
          <w:color w:val="000000"/>
          <w:sz w:val="24"/>
          <w:szCs w:val="24"/>
          <w:lang w:eastAsia="da-DK"/>
        </w:rPr>
        <w:t>2</w:t>
      </w:r>
      <w:r w:rsidR="00414908" w:rsidRPr="00933BC8">
        <w:rPr>
          <w:rFonts w:ascii="Times New Roman" w:eastAsia="Times New Roman" w:hAnsi="Times New Roman" w:cs="Times New Roman"/>
          <w:b/>
          <w:color w:val="000000"/>
          <w:sz w:val="24"/>
          <w:szCs w:val="24"/>
          <w:lang w:eastAsia="da-DK"/>
        </w:rPr>
        <w:t>4</w:t>
      </w:r>
      <w:r w:rsidRPr="00933BC8">
        <w:rPr>
          <w:rFonts w:ascii="Times New Roman" w:eastAsia="Times New Roman" w:hAnsi="Times New Roman" w:cs="Times New Roman"/>
          <w:color w:val="000000"/>
          <w:sz w:val="24"/>
          <w:szCs w:val="24"/>
          <w:lang w:eastAsia="da-DK"/>
        </w:rPr>
        <w:t>. §§ 1</w:t>
      </w:r>
      <w:r w:rsidR="000F3352" w:rsidRPr="00933BC8">
        <w:rPr>
          <w:rFonts w:ascii="Times New Roman" w:eastAsia="Times New Roman" w:hAnsi="Times New Roman" w:cs="Times New Roman"/>
          <w:color w:val="000000"/>
          <w:sz w:val="24"/>
          <w:szCs w:val="24"/>
          <w:lang w:eastAsia="da-DK"/>
        </w:rPr>
        <w:t>7</w:t>
      </w:r>
      <w:r w:rsidR="00550D66" w:rsidRPr="00933BC8">
        <w:rPr>
          <w:rFonts w:ascii="Times New Roman" w:eastAsia="Times New Roman" w:hAnsi="Times New Roman" w:cs="Times New Roman"/>
          <w:color w:val="000000"/>
          <w:sz w:val="24"/>
          <w:szCs w:val="24"/>
          <w:lang w:eastAsia="da-DK"/>
        </w:rPr>
        <w:t xml:space="preserve"> og </w:t>
      </w:r>
      <w:r w:rsidRPr="00933BC8">
        <w:rPr>
          <w:rFonts w:ascii="Times New Roman" w:eastAsia="Times New Roman" w:hAnsi="Times New Roman" w:cs="Times New Roman"/>
          <w:color w:val="000000"/>
          <w:sz w:val="24"/>
          <w:szCs w:val="24"/>
          <w:lang w:eastAsia="da-DK"/>
        </w:rPr>
        <w:t>1</w:t>
      </w:r>
      <w:r w:rsidR="000F3352" w:rsidRPr="00933BC8">
        <w:rPr>
          <w:rFonts w:ascii="Times New Roman" w:eastAsia="Times New Roman" w:hAnsi="Times New Roman" w:cs="Times New Roman"/>
          <w:color w:val="000000"/>
          <w:sz w:val="24"/>
          <w:szCs w:val="24"/>
          <w:lang w:eastAsia="da-DK"/>
        </w:rPr>
        <w:t>8</w:t>
      </w:r>
      <w:r w:rsidRPr="00933BC8">
        <w:rPr>
          <w:rFonts w:ascii="Times New Roman" w:eastAsia="Times New Roman" w:hAnsi="Times New Roman" w:cs="Times New Roman"/>
          <w:color w:val="000000"/>
          <w:sz w:val="24"/>
          <w:szCs w:val="24"/>
          <w:lang w:eastAsia="da-DK"/>
        </w:rPr>
        <w:t xml:space="preserve"> finder ikke anvendelse på en fælles enhed, der er oprettet inden den 9. august 2021, hvis denne enheds udbudsprocedurer fortsat er omfattet af den ret, der gælder for enhedens udbud på denne dato.  </w:t>
      </w:r>
    </w:p>
    <w:p w14:paraId="1E9A79A0" w14:textId="77777777" w:rsidR="00423F15" w:rsidRPr="00933BC8" w:rsidRDefault="00423F15" w:rsidP="000A223F">
      <w:pPr>
        <w:spacing w:before="100" w:beforeAutospacing="1" w:line="240" w:lineRule="auto"/>
        <w:ind w:firstLine="170"/>
        <w:rPr>
          <w:rFonts w:ascii="Times New Roman" w:eastAsia="Times New Roman" w:hAnsi="Times New Roman" w:cs="Times New Roman"/>
          <w:i/>
          <w:color w:val="auto"/>
          <w:sz w:val="24"/>
          <w:szCs w:val="24"/>
          <w:lang w:eastAsia="da-DK"/>
        </w:rPr>
      </w:pPr>
    </w:p>
    <w:p w14:paraId="3E200CA0" w14:textId="132E3222" w:rsidR="00696799" w:rsidRPr="00933BC8" w:rsidRDefault="00696799" w:rsidP="000A223F">
      <w:pPr>
        <w:spacing w:before="100" w:beforeAutospacing="1" w:line="240" w:lineRule="auto"/>
        <w:ind w:firstLine="170"/>
        <w:jc w:val="center"/>
        <w:rPr>
          <w:rFonts w:ascii="Times New Roman" w:eastAsia="Times New Roman" w:hAnsi="Times New Roman" w:cs="Times New Roman"/>
          <w:i/>
          <w:color w:val="auto"/>
          <w:sz w:val="24"/>
          <w:szCs w:val="24"/>
          <w:lang w:eastAsia="da-DK"/>
        </w:rPr>
      </w:pPr>
      <w:r w:rsidRPr="00933BC8">
        <w:rPr>
          <w:rFonts w:ascii="Times New Roman" w:eastAsia="Times New Roman" w:hAnsi="Times New Roman" w:cs="Times New Roman"/>
          <w:i/>
          <w:color w:val="auto"/>
          <w:sz w:val="24"/>
          <w:szCs w:val="24"/>
          <w:lang w:eastAsia="da-DK"/>
        </w:rPr>
        <w:t>Bestemmelser om territorialt gyldighedsområde</w:t>
      </w:r>
    </w:p>
    <w:p w14:paraId="18BFAD08" w14:textId="2A791E7F" w:rsidR="00414908" w:rsidRPr="00933BC8" w:rsidRDefault="00696799" w:rsidP="004E3E6A">
      <w:pPr>
        <w:spacing w:before="100" w:beforeAutospacing="1" w:line="240" w:lineRule="auto"/>
        <w:ind w:firstLine="170"/>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b/>
          <w:color w:val="000000"/>
          <w:sz w:val="24"/>
          <w:szCs w:val="24"/>
          <w:lang w:eastAsia="da-DK"/>
        </w:rPr>
        <w:t xml:space="preserve">§ </w:t>
      </w:r>
      <w:r w:rsidR="00494725" w:rsidRPr="00933BC8">
        <w:rPr>
          <w:rFonts w:ascii="Times New Roman" w:eastAsia="Times New Roman" w:hAnsi="Times New Roman" w:cs="Times New Roman"/>
          <w:b/>
          <w:color w:val="000000"/>
          <w:sz w:val="24"/>
          <w:szCs w:val="24"/>
          <w:lang w:eastAsia="da-DK"/>
        </w:rPr>
        <w:t>2</w:t>
      </w:r>
      <w:r w:rsidR="00414908" w:rsidRPr="00933BC8">
        <w:rPr>
          <w:rFonts w:ascii="Times New Roman" w:eastAsia="Times New Roman" w:hAnsi="Times New Roman" w:cs="Times New Roman"/>
          <w:b/>
          <w:color w:val="000000"/>
          <w:sz w:val="24"/>
          <w:szCs w:val="24"/>
          <w:lang w:eastAsia="da-DK"/>
        </w:rPr>
        <w:t>5</w:t>
      </w:r>
      <w:r w:rsidRPr="00933BC8">
        <w:rPr>
          <w:rFonts w:ascii="Times New Roman" w:eastAsia="Times New Roman" w:hAnsi="Times New Roman" w:cs="Times New Roman"/>
          <w:b/>
          <w:color w:val="000000"/>
          <w:sz w:val="24"/>
          <w:szCs w:val="24"/>
          <w:lang w:eastAsia="da-DK"/>
        </w:rPr>
        <w:t>.</w:t>
      </w:r>
      <w:r w:rsidRPr="00933BC8">
        <w:rPr>
          <w:rFonts w:ascii="Times New Roman" w:eastAsia="Times New Roman" w:hAnsi="Times New Roman" w:cs="Times New Roman"/>
          <w:color w:val="000000"/>
          <w:sz w:val="24"/>
          <w:szCs w:val="24"/>
          <w:lang w:eastAsia="da-DK"/>
        </w:rPr>
        <w:t xml:space="preserve"> </w:t>
      </w:r>
      <w:r w:rsidR="002D7831" w:rsidRPr="00933BC8">
        <w:rPr>
          <w:rFonts w:ascii="Times New Roman" w:eastAsia="Times New Roman" w:hAnsi="Times New Roman" w:cs="Times New Roman"/>
          <w:color w:val="000000"/>
          <w:sz w:val="24"/>
          <w:szCs w:val="24"/>
          <w:lang w:eastAsia="da-DK"/>
        </w:rPr>
        <w:t>Bekendtgørelsen</w:t>
      </w:r>
      <w:r w:rsidRPr="00933BC8">
        <w:rPr>
          <w:rFonts w:ascii="Times New Roman" w:eastAsia="Times New Roman" w:hAnsi="Times New Roman" w:cs="Times New Roman"/>
          <w:color w:val="000000"/>
          <w:sz w:val="24"/>
          <w:szCs w:val="24"/>
          <w:lang w:eastAsia="da-DK"/>
        </w:rPr>
        <w:t xml:space="preserve"> gælder ikke for Færøerne og Grønland.</w:t>
      </w:r>
    </w:p>
    <w:p w14:paraId="0393BAF1" w14:textId="77777777" w:rsidR="000967B7" w:rsidRPr="00933BC8" w:rsidRDefault="000967B7" w:rsidP="004E3E6A">
      <w:pPr>
        <w:spacing w:before="100" w:beforeAutospacing="1" w:line="240" w:lineRule="auto"/>
        <w:ind w:firstLine="170"/>
        <w:rPr>
          <w:rFonts w:ascii="Times New Roman" w:eastAsia="Times New Roman" w:hAnsi="Times New Roman" w:cs="Times New Roman"/>
          <w:color w:val="000000"/>
          <w:sz w:val="24"/>
          <w:szCs w:val="24"/>
          <w:lang w:eastAsia="da-DK"/>
        </w:rPr>
      </w:pPr>
    </w:p>
    <w:p w14:paraId="2CEFD034" w14:textId="11C1E1E1" w:rsidR="000A790F" w:rsidRDefault="000A790F"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560320B8" w14:textId="510B2496"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33875DFE" w14:textId="6B2DA865"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51A223B3" w14:textId="5440715A"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4749760B" w14:textId="6842507F"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5317036F" w14:textId="34EB975C"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4D1A7CB0" w14:textId="0C2E44BB"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660F76C6" w14:textId="7A4C76A6"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6270ADA5" w14:textId="17C29026"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1E20C94A" w14:textId="6AD6DA4C"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4F817B36" w14:textId="3560AC25"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58B8E600" w14:textId="485C70AE"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1D5BA585" w14:textId="5FE99EC7"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207D32BA" w14:textId="7E0FDBC3"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416ED202" w14:textId="2738B077" w:rsidR="00551354" w:rsidRDefault="00551354"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44D687B1" w14:textId="75206F8F" w:rsidR="00423F15" w:rsidRDefault="00423F15"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7864AE1E" w14:textId="4978A7C3" w:rsidR="00423F15" w:rsidRDefault="00423F15"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0730F7BB" w14:textId="5A6D6B2A" w:rsidR="000A790F" w:rsidRDefault="000A790F" w:rsidP="00900976">
      <w:pPr>
        <w:spacing w:before="100" w:beforeAutospacing="1" w:line="240" w:lineRule="auto"/>
        <w:jc w:val="center"/>
        <w:rPr>
          <w:rFonts w:ascii="Times New Roman" w:eastAsia="Times New Roman" w:hAnsi="Times New Roman" w:cs="Times New Roman"/>
          <w:i/>
          <w:color w:val="auto"/>
          <w:sz w:val="28"/>
          <w:szCs w:val="28"/>
          <w:lang w:eastAsia="da-DK"/>
        </w:rPr>
      </w:pPr>
    </w:p>
    <w:p w14:paraId="32B4FF4D" w14:textId="77777777" w:rsidR="002B2AF5" w:rsidRDefault="002B2AF5" w:rsidP="00900976">
      <w:pPr>
        <w:spacing w:before="100" w:beforeAutospacing="1" w:line="240" w:lineRule="auto"/>
        <w:jc w:val="center"/>
        <w:rPr>
          <w:rFonts w:ascii="Times New Roman" w:eastAsia="Times New Roman" w:hAnsi="Times New Roman" w:cs="Times New Roman"/>
          <w:i/>
          <w:color w:val="auto"/>
          <w:sz w:val="28"/>
          <w:szCs w:val="28"/>
          <w:lang w:eastAsia="da-DK"/>
        </w:rPr>
      </w:pPr>
      <w:bookmarkStart w:id="0" w:name="_GoBack"/>
      <w:bookmarkEnd w:id="0"/>
    </w:p>
    <w:p w14:paraId="490E0A58" w14:textId="071336FB" w:rsidR="00696799" w:rsidRPr="00933BC8" w:rsidRDefault="00696799" w:rsidP="00900976">
      <w:pPr>
        <w:spacing w:before="100" w:beforeAutospacing="1" w:line="240" w:lineRule="auto"/>
        <w:jc w:val="center"/>
        <w:rPr>
          <w:rFonts w:ascii="Times New Roman" w:eastAsia="Times New Roman" w:hAnsi="Times New Roman" w:cs="Times New Roman"/>
          <w:i/>
          <w:color w:val="auto"/>
          <w:sz w:val="28"/>
          <w:szCs w:val="28"/>
          <w:lang w:eastAsia="da-DK"/>
        </w:rPr>
      </w:pPr>
      <w:r w:rsidRPr="00933BC8">
        <w:rPr>
          <w:rFonts w:ascii="Times New Roman" w:eastAsia="Times New Roman" w:hAnsi="Times New Roman" w:cs="Times New Roman"/>
          <w:i/>
          <w:color w:val="auto"/>
          <w:sz w:val="28"/>
          <w:szCs w:val="28"/>
          <w:lang w:eastAsia="da-DK"/>
        </w:rPr>
        <w:lastRenderedPageBreak/>
        <w:t>Bilag</w:t>
      </w:r>
      <w:r w:rsidR="00DD25A6" w:rsidRPr="00933BC8">
        <w:rPr>
          <w:rFonts w:ascii="Times New Roman" w:eastAsia="Times New Roman" w:hAnsi="Times New Roman" w:cs="Times New Roman"/>
          <w:i/>
          <w:color w:val="auto"/>
          <w:sz w:val="28"/>
          <w:szCs w:val="28"/>
          <w:lang w:eastAsia="da-DK"/>
        </w:rPr>
        <w:t xml:space="preserve"> 1</w:t>
      </w:r>
    </w:p>
    <w:p w14:paraId="1235FF3F" w14:textId="316B7364" w:rsidR="00A304C0" w:rsidRPr="00933BC8" w:rsidRDefault="00A304C0" w:rsidP="00A304C0">
      <w:pPr>
        <w:spacing w:before="100" w:beforeAutospacing="1" w:after="240" w:line="240" w:lineRule="auto"/>
        <w:ind w:firstLine="170"/>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 xml:space="preserve">Forhåndsudpegede strækninger af grænseoverskridende forbindelser på </w:t>
      </w:r>
      <w:proofErr w:type="spellStart"/>
      <w:r w:rsidRPr="00933BC8">
        <w:rPr>
          <w:rFonts w:ascii="Times New Roman" w:eastAsia="Times New Roman" w:hAnsi="Times New Roman" w:cs="Times New Roman"/>
          <w:color w:val="000000"/>
          <w:sz w:val="24"/>
          <w:szCs w:val="24"/>
          <w:lang w:eastAsia="da-DK"/>
        </w:rPr>
        <w:t>hovednetkorrid</w:t>
      </w:r>
      <w:r w:rsidR="00DD25A6" w:rsidRPr="00933BC8">
        <w:rPr>
          <w:rFonts w:ascii="Times New Roman" w:eastAsia="Times New Roman" w:hAnsi="Times New Roman" w:cs="Times New Roman"/>
          <w:color w:val="000000"/>
          <w:sz w:val="24"/>
          <w:szCs w:val="24"/>
          <w:lang w:eastAsia="da-DK"/>
        </w:rPr>
        <w:t>oren</w:t>
      </w:r>
      <w:proofErr w:type="spellEnd"/>
      <w:r w:rsidR="00DD25A6" w:rsidRPr="00933BC8">
        <w:rPr>
          <w:rFonts w:ascii="Times New Roman" w:eastAsia="Times New Roman" w:hAnsi="Times New Roman" w:cs="Times New Roman"/>
          <w:color w:val="000000"/>
          <w:sz w:val="24"/>
          <w:szCs w:val="24"/>
          <w:lang w:eastAsia="da-DK"/>
        </w:rPr>
        <w:t xml:space="preserve">, Skandinavien-Middelhavet, som Danmark indgår på. </w:t>
      </w:r>
    </w:p>
    <w:tbl>
      <w:tblPr>
        <w:tblW w:w="0" w:type="auto"/>
        <w:tblCellMar>
          <w:left w:w="70" w:type="dxa"/>
          <w:right w:w="70" w:type="dxa"/>
        </w:tblCellMar>
        <w:tblLook w:val="0000" w:firstRow="0" w:lastRow="0" w:firstColumn="0" w:lastColumn="0" w:noHBand="0" w:noVBand="0"/>
      </w:tblPr>
      <w:tblGrid>
        <w:gridCol w:w="3230"/>
        <w:gridCol w:w="3203"/>
        <w:gridCol w:w="3205"/>
      </w:tblGrid>
      <w:tr w:rsidR="00A304C0" w:rsidRPr="00933BC8" w14:paraId="44CF5483" w14:textId="77777777" w:rsidTr="00A304C0">
        <w:tc>
          <w:tcPr>
            <w:tcW w:w="9778" w:type="dxa"/>
            <w:gridSpan w:val="3"/>
            <w:tcBorders>
              <w:top w:val="single" w:sz="4" w:space="0" w:color="auto"/>
              <w:bottom w:val="single" w:sz="4" w:space="0" w:color="auto"/>
            </w:tcBorders>
          </w:tcPr>
          <w:p w14:paraId="68DEC242" w14:textId="711B16DC" w:rsidR="00A304C0" w:rsidRPr="00933BC8" w:rsidRDefault="00A304C0" w:rsidP="00A304C0">
            <w:pPr>
              <w:spacing w:before="100" w:beforeAutospacing="1" w:line="240" w:lineRule="auto"/>
              <w:jc w:val="center"/>
              <w:rPr>
                <w:rFonts w:ascii="Times New Roman" w:eastAsia="Times New Roman" w:hAnsi="Times New Roman" w:cs="Times New Roman"/>
                <w:color w:val="000000"/>
                <w:sz w:val="24"/>
                <w:szCs w:val="24"/>
                <w:lang w:eastAsia="da-DK"/>
              </w:rPr>
            </w:pPr>
            <w:proofErr w:type="spellStart"/>
            <w:r w:rsidRPr="00933BC8">
              <w:rPr>
                <w:rFonts w:ascii="Times New Roman" w:eastAsia="Times New Roman" w:hAnsi="Times New Roman" w:cs="Times New Roman"/>
                <w:color w:val="000000"/>
                <w:sz w:val="24"/>
                <w:szCs w:val="24"/>
                <w:lang w:eastAsia="da-DK"/>
              </w:rPr>
              <w:t>Hovednetkorridoren</w:t>
            </w:r>
            <w:proofErr w:type="spellEnd"/>
            <w:r w:rsidRPr="00933BC8">
              <w:rPr>
                <w:rFonts w:ascii="Times New Roman" w:eastAsia="Times New Roman" w:hAnsi="Times New Roman" w:cs="Times New Roman"/>
                <w:color w:val="000000"/>
                <w:sz w:val="24"/>
                <w:szCs w:val="24"/>
                <w:lang w:eastAsia="da-DK"/>
              </w:rPr>
              <w:t xml:space="preserve"> ’Skandinavien – Middelhavet’ </w:t>
            </w:r>
          </w:p>
        </w:tc>
      </w:tr>
      <w:tr w:rsidR="00DD25A6" w:rsidRPr="00933BC8" w14:paraId="12382DA8" w14:textId="77777777" w:rsidTr="00DD25A6">
        <w:trPr>
          <w:trHeight w:val="889"/>
        </w:trPr>
        <w:tc>
          <w:tcPr>
            <w:tcW w:w="3259" w:type="dxa"/>
            <w:vMerge w:val="restart"/>
            <w:tcBorders>
              <w:top w:val="single" w:sz="4" w:space="0" w:color="auto"/>
              <w:right w:val="single" w:sz="4" w:space="0" w:color="auto"/>
            </w:tcBorders>
          </w:tcPr>
          <w:p w14:paraId="60EA0D10" w14:textId="11478BFE" w:rsidR="00DD25A6" w:rsidRPr="00933BC8" w:rsidRDefault="00DD25A6" w:rsidP="00696799">
            <w:pPr>
              <w:spacing w:before="100" w:beforeAutospacing="1" w:line="240" w:lineRule="auto"/>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Grænseoverskridende forbindelser</w:t>
            </w:r>
          </w:p>
        </w:tc>
        <w:tc>
          <w:tcPr>
            <w:tcW w:w="3259" w:type="dxa"/>
            <w:tcBorders>
              <w:top w:val="single" w:sz="4" w:space="0" w:color="auto"/>
              <w:left w:val="single" w:sz="4" w:space="0" w:color="auto"/>
              <w:right w:val="single" w:sz="4" w:space="0" w:color="auto"/>
            </w:tcBorders>
          </w:tcPr>
          <w:p w14:paraId="0E041919" w14:textId="41F662FF" w:rsidR="00DD25A6" w:rsidRPr="00933BC8" w:rsidRDefault="00DD25A6" w:rsidP="00696799">
            <w:pPr>
              <w:spacing w:before="100" w:beforeAutospacing="1" w:line="240" w:lineRule="auto"/>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 xml:space="preserve">København – Hamburg: adgangsveje til den faste forbindelse over Femern Bælt </w:t>
            </w:r>
          </w:p>
        </w:tc>
        <w:tc>
          <w:tcPr>
            <w:tcW w:w="3260" w:type="dxa"/>
            <w:tcBorders>
              <w:top w:val="single" w:sz="4" w:space="0" w:color="auto"/>
              <w:left w:val="single" w:sz="4" w:space="0" w:color="auto"/>
            </w:tcBorders>
          </w:tcPr>
          <w:p w14:paraId="4E439857" w14:textId="008AC7DF" w:rsidR="00DD25A6" w:rsidRPr="00933BC8" w:rsidRDefault="00DD25A6" w:rsidP="00696799">
            <w:pPr>
              <w:spacing w:before="100" w:beforeAutospacing="1" w:line="240" w:lineRule="auto"/>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Jernbane</w:t>
            </w:r>
          </w:p>
        </w:tc>
      </w:tr>
      <w:tr w:rsidR="00A304C0" w:rsidRPr="00933BC8" w14:paraId="1FD2ADEA" w14:textId="77777777" w:rsidTr="00A304C0">
        <w:tc>
          <w:tcPr>
            <w:tcW w:w="3259" w:type="dxa"/>
            <w:vMerge/>
            <w:tcBorders>
              <w:bottom w:val="single" w:sz="4" w:space="0" w:color="auto"/>
              <w:right w:val="single" w:sz="4" w:space="0" w:color="auto"/>
            </w:tcBorders>
          </w:tcPr>
          <w:p w14:paraId="4BF1AE29" w14:textId="77777777" w:rsidR="00A304C0" w:rsidRPr="00933BC8" w:rsidRDefault="00A304C0" w:rsidP="00696799">
            <w:pPr>
              <w:spacing w:before="100" w:beforeAutospacing="1" w:line="240" w:lineRule="auto"/>
              <w:rPr>
                <w:rFonts w:ascii="Times New Roman" w:eastAsia="Times New Roman" w:hAnsi="Times New Roman" w:cs="Times New Roman"/>
                <w:color w:val="000000"/>
                <w:sz w:val="24"/>
                <w:szCs w:val="24"/>
                <w:lang w:eastAsia="da-DK"/>
              </w:rPr>
            </w:pPr>
          </w:p>
        </w:tc>
        <w:tc>
          <w:tcPr>
            <w:tcW w:w="3259" w:type="dxa"/>
            <w:tcBorders>
              <w:top w:val="single" w:sz="4" w:space="0" w:color="auto"/>
              <w:left w:val="single" w:sz="4" w:space="0" w:color="auto"/>
              <w:bottom w:val="single" w:sz="4" w:space="0" w:color="auto"/>
              <w:right w:val="single" w:sz="4" w:space="0" w:color="auto"/>
            </w:tcBorders>
          </w:tcPr>
          <w:p w14:paraId="11B3260D" w14:textId="17A80ACB" w:rsidR="00A304C0" w:rsidRPr="00933BC8" w:rsidRDefault="00A304C0" w:rsidP="00696799">
            <w:pPr>
              <w:spacing w:before="100" w:beforeAutospacing="1" w:line="240" w:lineRule="auto"/>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 xml:space="preserve">København – Hamburg: den faste forbindelse over Femern Bælt </w:t>
            </w:r>
          </w:p>
        </w:tc>
        <w:tc>
          <w:tcPr>
            <w:tcW w:w="3260" w:type="dxa"/>
            <w:tcBorders>
              <w:top w:val="single" w:sz="4" w:space="0" w:color="auto"/>
              <w:left w:val="single" w:sz="4" w:space="0" w:color="auto"/>
              <w:bottom w:val="single" w:sz="4" w:space="0" w:color="auto"/>
            </w:tcBorders>
          </w:tcPr>
          <w:p w14:paraId="20C77B52" w14:textId="44C50968" w:rsidR="00A304C0" w:rsidRPr="00933BC8" w:rsidRDefault="00A304C0" w:rsidP="00696799">
            <w:pPr>
              <w:spacing w:before="100" w:beforeAutospacing="1" w:line="240" w:lineRule="auto"/>
              <w:rPr>
                <w:rFonts w:ascii="Times New Roman" w:eastAsia="Times New Roman" w:hAnsi="Times New Roman" w:cs="Times New Roman"/>
                <w:color w:val="000000"/>
                <w:sz w:val="24"/>
                <w:szCs w:val="24"/>
                <w:lang w:eastAsia="da-DK"/>
              </w:rPr>
            </w:pPr>
            <w:r w:rsidRPr="00933BC8">
              <w:rPr>
                <w:rFonts w:ascii="Times New Roman" w:eastAsia="Times New Roman" w:hAnsi="Times New Roman" w:cs="Times New Roman"/>
                <w:color w:val="000000"/>
                <w:sz w:val="24"/>
                <w:szCs w:val="24"/>
                <w:lang w:eastAsia="da-DK"/>
              </w:rPr>
              <w:t>Jernbane/vej</w:t>
            </w:r>
          </w:p>
        </w:tc>
      </w:tr>
    </w:tbl>
    <w:p w14:paraId="204D660B" w14:textId="77777777" w:rsidR="00A304C0" w:rsidRPr="00933BC8" w:rsidRDefault="00A304C0" w:rsidP="00696799">
      <w:pPr>
        <w:spacing w:before="100" w:beforeAutospacing="1" w:line="240" w:lineRule="auto"/>
        <w:ind w:firstLine="170"/>
        <w:rPr>
          <w:rFonts w:ascii="Times New Roman" w:eastAsia="Times New Roman" w:hAnsi="Times New Roman" w:cs="Times New Roman"/>
          <w:color w:val="000000"/>
          <w:sz w:val="24"/>
          <w:szCs w:val="24"/>
          <w:lang w:eastAsia="da-DK"/>
        </w:rPr>
      </w:pPr>
    </w:p>
    <w:p w14:paraId="33B22960" w14:textId="77777777" w:rsidR="00616D97" w:rsidRPr="00933BC8" w:rsidRDefault="00616D97">
      <w:pPr>
        <w:rPr>
          <w:rFonts w:ascii="Times New Roman" w:hAnsi="Times New Roman" w:cs="Times New Roman"/>
        </w:rPr>
      </w:pPr>
    </w:p>
    <w:sectPr w:rsidR="00616D97" w:rsidRPr="00933BC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71175" w14:textId="77777777" w:rsidR="005F7AA3" w:rsidRDefault="005F7AA3">
      <w:pPr>
        <w:spacing w:line="240" w:lineRule="auto"/>
      </w:pPr>
      <w:r>
        <w:separator/>
      </w:r>
    </w:p>
  </w:endnote>
  <w:endnote w:type="continuationSeparator" w:id="0">
    <w:p w14:paraId="6BB5D034" w14:textId="77777777" w:rsidR="005F7AA3" w:rsidRDefault="005F7AA3">
      <w:pPr>
        <w:spacing w:line="240" w:lineRule="auto"/>
      </w:pPr>
      <w:r>
        <w:continuationSeparator/>
      </w:r>
    </w:p>
  </w:endnote>
  <w:endnote w:type="continuationNotice" w:id="1">
    <w:p w14:paraId="0047C521" w14:textId="77777777" w:rsidR="005F7AA3" w:rsidRDefault="005F7A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86946" w14:textId="77777777" w:rsidR="005F7AA3" w:rsidRDefault="005F7AA3">
      <w:pPr>
        <w:spacing w:line="240" w:lineRule="auto"/>
      </w:pPr>
      <w:r>
        <w:separator/>
      </w:r>
    </w:p>
  </w:footnote>
  <w:footnote w:type="continuationSeparator" w:id="0">
    <w:p w14:paraId="4B73C5B2" w14:textId="77777777" w:rsidR="005F7AA3" w:rsidRDefault="005F7AA3">
      <w:pPr>
        <w:spacing w:line="240" w:lineRule="auto"/>
      </w:pPr>
      <w:r>
        <w:continuationSeparator/>
      </w:r>
    </w:p>
  </w:footnote>
  <w:footnote w:type="continuationNotice" w:id="1">
    <w:p w14:paraId="090F7205" w14:textId="77777777" w:rsidR="005F7AA3" w:rsidRDefault="005F7AA3">
      <w:pPr>
        <w:spacing w:line="240" w:lineRule="auto"/>
      </w:pPr>
    </w:p>
  </w:footnote>
  <w:footnote w:id="2">
    <w:p w14:paraId="1D33282B" w14:textId="0A9EAC2C" w:rsidR="00585F89" w:rsidRDefault="00585F89">
      <w:pPr>
        <w:pStyle w:val="Fodnotetekst"/>
      </w:pPr>
      <w:r>
        <w:rPr>
          <w:rStyle w:val="Fodnotehenvisning"/>
        </w:rPr>
        <w:footnoteRef/>
      </w:r>
      <w:r>
        <w:t xml:space="preserve"> Bekendtgørelsen indeholder bestemmelser, der gennemfører Europa-Parlamentets og Rådets direktiv 2021/1187 af 7. juli 2021 om forenkling af foranstaltninger til fremme af gennemførelsen af det </w:t>
      </w:r>
      <w:proofErr w:type="spellStart"/>
      <w:r>
        <w:t>transeuropæiske</w:t>
      </w:r>
      <w:proofErr w:type="spellEnd"/>
      <w:r>
        <w:t xml:space="preserve"> transportnet (TEN-T), </w:t>
      </w:r>
      <w:r w:rsidRPr="00D3573F">
        <w:t>EU-tidende 2021, nr. L 258, side 1.</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7F0"/>
    <w:multiLevelType w:val="hybridMultilevel"/>
    <w:tmpl w:val="8DA4469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9FA65AA"/>
    <w:multiLevelType w:val="multilevel"/>
    <w:tmpl w:val="8A1E25D6"/>
    <w:lvl w:ilvl="0">
      <w:start w:val="1"/>
      <w:numFmt w:val="decimal"/>
      <w:lvlText w:val="%1)"/>
      <w:lvlJc w:val="left"/>
      <w:pPr>
        <w:tabs>
          <w:tab w:val="num" w:pos="890"/>
        </w:tabs>
        <w:ind w:left="890" w:hanging="360"/>
      </w:pPr>
    </w:lvl>
    <w:lvl w:ilvl="1" w:tentative="1">
      <w:start w:val="1"/>
      <w:numFmt w:val="decimal"/>
      <w:lvlText w:val="%2."/>
      <w:lvlJc w:val="left"/>
      <w:pPr>
        <w:tabs>
          <w:tab w:val="num" w:pos="1970"/>
        </w:tabs>
        <w:ind w:left="1970" w:hanging="360"/>
      </w:pPr>
    </w:lvl>
    <w:lvl w:ilvl="2" w:tentative="1">
      <w:start w:val="1"/>
      <w:numFmt w:val="decimal"/>
      <w:lvlText w:val="%3."/>
      <w:lvlJc w:val="left"/>
      <w:pPr>
        <w:tabs>
          <w:tab w:val="num" w:pos="2690"/>
        </w:tabs>
        <w:ind w:left="2690" w:hanging="360"/>
      </w:pPr>
    </w:lvl>
    <w:lvl w:ilvl="3" w:tentative="1">
      <w:start w:val="1"/>
      <w:numFmt w:val="decimal"/>
      <w:lvlText w:val="%4."/>
      <w:lvlJc w:val="left"/>
      <w:pPr>
        <w:tabs>
          <w:tab w:val="num" w:pos="3410"/>
        </w:tabs>
        <w:ind w:left="3410" w:hanging="360"/>
      </w:pPr>
    </w:lvl>
    <w:lvl w:ilvl="4" w:tentative="1">
      <w:start w:val="1"/>
      <w:numFmt w:val="decimal"/>
      <w:lvlText w:val="%5."/>
      <w:lvlJc w:val="left"/>
      <w:pPr>
        <w:tabs>
          <w:tab w:val="num" w:pos="4130"/>
        </w:tabs>
        <w:ind w:left="4130" w:hanging="360"/>
      </w:pPr>
    </w:lvl>
    <w:lvl w:ilvl="5" w:tentative="1">
      <w:start w:val="1"/>
      <w:numFmt w:val="decimal"/>
      <w:lvlText w:val="%6."/>
      <w:lvlJc w:val="left"/>
      <w:pPr>
        <w:tabs>
          <w:tab w:val="num" w:pos="4850"/>
        </w:tabs>
        <w:ind w:left="4850" w:hanging="360"/>
      </w:pPr>
    </w:lvl>
    <w:lvl w:ilvl="6" w:tentative="1">
      <w:start w:val="1"/>
      <w:numFmt w:val="decimal"/>
      <w:lvlText w:val="%7."/>
      <w:lvlJc w:val="left"/>
      <w:pPr>
        <w:tabs>
          <w:tab w:val="num" w:pos="5570"/>
        </w:tabs>
        <w:ind w:left="5570" w:hanging="360"/>
      </w:pPr>
    </w:lvl>
    <w:lvl w:ilvl="7" w:tentative="1">
      <w:start w:val="1"/>
      <w:numFmt w:val="decimal"/>
      <w:lvlText w:val="%8."/>
      <w:lvlJc w:val="left"/>
      <w:pPr>
        <w:tabs>
          <w:tab w:val="num" w:pos="6290"/>
        </w:tabs>
        <w:ind w:left="6290" w:hanging="360"/>
      </w:pPr>
    </w:lvl>
    <w:lvl w:ilvl="8" w:tentative="1">
      <w:start w:val="1"/>
      <w:numFmt w:val="decimal"/>
      <w:lvlText w:val="%9."/>
      <w:lvlJc w:val="left"/>
      <w:pPr>
        <w:tabs>
          <w:tab w:val="num" w:pos="7010"/>
        </w:tabs>
        <w:ind w:left="7010" w:hanging="360"/>
      </w:pPr>
    </w:lvl>
  </w:abstractNum>
  <w:abstractNum w:abstractNumId="2" w15:restartNumberingAfterBreak="0">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1705F"/>
    <w:multiLevelType w:val="multilevel"/>
    <w:tmpl w:val="7A38495C"/>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472F06D7"/>
    <w:multiLevelType w:val="hybridMultilevel"/>
    <w:tmpl w:val="9186378C"/>
    <w:lvl w:ilvl="0" w:tplc="B3AEA07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5" w15:restartNumberingAfterBreak="0">
    <w:nsid w:val="4DD81A54"/>
    <w:multiLevelType w:val="hybridMultilevel"/>
    <w:tmpl w:val="1F0ECD9A"/>
    <w:lvl w:ilvl="0" w:tplc="EB443A76">
      <w:start w:val="1"/>
      <w:numFmt w:val="bullet"/>
      <w:lvlText w:val=""/>
      <w:lvlJc w:val="left"/>
      <w:pPr>
        <w:ind w:left="720" w:hanging="360"/>
      </w:pPr>
      <w:rPr>
        <w:rFonts w:ascii="Wingdings" w:eastAsiaTheme="minorEastAsia" w:hAnsi="Wingdings" w:cs="Georgia" w:hint="default"/>
        <w:sz w:val="1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1E87697"/>
    <w:multiLevelType w:val="hybridMultilevel"/>
    <w:tmpl w:val="E680457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B0E7F34"/>
    <w:multiLevelType w:val="hybridMultilevel"/>
    <w:tmpl w:val="D55830EA"/>
    <w:lvl w:ilvl="0" w:tplc="04060019">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6C729F5"/>
    <w:multiLevelType w:val="hybridMultilevel"/>
    <w:tmpl w:val="15665A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0566FC5"/>
    <w:multiLevelType w:val="hybridMultilevel"/>
    <w:tmpl w:val="9A0AE4C8"/>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9"/>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oNotTrackFormatting/>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99"/>
    <w:rsid w:val="00001C30"/>
    <w:rsid w:val="00013E79"/>
    <w:rsid w:val="00016D55"/>
    <w:rsid w:val="000215F8"/>
    <w:rsid w:val="00024487"/>
    <w:rsid w:val="00030C8E"/>
    <w:rsid w:val="000353F8"/>
    <w:rsid w:val="0005500A"/>
    <w:rsid w:val="000575F1"/>
    <w:rsid w:val="00071428"/>
    <w:rsid w:val="00081EE4"/>
    <w:rsid w:val="000952C0"/>
    <w:rsid w:val="000967B7"/>
    <w:rsid w:val="000A223F"/>
    <w:rsid w:val="000A790F"/>
    <w:rsid w:val="000B100B"/>
    <w:rsid w:val="000B7179"/>
    <w:rsid w:val="000F3352"/>
    <w:rsid w:val="00100565"/>
    <w:rsid w:val="00107AF6"/>
    <w:rsid w:val="00113D45"/>
    <w:rsid w:val="00117444"/>
    <w:rsid w:val="00117CB4"/>
    <w:rsid w:val="00130A4C"/>
    <w:rsid w:val="001413B4"/>
    <w:rsid w:val="00156378"/>
    <w:rsid w:val="001742CC"/>
    <w:rsid w:val="001764FD"/>
    <w:rsid w:val="00180336"/>
    <w:rsid w:val="00181AE7"/>
    <w:rsid w:val="00192340"/>
    <w:rsid w:val="001923B8"/>
    <w:rsid w:val="0019589B"/>
    <w:rsid w:val="001D25E1"/>
    <w:rsid w:val="00204FB4"/>
    <w:rsid w:val="00210CBF"/>
    <w:rsid w:val="00217E1A"/>
    <w:rsid w:val="0022297F"/>
    <w:rsid w:val="00223855"/>
    <w:rsid w:val="00233271"/>
    <w:rsid w:val="002464C8"/>
    <w:rsid w:val="002528AF"/>
    <w:rsid w:val="0025704B"/>
    <w:rsid w:val="00273451"/>
    <w:rsid w:val="002903A6"/>
    <w:rsid w:val="00294BE4"/>
    <w:rsid w:val="002A0AEC"/>
    <w:rsid w:val="002B2AF5"/>
    <w:rsid w:val="002D483F"/>
    <w:rsid w:val="002D7831"/>
    <w:rsid w:val="002E26EE"/>
    <w:rsid w:val="00301A4E"/>
    <w:rsid w:val="00302886"/>
    <w:rsid w:val="00314F6F"/>
    <w:rsid w:val="00335C0D"/>
    <w:rsid w:val="003422B0"/>
    <w:rsid w:val="00360EC2"/>
    <w:rsid w:val="00365F1E"/>
    <w:rsid w:val="00370E5E"/>
    <w:rsid w:val="003716C6"/>
    <w:rsid w:val="00380759"/>
    <w:rsid w:val="003B0FBA"/>
    <w:rsid w:val="003D2F90"/>
    <w:rsid w:val="003E52B4"/>
    <w:rsid w:val="003E56CD"/>
    <w:rsid w:val="00410EED"/>
    <w:rsid w:val="00414908"/>
    <w:rsid w:val="00423810"/>
    <w:rsid w:val="00423F15"/>
    <w:rsid w:val="004348BF"/>
    <w:rsid w:val="00434905"/>
    <w:rsid w:val="004414EA"/>
    <w:rsid w:val="00443862"/>
    <w:rsid w:val="00457B0B"/>
    <w:rsid w:val="0046570E"/>
    <w:rsid w:val="00473963"/>
    <w:rsid w:val="00493819"/>
    <w:rsid w:val="00494725"/>
    <w:rsid w:val="00495753"/>
    <w:rsid w:val="004C59C5"/>
    <w:rsid w:val="004D43EC"/>
    <w:rsid w:val="004D566B"/>
    <w:rsid w:val="004E3E6A"/>
    <w:rsid w:val="005241D9"/>
    <w:rsid w:val="00527773"/>
    <w:rsid w:val="005340C4"/>
    <w:rsid w:val="00550D66"/>
    <w:rsid w:val="00551354"/>
    <w:rsid w:val="00553CD3"/>
    <w:rsid w:val="00557233"/>
    <w:rsid w:val="005656ED"/>
    <w:rsid w:val="00585F89"/>
    <w:rsid w:val="005926A1"/>
    <w:rsid w:val="00593D6A"/>
    <w:rsid w:val="005953DD"/>
    <w:rsid w:val="005A4894"/>
    <w:rsid w:val="005B0B86"/>
    <w:rsid w:val="005B1627"/>
    <w:rsid w:val="005C7BED"/>
    <w:rsid w:val="005F1512"/>
    <w:rsid w:val="005F7AA3"/>
    <w:rsid w:val="00604B6C"/>
    <w:rsid w:val="00611034"/>
    <w:rsid w:val="00616D97"/>
    <w:rsid w:val="006226C3"/>
    <w:rsid w:val="00643948"/>
    <w:rsid w:val="006614CF"/>
    <w:rsid w:val="006657AE"/>
    <w:rsid w:val="00691FA2"/>
    <w:rsid w:val="00696799"/>
    <w:rsid w:val="006C25EC"/>
    <w:rsid w:val="006C345F"/>
    <w:rsid w:val="006C3828"/>
    <w:rsid w:val="006C40BB"/>
    <w:rsid w:val="006C7F38"/>
    <w:rsid w:val="007008AD"/>
    <w:rsid w:val="00710C83"/>
    <w:rsid w:val="0071327F"/>
    <w:rsid w:val="00727D89"/>
    <w:rsid w:val="00730B37"/>
    <w:rsid w:val="00730E8D"/>
    <w:rsid w:val="00732D9C"/>
    <w:rsid w:val="0073636D"/>
    <w:rsid w:val="007566FF"/>
    <w:rsid w:val="00785366"/>
    <w:rsid w:val="007A41EB"/>
    <w:rsid w:val="007C391C"/>
    <w:rsid w:val="007C4D4E"/>
    <w:rsid w:val="007E7E34"/>
    <w:rsid w:val="0080757B"/>
    <w:rsid w:val="00810072"/>
    <w:rsid w:val="00815EF2"/>
    <w:rsid w:val="00830AF8"/>
    <w:rsid w:val="008311C2"/>
    <w:rsid w:val="0083157C"/>
    <w:rsid w:val="00856251"/>
    <w:rsid w:val="00870702"/>
    <w:rsid w:val="0088131C"/>
    <w:rsid w:val="00881741"/>
    <w:rsid w:val="008A7DBF"/>
    <w:rsid w:val="008B3350"/>
    <w:rsid w:val="008C2162"/>
    <w:rsid w:val="008C68B2"/>
    <w:rsid w:val="008F2633"/>
    <w:rsid w:val="008F6F63"/>
    <w:rsid w:val="00900976"/>
    <w:rsid w:val="0090472D"/>
    <w:rsid w:val="00916EB6"/>
    <w:rsid w:val="00927488"/>
    <w:rsid w:val="00930755"/>
    <w:rsid w:val="00932E0B"/>
    <w:rsid w:val="00933BC8"/>
    <w:rsid w:val="009552CB"/>
    <w:rsid w:val="00956CF0"/>
    <w:rsid w:val="009607BE"/>
    <w:rsid w:val="00962119"/>
    <w:rsid w:val="00962E9C"/>
    <w:rsid w:val="009732F6"/>
    <w:rsid w:val="0097356D"/>
    <w:rsid w:val="009840C1"/>
    <w:rsid w:val="00993BD1"/>
    <w:rsid w:val="009971D5"/>
    <w:rsid w:val="009A2120"/>
    <w:rsid w:val="009A69BA"/>
    <w:rsid w:val="009B1F84"/>
    <w:rsid w:val="009B2725"/>
    <w:rsid w:val="009D15E3"/>
    <w:rsid w:val="009E7C4D"/>
    <w:rsid w:val="009F5038"/>
    <w:rsid w:val="009F5174"/>
    <w:rsid w:val="009F60F0"/>
    <w:rsid w:val="00A166A2"/>
    <w:rsid w:val="00A16DB3"/>
    <w:rsid w:val="00A24C9C"/>
    <w:rsid w:val="00A304C0"/>
    <w:rsid w:val="00A3106C"/>
    <w:rsid w:val="00A35670"/>
    <w:rsid w:val="00A549F5"/>
    <w:rsid w:val="00A6066D"/>
    <w:rsid w:val="00A7321A"/>
    <w:rsid w:val="00AA1006"/>
    <w:rsid w:val="00AA19A2"/>
    <w:rsid w:val="00AB51BC"/>
    <w:rsid w:val="00AB6A9C"/>
    <w:rsid w:val="00AC7A6C"/>
    <w:rsid w:val="00AD7EB7"/>
    <w:rsid w:val="00AF3EBB"/>
    <w:rsid w:val="00B00B48"/>
    <w:rsid w:val="00B35F13"/>
    <w:rsid w:val="00B42538"/>
    <w:rsid w:val="00B439E4"/>
    <w:rsid w:val="00B66953"/>
    <w:rsid w:val="00B66B92"/>
    <w:rsid w:val="00B71799"/>
    <w:rsid w:val="00BB35A3"/>
    <w:rsid w:val="00BB39DC"/>
    <w:rsid w:val="00BB5CA4"/>
    <w:rsid w:val="00BC06EC"/>
    <w:rsid w:val="00BD6FFE"/>
    <w:rsid w:val="00BE79C1"/>
    <w:rsid w:val="00BF0E39"/>
    <w:rsid w:val="00BF4A0B"/>
    <w:rsid w:val="00BF4A6F"/>
    <w:rsid w:val="00C0252C"/>
    <w:rsid w:val="00C07E84"/>
    <w:rsid w:val="00C14D66"/>
    <w:rsid w:val="00C15514"/>
    <w:rsid w:val="00C161B9"/>
    <w:rsid w:val="00C16539"/>
    <w:rsid w:val="00C1762E"/>
    <w:rsid w:val="00C32CE7"/>
    <w:rsid w:val="00C4624F"/>
    <w:rsid w:val="00C67D10"/>
    <w:rsid w:val="00C74B04"/>
    <w:rsid w:val="00C774A1"/>
    <w:rsid w:val="00C96A9D"/>
    <w:rsid w:val="00CA0B48"/>
    <w:rsid w:val="00CA6259"/>
    <w:rsid w:val="00CB4499"/>
    <w:rsid w:val="00CE4428"/>
    <w:rsid w:val="00CE66A2"/>
    <w:rsid w:val="00D3341E"/>
    <w:rsid w:val="00D3573F"/>
    <w:rsid w:val="00D377EE"/>
    <w:rsid w:val="00D456C9"/>
    <w:rsid w:val="00D47AF2"/>
    <w:rsid w:val="00D62492"/>
    <w:rsid w:val="00D641D3"/>
    <w:rsid w:val="00D65AAB"/>
    <w:rsid w:val="00D7132B"/>
    <w:rsid w:val="00D744C9"/>
    <w:rsid w:val="00D83662"/>
    <w:rsid w:val="00D86486"/>
    <w:rsid w:val="00D971DC"/>
    <w:rsid w:val="00DA346F"/>
    <w:rsid w:val="00DA462B"/>
    <w:rsid w:val="00DB4B5C"/>
    <w:rsid w:val="00DC142F"/>
    <w:rsid w:val="00DC1BCD"/>
    <w:rsid w:val="00DC36E3"/>
    <w:rsid w:val="00DC7041"/>
    <w:rsid w:val="00DD25A6"/>
    <w:rsid w:val="00E147E0"/>
    <w:rsid w:val="00E31799"/>
    <w:rsid w:val="00E36472"/>
    <w:rsid w:val="00E427DA"/>
    <w:rsid w:val="00E46490"/>
    <w:rsid w:val="00E5305B"/>
    <w:rsid w:val="00E57057"/>
    <w:rsid w:val="00E660DF"/>
    <w:rsid w:val="00E70DCB"/>
    <w:rsid w:val="00E810F9"/>
    <w:rsid w:val="00E86893"/>
    <w:rsid w:val="00EA2DFA"/>
    <w:rsid w:val="00EB010B"/>
    <w:rsid w:val="00EC311C"/>
    <w:rsid w:val="00EE131F"/>
    <w:rsid w:val="00EE2348"/>
    <w:rsid w:val="00EE37C7"/>
    <w:rsid w:val="00EE39AF"/>
    <w:rsid w:val="00F06872"/>
    <w:rsid w:val="00F15DCD"/>
    <w:rsid w:val="00F227AB"/>
    <w:rsid w:val="00F25C2F"/>
    <w:rsid w:val="00F34053"/>
    <w:rsid w:val="00F37585"/>
    <w:rsid w:val="00F4234A"/>
    <w:rsid w:val="00F5539A"/>
    <w:rsid w:val="00F55A94"/>
    <w:rsid w:val="00F649D4"/>
    <w:rsid w:val="00F67655"/>
    <w:rsid w:val="00F811B0"/>
    <w:rsid w:val="00FA6BDC"/>
    <w:rsid w:val="00FC7E73"/>
    <w:rsid w:val="00FE5A28"/>
    <w:rsid w:val="00FF3F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4C72F"/>
  <w15:docId w15:val="{493D6840-EA48-41B3-B1EA-376B74B3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99"/>
    <w:pPr>
      <w:spacing w:after="0" w:line="280" w:lineRule="atLeast"/>
    </w:pPr>
    <w:rPr>
      <w:rFonts w:ascii="Georgia" w:eastAsiaTheme="minorEastAsia" w:hAnsi="Georgia" w:cs="Georgia"/>
      <w:color w:val="0D0D0D" w:themeColor="text1" w:themeTint="F2"/>
      <w:sz w:val="21"/>
      <w:szCs w:val="21"/>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00536F"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00536F"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00A9E0"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00A9E0"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00536F"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00536F"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semiHidden/>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uiPriority w:val="99"/>
    <w:rsid w:val="00EA2DFA"/>
    <w:pPr>
      <w:tabs>
        <w:tab w:val="center" w:pos="4819"/>
        <w:tab w:val="right" w:pos="9638"/>
      </w:tabs>
    </w:pPr>
  </w:style>
  <w:style w:type="character" w:customStyle="1" w:styleId="SidehovedTegn">
    <w:name w:val="Sidehoved Tegn"/>
    <w:basedOn w:val="Standardskrifttypeiafsnit"/>
    <w:link w:val="Sidehoved"/>
    <w:uiPriority w:val="99"/>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color w:val="auto"/>
      <w:sz w:val="24"/>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00A9E0" w:themeColor="accent1"/>
      </w:pBdr>
      <w:spacing w:after="300" w:line="240" w:lineRule="auto"/>
      <w:contextualSpacing/>
    </w:pPr>
    <w:rPr>
      <w:rFonts w:asciiTheme="majorHAnsi" w:eastAsiaTheme="majorEastAsia" w:hAnsiTheme="majorHAnsi" w:cstheme="majorBidi"/>
      <w:color w:val="6EBBE8"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EBBE8"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00A9E0" w:themeColor="accent1"/>
      <w:spacing w:val="15"/>
      <w:sz w:val="24"/>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00A9E0"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D2EAF8" w:themeFill="text2"/>
    </w:tcPr>
    <w:tblStylePr w:type="firstRow">
      <w:tblPr/>
      <w:tcPr>
        <w:tcBorders>
          <w:top w:val="nil"/>
          <w:left w:val="nil"/>
          <w:bottom w:val="nil"/>
          <w:right w:val="nil"/>
          <w:insideH w:val="nil"/>
          <w:insideV w:val="nil"/>
        </w:tcBorders>
        <w:shd w:val="clear" w:color="auto" w:fill="00A9E0" w:themeFill="accent1"/>
      </w:tcPr>
    </w:tblStylePr>
  </w:style>
  <w:style w:type="character" w:styleId="Kommentarhenvisning">
    <w:name w:val="annotation reference"/>
    <w:basedOn w:val="Standardskrifttypeiafsnit"/>
    <w:uiPriority w:val="99"/>
    <w:semiHidden/>
    <w:unhideWhenUsed/>
    <w:rsid w:val="00A7321A"/>
    <w:rPr>
      <w:sz w:val="16"/>
      <w:szCs w:val="16"/>
    </w:rPr>
  </w:style>
  <w:style w:type="paragraph" w:styleId="Kommentartekst">
    <w:name w:val="annotation text"/>
    <w:basedOn w:val="Normal"/>
    <w:link w:val="KommentartekstTegn"/>
    <w:uiPriority w:val="99"/>
    <w:unhideWhenUsed/>
    <w:rsid w:val="00A7321A"/>
    <w:pPr>
      <w:spacing w:line="240" w:lineRule="auto"/>
    </w:pPr>
    <w:rPr>
      <w:sz w:val="20"/>
      <w:szCs w:val="20"/>
    </w:rPr>
  </w:style>
  <w:style w:type="character" w:customStyle="1" w:styleId="KommentartekstTegn">
    <w:name w:val="Kommentartekst Tegn"/>
    <w:basedOn w:val="Standardskrifttypeiafsnit"/>
    <w:link w:val="Kommentartekst"/>
    <w:uiPriority w:val="99"/>
    <w:rsid w:val="00A7321A"/>
    <w:rPr>
      <w:rFonts w:ascii="Georgia" w:eastAsiaTheme="minorEastAsia" w:hAnsi="Georgia" w:cs="Georgia"/>
      <w:color w:val="0D0D0D" w:themeColor="text1" w:themeTint="F2"/>
      <w:sz w:val="20"/>
      <w:szCs w:val="20"/>
    </w:rPr>
  </w:style>
  <w:style w:type="paragraph" w:styleId="Kommentaremne">
    <w:name w:val="annotation subject"/>
    <w:basedOn w:val="Kommentartekst"/>
    <w:next w:val="Kommentartekst"/>
    <w:link w:val="KommentaremneTegn"/>
    <w:uiPriority w:val="99"/>
    <w:semiHidden/>
    <w:unhideWhenUsed/>
    <w:rsid w:val="00A7321A"/>
    <w:rPr>
      <w:b/>
      <w:bCs/>
    </w:rPr>
  </w:style>
  <w:style w:type="character" w:customStyle="1" w:styleId="KommentaremneTegn">
    <w:name w:val="Kommentaremne Tegn"/>
    <w:basedOn w:val="KommentartekstTegn"/>
    <w:link w:val="Kommentaremne"/>
    <w:uiPriority w:val="99"/>
    <w:semiHidden/>
    <w:rsid w:val="00A7321A"/>
    <w:rPr>
      <w:rFonts w:ascii="Georgia" w:eastAsiaTheme="minorEastAsia" w:hAnsi="Georgia" w:cs="Georgia"/>
      <w:b/>
      <w:bCs/>
      <w:color w:val="0D0D0D" w:themeColor="text1" w:themeTint="F2"/>
      <w:sz w:val="20"/>
      <w:szCs w:val="20"/>
    </w:rPr>
  </w:style>
  <w:style w:type="paragraph" w:styleId="Fodnotetekst">
    <w:name w:val="footnote text"/>
    <w:basedOn w:val="Normal"/>
    <w:link w:val="FodnotetekstTegn"/>
    <w:uiPriority w:val="99"/>
    <w:semiHidden/>
    <w:unhideWhenUsed/>
    <w:rsid w:val="00585F89"/>
    <w:pPr>
      <w:spacing w:line="240" w:lineRule="auto"/>
    </w:pPr>
    <w:rPr>
      <w:sz w:val="20"/>
      <w:szCs w:val="20"/>
    </w:rPr>
  </w:style>
  <w:style w:type="character" w:customStyle="1" w:styleId="FodnotetekstTegn">
    <w:name w:val="Fodnotetekst Tegn"/>
    <w:basedOn w:val="Standardskrifttypeiafsnit"/>
    <w:link w:val="Fodnotetekst"/>
    <w:uiPriority w:val="99"/>
    <w:semiHidden/>
    <w:rsid w:val="00585F89"/>
    <w:rPr>
      <w:rFonts w:ascii="Georgia" w:eastAsiaTheme="minorEastAsia" w:hAnsi="Georgia" w:cs="Georgia"/>
      <w:color w:val="0D0D0D" w:themeColor="text1" w:themeTint="F2"/>
      <w:sz w:val="20"/>
      <w:szCs w:val="20"/>
    </w:rPr>
  </w:style>
  <w:style w:type="character" w:styleId="Fodnotehenvisning">
    <w:name w:val="footnote reference"/>
    <w:basedOn w:val="Standardskrifttypeiafsnit"/>
    <w:uiPriority w:val="99"/>
    <w:semiHidden/>
    <w:unhideWhenUsed/>
    <w:rsid w:val="00585F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464026">
      <w:bodyDiv w:val="1"/>
      <w:marLeft w:val="0"/>
      <w:marRight w:val="0"/>
      <w:marTop w:val="0"/>
      <w:marBottom w:val="0"/>
      <w:divBdr>
        <w:top w:val="none" w:sz="0" w:space="0" w:color="auto"/>
        <w:left w:val="none" w:sz="0" w:space="0" w:color="auto"/>
        <w:bottom w:val="none" w:sz="0" w:space="0" w:color="auto"/>
        <w:right w:val="none" w:sz="0" w:space="0" w:color="auto"/>
      </w:divBdr>
    </w:div>
    <w:div w:id="730157923">
      <w:bodyDiv w:val="1"/>
      <w:marLeft w:val="0"/>
      <w:marRight w:val="0"/>
      <w:marTop w:val="0"/>
      <w:marBottom w:val="0"/>
      <w:divBdr>
        <w:top w:val="none" w:sz="0" w:space="0" w:color="auto"/>
        <w:left w:val="none" w:sz="0" w:space="0" w:color="auto"/>
        <w:bottom w:val="none" w:sz="0" w:space="0" w:color="auto"/>
        <w:right w:val="none" w:sz="0" w:space="0" w:color="auto"/>
      </w:divBdr>
    </w:div>
    <w:div w:id="1243489799">
      <w:bodyDiv w:val="1"/>
      <w:marLeft w:val="0"/>
      <w:marRight w:val="0"/>
      <w:marTop w:val="0"/>
      <w:marBottom w:val="0"/>
      <w:divBdr>
        <w:top w:val="none" w:sz="0" w:space="0" w:color="auto"/>
        <w:left w:val="none" w:sz="0" w:space="0" w:color="auto"/>
        <w:bottom w:val="none" w:sz="0" w:space="0" w:color="auto"/>
        <w:right w:val="none" w:sz="0" w:space="0" w:color="auto"/>
      </w:divBdr>
    </w:div>
    <w:div w:id="1251963806">
      <w:bodyDiv w:val="1"/>
      <w:marLeft w:val="0"/>
      <w:marRight w:val="0"/>
      <w:marTop w:val="0"/>
      <w:marBottom w:val="0"/>
      <w:divBdr>
        <w:top w:val="none" w:sz="0" w:space="0" w:color="auto"/>
        <w:left w:val="none" w:sz="0" w:space="0" w:color="auto"/>
        <w:bottom w:val="none" w:sz="0" w:space="0" w:color="auto"/>
        <w:right w:val="none" w:sz="0" w:space="0" w:color="auto"/>
      </w:divBdr>
    </w:div>
    <w:div w:id="1598246942">
      <w:bodyDiv w:val="1"/>
      <w:marLeft w:val="0"/>
      <w:marRight w:val="0"/>
      <w:marTop w:val="0"/>
      <w:marBottom w:val="0"/>
      <w:divBdr>
        <w:top w:val="none" w:sz="0" w:space="0" w:color="auto"/>
        <w:left w:val="none" w:sz="0" w:space="0" w:color="auto"/>
        <w:bottom w:val="none" w:sz="0" w:space="0" w:color="auto"/>
        <w:right w:val="none" w:sz="0" w:space="0" w:color="auto"/>
      </w:divBdr>
    </w:div>
    <w:div w:id="1648437830">
      <w:bodyDiv w:val="1"/>
      <w:marLeft w:val="0"/>
      <w:marRight w:val="0"/>
      <w:marTop w:val="0"/>
      <w:marBottom w:val="0"/>
      <w:divBdr>
        <w:top w:val="none" w:sz="0" w:space="0" w:color="auto"/>
        <w:left w:val="none" w:sz="0" w:space="0" w:color="auto"/>
        <w:bottom w:val="none" w:sz="0" w:space="0" w:color="auto"/>
        <w:right w:val="none" w:sz="0" w:space="0" w:color="auto"/>
      </w:divBdr>
    </w:div>
    <w:div w:id="21118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Transportministeriet">
      <a:dk1>
        <a:sysClr val="windowText" lastClr="000000"/>
      </a:dk1>
      <a:lt1>
        <a:sysClr val="window" lastClr="FFFFFF"/>
      </a:lt1>
      <a:dk2>
        <a:srgbClr val="D2EAF8"/>
      </a:dk2>
      <a:lt2>
        <a:srgbClr val="FBFEFF"/>
      </a:lt2>
      <a:accent1>
        <a:srgbClr val="00A9E0"/>
      </a:accent1>
      <a:accent2>
        <a:srgbClr val="F9BA04"/>
      </a:accent2>
      <a:accent3>
        <a:srgbClr val="ADAFAF"/>
      </a:accent3>
      <a:accent4>
        <a:srgbClr val="DFDF00"/>
      </a:accent4>
      <a:accent5>
        <a:srgbClr val="C6BDD2"/>
      </a:accent5>
      <a:accent6>
        <a:srgbClr val="5BC6E8"/>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1DC1E-7EDB-4434-97B6-0CB491531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2106</Words>
  <Characters>12848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14925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TRM Bjørg Boye Gudbrand</dc:creator>
  <cp:lastModifiedBy>TRM Elise Regitze Voss</cp:lastModifiedBy>
  <cp:revision>6</cp:revision>
  <cp:lastPrinted>2023-04-24T08:57:00Z</cp:lastPrinted>
  <dcterms:created xsi:type="dcterms:W3CDTF">2023-05-05T09:16:00Z</dcterms:created>
  <dcterms:modified xsi:type="dcterms:W3CDTF">2023-05-16T09:20:00Z</dcterms:modified>
</cp:coreProperties>
</file>