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96" w:rsidRPr="00BC172D" w:rsidRDefault="00D37896" w:rsidP="00D37896">
      <w:pPr>
        <w:widowControl/>
        <w:spacing w:line="288" w:lineRule="auto"/>
        <w:jc w:val="both"/>
        <w:rPr>
          <w:sz w:val="24"/>
        </w:rPr>
      </w:pPr>
      <w:r w:rsidRPr="00BC172D">
        <w:rPr>
          <w:sz w:val="24"/>
        </w:rPr>
        <w:t xml:space="preserve">Skatteministeriet </w:t>
      </w:r>
      <w:r w:rsidRPr="00BC172D">
        <w:rPr>
          <w:sz w:val="24"/>
        </w:rPr>
        <w:fldChar w:fldCharType="begin"/>
      </w:r>
      <w:r w:rsidRPr="00BC172D">
        <w:rPr>
          <w:sz w:val="24"/>
        </w:rPr>
        <w:instrText>ADVANCE \r255</w:instrText>
      </w:r>
      <w:r w:rsidRPr="00BC172D">
        <w:rPr>
          <w:sz w:val="24"/>
        </w:rPr>
        <w:fldChar w:fldCharType="end"/>
      </w:r>
      <w:r w:rsidRPr="00BC172D">
        <w:rPr>
          <w:sz w:val="24"/>
        </w:rPr>
        <w:t xml:space="preserve">J. nr. </w:t>
      </w:r>
      <w:r w:rsidR="00B71A8F">
        <w:rPr>
          <w:sz w:val="24"/>
        </w:rPr>
        <w:t>13-0172525</w:t>
      </w:r>
    </w:p>
    <w:p w:rsidR="00D37896" w:rsidRPr="00BC172D" w:rsidRDefault="00D37896" w:rsidP="00D37896">
      <w:pPr>
        <w:widowControl/>
        <w:spacing w:line="288" w:lineRule="auto"/>
        <w:rPr>
          <w:sz w:val="24"/>
        </w:rPr>
      </w:pPr>
    </w:p>
    <w:p w:rsidR="00D37896" w:rsidRPr="00BC172D" w:rsidRDefault="00D37896" w:rsidP="00D37896">
      <w:pPr>
        <w:widowControl/>
        <w:spacing w:line="288" w:lineRule="auto"/>
        <w:rPr>
          <w:sz w:val="24"/>
        </w:rPr>
      </w:pPr>
    </w:p>
    <w:p w:rsidR="00D37896" w:rsidRDefault="00D37896" w:rsidP="00D37896">
      <w:pPr>
        <w:widowControl/>
        <w:spacing w:line="288" w:lineRule="auto"/>
        <w:jc w:val="both"/>
        <w:rPr>
          <w:sz w:val="24"/>
        </w:rPr>
      </w:pPr>
    </w:p>
    <w:p w:rsidR="00557FFD" w:rsidRDefault="00557FFD" w:rsidP="00D37896">
      <w:pPr>
        <w:widowControl/>
        <w:spacing w:line="288" w:lineRule="auto"/>
        <w:jc w:val="both"/>
        <w:rPr>
          <w:sz w:val="24"/>
        </w:rPr>
      </w:pPr>
    </w:p>
    <w:p w:rsidR="00D37896" w:rsidRPr="00BC172D" w:rsidRDefault="00D37896" w:rsidP="00D37896">
      <w:pPr>
        <w:widowControl/>
        <w:spacing w:line="288" w:lineRule="auto"/>
        <w:jc w:val="both"/>
        <w:rPr>
          <w:sz w:val="24"/>
        </w:rPr>
      </w:pPr>
    </w:p>
    <w:p w:rsidR="00D37896" w:rsidRPr="00BC172D" w:rsidRDefault="00D37896" w:rsidP="00D37896">
      <w:pPr>
        <w:widowControl/>
        <w:spacing w:line="288" w:lineRule="auto"/>
        <w:jc w:val="both"/>
        <w:rPr>
          <w:sz w:val="24"/>
        </w:rPr>
      </w:pPr>
    </w:p>
    <w:p w:rsidR="00D37896" w:rsidRPr="00BC172D" w:rsidRDefault="00D37896" w:rsidP="00D37896">
      <w:pPr>
        <w:jc w:val="center"/>
        <w:rPr>
          <w:b/>
          <w:bCs/>
          <w:sz w:val="28"/>
        </w:rPr>
      </w:pPr>
      <w:r w:rsidRPr="00BC172D">
        <w:rPr>
          <w:b/>
          <w:bCs/>
          <w:sz w:val="28"/>
        </w:rPr>
        <w:t xml:space="preserve">Forslag </w:t>
      </w:r>
    </w:p>
    <w:p w:rsidR="00D37896" w:rsidRPr="00BC172D" w:rsidRDefault="00D37896" w:rsidP="00D37896">
      <w:pPr>
        <w:jc w:val="center"/>
        <w:rPr>
          <w:sz w:val="24"/>
        </w:rPr>
      </w:pPr>
      <w:r w:rsidRPr="00BC172D">
        <w:rPr>
          <w:sz w:val="24"/>
        </w:rPr>
        <w:t xml:space="preserve">til </w:t>
      </w:r>
    </w:p>
    <w:p w:rsidR="00D37896" w:rsidRPr="008677D7" w:rsidRDefault="00D37896" w:rsidP="00D37896">
      <w:pPr>
        <w:jc w:val="center"/>
        <w:rPr>
          <w:b/>
          <w:sz w:val="28"/>
        </w:rPr>
      </w:pPr>
      <w:r w:rsidRPr="008677D7">
        <w:rPr>
          <w:b/>
          <w:sz w:val="28"/>
        </w:rPr>
        <w:t xml:space="preserve">Lov om ændring af </w:t>
      </w:r>
      <w:r w:rsidR="00F92EC3">
        <w:rPr>
          <w:b/>
          <w:sz w:val="28"/>
        </w:rPr>
        <w:t xml:space="preserve">fusionsskatteloven, </w:t>
      </w:r>
      <w:r w:rsidR="00BF6D25">
        <w:rPr>
          <w:b/>
          <w:sz w:val="28"/>
        </w:rPr>
        <w:t xml:space="preserve">selskabsskatteloven, </w:t>
      </w:r>
      <w:r w:rsidR="00E4196F">
        <w:rPr>
          <w:b/>
          <w:sz w:val="28"/>
        </w:rPr>
        <w:t>kildeskatteloven</w:t>
      </w:r>
      <w:r w:rsidR="00F92EC3">
        <w:rPr>
          <w:b/>
          <w:sz w:val="28"/>
        </w:rPr>
        <w:t xml:space="preserve"> og </w:t>
      </w:r>
      <w:r w:rsidR="00BF6D25">
        <w:rPr>
          <w:b/>
          <w:sz w:val="28"/>
        </w:rPr>
        <w:t>aktieavancebeskatnings</w:t>
      </w:r>
      <w:r w:rsidR="004371D1">
        <w:rPr>
          <w:b/>
          <w:sz w:val="28"/>
        </w:rPr>
        <w:t xml:space="preserve">loven </w:t>
      </w:r>
    </w:p>
    <w:p w:rsidR="00D37896" w:rsidRPr="00BC172D" w:rsidRDefault="00BD21A3" w:rsidP="00D37896">
      <w:pPr>
        <w:jc w:val="center"/>
        <w:rPr>
          <w:sz w:val="24"/>
        </w:rPr>
      </w:pPr>
      <w:bookmarkStart w:id="0" w:name="_GoBack"/>
      <w:r>
        <w:rPr>
          <w:sz w:val="24"/>
        </w:rPr>
        <w:t>(Indgreb mod omgåelse af udbyttebeskatningen i forbindelse med kontante udligningssummer)</w:t>
      </w:r>
    </w:p>
    <w:bookmarkEnd w:id="0"/>
    <w:p w:rsidR="00D37896" w:rsidRPr="00BC172D" w:rsidRDefault="00D37896" w:rsidP="00D37896">
      <w:pPr>
        <w:spacing w:line="288" w:lineRule="auto"/>
        <w:jc w:val="center"/>
        <w:rPr>
          <w:sz w:val="24"/>
        </w:rPr>
      </w:pPr>
    </w:p>
    <w:p w:rsidR="00376FD2" w:rsidRDefault="00376FD2" w:rsidP="00376FD2">
      <w:pPr>
        <w:widowControl/>
        <w:spacing w:line="288" w:lineRule="auto"/>
        <w:jc w:val="both"/>
        <w:rPr>
          <w:sz w:val="24"/>
        </w:rPr>
      </w:pPr>
    </w:p>
    <w:p w:rsidR="007A7F19" w:rsidRDefault="007A7F19" w:rsidP="001B78AD">
      <w:pPr>
        <w:ind w:left="3600" w:firstLine="720"/>
        <w:rPr>
          <w:b/>
          <w:sz w:val="24"/>
        </w:rPr>
      </w:pPr>
      <w:r>
        <w:rPr>
          <w:b/>
          <w:sz w:val="24"/>
        </w:rPr>
        <w:t>§ 1</w:t>
      </w:r>
    </w:p>
    <w:p w:rsidR="007A7F19" w:rsidRPr="00EF2E35" w:rsidRDefault="007A7F19" w:rsidP="00EF2E35">
      <w:pPr>
        <w:spacing w:line="288" w:lineRule="auto"/>
        <w:rPr>
          <w:sz w:val="24"/>
        </w:rPr>
      </w:pPr>
    </w:p>
    <w:p w:rsidR="007A7F19" w:rsidRDefault="007A7F19" w:rsidP="00EF2E35">
      <w:pPr>
        <w:spacing w:line="288" w:lineRule="auto"/>
        <w:rPr>
          <w:sz w:val="24"/>
        </w:rPr>
      </w:pPr>
      <w:r>
        <w:rPr>
          <w:b/>
          <w:sz w:val="24"/>
        </w:rPr>
        <w:tab/>
      </w:r>
      <w:r>
        <w:rPr>
          <w:sz w:val="24"/>
        </w:rPr>
        <w:t>I fusionsskatteloven, jf. lovbekendtgørelse nr. 1120 af 14. november 2012, som ændret ved</w:t>
      </w:r>
      <w:r w:rsidR="001E0DF2">
        <w:rPr>
          <w:sz w:val="24"/>
        </w:rPr>
        <w:t xml:space="preserve"> § 4 i</w:t>
      </w:r>
      <w:r>
        <w:rPr>
          <w:sz w:val="24"/>
        </w:rPr>
        <w:t xml:space="preserve"> lov nr. </w:t>
      </w:r>
      <w:r w:rsidR="00D74CCE">
        <w:rPr>
          <w:sz w:val="24"/>
        </w:rPr>
        <w:t xml:space="preserve">433 af 16. maj 2012, </w:t>
      </w:r>
      <w:r w:rsidR="001E0DF2">
        <w:rPr>
          <w:sz w:val="24"/>
        </w:rPr>
        <w:t xml:space="preserve">§ 2 i lov nr. </w:t>
      </w:r>
      <w:r>
        <w:rPr>
          <w:sz w:val="24"/>
        </w:rPr>
        <w:t xml:space="preserve">1255 af 18. </w:t>
      </w:r>
      <w:r w:rsidR="001E0DF2">
        <w:rPr>
          <w:sz w:val="24"/>
        </w:rPr>
        <w:t>dece</w:t>
      </w:r>
      <w:r>
        <w:rPr>
          <w:sz w:val="24"/>
        </w:rPr>
        <w:t xml:space="preserve">mber 2012, </w:t>
      </w:r>
      <w:r w:rsidR="001E0DF2">
        <w:rPr>
          <w:sz w:val="24"/>
        </w:rPr>
        <w:t xml:space="preserve">§ 2 i </w:t>
      </w:r>
      <w:r w:rsidR="00D74CCE">
        <w:rPr>
          <w:sz w:val="24"/>
        </w:rPr>
        <w:t xml:space="preserve">lov nr. 1402 af 23. december 2012 </w:t>
      </w:r>
      <w:r>
        <w:rPr>
          <w:sz w:val="24"/>
        </w:rPr>
        <w:t xml:space="preserve">og </w:t>
      </w:r>
      <w:r w:rsidR="001E0DF2">
        <w:rPr>
          <w:sz w:val="24"/>
        </w:rPr>
        <w:t>§ 19</w:t>
      </w:r>
      <w:r>
        <w:rPr>
          <w:sz w:val="24"/>
        </w:rPr>
        <w:t xml:space="preserve"> </w:t>
      </w:r>
      <w:r w:rsidR="001E0DF2">
        <w:rPr>
          <w:sz w:val="24"/>
        </w:rPr>
        <w:t>i</w:t>
      </w:r>
      <w:r>
        <w:rPr>
          <w:sz w:val="24"/>
        </w:rPr>
        <w:t xml:space="preserve"> lov nr. 600 af 12. juni 2013, foretages følgende ændringer:</w:t>
      </w:r>
    </w:p>
    <w:p w:rsidR="007A7F19" w:rsidRDefault="007A7F19" w:rsidP="007A7F19">
      <w:pPr>
        <w:jc w:val="both"/>
        <w:rPr>
          <w:sz w:val="24"/>
        </w:rPr>
      </w:pPr>
    </w:p>
    <w:p w:rsidR="007A7F19" w:rsidRDefault="007A7F19" w:rsidP="007A7F19">
      <w:pPr>
        <w:jc w:val="both"/>
        <w:rPr>
          <w:sz w:val="24"/>
        </w:rPr>
      </w:pPr>
      <w:r w:rsidRPr="007A7F19">
        <w:rPr>
          <w:b/>
          <w:sz w:val="24"/>
        </w:rPr>
        <w:t>1.</w:t>
      </w:r>
      <w:r>
        <w:rPr>
          <w:sz w:val="24"/>
        </w:rPr>
        <w:t xml:space="preserve"> </w:t>
      </w:r>
      <w:r>
        <w:rPr>
          <w:i/>
          <w:sz w:val="24"/>
        </w:rPr>
        <w:t>§ 9</w:t>
      </w:r>
      <w:r>
        <w:rPr>
          <w:sz w:val="24"/>
        </w:rPr>
        <w:t xml:space="preserve"> affattes således:</w:t>
      </w:r>
    </w:p>
    <w:p w:rsidR="00532253" w:rsidRDefault="00C103A0" w:rsidP="00EF2E35">
      <w:pPr>
        <w:spacing w:line="288" w:lineRule="auto"/>
        <w:rPr>
          <w:sz w:val="24"/>
        </w:rPr>
      </w:pPr>
      <w:r w:rsidRPr="00EF2E35">
        <w:rPr>
          <w:sz w:val="24"/>
        </w:rPr>
        <w:t>”</w:t>
      </w:r>
      <w:r w:rsidR="002B26C0">
        <w:rPr>
          <w:b/>
          <w:sz w:val="24"/>
        </w:rPr>
        <w:t>§ 9.</w:t>
      </w:r>
      <w:r w:rsidR="002B26C0">
        <w:rPr>
          <w:sz w:val="24"/>
        </w:rPr>
        <w:t xml:space="preserve"> </w:t>
      </w:r>
      <w:r w:rsidR="000952D5">
        <w:rPr>
          <w:sz w:val="24"/>
        </w:rPr>
        <w:t>U</w:t>
      </w:r>
      <w:r w:rsidR="002C3CA9">
        <w:rPr>
          <w:sz w:val="24"/>
        </w:rPr>
        <w:t xml:space="preserve">dligningssummer </w:t>
      </w:r>
      <w:r w:rsidR="000952D5">
        <w:rPr>
          <w:sz w:val="24"/>
        </w:rPr>
        <w:t>omfattet af § 2</w:t>
      </w:r>
      <w:r w:rsidR="002B26C0">
        <w:rPr>
          <w:sz w:val="24"/>
        </w:rPr>
        <w:t>, stk. 1,</w:t>
      </w:r>
      <w:r w:rsidR="000952D5">
        <w:rPr>
          <w:sz w:val="24"/>
        </w:rPr>
        <w:t xml:space="preserve"> anse</w:t>
      </w:r>
      <w:r w:rsidR="002C3CA9">
        <w:rPr>
          <w:sz w:val="24"/>
        </w:rPr>
        <w:t>s som udbytte, såfremt aktionæren efter omstruktureringen ejer aktier m</w:t>
      </w:r>
      <w:r w:rsidR="00876D91">
        <w:rPr>
          <w:sz w:val="24"/>
        </w:rPr>
        <w:t>.</w:t>
      </w:r>
      <w:r w:rsidR="002C3CA9">
        <w:rPr>
          <w:sz w:val="24"/>
        </w:rPr>
        <w:t xml:space="preserve">v. i et af de indskydende </w:t>
      </w:r>
      <w:r w:rsidR="00876D91">
        <w:rPr>
          <w:sz w:val="24"/>
        </w:rPr>
        <w:t>eller</w:t>
      </w:r>
      <w:r w:rsidR="002C3CA9">
        <w:rPr>
          <w:sz w:val="24"/>
        </w:rPr>
        <w:t xml:space="preserve"> modtagende selskaber eller i </w:t>
      </w:r>
      <w:r w:rsidR="00876D91">
        <w:rPr>
          <w:sz w:val="24"/>
        </w:rPr>
        <w:t>selskaber, som er</w:t>
      </w:r>
      <w:r w:rsidR="002C3CA9">
        <w:rPr>
          <w:sz w:val="24"/>
        </w:rPr>
        <w:t xml:space="preserve"> koncernforbundne </w:t>
      </w:r>
      <w:r w:rsidR="00876D91">
        <w:rPr>
          <w:sz w:val="24"/>
        </w:rPr>
        <w:t>med de nævnte</w:t>
      </w:r>
      <w:r w:rsidR="00E7056F">
        <w:rPr>
          <w:sz w:val="24"/>
        </w:rPr>
        <w:t xml:space="preserve"> selskaber</w:t>
      </w:r>
      <w:r w:rsidR="000952D5">
        <w:rPr>
          <w:sz w:val="24"/>
        </w:rPr>
        <w:t>, jf. ligningslovens § 2</w:t>
      </w:r>
      <w:r w:rsidR="002C3CA9">
        <w:rPr>
          <w:sz w:val="24"/>
        </w:rPr>
        <w:t>.</w:t>
      </w:r>
      <w:r w:rsidR="0025413C">
        <w:rPr>
          <w:sz w:val="24"/>
        </w:rPr>
        <w:t>”</w:t>
      </w:r>
    </w:p>
    <w:p w:rsidR="00BF2C59" w:rsidRDefault="00BF2C59" w:rsidP="00EF2E35">
      <w:pPr>
        <w:spacing w:line="288" w:lineRule="auto"/>
        <w:rPr>
          <w:sz w:val="24"/>
        </w:rPr>
      </w:pPr>
    </w:p>
    <w:p w:rsidR="00BF2C59" w:rsidRDefault="00BF2C59" w:rsidP="00BF2C59">
      <w:pPr>
        <w:spacing w:line="288" w:lineRule="auto"/>
        <w:rPr>
          <w:sz w:val="24"/>
        </w:rPr>
      </w:pPr>
      <w:r w:rsidRPr="00BF2C59">
        <w:rPr>
          <w:b/>
          <w:sz w:val="24"/>
        </w:rPr>
        <w:t>2</w:t>
      </w:r>
      <w:r w:rsidRPr="00BF2C59">
        <w:rPr>
          <w:sz w:val="24"/>
        </w:rPr>
        <w:t xml:space="preserve">. I </w:t>
      </w:r>
      <w:r w:rsidRPr="00B13FE9">
        <w:rPr>
          <w:i/>
          <w:sz w:val="24"/>
        </w:rPr>
        <w:t xml:space="preserve">§ 15 b, stk. </w:t>
      </w:r>
      <w:r w:rsidR="000952D5">
        <w:rPr>
          <w:i/>
          <w:sz w:val="24"/>
        </w:rPr>
        <w:t>4</w:t>
      </w:r>
      <w:r w:rsidRPr="00B13FE9">
        <w:rPr>
          <w:i/>
          <w:sz w:val="24"/>
        </w:rPr>
        <w:t>, 1. pkt</w:t>
      </w:r>
      <w:r w:rsidRPr="00BF2C59">
        <w:rPr>
          <w:sz w:val="24"/>
        </w:rPr>
        <w:t>., ændres ”</w:t>
      </w:r>
      <w:r w:rsidRPr="001E0DF2">
        <w:rPr>
          <w:sz w:val="24"/>
        </w:rPr>
        <w:t>14</w:t>
      </w:r>
      <w:r w:rsidR="0089505B">
        <w:rPr>
          <w:sz w:val="24"/>
        </w:rPr>
        <w:t>. pkt.</w:t>
      </w:r>
      <w:r w:rsidRPr="00BF2C59">
        <w:rPr>
          <w:sz w:val="24"/>
        </w:rPr>
        <w:t>” til: ”</w:t>
      </w:r>
      <w:r w:rsidRPr="001E0DF2">
        <w:rPr>
          <w:sz w:val="24"/>
        </w:rPr>
        <w:t>12</w:t>
      </w:r>
      <w:r w:rsidR="0089505B">
        <w:rPr>
          <w:sz w:val="24"/>
        </w:rPr>
        <w:t>. pkt.</w:t>
      </w:r>
      <w:r w:rsidRPr="00BF2C59">
        <w:rPr>
          <w:sz w:val="24"/>
        </w:rPr>
        <w:t>”</w:t>
      </w:r>
    </w:p>
    <w:p w:rsidR="00BF2C59" w:rsidRPr="00BF2C59" w:rsidRDefault="00BF2C59" w:rsidP="00BF2C59">
      <w:pPr>
        <w:spacing w:line="288" w:lineRule="auto"/>
        <w:rPr>
          <w:sz w:val="24"/>
        </w:rPr>
      </w:pPr>
    </w:p>
    <w:p w:rsidR="00BF2C59" w:rsidRDefault="00BF2C59" w:rsidP="00BF2C59">
      <w:pPr>
        <w:spacing w:line="288" w:lineRule="auto"/>
        <w:rPr>
          <w:sz w:val="24"/>
        </w:rPr>
      </w:pPr>
      <w:r w:rsidRPr="00BF2C59">
        <w:rPr>
          <w:b/>
          <w:sz w:val="24"/>
        </w:rPr>
        <w:t>3</w:t>
      </w:r>
      <w:r w:rsidRPr="00BF2C59">
        <w:rPr>
          <w:sz w:val="24"/>
        </w:rPr>
        <w:t xml:space="preserve">. </w:t>
      </w:r>
      <w:r w:rsidRPr="00B13FE9">
        <w:rPr>
          <w:i/>
          <w:sz w:val="24"/>
        </w:rPr>
        <w:t xml:space="preserve">§ 15 b, stk. </w:t>
      </w:r>
      <w:r w:rsidR="00126CA5">
        <w:rPr>
          <w:i/>
          <w:sz w:val="24"/>
        </w:rPr>
        <w:t>4</w:t>
      </w:r>
      <w:r w:rsidRPr="00BF2C59">
        <w:rPr>
          <w:sz w:val="24"/>
        </w:rPr>
        <w:t xml:space="preserve">, </w:t>
      </w:r>
      <w:r w:rsidRPr="00B13FE9">
        <w:rPr>
          <w:i/>
          <w:sz w:val="24"/>
        </w:rPr>
        <w:t>3.-</w:t>
      </w:r>
      <w:r w:rsidR="00E36CBF">
        <w:rPr>
          <w:i/>
          <w:sz w:val="24"/>
        </w:rPr>
        <w:t>5</w:t>
      </w:r>
      <w:r w:rsidRPr="00B13FE9">
        <w:rPr>
          <w:i/>
          <w:sz w:val="24"/>
        </w:rPr>
        <w:t>. pkt</w:t>
      </w:r>
      <w:r w:rsidRPr="00BF2C59">
        <w:rPr>
          <w:sz w:val="24"/>
        </w:rPr>
        <w:t>.</w:t>
      </w:r>
      <w:r w:rsidR="005774C6">
        <w:rPr>
          <w:sz w:val="24"/>
        </w:rPr>
        <w:t>,</w:t>
      </w:r>
      <w:r w:rsidR="00876D91">
        <w:rPr>
          <w:sz w:val="24"/>
        </w:rPr>
        <w:t xml:space="preserve"> ophæves</w:t>
      </w:r>
      <w:r w:rsidR="00C50AC6">
        <w:rPr>
          <w:sz w:val="24"/>
        </w:rPr>
        <w:t>,</w:t>
      </w:r>
      <w:r w:rsidRPr="00BF2C59">
        <w:rPr>
          <w:sz w:val="24"/>
        </w:rPr>
        <w:t xml:space="preserve"> og </w:t>
      </w:r>
      <w:r w:rsidR="0089505B">
        <w:rPr>
          <w:sz w:val="24"/>
        </w:rPr>
        <w:t xml:space="preserve">i stedet </w:t>
      </w:r>
      <w:r w:rsidRPr="00BF2C59">
        <w:rPr>
          <w:sz w:val="24"/>
        </w:rPr>
        <w:t>indsættes: ”§</w:t>
      </w:r>
      <w:r w:rsidR="000952D5">
        <w:rPr>
          <w:sz w:val="24"/>
        </w:rPr>
        <w:t xml:space="preserve"> </w:t>
      </w:r>
      <w:r w:rsidRPr="00BF2C59">
        <w:rPr>
          <w:sz w:val="24"/>
        </w:rPr>
        <w:t>9 finder tilsvarende anvendelse.”</w:t>
      </w:r>
    </w:p>
    <w:p w:rsidR="00BF2C59" w:rsidRPr="00BF2C59" w:rsidRDefault="00BF2C59" w:rsidP="00BF2C59">
      <w:pPr>
        <w:spacing w:line="288" w:lineRule="auto"/>
        <w:rPr>
          <w:sz w:val="24"/>
        </w:rPr>
      </w:pPr>
    </w:p>
    <w:p w:rsidR="00FF4D0D" w:rsidRDefault="00BF2C59" w:rsidP="00BF2C59">
      <w:pPr>
        <w:spacing w:line="288" w:lineRule="auto"/>
        <w:rPr>
          <w:sz w:val="24"/>
        </w:rPr>
      </w:pPr>
      <w:r w:rsidRPr="00BF2C59">
        <w:rPr>
          <w:b/>
          <w:sz w:val="24"/>
        </w:rPr>
        <w:t>4</w:t>
      </w:r>
      <w:r w:rsidRPr="00BF2C59">
        <w:rPr>
          <w:sz w:val="24"/>
        </w:rPr>
        <w:t xml:space="preserve">. I </w:t>
      </w:r>
      <w:r w:rsidRPr="00B13FE9">
        <w:rPr>
          <w:i/>
          <w:sz w:val="24"/>
        </w:rPr>
        <w:t xml:space="preserve">§ 15 b, stk. </w:t>
      </w:r>
      <w:r w:rsidR="00E36CBF">
        <w:rPr>
          <w:i/>
          <w:sz w:val="24"/>
        </w:rPr>
        <w:t>4</w:t>
      </w:r>
      <w:r w:rsidRPr="00B13FE9">
        <w:rPr>
          <w:i/>
          <w:sz w:val="24"/>
        </w:rPr>
        <w:t xml:space="preserve">, </w:t>
      </w:r>
      <w:r w:rsidR="00E36CBF">
        <w:rPr>
          <w:i/>
          <w:sz w:val="24"/>
        </w:rPr>
        <w:t>6</w:t>
      </w:r>
      <w:r w:rsidRPr="00B13FE9">
        <w:rPr>
          <w:i/>
          <w:sz w:val="24"/>
        </w:rPr>
        <w:t>. pkt</w:t>
      </w:r>
      <w:r w:rsidRPr="00BF2C59">
        <w:rPr>
          <w:sz w:val="24"/>
        </w:rPr>
        <w:t xml:space="preserve">., der bliver </w:t>
      </w:r>
      <w:r w:rsidR="00E36CBF">
        <w:rPr>
          <w:sz w:val="24"/>
        </w:rPr>
        <w:t>4.</w:t>
      </w:r>
      <w:r w:rsidRPr="00BF2C59">
        <w:rPr>
          <w:sz w:val="24"/>
        </w:rPr>
        <w:t xml:space="preserve"> pkt.</w:t>
      </w:r>
      <w:r w:rsidR="00876D91">
        <w:rPr>
          <w:sz w:val="24"/>
        </w:rPr>
        <w:t>,</w:t>
      </w:r>
      <w:r w:rsidRPr="00BF2C59">
        <w:rPr>
          <w:sz w:val="24"/>
        </w:rPr>
        <w:t xml:space="preserve"> ændres ”Bortset fra de afståede aktier anses aktierne i det indskydende selskab” til: ”Aktierne i</w:t>
      </w:r>
      <w:r w:rsidR="00DD4DD0">
        <w:rPr>
          <w:sz w:val="24"/>
        </w:rPr>
        <w:t xml:space="preserve"> det indskydende selskab anses”</w:t>
      </w:r>
      <w:r w:rsidR="0008703E">
        <w:rPr>
          <w:sz w:val="24"/>
        </w:rPr>
        <w:t>.</w:t>
      </w:r>
    </w:p>
    <w:p w:rsidR="00B31A18" w:rsidRDefault="00B31A18" w:rsidP="00BF2C59">
      <w:pPr>
        <w:spacing w:line="288" w:lineRule="auto"/>
        <w:rPr>
          <w:sz w:val="24"/>
        </w:rPr>
      </w:pPr>
    </w:p>
    <w:p w:rsidR="00BF2C59" w:rsidRPr="00172A7A" w:rsidRDefault="00BF2C59" w:rsidP="00BF2C59">
      <w:pPr>
        <w:spacing w:line="288" w:lineRule="auto"/>
        <w:rPr>
          <w:sz w:val="24"/>
        </w:rPr>
      </w:pPr>
    </w:p>
    <w:p w:rsidR="00FF4D0D" w:rsidRPr="00BC172D" w:rsidRDefault="00FF4D0D" w:rsidP="00FF4D0D">
      <w:pPr>
        <w:tabs>
          <w:tab w:val="left" w:pos="360"/>
        </w:tabs>
        <w:spacing w:line="288" w:lineRule="auto"/>
        <w:jc w:val="center"/>
        <w:rPr>
          <w:b/>
          <w:bCs/>
          <w:sz w:val="24"/>
        </w:rPr>
      </w:pPr>
      <w:r>
        <w:rPr>
          <w:b/>
          <w:bCs/>
          <w:sz w:val="24"/>
        </w:rPr>
        <w:t>§ 2</w:t>
      </w:r>
    </w:p>
    <w:p w:rsidR="00B31A18" w:rsidRDefault="00B31A18" w:rsidP="00B31A18">
      <w:pPr>
        <w:spacing w:line="288" w:lineRule="auto"/>
        <w:ind w:firstLine="720"/>
        <w:rPr>
          <w:sz w:val="24"/>
        </w:rPr>
      </w:pPr>
      <w:r>
        <w:rPr>
          <w:rStyle w:val="Fodnotehenvisning"/>
          <w:sz w:val="24"/>
        </w:rPr>
        <w:t>I</w:t>
      </w:r>
      <w:r>
        <w:rPr>
          <w:sz w:val="24"/>
        </w:rPr>
        <w:t xml:space="preserve"> selskabsskatteloven, jf. lovbekendtgørelse nr. </w:t>
      </w:r>
      <w:r w:rsidRPr="00617F4A">
        <w:rPr>
          <w:sz w:val="24"/>
        </w:rPr>
        <w:t>1082 af 14</w:t>
      </w:r>
      <w:r>
        <w:rPr>
          <w:sz w:val="24"/>
        </w:rPr>
        <w:t xml:space="preserve">. november </w:t>
      </w:r>
      <w:r w:rsidRPr="00617F4A">
        <w:rPr>
          <w:sz w:val="24"/>
        </w:rPr>
        <w:t>2012</w:t>
      </w:r>
      <w:r>
        <w:rPr>
          <w:sz w:val="24"/>
        </w:rPr>
        <w:t xml:space="preserve">, som ændret ved </w:t>
      </w:r>
      <w:r w:rsidR="00DD4DD0">
        <w:rPr>
          <w:sz w:val="24"/>
        </w:rPr>
        <w:t xml:space="preserve">§ 2 i </w:t>
      </w:r>
      <w:r>
        <w:rPr>
          <w:sz w:val="24"/>
        </w:rPr>
        <w:t>lov nr. 1254 af 18. december 2012</w:t>
      </w:r>
      <w:r w:rsidR="0008703E">
        <w:rPr>
          <w:sz w:val="24"/>
        </w:rPr>
        <w:t>, § 17 i lov</w:t>
      </w:r>
      <w:r w:rsidR="0008703E" w:rsidRPr="0008703E">
        <w:rPr>
          <w:sz w:val="24"/>
        </w:rPr>
        <w:t xml:space="preserve"> nr</w:t>
      </w:r>
      <w:r w:rsidR="0008703E">
        <w:rPr>
          <w:sz w:val="24"/>
        </w:rPr>
        <w:t>.</w:t>
      </w:r>
      <w:r w:rsidR="0008703E" w:rsidRPr="0008703E">
        <w:rPr>
          <w:sz w:val="24"/>
        </w:rPr>
        <w:t xml:space="preserve"> 1354 af 21</w:t>
      </w:r>
      <w:r w:rsidR="0008703E">
        <w:rPr>
          <w:sz w:val="24"/>
        </w:rPr>
        <w:t xml:space="preserve">. december </w:t>
      </w:r>
      <w:r w:rsidR="0008703E" w:rsidRPr="0008703E">
        <w:rPr>
          <w:sz w:val="24"/>
        </w:rPr>
        <w:t>2012</w:t>
      </w:r>
      <w:r w:rsidR="0008703E">
        <w:rPr>
          <w:sz w:val="24"/>
        </w:rPr>
        <w:t>, § 1 i lov</w:t>
      </w:r>
      <w:r w:rsidR="0008703E" w:rsidRPr="0008703E">
        <w:rPr>
          <w:sz w:val="24"/>
        </w:rPr>
        <w:t xml:space="preserve"> nr</w:t>
      </w:r>
      <w:r w:rsidR="0008703E">
        <w:rPr>
          <w:sz w:val="24"/>
        </w:rPr>
        <w:t>.</w:t>
      </w:r>
      <w:r w:rsidR="0008703E" w:rsidRPr="0008703E">
        <w:rPr>
          <w:sz w:val="24"/>
        </w:rPr>
        <w:t xml:space="preserve"> 1394 af 23</w:t>
      </w:r>
      <w:r w:rsidR="008F529F">
        <w:rPr>
          <w:sz w:val="24"/>
        </w:rPr>
        <w:t xml:space="preserve">. </w:t>
      </w:r>
      <w:r w:rsidR="0008703E">
        <w:rPr>
          <w:sz w:val="24"/>
        </w:rPr>
        <w:t xml:space="preserve">december </w:t>
      </w:r>
      <w:r w:rsidR="0008703E" w:rsidRPr="0008703E">
        <w:rPr>
          <w:sz w:val="24"/>
        </w:rPr>
        <w:t>2012</w:t>
      </w:r>
      <w:r w:rsidR="004148EB">
        <w:rPr>
          <w:sz w:val="24"/>
        </w:rPr>
        <w:t>, § 17 i lov</w:t>
      </w:r>
      <w:r w:rsidR="004148EB" w:rsidRPr="004148EB">
        <w:rPr>
          <w:sz w:val="24"/>
        </w:rPr>
        <w:t xml:space="preserve"> nr</w:t>
      </w:r>
      <w:r w:rsidR="004148EB">
        <w:rPr>
          <w:sz w:val="24"/>
        </w:rPr>
        <w:t>.</w:t>
      </w:r>
      <w:r w:rsidR="004148EB" w:rsidRPr="004148EB">
        <w:rPr>
          <w:sz w:val="24"/>
        </w:rPr>
        <w:t xml:space="preserve"> 600 af 12</w:t>
      </w:r>
      <w:r w:rsidR="004148EB">
        <w:rPr>
          <w:sz w:val="24"/>
        </w:rPr>
        <w:t xml:space="preserve">. juni </w:t>
      </w:r>
      <w:r w:rsidR="004148EB" w:rsidRPr="004148EB">
        <w:rPr>
          <w:sz w:val="24"/>
        </w:rPr>
        <w:t>2013</w:t>
      </w:r>
      <w:r>
        <w:rPr>
          <w:sz w:val="24"/>
        </w:rPr>
        <w:t xml:space="preserve"> og </w:t>
      </w:r>
      <w:r w:rsidR="00DD4DD0">
        <w:rPr>
          <w:sz w:val="24"/>
        </w:rPr>
        <w:t xml:space="preserve">§ 1 i </w:t>
      </w:r>
      <w:r>
        <w:rPr>
          <w:sz w:val="24"/>
        </w:rPr>
        <w:t>lov nr. 792 af 28. juni 2013, foretages følgende ændring:</w:t>
      </w:r>
    </w:p>
    <w:p w:rsidR="00B31A18" w:rsidRDefault="00B31A18" w:rsidP="00B31A18">
      <w:pPr>
        <w:spacing w:line="288" w:lineRule="auto"/>
        <w:rPr>
          <w:sz w:val="24"/>
        </w:rPr>
      </w:pPr>
    </w:p>
    <w:p w:rsidR="00B31A18" w:rsidRDefault="00B31A18" w:rsidP="00B31A18">
      <w:pPr>
        <w:spacing w:line="288" w:lineRule="auto"/>
        <w:rPr>
          <w:sz w:val="24"/>
        </w:rPr>
      </w:pPr>
      <w:r>
        <w:rPr>
          <w:b/>
          <w:sz w:val="24"/>
        </w:rPr>
        <w:t xml:space="preserve">1. </w:t>
      </w:r>
      <w:r w:rsidRPr="001B78AD">
        <w:rPr>
          <w:sz w:val="24"/>
        </w:rPr>
        <w:t xml:space="preserve">I </w:t>
      </w:r>
      <w:r w:rsidRPr="001B78AD">
        <w:rPr>
          <w:i/>
          <w:sz w:val="24"/>
        </w:rPr>
        <w:t xml:space="preserve">§ </w:t>
      </w:r>
      <w:r>
        <w:rPr>
          <w:i/>
          <w:sz w:val="24"/>
        </w:rPr>
        <w:t>2 D</w:t>
      </w:r>
      <w:r>
        <w:rPr>
          <w:sz w:val="24"/>
        </w:rPr>
        <w:t xml:space="preserve"> indsættes efter stk. 1 som nye stykker:</w:t>
      </w:r>
    </w:p>
    <w:p w:rsidR="00B31A18" w:rsidRDefault="00B31A18" w:rsidP="00B31A18">
      <w:pPr>
        <w:spacing w:line="288" w:lineRule="auto"/>
        <w:rPr>
          <w:sz w:val="24"/>
        </w:rPr>
      </w:pPr>
      <w:r>
        <w:rPr>
          <w:i/>
          <w:sz w:val="24"/>
        </w:rPr>
        <w:t>”Stk. 2.</w:t>
      </w:r>
      <w:r>
        <w:rPr>
          <w:sz w:val="24"/>
        </w:rPr>
        <w:t xml:space="preserve"> </w:t>
      </w:r>
      <w:r w:rsidRPr="004076C7">
        <w:rPr>
          <w:sz w:val="24"/>
        </w:rPr>
        <w:t>Hvis en juridisk person overdrager aktier</w:t>
      </w:r>
      <w:r>
        <w:rPr>
          <w:sz w:val="24"/>
        </w:rPr>
        <w:t xml:space="preserve">, andelsbeviser og lignende værdipapirer, </w:t>
      </w:r>
      <w:r>
        <w:rPr>
          <w:sz w:val="24"/>
        </w:rPr>
        <w:lastRenderedPageBreak/>
        <w:t>herunder konvertible obligationer, samt tegningsrettigheder til sådanne værdipapirer til selskaber</w:t>
      </w:r>
      <w:r w:rsidR="004528A9">
        <w:rPr>
          <w:sz w:val="24"/>
        </w:rPr>
        <w:t>, der på overdragelsestidspunktet i det væsentlige er uden økonomisk risiko ved erhvervsmæssig aktivitet</w:t>
      </w:r>
      <w:r>
        <w:rPr>
          <w:sz w:val="24"/>
        </w:rPr>
        <w:t>, jf. § 33 A, stk. 3,</w:t>
      </w:r>
      <w:r w:rsidRPr="004076C7">
        <w:rPr>
          <w:sz w:val="24"/>
        </w:rPr>
        <w:t xml:space="preserve"> og vederlaget delvist består af aktier i det erhvervende selskab eller hermed koncernforbundne selskaber, </w:t>
      </w:r>
      <w:r>
        <w:rPr>
          <w:sz w:val="24"/>
        </w:rPr>
        <w:t xml:space="preserve">anses </w:t>
      </w:r>
      <w:r w:rsidRPr="004076C7">
        <w:rPr>
          <w:sz w:val="24"/>
        </w:rPr>
        <w:t>det resterende vederlag</w:t>
      </w:r>
      <w:r>
        <w:rPr>
          <w:sz w:val="24"/>
        </w:rPr>
        <w:t xml:space="preserve"> </w:t>
      </w:r>
      <w:r w:rsidRPr="004076C7">
        <w:rPr>
          <w:sz w:val="24"/>
        </w:rPr>
        <w:t xml:space="preserve">som udbytte. </w:t>
      </w:r>
      <w:r>
        <w:rPr>
          <w:sz w:val="24"/>
        </w:rPr>
        <w:t xml:space="preserve">Det samme gælder, hvis overdrageren udelukkende modtager vederlag i andet end aktier m.v. i det erhvervende eller hermed koncernforbundne selskaber, </w:t>
      </w:r>
      <w:r w:rsidR="00074325">
        <w:rPr>
          <w:sz w:val="24"/>
        </w:rPr>
        <w:t>og</w:t>
      </w:r>
      <w:r>
        <w:rPr>
          <w:sz w:val="24"/>
        </w:rPr>
        <w:t xml:space="preserve"> der efter overdragelsen ejes aktier m.v. i et eller flere af disse selskaber eller i det selskab, hvori der overdrages aktier. Stk. 1, 2. pkt.</w:t>
      </w:r>
      <w:r w:rsidR="008F529F">
        <w:rPr>
          <w:sz w:val="24"/>
        </w:rPr>
        <w:t>,</w:t>
      </w:r>
      <w:r>
        <w:rPr>
          <w:sz w:val="24"/>
        </w:rPr>
        <w:t xml:space="preserve"> finder tilsvarende anvendelse.</w:t>
      </w:r>
    </w:p>
    <w:p w:rsidR="00B31A18" w:rsidRDefault="00B31A18" w:rsidP="00B31A18">
      <w:pPr>
        <w:spacing w:line="288" w:lineRule="auto"/>
        <w:rPr>
          <w:sz w:val="24"/>
        </w:rPr>
      </w:pPr>
      <w:r w:rsidRPr="009F5D48">
        <w:rPr>
          <w:i/>
          <w:sz w:val="24"/>
        </w:rPr>
        <w:t xml:space="preserve">Stk. </w:t>
      </w:r>
      <w:r>
        <w:rPr>
          <w:i/>
          <w:sz w:val="24"/>
        </w:rPr>
        <w:t>3</w:t>
      </w:r>
      <w:r w:rsidRPr="009F5D48">
        <w:rPr>
          <w:i/>
          <w:sz w:val="24"/>
        </w:rPr>
        <w:t>.</w:t>
      </w:r>
      <w:r>
        <w:rPr>
          <w:sz w:val="24"/>
        </w:rPr>
        <w:t xml:space="preserve"> Erhvervsmæssig aktivitet, der er erhvervet fra et koncernforbundet selskab, indgår ikke i vurderingen efter </w:t>
      </w:r>
      <w:r w:rsidR="00074325">
        <w:rPr>
          <w:sz w:val="24"/>
        </w:rPr>
        <w:t xml:space="preserve">stk. 2, jf. </w:t>
      </w:r>
      <w:r>
        <w:rPr>
          <w:sz w:val="24"/>
        </w:rPr>
        <w:t>§ 33 A, stk. 3. Ved transaktioner mellem et moderselskab og et datterselskab indgår erhvervsmæssig aktivitet i datterselskabet ikke i vurderingen af moderselskabet efter § 33 A, stk. 3.</w:t>
      </w:r>
    </w:p>
    <w:p w:rsidR="00B31A18" w:rsidRPr="009F5D48" w:rsidRDefault="00B31A18" w:rsidP="00B31A18">
      <w:pPr>
        <w:spacing w:line="288" w:lineRule="auto"/>
        <w:rPr>
          <w:i/>
          <w:sz w:val="24"/>
        </w:rPr>
      </w:pPr>
      <w:r>
        <w:rPr>
          <w:i/>
          <w:sz w:val="24"/>
        </w:rPr>
        <w:t>Stk. 4.</w:t>
      </w:r>
      <w:r>
        <w:rPr>
          <w:sz w:val="24"/>
        </w:rPr>
        <w:t xml:space="preserve"> </w:t>
      </w:r>
      <w:r w:rsidR="00237264" w:rsidRPr="000D5849">
        <w:rPr>
          <w:sz w:val="24"/>
        </w:rPr>
        <w:t>V</w:t>
      </w:r>
      <w:r w:rsidRPr="000D5849">
        <w:rPr>
          <w:sz w:val="24"/>
        </w:rPr>
        <w:t>ederlag i andet end aktier</w:t>
      </w:r>
      <w:r w:rsidR="00363D47">
        <w:rPr>
          <w:sz w:val="24"/>
        </w:rPr>
        <w:t xml:space="preserve"> m.v.</w:t>
      </w:r>
      <w:r w:rsidRPr="000D5849">
        <w:rPr>
          <w:sz w:val="24"/>
        </w:rPr>
        <w:t xml:space="preserve"> i det modtagende selskab eller hermed koncernforbundne selskaber i forbindelse med fusion eller spaltning, der ikke er omfattet af fusionsskatteloven</w:t>
      </w:r>
      <w:r w:rsidR="00237264" w:rsidRPr="000D5849">
        <w:rPr>
          <w:sz w:val="24"/>
        </w:rPr>
        <w:t xml:space="preserve">, anses som udbytte, såfremt aktionæren efter omstruktureringen ejer aktier i </w:t>
      </w:r>
      <w:r w:rsidR="00E7056F" w:rsidRPr="000D5849">
        <w:rPr>
          <w:sz w:val="24"/>
        </w:rPr>
        <w:t xml:space="preserve">et af de indskydende eller </w:t>
      </w:r>
      <w:r w:rsidR="00237264" w:rsidRPr="000D5849">
        <w:rPr>
          <w:sz w:val="24"/>
        </w:rPr>
        <w:t>modtagende selskab</w:t>
      </w:r>
      <w:r w:rsidR="00E7056F" w:rsidRPr="000D5849">
        <w:rPr>
          <w:sz w:val="24"/>
        </w:rPr>
        <w:t>er</w:t>
      </w:r>
      <w:r w:rsidR="00237264" w:rsidRPr="000D5849">
        <w:rPr>
          <w:sz w:val="24"/>
        </w:rPr>
        <w:t xml:space="preserve"> eller hermed koncernforbundne selskaber</w:t>
      </w:r>
      <w:r w:rsidRPr="000D5849">
        <w:rPr>
          <w:sz w:val="24"/>
        </w:rPr>
        <w:t>.</w:t>
      </w:r>
      <w:r>
        <w:rPr>
          <w:sz w:val="24"/>
        </w:rPr>
        <w:t>”</w:t>
      </w:r>
      <w:r w:rsidRPr="009F5D48">
        <w:rPr>
          <w:i/>
          <w:sz w:val="24"/>
        </w:rPr>
        <w:t xml:space="preserve"> </w:t>
      </w:r>
    </w:p>
    <w:p w:rsidR="00FF4D0D" w:rsidRDefault="00B31A18" w:rsidP="00B31A18">
      <w:pPr>
        <w:tabs>
          <w:tab w:val="left" w:pos="360"/>
        </w:tabs>
        <w:spacing w:line="288" w:lineRule="auto"/>
        <w:rPr>
          <w:sz w:val="24"/>
        </w:rPr>
      </w:pPr>
      <w:r>
        <w:rPr>
          <w:sz w:val="24"/>
        </w:rPr>
        <w:t>Stk. 2 bliver herefter stk. 5.</w:t>
      </w:r>
    </w:p>
    <w:p w:rsidR="00B31A18" w:rsidRPr="001B78AD" w:rsidRDefault="00B31A18" w:rsidP="00B31A18">
      <w:pPr>
        <w:tabs>
          <w:tab w:val="left" w:pos="360"/>
        </w:tabs>
        <w:spacing w:line="288" w:lineRule="auto"/>
        <w:rPr>
          <w:iCs/>
          <w:sz w:val="24"/>
        </w:rPr>
      </w:pPr>
    </w:p>
    <w:p w:rsidR="002763CD" w:rsidRPr="00BC172D" w:rsidRDefault="002763CD" w:rsidP="002763CD">
      <w:pPr>
        <w:ind w:left="3600" w:firstLine="720"/>
        <w:rPr>
          <w:sz w:val="24"/>
        </w:rPr>
      </w:pPr>
      <w:r>
        <w:rPr>
          <w:b/>
          <w:sz w:val="24"/>
        </w:rPr>
        <w:t>§ 3</w:t>
      </w:r>
      <w:r w:rsidRPr="00BC172D">
        <w:rPr>
          <w:sz w:val="24"/>
        </w:rPr>
        <w:t xml:space="preserve"> </w:t>
      </w:r>
    </w:p>
    <w:p w:rsidR="002763CD" w:rsidRPr="00BC172D" w:rsidRDefault="002763CD" w:rsidP="002763CD">
      <w:pPr>
        <w:jc w:val="center"/>
        <w:rPr>
          <w:sz w:val="24"/>
        </w:rPr>
      </w:pPr>
    </w:p>
    <w:p w:rsidR="002763CD" w:rsidRDefault="002763CD" w:rsidP="002763CD">
      <w:pPr>
        <w:spacing w:line="288" w:lineRule="auto"/>
        <w:ind w:firstLine="720"/>
        <w:rPr>
          <w:sz w:val="24"/>
        </w:rPr>
      </w:pPr>
      <w:r>
        <w:rPr>
          <w:rStyle w:val="Fodnotehenvisning"/>
          <w:sz w:val="24"/>
        </w:rPr>
        <w:t>I</w:t>
      </w:r>
      <w:r>
        <w:rPr>
          <w:sz w:val="24"/>
        </w:rPr>
        <w:t xml:space="preserve"> kildeskatteloven, jf. lovbekendtgørelse nr. 1403 af 7. december 2010, som ændret bl.a. ved</w:t>
      </w:r>
      <w:r w:rsidR="00AA1AF0">
        <w:rPr>
          <w:sz w:val="24"/>
        </w:rPr>
        <w:t xml:space="preserve"> § 5 i</w:t>
      </w:r>
      <w:r>
        <w:rPr>
          <w:sz w:val="24"/>
        </w:rPr>
        <w:t xml:space="preserve"> lov</w:t>
      </w:r>
      <w:r w:rsidR="00D74CCE">
        <w:rPr>
          <w:sz w:val="24"/>
        </w:rPr>
        <w:t xml:space="preserve"> nr. 254 af 30 marts 2011, </w:t>
      </w:r>
      <w:r w:rsidR="00AA1AF0">
        <w:rPr>
          <w:sz w:val="24"/>
        </w:rPr>
        <w:t xml:space="preserve">§ 1 i lov nr. 398 af 9. maj 2012, § 5 i lov nr. 433 af 16. maj 2012, </w:t>
      </w:r>
      <w:r w:rsidR="00281676">
        <w:rPr>
          <w:sz w:val="24"/>
        </w:rPr>
        <w:t xml:space="preserve">§ 5 i lov nr. 591 af 18. juni 2012, § 2 i lov nr. 921 af 18. september 2012, § 1 i </w:t>
      </w:r>
      <w:r w:rsidR="00D74CCE">
        <w:rPr>
          <w:sz w:val="24"/>
        </w:rPr>
        <w:t xml:space="preserve">lov </w:t>
      </w:r>
      <w:r>
        <w:rPr>
          <w:sz w:val="24"/>
        </w:rPr>
        <w:t>nr. 1254 af 18. december 2012</w:t>
      </w:r>
      <w:r w:rsidR="00281676">
        <w:rPr>
          <w:sz w:val="24"/>
        </w:rPr>
        <w:t>, § 4 i lov nr. 1347 af 21. december 2012</w:t>
      </w:r>
      <w:r>
        <w:rPr>
          <w:sz w:val="24"/>
        </w:rPr>
        <w:t xml:space="preserve"> og senest ved </w:t>
      </w:r>
      <w:r w:rsidR="00281676">
        <w:rPr>
          <w:sz w:val="24"/>
        </w:rPr>
        <w:t xml:space="preserve">§ 7 i </w:t>
      </w:r>
      <w:r>
        <w:rPr>
          <w:sz w:val="24"/>
        </w:rPr>
        <w:t>lov nr. 894 af 4. juli 2013, foretages følgende ændring</w:t>
      </w:r>
      <w:r w:rsidR="003B4895">
        <w:rPr>
          <w:sz w:val="24"/>
        </w:rPr>
        <w:t>er</w:t>
      </w:r>
      <w:r>
        <w:rPr>
          <w:sz w:val="24"/>
        </w:rPr>
        <w:t>:</w:t>
      </w:r>
    </w:p>
    <w:p w:rsidR="002763CD" w:rsidRDefault="002763CD" w:rsidP="002763CD">
      <w:pPr>
        <w:spacing w:line="288" w:lineRule="auto"/>
        <w:rPr>
          <w:sz w:val="24"/>
        </w:rPr>
      </w:pPr>
    </w:p>
    <w:p w:rsidR="002763CD" w:rsidRDefault="002763CD" w:rsidP="002763CD">
      <w:pPr>
        <w:spacing w:line="288" w:lineRule="auto"/>
        <w:rPr>
          <w:sz w:val="24"/>
        </w:rPr>
      </w:pPr>
      <w:r w:rsidRPr="002763CD">
        <w:rPr>
          <w:b/>
          <w:sz w:val="24"/>
        </w:rPr>
        <w:t>1.</w:t>
      </w:r>
      <w:r>
        <w:rPr>
          <w:sz w:val="24"/>
        </w:rPr>
        <w:t xml:space="preserve"> </w:t>
      </w:r>
      <w:r w:rsidRPr="001B78AD">
        <w:rPr>
          <w:sz w:val="24"/>
        </w:rPr>
        <w:t xml:space="preserve">I </w:t>
      </w:r>
      <w:r w:rsidRPr="001B78AD">
        <w:rPr>
          <w:i/>
          <w:sz w:val="24"/>
        </w:rPr>
        <w:t xml:space="preserve">§ </w:t>
      </w:r>
      <w:r>
        <w:rPr>
          <w:i/>
          <w:sz w:val="24"/>
        </w:rPr>
        <w:t>2</w:t>
      </w:r>
      <w:r w:rsidR="00980357">
        <w:rPr>
          <w:i/>
          <w:sz w:val="24"/>
        </w:rPr>
        <w:t>,</w:t>
      </w:r>
      <w:r>
        <w:rPr>
          <w:i/>
          <w:sz w:val="24"/>
        </w:rPr>
        <w:t xml:space="preserve"> stk. 1, nr. 6,</w:t>
      </w:r>
      <w:r>
        <w:rPr>
          <w:sz w:val="24"/>
        </w:rPr>
        <w:t xml:space="preserve"> indsættes </w:t>
      </w:r>
      <w:r w:rsidR="00E974AB">
        <w:rPr>
          <w:sz w:val="24"/>
        </w:rPr>
        <w:t xml:space="preserve">efter </w:t>
      </w:r>
      <w:r w:rsidR="00045639">
        <w:rPr>
          <w:sz w:val="24"/>
        </w:rPr>
        <w:t>3</w:t>
      </w:r>
      <w:r w:rsidR="00E4196F">
        <w:rPr>
          <w:sz w:val="24"/>
        </w:rPr>
        <w:t>.</w:t>
      </w:r>
      <w:r w:rsidR="00E974AB">
        <w:rPr>
          <w:i/>
          <w:sz w:val="24"/>
        </w:rPr>
        <w:t xml:space="preserve"> </w:t>
      </w:r>
      <w:r w:rsidR="00E974AB" w:rsidRPr="00557FFD">
        <w:rPr>
          <w:sz w:val="24"/>
        </w:rPr>
        <w:t>pkt</w:t>
      </w:r>
      <w:r w:rsidR="00E974AB">
        <w:rPr>
          <w:i/>
          <w:sz w:val="24"/>
        </w:rPr>
        <w:t>.</w:t>
      </w:r>
      <w:r>
        <w:rPr>
          <w:sz w:val="24"/>
        </w:rPr>
        <w:t>:</w:t>
      </w:r>
    </w:p>
    <w:p w:rsidR="00C40C5F" w:rsidRDefault="00E974AB" w:rsidP="002763CD">
      <w:pPr>
        <w:spacing w:line="288" w:lineRule="auto"/>
        <w:rPr>
          <w:sz w:val="24"/>
        </w:rPr>
      </w:pPr>
      <w:r>
        <w:rPr>
          <w:sz w:val="24"/>
        </w:rPr>
        <w:t>”</w:t>
      </w:r>
      <w:r w:rsidR="00045639">
        <w:rPr>
          <w:sz w:val="24"/>
        </w:rPr>
        <w:t>Skattepligten omfatter derudover</w:t>
      </w:r>
      <w:r w:rsidR="00670477">
        <w:rPr>
          <w:sz w:val="24"/>
        </w:rPr>
        <w:t xml:space="preserve"> vederlag i form af andet end aktier</w:t>
      </w:r>
      <w:r w:rsidR="00F54450">
        <w:rPr>
          <w:sz w:val="24"/>
        </w:rPr>
        <w:t xml:space="preserve"> i det erhvervende selskab eller hermed koncernforbundne selskaber</w:t>
      </w:r>
      <w:r w:rsidR="00670477">
        <w:rPr>
          <w:sz w:val="24"/>
        </w:rPr>
        <w:t>, som en person erhverver ved overdragelse af aktier, andelsbeviser og lignende værdipapirer, herunder konvertible obligationer, samt tegningsrettigheder til sådanne værdipapirer til selskaber</w:t>
      </w:r>
      <w:r w:rsidR="00C800C6" w:rsidRPr="00C800C6">
        <w:rPr>
          <w:sz w:val="24"/>
        </w:rPr>
        <w:t>, der på overdragelsestidspunktet i det væsentlige er uden økonomisk risiko ved erhvervsmæssig aktivitet</w:t>
      </w:r>
      <w:r w:rsidR="00670477">
        <w:rPr>
          <w:sz w:val="24"/>
        </w:rPr>
        <w:t>, jf. selskabsskattelovens § 33 A, stk. 3</w:t>
      </w:r>
      <w:r w:rsidR="00F54450">
        <w:rPr>
          <w:sz w:val="24"/>
        </w:rPr>
        <w:t xml:space="preserve">, hvis </w:t>
      </w:r>
      <w:r w:rsidR="00876D91">
        <w:rPr>
          <w:sz w:val="24"/>
        </w:rPr>
        <w:t>personen</w:t>
      </w:r>
      <w:r w:rsidR="00F54450">
        <w:rPr>
          <w:sz w:val="24"/>
        </w:rPr>
        <w:t xml:space="preserve"> efter overdragelsen eje</w:t>
      </w:r>
      <w:r w:rsidR="00876D91">
        <w:rPr>
          <w:sz w:val="24"/>
        </w:rPr>
        <w:t>r</w:t>
      </w:r>
      <w:r w:rsidR="00F54450">
        <w:rPr>
          <w:sz w:val="24"/>
        </w:rPr>
        <w:t xml:space="preserve"> aktier m.v. i et eller flere af disse selskaber</w:t>
      </w:r>
      <w:r w:rsidR="00C40C5F">
        <w:rPr>
          <w:sz w:val="24"/>
        </w:rPr>
        <w:t>.</w:t>
      </w:r>
      <w:r w:rsidR="00D904EA" w:rsidRPr="00D904EA">
        <w:rPr>
          <w:sz w:val="24"/>
        </w:rPr>
        <w:t xml:space="preserve"> </w:t>
      </w:r>
      <w:r w:rsidR="00D904EA">
        <w:rPr>
          <w:sz w:val="24"/>
        </w:rPr>
        <w:t xml:space="preserve">Skattepligten omfatter </w:t>
      </w:r>
      <w:r w:rsidR="008D2308">
        <w:rPr>
          <w:sz w:val="24"/>
        </w:rPr>
        <w:t>også</w:t>
      </w:r>
      <w:r w:rsidR="008F529F">
        <w:rPr>
          <w:sz w:val="24"/>
        </w:rPr>
        <w:t xml:space="preserve"> </w:t>
      </w:r>
      <w:r w:rsidR="00D904EA">
        <w:rPr>
          <w:sz w:val="24"/>
        </w:rPr>
        <w:t>vederlag i andet end aktier i det modtagende selskab eller hermed koncernforbundne selskaber</w:t>
      </w:r>
      <w:r w:rsidR="008612FD">
        <w:rPr>
          <w:sz w:val="24"/>
        </w:rPr>
        <w:t>,</w:t>
      </w:r>
      <w:r w:rsidR="00D904EA">
        <w:rPr>
          <w:sz w:val="24"/>
        </w:rPr>
        <w:t xml:space="preserve"> som en person erhverver i forbindelse med fusion eller spaltning, der ikke er omfattet af fusionsskatteloven, hvis personen efter omstruktureringen ejer aktier i det modtagende selskab eller hermed koncernforbundne selskaber</w:t>
      </w:r>
      <w:r w:rsidR="00C40C5F">
        <w:rPr>
          <w:sz w:val="24"/>
        </w:rPr>
        <w:t>”</w:t>
      </w:r>
      <w:r w:rsidR="008612FD">
        <w:rPr>
          <w:sz w:val="24"/>
        </w:rPr>
        <w:t>.</w:t>
      </w:r>
    </w:p>
    <w:p w:rsidR="00E330BC" w:rsidRDefault="00E330BC" w:rsidP="002763CD">
      <w:pPr>
        <w:spacing w:line="288" w:lineRule="auto"/>
        <w:rPr>
          <w:sz w:val="24"/>
        </w:rPr>
      </w:pPr>
    </w:p>
    <w:p w:rsidR="00557FFD" w:rsidRPr="00E330BC" w:rsidRDefault="00E330BC" w:rsidP="002763CD">
      <w:pPr>
        <w:spacing w:line="288" w:lineRule="auto"/>
        <w:rPr>
          <w:sz w:val="24"/>
        </w:rPr>
      </w:pPr>
      <w:r>
        <w:rPr>
          <w:b/>
          <w:sz w:val="24"/>
        </w:rPr>
        <w:t>2.</w:t>
      </w:r>
      <w:r>
        <w:rPr>
          <w:sz w:val="24"/>
        </w:rPr>
        <w:t xml:space="preserve"> I </w:t>
      </w:r>
      <w:r w:rsidRPr="00557FFD">
        <w:rPr>
          <w:i/>
          <w:sz w:val="24"/>
        </w:rPr>
        <w:t>§ 2, stk. 1, nr. 6</w:t>
      </w:r>
      <w:r w:rsidR="00557FFD" w:rsidRPr="00557FFD">
        <w:rPr>
          <w:i/>
          <w:sz w:val="24"/>
        </w:rPr>
        <w:t>,</w:t>
      </w:r>
      <w:r w:rsidR="00E71E73">
        <w:rPr>
          <w:i/>
          <w:sz w:val="24"/>
        </w:rPr>
        <w:t>4</w:t>
      </w:r>
      <w:r w:rsidR="00557FFD" w:rsidRPr="00557FFD">
        <w:rPr>
          <w:i/>
          <w:sz w:val="24"/>
        </w:rPr>
        <w:t>. pkt.</w:t>
      </w:r>
      <w:r w:rsidRPr="00557FFD">
        <w:rPr>
          <w:i/>
          <w:sz w:val="24"/>
        </w:rPr>
        <w:t>,</w:t>
      </w:r>
      <w:r w:rsidR="00557FFD">
        <w:rPr>
          <w:sz w:val="24"/>
        </w:rPr>
        <w:t xml:space="preserve"> </w:t>
      </w:r>
      <w:r w:rsidR="00281676">
        <w:rPr>
          <w:sz w:val="24"/>
        </w:rPr>
        <w:t xml:space="preserve">der bliver </w:t>
      </w:r>
      <w:r w:rsidR="00E71E73">
        <w:rPr>
          <w:sz w:val="24"/>
        </w:rPr>
        <w:t>6</w:t>
      </w:r>
      <w:r w:rsidR="00587703">
        <w:rPr>
          <w:sz w:val="24"/>
        </w:rPr>
        <w:t>. pkt., ændres</w:t>
      </w:r>
      <w:r w:rsidR="00557FFD">
        <w:rPr>
          <w:sz w:val="24"/>
        </w:rPr>
        <w:t xml:space="preserve"> ”3. pkt.”</w:t>
      </w:r>
      <w:r w:rsidR="00587703">
        <w:rPr>
          <w:sz w:val="24"/>
        </w:rPr>
        <w:t xml:space="preserve"> til:</w:t>
      </w:r>
      <w:r w:rsidR="005D7234">
        <w:rPr>
          <w:sz w:val="24"/>
        </w:rPr>
        <w:t xml:space="preserve"> </w:t>
      </w:r>
      <w:r w:rsidR="00557FFD">
        <w:rPr>
          <w:sz w:val="24"/>
        </w:rPr>
        <w:t>”</w:t>
      </w:r>
      <w:r w:rsidR="00587703">
        <w:rPr>
          <w:sz w:val="24"/>
        </w:rPr>
        <w:t>3.</w:t>
      </w:r>
      <w:r w:rsidR="00510E7E">
        <w:rPr>
          <w:sz w:val="24"/>
        </w:rPr>
        <w:t>-5.</w:t>
      </w:r>
      <w:r w:rsidR="00557FFD">
        <w:rPr>
          <w:sz w:val="24"/>
        </w:rPr>
        <w:t xml:space="preserve"> pkt.”</w:t>
      </w:r>
    </w:p>
    <w:p w:rsidR="002763CD" w:rsidRDefault="002763CD" w:rsidP="001B78AD">
      <w:pPr>
        <w:ind w:left="3600" w:firstLine="720"/>
        <w:rPr>
          <w:b/>
          <w:sz w:val="24"/>
        </w:rPr>
      </w:pPr>
    </w:p>
    <w:p w:rsidR="00B31A18" w:rsidRDefault="00B31A18" w:rsidP="001B78AD">
      <w:pPr>
        <w:ind w:left="3600" w:firstLine="720"/>
        <w:rPr>
          <w:b/>
          <w:sz w:val="24"/>
        </w:rPr>
      </w:pPr>
    </w:p>
    <w:p w:rsidR="00EB1AA0" w:rsidRDefault="00EB1AA0" w:rsidP="001B78AD">
      <w:pPr>
        <w:ind w:left="3600" w:firstLine="720"/>
        <w:rPr>
          <w:b/>
          <w:sz w:val="24"/>
        </w:rPr>
      </w:pPr>
      <w:r>
        <w:rPr>
          <w:b/>
          <w:sz w:val="24"/>
        </w:rPr>
        <w:t>§ 4</w:t>
      </w:r>
    </w:p>
    <w:p w:rsidR="00EB1AA0" w:rsidRDefault="00EB1AA0" w:rsidP="001B78AD">
      <w:pPr>
        <w:ind w:left="3600" w:firstLine="720"/>
        <w:rPr>
          <w:b/>
          <w:sz w:val="24"/>
        </w:rPr>
      </w:pPr>
    </w:p>
    <w:p w:rsidR="00B31A18" w:rsidRPr="00BC172D" w:rsidRDefault="00B31A18" w:rsidP="00B31A18">
      <w:pPr>
        <w:spacing w:line="288" w:lineRule="auto"/>
        <w:ind w:firstLine="720"/>
        <w:rPr>
          <w:sz w:val="24"/>
        </w:rPr>
      </w:pPr>
      <w:r>
        <w:rPr>
          <w:sz w:val="24"/>
        </w:rPr>
        <w:t>I aktieavancebeskatningsloven, jf. lovbekendtgørelse nr. 796 af 20. juni 2</w:t>
      </w:r>
      <w:r w:rsidR="00D74CCE">
        <w:rPr>
          <w:sz w:val="24"/>
        </w:rPr>
        <w:t>011, som ændret</w:t>
      </w:r>
      <w:r w:rsidR="00587703">
        <w:rPr>
          <w:sz w:val="24"/>
        </w:rPr>
        <w:t xml:space="preserve"> senest</w:t>
      </w:r>
      <w:r w:rsidR="00D74CCE">
        <w:rPr>
          <w:sz w:val="24"/>
        </w:rPr>
        <w:t xml:space="preserve"> </w:t>
      </w:r>
      <w:r>
        <w:rPr>
          <w:sz w:val="24"/>
        </w:rPr>
        <w:t>ved</w:t>
      </w:r>
      <w:r w:rsidR="00587703">
        <w:rPr>
          <w:sz w:val="24"/>
        </w:rPr>
        <w:t xml:space="preserve"> § 2 i</w:t>
      </w:r>
      <w:r>
        <w:rPr>
          <w:sz w:val="24"/>
        </w:rPr>
        <w:t xml:space="preserve"> lov nr. 792 af 28. juni 2013, foretages følgende ændring:</w:t>
      </w:r>
    </w:p>
    <w:p w:rsidR="00B31A18" w:rsidRDefault="00B31A18" w:rsidP="00B31A18">
      <w:pPr>
        <w:spacing w:line="288" w:lineRule="auto"/>
        <w:rPr>
          <w:sz w:val="24"/>
        </w:rPr>
      </w:pPr>
    </w:p>
    <w:p w:rsidR="00B31A18" w:rsidRPr="00D749A6" w:rsidRDefault="00B31A18" w:rsidP="00B31A18">
      <w:pPr>
        <w:spacing w:line="288" w:lineRule="auto"/>
        <w:rPr>
          <w:sz w:val="24"/>
        </w:rPr>
      </w:pPr>
      <w:r>
        <w:rPr>
          <w:b/>
          <w:sz w:val="24"/>
        </w:rPr>
        <w:t xml:space="preserve">1. </w:t>
      </w:r>
      <w:r w:rsidRPr="001B78AD">
        <w:rPr>
          <w:i/>
          <w:sz w:val="24"/>
        </w:rPr>
        <w:t xml:space="preserve">§ </w:t>
      </w:r>
      <w:r>
        <w:rPr>
          <w:i/>
          <w:sz w:val="24"/>
        </w:rPr>
        <w:t>2, stk. 4,</w:t>
      </w:r>
      <w:r>
        <w:rPr>
          <w:sz w:val="24"/>
        </w:rPr>
        <w:t xml:space="preserve"> ophæves.</w:t>
      </w:r>
    </w:p>
    <w:p w:rsidR="00B31A18" w:rsidRDefault="00B31A18" w:rsidP="001B78AD">
      <w:pPr>
        <w:ind w:left="3600" w:firstLine="720"/>
        <w:rPr>
          <w:b/>
          <w:sz w:val="24"/>
        </w:rPr>
      </w:pPr>
    </w:p>
    <w:p w:rsidR="001B78AD" w:rsidRPr="001B78AD" w:rsidRDefault="001B78AD" w:rsidP="003145F6">
      <w:pPr>
        <w:tabs>
          <w:tab w:val="left" w:pos="360"/>
        </w:tabs>
        <w:spacing w:line="288" w:lineRule="auto"/>
        <w:rPr>
          <w:b/>
          <w:i/>
          <w:sz w:val="24"/>
        </w:rPr>
      </w:pPr>
      <w:r>
        <w:rPr>
          <w:b/>
          <w:bCs/>
          <w:sz w:val="24"/>
        </w:rPr>
        <w:tab/>
      </w:r>
      <w:r>
        <w:rPr>
          <w:b/>
          <w:bCs/>
          <w:sz w:val="24"/>
        </w:rPr>
        <w:tab/>
      </w:r>
      <w:r>
        <w:rPr>
          <w:b/>
          <w:bCs/>
          <w:sz w:val="24"/>
        </w:rPr>
        <w:tab/>
      </w:r>
      <w:r>
        <w:rPr>
          <w:b/>
          <w:bCs/>
          <w:sz w:val="24"/>
        </w:rPr>
        <w:tab/>
      </w:r>
      <w:r>
        <w:rPr>
          <w:b/>
          <w:bCs/>
          <w:sz w:val="24"/>
        </w:rPr>
        <w:tab/>
      </w:r>
      <w:r>
        <w:rPr>
          <w:b/>
          <w:bCs/>
          <w:sz w:val="24"/>
        </w:rPr>
        <w:tab/>
      </w:r>
      <w:r w:rsidR="006E18F2">
        <w:rPr>
          <w:b/>
          <w:bCs/>
          <w:sz w:val="24"/>
        </w:rPr>
        <w:tab/>
      </w:r>
    </w:p>
    <w:p w:rsidR="001B78AD" w:rsidRPr="001B78AD" w:rsidRDefault="001B78AD" w:rsidP="001B78AD">
      <w:pPr>
        <w:rPr>
          <w:b/>
          <w:iCs/>
          <w:sz w:val="24"/>
        </w:rPr>
      </w:pPr>
      <w:r>
        <w:rPr>
          <w:i/>
          <w:iCs/>
          <w:sz w:val="28"/>
        </w:rPr>
        <w:tab/>
      </w:r>
      <w:r>
        <w:rPr>
          <w:i/>
          <w:iCs/>
          <w:sz w:val="28"/>
        </w:rPr>
        <w:tab/>
      </w:r>
      <w:r>
        <w:rPr>
          <w:i/>
          <w:iCs/>
          <w:sz w:val="28"/>
        </w:rPr>
        <w:tab/>
      </w:r>
      <w:r>
        <w:rPr>
          <w:i/>
          <w:iCs/>
          <w:sz w:val="28"/>
        </w:rPr>
        <w:tab/>
      </w:r>
      <w:r>
        <w:rPr>
          <w:i/>
          <w:iCs/>
          <w:sz w:val="28"/>
        </w:rPr>
        <w:tab/>
      </w:r>
      <w:r w:rsidR="006E18F2">
        <w:rPr>
          <w:i/>
          <w:iCs/>
          <w:sz w:val="28"/>
        </w:rPr>
        <w:tab/>
      </w:r>
      <w:r w:rsidR="00665CCB">
        <w:rPr>
          <w:b/>
          <w:iCs/>
          <w:sz w:val="24"/>
        </w:rPr>
        <w:t xml:space="preserve">§ </w:t>
      </w:r>
      <w:r w:rsidR="002763CD">
        <w:rPr>
          <w:b/>
          <w:iCs/>
          <w:sz w:val="24"/>
        </w:rPr>
        <w:t>5</w:t>
      </w:r>
    </w:p>
    <w:p w:rsidR="001B78AD" w:rsidRDefault="001B78AD" w:rsidP="001B78AD">
      <w:pPr>
        <w:rPr>
          <w:i/>
          <w:iCs/>
          <w:sz w:val="24"/>
        </w:rPr>
      </w:pPr>
    </w:p>
    <w:p w:rsidR="001B78AD" w:rsidRDefault="001B78AD" w:rsidP="001B78AD">
      <w:pPr>
        <w:rPr>
          <w:iCs/>
          <w:sz w:val="24"/>
        </w:rPr>
      </w:pPr>
      <w:r w:rsidRPr="001B78AD">
        <w:rPr>
          <w:i/>
          <w:iCs/>
          <w:sz w:val="24"/>
        </w:rPr>
        <w:t xml:space="preserve">Stk. 1. </w:t>
      </w:r>
      <w:r>
        <w:rPr>
          <w:iCs/>
          <w:sz w:val="24"/>
        </w:rPr>
        <w:t xml:space="preserve">Loven træder i kraft den </w:t>
      </w:r>
      <w:r w:rsidR="00587703">
        <w:rPr>
          <w:iCs/>
          <w:sz w:val="24"/>
        </w:rPr>
        <w:t>1</w:t>
      </w:r>
      <w:r w:rsidR="00B71A8F">
        <w:rPr>
          <w:iCs/>
          <w:sz w:val="24"/>
        </w:rPr>
        <w:t xml:space="preserve">. </w:t>
      </w:r>
      <w:r w:rsidR="00587703">
        <w:rPr>
          <w:iCs/>
          <w:sz w:val="24"/>
        </w:rPr>
        <w:t>februar</w:t>
      </w:r>
      <w:r w:rsidR="00B71A8F">
        <w:rPr>
          <w:iCs/>
          <w:sz w:val="24"/>
        </w:rPr>
        <w:t xml:space="preserve"> 201</w:t>
      </w:r>
      <w:r w:rsidR="00587703">
        <w:rPr>
          <w:iCs/>
          <w:sz w:val="24"/>
        </w:rPr>
        <w:t>4</w:t>
      </w:r>
      <w:r w:rsidR="00D626F8">
        <w:rPr>
          <w:iCs/>
          <w:sz w:val="24"/>
        </w:rPr>
        <w:t>.</w:t>
      </w:r>
    </w:p>
    <w:p w:rsidR="001B78AD" w:rsidRDefault="001B78AD" w:rsidP="001B78AD">
      <w:pPr>
        <w:rPr>
          <w:iCs/>
          <w:sz w:val="24"/>
        </w:rPr>
      </w:pPr>
      <w:r>
        <w:rPr>
          <w:i/>
          <w:iCs/>
          <w:sz w:val="24"/>
        </w:rPr>
        <w:t>Stk. 2.</w:t>
      </w:r>
      <w:r>
        <w:rPr>
          <w:iCs/>
          <w:sz w:val="24"/>
        </w:rPr>
        <w:t xml:space="preserve"> Loven har virkning</w:t>
      </w:r>
      <w:r w:rsidR="00B71A8F">
        <w:rPr>
          <w:iCs/>
          <w:sz w:val="24"/>
        </w:rPr>
        <w:t xml:space="preserve"> for </w:t>
      </w:r>
      <w:r w:rsidR="007D0AC0">
        <w:rPr>
          <w:iCs/>
          <w:sz w:val="24"/>
        </w:rPr>
        <w:t>afståelse</w:t>
      </w:r>
      <w:r w:rsidR="00670477">
        <w:rPr>
          <w:iCs/>
          <w:sz w:val="24"/>
        </w:rPr>
        <w:t xml:space="preserve"> af aktier,</w:t>
      </w:r>
      <w:r w:rsidR="00587703">
        <w:rPr>
          <w:iCs/>
          <w:sz w:val="24"/>
        </w:rPr>
        <w:t xml:space="preserve"> der foretages</w:t>
      </w:r>
      <w:r w:rsidR="00B71A8F">
        <w:rPr>
          <w:iCs/>
          <w:sz w:val="24"/>
        </w:rPr>
        <w:t xml:space="preserve"> fra den </w:t>
      </w:r>
      <w:r w:rsidR="00587703">
        <w:rPr>
          <w:iCs/>
          <w:sz w:val="24"/>
        </w:rPr>
        <w:t>20. november</w:t>
      </w:r>
      <w:r w:rsidR="00B71A8F">
        <w:rPr>
          <w:iCs/>
          <w:sz w:val="24"/>
        </w:rPr>
        <w:t xml:space="preserve"> 2013</w:t>
      </w:r>
      <w:r w:rsidR="007B7EA8">
        <w:rPr>
          <w:iCs/>
          <w:sz w:val="24"/>
        </w:rPr>
        <w:t>.</w:t>
      </w:r>
      <w:r w:rsidR="000D6720">
        <w:rPr>
          <w:iCs/>
          <w:sz w:val="24"/>
        </w:rPr>
        <w:t xml:space="preserve"> </w:t>
      </w:r>
      <w:r w:rsidR="008E7F50">
        <w:rPr>
          <w:iCs/>
          <w:sz w:val="24"/>
        </w:rPr>
        <w:t>Endvidere har l</w:t>
      </w:r>
      <w:r w:rsidR="000D6720">
        <w:rPr>
          <w:iCs/>
          <w:sz w:val="24"/>
        </w:rPr>
        <w:t>oven virkning for omstrukture</w:t>
      </w:r>
      <w:r w:rsidR="00781E52">
        <w:rPr>
          <w:iCs/>
          <w:sz w:val="24"/>
        </w:rPr>
        <w:t>ring, der vedtages fra den 20. nov</w:t>
      </w:r>
      <w:r w:rsidR="000D6720">
        <w:rPr>
          <w:iCs/>
          <w:sz w:val="24"/>
        </w:rPr>
        <w:t>ember 2013.</w:t>
      </w: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77744B" w:rsidRDefault="0077744B" w:rsidP="001B78AD">
      <w:pPr>
        <w:rPr>
          <w:iCs/>
          <w:sz w:val="24"/>
        </w:rPr>
      </w:pPr>
    </w:p>
    <w:p w:rsidR="0077744B" w:rsidRDefault="0077744B" w:rsidP="001B78AD">
      <w:pPr>
        <w:rPr>
          <w:iCs/>
          <w:sz w:val="24"/>
        </w:rPr>
      </w:pPr>
    </w:p>
    <w:p w:rsidR="00541803" w:rsidRDefault="00541803" w:rsidP="001B78AD">
      <w:pPr>
        <w:rPr>
          <w:iCs/>
          <w:sz w:val="24"/>
        </w:rPr>
      </w:pPr>
    </w:p>
    <w:p w:rsidR="00587703" w:rsidRDefault="00587703" w:rsidP="001B78AD">
      <w:pPr>
        <w:rPr>
          <w:iCs/>
          <w:sz w:val="24"/>
        </w:rPr>
      </w:pPr>
    </w:p>
    <w:p w:rsidR="00587703" w:rsidRDefault="00587703" w:rsidP="001B78AD">
      <w:pPr>
        <w:rPr>
          <w:iCs/>
          <w:sz w:val="24"/>
        </w:rPr>
      </w:pPr>
    </w:p>
    <w:p w:rsidR="00587703" w:rsidRDefault="00587703" w:rsidP="001B78AD">
      <w:pPr>
        <w:rPr>
          <w:iCs/>
          <w:sz w:val="24"/>
        </w:rPr>
      </w:pPr>
    </w:p>
    <w:p w:rsidR="00587703" w:rsidRPr="001B78AD" w:rsidRDefault="00587703" w:rsidP="001B78AD">
      <w:pPr>
        <w:rPr>
          <w:iCs/>
          <w:sz w:val="24"/>
        </w:rPr>
      </w:pPr>
    </w:p>
    <w:p w:rsidR="001B78AD" w:rsidRDefault="001B78AD" w:rsidP="00376FD2">
      <w:pPr>
        <w:jc w:val="center"/>
        <w:rPr>
          <w:i/>
          <w:iCs/>
          <w:sz w:val="28"/>
        </w:rPr>
      </w:pPr>
    </w:p>
    <w:p w:rsidR="00376FD2" w:rsidRPr="00BC172D" w:rsidRDefault="00376FD2" w:rsidP="00376FD2">
      <w:pPr>
        <w:jc w:val="center"/>
        <w:rPr>
          <w:i/>
          <w:iCs/>
          <w:sz w:val="28"/>
        </w:rPr>
      </w:pPr>
      <w:r w:rsidRPr="00BC172D">
        <w:rPr>
          <w:i/>
          <w:iCs/>
          <w:sz w:val="28"/>
        </w:rPr>
        <w:t>Bemærkninger til lovforslaget</w:t>
      </w:r>
    </w:p>
    <w:p w:rsidR="00376FD2" w:rsidRPr="00BC172D" w:rsidRDefault="00376FD2" w:rsidP="00376FD2">
      <w:pPr>
        <w:pStyle w:val="Overskrift2"/>
        <w:spacing w:line="240" w:lineRule="auto"/>
        <w:jc w:val="center"/>
        <w:rPr>
          <w:rFonts w:ascii="Times New Roman" w:hAnsi="Times New Roman" w:cs="Times New Roman"/>
          <w:i/>
          <w:sz w:val="24"/>
        </w:rPr>
      </w:pPr>
      <w:bookmarkStart w:id="1" w:name="_Toc210026133"/>
      <w:bookmarkStart w:id="2" w:name="_Toc207684802"/>
      <w:bookmarkStart w:id="3" w:name="_Toc207591971"/>
    </w:p>
    <w:p w:rsidR="00376FD2" w:rsidRPr="00BC172D" w:rsidRDefault="00376FD2" w:rsidP="00376FD2">
      <w:pPr>
        <w:pStyle w:val="Overskrift2"/>
        <w:spacing w:line="240" w:lineRule="auto"/>
        <w:jc w:val="center"/>
        <w:rPr>
          <w:rFonts w:ascii="Times New Roman" w:hAnsi="Times New Roman" w:cs="Times New Roman"/>
          <w:i/>
          <w:sz w:val="24"/>
        </w:rPr>
      </w:pPr>
      <w:r w:rsidRPr="00BC172D">
        <w:rPr>
          <w:rFonts w:ascii="Times New Roman" w:hAnsi="Times New Roman" w:cs="Times New Roman"/>
          <w:i/>
          <w:sz w:val="24"/>
        </w:rPr>
        <w:t>Almindelige bemærkninger</w:t>
      </w:r>
      <w:bookmarkEnd w:id="1"/>
      <w:bookmarkEnd w:id="2"/>
      <w:bookmarkEnd w:id="3"/>
    </w:p>
    <w:p w:rsidR="00376FD2" w:rsidRPr="00BC172D" w:rsidRDefault="00376FD2" w:rsidP="00376FD2">
      <w:pPr>
        <w:jc w:val="center"/>
        <w:rPr>
          <w:i/>
          <w:iCs/>
          <w:sz w:val="24"/>
        </w:rPr>
      </w:pPr>
    </w:p>
    <w:p w:rsidR="00376FD2" w:rsidRPr="00BC172D" w:rsidRDefault="00376FD2" w:rsidP="00376FD2">
      <w:pPr>
        <w:rPr>
          <w:i/>
          <w:iCs/>
          <w:sz w:val="24"/>
        </w:rPr>
      </w:pPr>
      <w:r w:rsidRPr="00BC172D">
        <w:rPr>
          <w:i/>
          <w:iCs/>
          <w:sz w:val="24"/>
        </w:rPr>
        <w:t>1. Indledning</w:t>
      </w:r>
    </w:p>
    <w:p w:rsidR="00AA420E" w:rsidRDefault="00AA420E" w:rsidP="00376FD2">
      <w:pPr>
        <w:rPr>
          <w:sz w:val="24"/>
        </w:rPr>
      </w:pPr>
      <w:r>
        <w:rPr>
          <w:sz w:val="24"/>
        </w:rPr>
        <w:t>Lovforslaget går ud på</w:t>
      </w:r>
      <w:r w:rsidR="003C67BB">
        <w:rPr>
          <w:sz w:val="24"/>
        </w:rPr>
        <w:t xml:space="preserve"> </w:t>
      </w:r>
      <w:r>
        <w:rPr>
          <w:sz w:val="24"/>
        </w:rPr>
        <w:t>at imødegå</w:t>
      </w:r>
      <w:r w:rsidR="003145F6">
        <w:rPr>
          <w:sz w:val="24"/>
        </w:rPr>
        <w:t xml:space="preserve"> </w:t>
      </w:r>
      <w:r w:rsidR="00B808B2">
        <w:rPr>
          <w:sz w:val="24"/>
        </w:rPr>
        <w:t>o</w:t>
      </w:r>
      <w:r w:rsidR="001159D7">
        <w:rPr>
          <w:sz w:val="24"/>
        </w:rPr>
        <w:t>mgåelse</w:t>
      </w:r>
      <w:r w:rsidR="00B3707D">
        <w:rPr>
          <w:sz w:val="24"/>
        </w:rPr>
        <w:t xml:space="preserve"> af udbyttebeskatningen</w:t>
      </w:r>
      <w:r>
        <w:rPr>
          <w:sz w:val="24"/>
        </w:rPr>
        <w:t xml:space="preserve">. Formålet </w:t>
      </w:r>
      <w:r w:rsidR="008F324E">
        <w:rPr>
          <w:sz w:val="24"/>
        </w:rPr>
        <w:t xml:space="preserve">med lovforslaget </w:t>
      </w:r>
      <w:r>
        <w:rPr>
          <w:sz w:val="24"/>
        </w:rPr>
        <w:t>er</w:t>
      </w:r>
      <w:r w:rsidR="00B3707D">
        <w:rPr>
          <w:sz w:val="24"/>
        </w:rPr>
        <w:t xml:space="preserve"> at</w:t>
      </w:r>
      <w:r w:rsidR="00E73545">
        <w:rPr>
          <w:sz w:val="24"/>
        </w:rPr>
        <w:t xml:space="preserve"> </w:t>
      </w:r>
      <w:r w:rsidR="00146335">
        <w:rPr>
          <w:sz w:val="24"/>
        </w:rPr>
        <w:t>sikre</w:t>
      </w:r>
      <w:r w:rsidR="00E73545">
        <w:rPr>
          <w:sz w:val="24"/>
        </w:rPr>
        <w:t>, at skattepligtige udbytter</w:t>
      </w:r>
      <w:r w:rsidR="00146335">
        <w:rPr>
          <w:sz w:val="24"/>
        </w:rPr>
        <w:t xml:space="preserve"> ikke</w:t>
      </w:r>
      <w:r w:rsidR="00E73545">
        <w:rPr>
          <w:sz w:val="24"/>
        </w:rPr>
        <w:t xml:space="preserve"> </w:t>
      </w:r>
      <w:r w:rsidR="00AA164F">
        <w:rPr>
          <w:sz w:val="24"/>
        </w:rPr>
        <w:t>konverteres</w:t>
      </w:r>
      <w:r w:rsidR="00B3707D">
        <w:rPr>
          <w:sz w:val="24"/>
        </w:rPr>
        <w:t xml:space="preserve"> </w:t>
      </w:r>
      <w:r w:rsidR="00E73545">
        <w:rPr>
          <w:sz w:val="24"/>
        </w:rPr>
        <w:t>til skattefri</w:t>
      </w:r>
      <w:r w:rsidR="00B3707D">
        <w:rPr>
          <w:sz w:val="24"/>
        </w:rPr>
        <w:t>e</w:t>
      </w:r>
      <w:r w:rsidR="00E73545">
        <w:rPr>
          <w:sz w:val="24"/>
        </w:rPr>
        <w:t xml:space="preserve"> kontant</w:t>
      </w:r>
      <w:r w:rsidR="00B3707D">
        <w:rPr>
          <w:sz w:val="24"/>
        </w:rPr>
        <w:t>e</w:t>
      </w:r>
      <w:r w:rsidR="00E73545">
        <w:rPr>
          <w:sz w:val="24"/>
        </w:rPr>
        <w:t xml:space="preserve"> udligningssum</w:t>
      </w:r>
      <w:r w:rsidR="00B3707D">
        <w:rPr>
          <w:sz w:val="24"/>
        </w:rPr>
        <w:t>mer.</w:t>
      </w:r>
    </w:p>
    <w:p w:rsidR="00AA420E" w:rsidRPr="00BC172D" w:rsidRDefault="00AA420E" w:rsidP="00376FD2">
      <w:pPr>
        <w:rPr>
          <w:sz w:val="24"/>
        </w:rPr>
      </w:pPr>
    </w:p>
    <w:p w:rsidR="00376FD2" w:rsidRPr="00BC172D" w:rsidRDefault="00376FD2" w:rsidP="00376FD2">
      <w:pPr>
        <w:rPr>
          <w:i/>
          <w:iCs/>
          <w:sz w:val="24"/>
        </w:rPr>
      </w:pPr>
      <w:r w:rsidRPr="00BC172D">
        <w:rPr>
          <w:i/>
          <w:iCs/>
          <w:sz w:val="24"/>
        </w:rPr>
        <w:t xml:space="preserve">2. Lovforslagets formål og baggrund </w:t>
      </w:r>
    </w:p>
    <w:p w:rsidR="00146335" w:rsidRDefault="00146335" w:rsidP="00376FD2">
      <w:pPr>
        <w:rPr>
          <w:iCs/>
          <w:sz w:val="24"/>
        </w:rPr>
      </w:pPr>
      <w:r>
        <w:rPr>
          <w:iCs/>
          <w:sz w:val="24"/>
        </w:rPr>
        <w:t xml:space="preserve">Med lovforslaget fjernes </w:t>
      </w:r>
      <w:r w:rsidR="000C5D7C">
        <w:rPr>
          <w:iCs/>
          <w:sz w:val="24"/>
        </w:rPr>
        <w:t>et hul i skattelovgivningen, der underminerer udbyttebeskatningen.</w:t>
      </w:r>
    </w:p>
    <w:p w:rsidR="00146335" w:rsidRDefault="00146335" w:rsidP="00376FD2">
      <w:pPr>
        <w:rPr>
          <w:iCs/>
          <w:sz w:val="24"/>
        </w:rPr>
      </w:pPr>
    </w:p>
    <w:p w:rsidR="00F06C5B" w:rsidRDefault="00F06C5B" w:rsidP="00376FD2">
      <w:pPr>
        <w:rPr>
          <w:iCs/>
          <w:sz w:val="24"/>
        </w:rPr>
      </w:pPr>
      <w:r>
        <w:rPr>
          <w:iCs/>
          <w:sz w:val="24"/>
        </w:rPr>
        <w:t>Ved lov nr. 1255 af 18. december 2012 (L</w:t>
      </w:r>
      <w:r w:rsidR="002E2B7E">
        <w:rPr>
          <w:iCs/>
          <w:sz w:val="24"/>
        </w:rPr>
        <w:t xml:space="preserve"> </w:t>
      </w:r>
      <w:r>
        <w:rPr>
          <w:iCs/>
          <w:sz w:val="24"/>
        </w:rPr>
        <w:t>49</w:t>
      </w:r>
      <w:r w:rsidR="00C40C5F">
        <w:rPr>
          <w:iCs/>
          <w:sz w:val="24"/>
        </w:rPr>
        <w:t xml:space="preserve"> Folketingsåret 2012/2013</w:t>
      </w:r>
      <w:r>
        <w:rPr>
          <w:iCs/>
          <w:sz w:val="24"/>
        </w:rPr>
        <w:t xml:space="preserve">) blev beskatningen af selskabers avancer på </w:t>
      </w:r>
      <w:proofErr w:type="spellStart"/>
      <w:r>
        <w:rPr>
          <w:iCs/>
          <w:sz w:val="24"/>
        </w:rPr>
        <w:t>unoterede</w:t>
      </w:r>
      <w:proofErr w:type="spellEnd"/>
      <w:r>
        <w:rPr>
          <w:iCs/>
          <w:sz w:val="24"/>
        </w:rPr>
        <w:t xml:space="preserve"> aktier ophævet, mens beskatningen af udbytter af sådanne aktier blev fastholdt.</w:t>
      </w:r>
    </w:p>
    <w:p w:rsidR="00F06C5B" w:rsidRDefault="00F06C5B" w:rsidP="00376FD2">
      <w:pPr>
        <w:rPr>
          <w:iCs/>
          <w:sz w:val="24"/>
        </w:rPr>
      </w:pPr>
    </w:p>
    <w:p w:rsidR="005C6533" w:rsidRDefault="00B808B2" w:rsidP="00376FD2">
      <w:pPr>
        <w:rPr>
          <w:iCs/>
          <w:sz w:val="24"/>
        </w:rPr>
      </w:pPr>
      <w:r>
        <w:rPr>
          <w:iCs/>
          <w:sz w:val="24"/>
        </w:rPr>
        <w:t>Ved lov nr. 1254 af 18. december 2012 (L</w:t>
      </w:r>
      <w:r w:rsidR="002E2B7E">
        <w:rPr>
          <w:iCs/>
          <w:sz w:val="24"/>
        </w:rPr>
        <w:t xml:space="preserve"> </w:t>
      </w:r>
      <w:r>
        <w:rPr>
          <w:iCs/>
          <w:sz w:val="24"/>
        </w:rPr>
        <w:t>10</w:t>
      </w:r>
      <w:r w:rsidR="00C40C5F">
        <w:rPr>
          <w:iCs/>
          <w:sz w:val="24"/>
        </w:rPr>
        <w:t xml:space="preserve"> Folketingsåret 2012/2013</w:t>
      </w:r>
      <w:r>
        <w:rPr>
          <w:iCs/>
          <w:sz w:val="24"/>
        </w:rPr>
        <w:t xml:space="preserve">) blev der indført en </w:t>
      </w:r>
      <w:proofErr w:type="spellStart"/>
      <w:r>
        <w:rPr>
          <w:iCs/>
          <w:sz w:val="24"/>
        </w:rPr>
        <w:t>værnsregel</w:t>
      </w:r>
      <w:proofErr w:type="spellEnd"/>
      <w:r>
        <w:rPr>
          <w:iCs/>
          <w:sz w:val="24"/>
        </w:rPr>
        <w:t xml:space="preserve"> i selskabsskattelovens § 2 D med det formål </w:t>
      </w:r>
      <w:r w:rsidR="00F06C5B">
        <w:rPr>
          <w:iCs/>
          <w:sz w:val="24"/>
        </w:rPr>
        <w:t>at sikre udbyttebeskatning</w:t>
      </w:r>
      <w:r w:rsidR="00146335">
        <w:rPr>
          <w:iCs/>
          <w:sz w:val="24"/>
        </w:rPr>
        <w:t>en</w:t>
      </w:r>
      <w:r w:rsidR="00F06C5B">
        <w:rPr>
          <w:iCs/>
          <w:sz w:val="24"/>
        </w:rPr>
        <w:t xml:space="preserve">, der blev fastholdt ved </w:t>
      </w:r>
      <w:r w:rsidR="002E2B7E">
        <w:rPr>
          <w:iCs/>
          <w:sz w:val="24"/>
        </w:rPr>
        <w:t>lov nr. 1255 af 18. december 2012</w:t>
      </w:r>
      <w:r w:rsidR="00F06C5B">
        <w:rPr>
          <w:iCs/>
          <w:sz w:val="24"/>
        </w:rPr>
        <w:t>, og</w:t>
      </w:r>
      <w:r w:rsidR="008F529F">
        <w:rPr>
          <w:iCs/>
          <w:sz w:val="24"/>
        </w:rPr>
        <w:t xml:space="preserve"> at</w:t>
      </w:r>
      <w:r w:rsidR="00F06C5B">
        <w:rPr>
          <w:iCs/>
          <w:sz w:val="24"/>
        </w:rPr>
        <w:t xml:space="preserve"> </w:t>
      </w:r>
      <w:r>
        <w:rPr>
          <w:iCs/>
          <w:sz w:val="24"/>
        </w:rPr>
        <w:t>imødegå</w:t>
      </w:r>
      <w:r w:rsidR="005A3B06">
        <w:rPr>
          <w:iCs/>
          <w:sz w:val="24"/>
        </w:rPr>
        <w:t xml:space="preserve"> </w:t>
      </w:r>
      <w:r w:rsidR="00F06C5B">
        <w:rPr>
          <w:iCs/>
          <w:sz w:val="24"/>
        </w:rPr>
        <w:t xml:space="preserve">særligt </w:t>
      </w:r>
      <w:r w:rsidR="005A3B06">
        <w:rPr>
          <w:iCs/>
          <w:sz w:val="24"/>
        </w:rPr>
        <w:t xml:space="preserve">kapitalfondenes </w:t>
      </w:r>
      <w:r>
        <w:rPr>
          <w:iCs/>
          <w:sz w:val="24"/>
        </w:rPr>
        <w:t xml:space="preserve">omgåelse af kildebeskatningen af udbytter. </w:t>
      </w:r>
    </w:p>
    <w:p w:rsidR="005C6533" w:rsidRDefault="005C6533" w:rsidP="00376FD2">
      <w:pPr>
        <w:rPr>
          <w:iCs/>
          <w:sz w:val="24"/>
        </w:rPr>
      </w:pPr>
    </w:p>
    <w:p w:rsidR="005C6533" w:rsidRDefault="005A3B06" w:rsidP="00376FD2">
      <w:pPr>
        <w:rPr>
          <w:iCs/>
          <w:sz w:val="24"/>
        </w:rPr>
      </w:pPr>
      <w:r>
        <w:rPr>
          <w:iCs/>
          <w:sz w:val="24"/>
        </w:rPr>
        <w:t>Den model, som kapitalfondene benyttede til at omgå udbyttebeskatningen</w:t>
      </w:r>
      <w:r w:rsidR="00410516">
        <w:rPr>
          <w:iCs/>
          <w:sz w:val="24"/>
        </w:rPr>
        <w:t>,</w:t>
      </w:r>
      <w:r>
        <w:rPr>
          <w:iCs/>
          <w:sz w:val="24"/>
        </w:rPr>
        <w:t xml:space="preserve"> gik ud på, at </w:t>
      </w:r>
      <w:r w:rsidR="008D2308">
        <w:rPr>
          <w:iCs/>
          <w:sz w:val="24"/>
        </w:rPr>
        <w:t xml:space="preserve">kapitalfondene </w:t>
      </w:r>
      <w:r>
        <w:rPr>
          <w:iCs/>
          <w:sz w:val="24"/>
        </w:rPr>
        <w:t xml:space="preserve">umiddelbart før en påtænkt </w:t>
      </w:r>
      <w:r w:rsidR="00967680">
        <w:rPr>
          <w:iCs/>
          <w:sz w:val="24"/>
        </w:rPr>
        <w:t>udbytte</w:t>
      </w:r>
      <w:r>
        <w:rPr>
          <w:iCs/>
          <w:sz w:val="24"/>
        </w:rPr>
        <w:t>udlodning</w:t>
      </w:r>
      <w:r w:rsidR="00133A39">
        <w:rPr>
          <w:iCs/>
          <w:sz w:val="24"/>
        </w:rPr>
        <w:t xml:space="preserve"> foretog</w:t>
      </w:r>
      <w:r>
        <w:rPr>
          <w:iCs/>
          <w:sz w:val="24"/>
        </w:rPr>
        <w:t xml:space="preserve"> en skattefri aktieombytning. Ved den skattefrie aktieombytning</w:t>
      </w:r>
      <w:r w:rsidR="00133A39">
        <w:rPr>
          <w:iCs/>
          <w:sz w:val="24"/>
        </w:rPr>
        <w:t xml:space="preserve"> indskydes et </w:t>
      </w:r>
      <w:r w:rsidR="000F15ED">
        <w:rPr>
          <w:iCs/>
          <w:sz w:val="24"/>
        </w:rPr>
        <w:t>nyt s</w:t>
      </w:r>
      <w:r w:rsidR="00133A39">
        <w:rPr>
          <w:iCs/>
          <w:sz w:val="24"/>
        </w:rPr>
        <w:t xml:space="preserve">elskab mellem kapitalfonden og det </w:t>
      </w:r>
      <w:r w:rsidR="00967680">
        <w:rPr>
          <w:iCs/>
          <w:sz w:val="24"/>
        </w:rPr>
        <w:t>udbytte</w:t>
      </w:r>
      <w:r w:rsidR="00133A39">
        <w:rPr>
          <w:iCs/>
          <w:sz w:val="24"/>
        </w:rPr>
        <w:t>udloddende selskab. Som vederlag</w:t>
      </w:r>
      <w:r>
        <w:rPr>
          <w:iCs/>
          <w:sz w:val="24"/>
        </w:rPr>
        <w:t xml:space="preserve"> modtog kapitalfond</w:t>
      </w:r>
      <w:r w:rsidR="005C6533">
        <w:rPr>
          <w:iCs/>
          <w:sz w:val="24"/>
        </w:rPr>
        <w:t>sejer</w:t>
      </w:r>
      <w:r w:rsidR="00410516">
        <w:rPr>
          <w:iCs/>
          <w:sz w:val="24"/>
        </w:rPr>
        <w:t>ne</w:t>
      </w:r>
      <w:r w:rsidR="000F15ED">
        <w:rPr>
          <w:iCs/>
          <w:sz w:val="24"/>
        </w:rPr>
        <w:t xml:space="preserve"> aktier i det nye </w:t>
      </w:r>
      <w:r>
        <w:rPr>
          <w:iCs/>
          <w:sz w:val="24"/>
        </w:rPr>
        <w:t xml:space="preserve">selskab kombineret med en skattefri kontant udligningssum svarende til det påtænkte udbytte. </w:t>
      </w:r>
    </w:p>
    <w:p w:rsidR="005C6533" w:rsidRDefault="005C6533" w:rsidP="00376FD2">
      <w:pPr>
        <w:rPr>
          <w:iCs/>
          <w:sz w:val="24"/>
        </w:rPr>
      </w:pPr>
    </w:p>
    <w:p w:rsidR="005A3B06" w:rsidRDefault="005C6533" w:rsidP="00376FD2">
      <w:pPr>
        <w:rPr>
          <w:iCs/>
          <w:sz w:val="24"/>
        </w:rPr>
      </w:pPr>
      <w:r>
        <w:rPr>
          <w:iCs/>
          <w:sz w:val="24"/>
        </w:rPr>
        <w:t>Selskabsskattelovens § 2 D medfører, at de</w:t>
      </w:r>
      <w:r w:rsidR="00890F5C">
        <w:rPr>
          <w:iCs/>
          <w:sz w:val="24"/>
        </w:rPr>
        <w:t xml:space="preserve">t vederlag, </w:t>
      </w:r>
      <w:r w:rsidR="00C40C5F">
        <w:rPr>
          <w:iCs/>
          <w:sz w:val="24"/>
        </w:rPr>
        <w:t>der</w:t>
      </w:r>
      <w:r w:rsidR="00890F5C">
        <w:rPr>
          <w:iCs/>
          <w:sz w:val="24"/>
        </w:rPr>
        <w:t xml:space="preserve"> ikke </w:t>
      </w:r>
      <w:r w:rsidR="00C40C5F">
        <w:rPr>
          <w:iCs/>
          <w:sz w:val="24"/>
        </w:rPr>
        <w:t>består af</w:t>
      </w:r>
      <w:r w:rsidR="00890F5C">
        <w:rPr>
          <w:iCs/>
          <w:sz w:val="24"/>
        </w:rPr>
        <w:t xml:space="preserve"> aktier</w:t>
      </w:r>
      <w:r w:rsidR="005D7234">
        <w:rPr>
          <w:iCs/>
          <w:sz w:val="24"/>
        </w:rPr>
        <w:t xml:space="preserve"> </w:t>
      </w:r>
      <w:r w:rsidR="003B2A3C">
        <w:rPr>
          <w:iCs/>
          <w:sz w:val="24"/>
        </w:rPr>
        <w:t>i</w:t>
      </w:r>
      <w:r w:rsidR="005D7234">
        <w:rPr>
          <w:iCs/>
          <w:sz w:val="24"/>
        </w:rPr>
        <w:t xml:space="preserve"> det </w:t>
      </w:r>
      <w:proofErr w:type="spellStart"/>
      <w:r w:rsidR="005D7234">
        <w:rPr>
          <w:iCs/>
          <w:sz w:val="24"/>
        </w:rPr>
        <w:t>nyindskudte</w:t>
      </w:r>
      <w:proofErr w:type="spellEnd"/>
      <w:r w:rsidR="005D7234">
        <w:rPr>
          <w:iCs/>
          <w:sz w:val="24"/>
        </w:rPr>
        <w:t xml:space="preserve"> selskab m.v.</w:t>
      </w:r>
      <w:r>
        <w:rPr>
          <w:iCs/>
          <w:sz w:val="24"/>
        </w:rPr>
        <w:t xml:space="preserve">, </w:t>
      </w:r>
      <w:r w:rsidR="00890F5C">
        <w:rPr>
          <w:iCs/>
          <w:sz w:val="24"/>
        </w:rPr>
        <w:t xml:space="preserve">som </w:t>
      </w:r>
      <w:r>
        <w:rPr>
          <w:iCs/>
          <w:sz w:val="24"/>
        </w:rPr>
        <w:t xml:space="preserve">aktionærerne modtager ved den skattefrie aktieombytning, </w:t>
      </w:r>
      <w:r w:rsidR="00C40C5F">
        <w:rPr>
          <w:iCs/>
          <w:sz w:val="24"/>
        </w:rPr>
        <w:t>anse</w:t>
      </w:r>
      <w:r>
        <w:rPr>
          <w:iCs/>
          <w:sz w:val="24"/>
        </w:rPr>
        <w:t>s som udbytte. Bestemmelsen finder anvendelse, hvis der i aktionærkredsen er en koncernforbindelse</w:t>
      </w:r>
      <w:r w:rsidR="00511C24">
        <w:rPr>
          <w:iCs/>
          <w:sz w:val="24"/>
        </w:rPr>
        <w:t xml:space="preserve"> før og efter den skattefri aktieombytning</w:t>
      </w:r>
      <w:r>
        <w:rPr>
          <w:iCs/>
          <w:sz w:val="24"/>
        </w:rPr>
        <w:t xml:space="preserve">. </w:t>
      </w:r>
    </w:p>
    <w:p w:rsidR="00B808B2" w:rsidRDefault="00B808B2" w:rsidP="00376FD2">
      <w:pPr>
        <w:rPr>
          <w:iCs/>
          <w:sz w:val="24"/>
        </w:rPr>
      </w:pPr>
    </w:p>
    <w:p w:rsidR="005A3B06" w:rsidRDefault="005C6533" w:rsidP="00376FD2">
      <w:pPr>
        <w:rPr>
          <w:iCs/>
          <w:sz w:val="24"/>
        </w:rPr>
      </w:pPr>
      <w:r>
        <w:rPr>
          <w:iCs/>
          <w:sz w:val="24"/>
        </w:rPr>
        <w:t>Skatteministeriet er i forsommeren</w:t>
      </w:r>
      <w:r w:rsidR="00FF5F29">
        <w:rPr>
          <w:iCs/>
          <w:sz w:val="24"/>
        </w:rPr>
        <w:t xml:space="preserve"> 2013</w:t>
      </w:r>
      <w:r>
        <w:rPr>
          <w:iCs/>
          <w:sz w:val="24"/>
        </w:rPr>
        <w:t xml:space="preserve"> kommet i besiddelse af en række dokumenter, der viser, at skatterådgivere </w:t>
      </w:r>
      <w:r w:rsidR="00133A39">
        <w:rPr>
          <w:iCs/>
          <w:sz w:val="24"/>
        </w:rPr>
        <w:t>markedsfører</w:t>
      </w:r>
      <w:r>
        <w:rPr>
          <w:iCs/>
          <w:sz w:val="24"/>
        </w:rPr>
        <w:t xml:space="preserve"> </w:t>
      </w:r>
      <w:r w:rsidR="000F15ED">
        <w:rPr>
          <w:iCs/>
          <w:sz w:val="24"/>
        </w:rPr>
        <w:t xml:space="preserve">en ny </w:t>
      </w:r>
      <w:r>
        <w:rPr>
          <w:iCs/>
          <w:sz w:val="24"/>
        </w:rPr>
        <w:t xml:space="preserve">omgåelse af udbyttebeskatningen ved </w:t>
      </w:r>
      <w:r w:rsidR="00133A39">
        <w:rPr>
          <w:iCs/>
          <w:sz w:val="24"/>
        </w:rPr>
        <w:t xml:space="preserve">igen </w:t>
      </w:r>
      <w:r>
        <w:rPr>
          <w:iCs/>
          <w:sz w:val="24"/>
        </w:rPr>
        <w:t>at benytte skattefrie aktieombytninger</w:t>
      </w:r>
      <w:r w:rsidR="00133A39">
        <w:rPr>
          <w:iCs/>
          <w:sz w:val="24"/>
        </w:rPr>
        <w:t xml:space="preserve">, hvor </w:t>
      </w:r>
      <w:r w:rsidR="00410516">
        <w:rPr>
          <w:iCs/>
          <w:sz w:val="24"/>
        </w:rPr>
        <w:t>ejerkredsen</w:t>
      </w:r>
      <w:r w:rsidR="00133A39">
        <w:rPr>
          <w:iCs/>
          <w:sz w:val="24"/>
        </w:rPr>
        <w:t xml:space="preserve"> vederlægges med aktier kombineret med en kontant udligningssum</w:t>
      </w:r>
      <w:r>
        <w:rPr>
          <w:iCs/>
          <w:sz w:val="24"/>
        </w:rPr>
        <w:t>.</w:t>
      </w:r>
    </w:p>
    <w:p w:rsidR="005C6533" w:rsidRDefault="005C6533" w:rsidP="00376FD2">
      <w:pPr>
        <w:rPr>
          <w:iCs/>
          <w:sz w:val="24"/>
        </w:rPr>
      </w:pPr>
    </w:p>
    <w:p w:rsidR="000B59A6" w:rsidRDefault="000F15ED" w:rsidP="00133A39">
      <w:pPr>
        <w:rPr>
          <w:iCs/>
          <w:sz w:val="24"/>
        </w:rPr>
      </w:pPr>
      <w:r>
        <w:rPr>
          <w:iCs/>
          <w:sz w:val="24"/>
        </w:rPr>
        <w:t>D</w:t>
      </w:r>
      <w:r w:rsidR="00B3707D">
        <w:rPr>
          <w:iCs/>
          <w:sz w:val="24"/>
        </w:rPr>
        <w:t>okumenterne</w:t>
      </w:r>
      <w:r>
        <w:rPr>
          <w:iCs/>
          <w:sz w:val="24"/>
        </w:rPr>
        <w:t xml:space="preserve"> omhandler et konkret</w:t>
      </w:r>
      <w:r w:rsidR="00B3707D">
        <w:rPr>
          <w:iCs/>
          <w:sz w:val="24"/>
        </w:rPr>
        <w:t xml:space="preserve"> selskab</w:t>
      </w:r>
      <w:r>
        <w:rPr>
          <w:iCs/>
          <w:sz w:val="24"/>
        </w:rPr>
        <w:t>, hvis</w:t>
      </w:r>
      <w:r w:rsidR="00B3707D">
        <w:rPr>
          <w:iCs/>
          <w:sz w:val="24"/>
        </w:rPr>
        <w:t xml:space="preserve"> </w:t>
      </w:r>
      <w:r w:rsidR="00410516">
        <w:rPr>
          <w:iCs/>
          <w:sz w:val="24"/>
        </w:rPr>
        <w:t>ejer</w:t>
      </w:r>
      <w:r w:rsidR="00133A39">
        <w:rPr>
          <w:iCs/>
          <w:sz w:val="24"/>
        </w:rPr>
        <w:t xml:space="preserve">kreds er spredt og uafhængig af hinanden og sammensat af såvel danske som udenlandske selskabsaktionærer samt fysiske personer. Aktionærernes ejerandel varierer, således at der er aktionærer med mere end 10 pct. og aktionærer med mindre end 10 pct. En udbytteudlodning direkte fra det udloddende selskab vil potentielt indebære, at en række af aktionærerne skal betale udbytteskat, fordi ejerandelen er mindre end 10 pct. </w:t>
      </w:r>
    </w:p>
    <w:p w:rsidR="00B3707D" w:rsidRDefault="00133A39" w:rsidP="00133A39">
      <w:pPr>
        <w:rPr>
          <w:iCs/>
          <w:sz w:val="24"/>
        </w:rPr>
      </w:pPr>
      <w:r>
        <w:rPr>
          <w:iCs/>
          <w:sz w:val="24"/>
        </w:rPr>
        <w:t xml:space="preserve"> </w:t>
      </w:r>
    </w:p>
    <w:p w:rsidR="005A0E28" w:rsidRDefault="00967680" w:rsidP="00133A39">
      <w:pPr>
        <w:rPr>
          <w:iCs/>
          <w:sz w:val="24"/>
        </w:rPr>
      </w:pPr>
      <w:r>
        <w:rPr>
          <w:iCs/>
          <w:sz w:val="24"/>
        </w:rPr>
        <w:t>For at undgå en potentiel udbyttebeskatning har selskabets rådgiver før</w:t>
      </w:r>
      <w:r w:rsidR="00B6369E">
        <w:rPr>
          <w:iCs/>
          <w:sz w:val="24"/>
        </w:rPr>
        <w:t>st anmodet SKAT om dispensation for udbyttebeskatning i forbindelse med en kapitalnedsættelse,</w:t>
      </w:r>
      <w:r w:rsidR="009E6BE1">
        <w:rPr>
          <w:iCs/>
          <w:sz w:val="24"/>
        </w:rPr>
        <w:t xml:space="preserve"> hvilket SKAT </w:t>
      </w:r>
      <w:r w:rsidR="005A0E28">
        <w:rPr>
          <w:iCs/>
          <w:sz w:val="24"/>
        </w:rPr>
        <w:t xml:space="preserve">har </w:t>
      </w:r>
      <w:r w:rsidR="005A0E28">
        <w:rPr>
          <w:iCs/>
          <w:sz w:val="24"/>
        </w:rPr>
        <w:lastRenderedPageBreak/>
        <w:t>givet afslag på</w:t>
      </w:r>
      <w:r>
        <w:rPr>
          <w:iCs/>
          <w:sz w:val="24"/>
        </w:rPr>
        <w:t xml:space="preserve">. </w:t>
      </w:r>
    </w:p>
    <w:p w:rsidR="005A0E28" w:rsidRDefault="005A0E28" w:rsidP="00133A39">
      <w:pPr>
        <w:rPr>
          <w:iCs/>
          <w:sz w:val="24"/>
        </w:rPr>
      </w:pPr>
    </w:p>
    <w:p w:rsidR="000F15ED" w:rsidRDefault="00967680" w:rsidP="00133A39">
      <w:pPr>
        <w:rPr>
          <w:iCs/>
          <w:sz w:val="24"/>
        </w:rPr>
      </w:pPr>
      <w:r>
        <w:rPr>
          <w:iCs/>
          <w:sz w:val="24"/>
        </w:rPr>
        <w:t xml:space="preserve">Som følge af </w:t>
      </w:r>
      <w:proofErr w:type="spellStart"/>
      <w:r w:rsidR="00B6369E">
        <w:rPr>
          <w:iCs/>
          <w:sz w:val="24"/>
        </w:rPr>
        <w:t>SKATs</w:t>
      </w:r>
      <w:proofErr w:type="spellEnd"/>
      <w:r w:rsidR="00B6369E">
        <w:rPr>
          <w:iCs/>
          <w:sz w:val="24"/>
        </w:rPr>
        <w:t xml:space="preserve"> af</w:t>
      </w:r>
      <w:r w:rsidR="005A0E28">
        <w:rPr>
          <w:iCs/>
          <w:sz w:val="24"/>
        </w:rPr>
        <w:t>slag</w:t>
      </w:r>
      <w:r w:rsidR="00B6369E">
        <w:rPr>
          <w:iCs/>
          <w:sz w:val="24"/>
        </w:rPr>
        <w:t xml:space="preserve"> </w:t>
      </w:r>
      <w:r w:rsidR="00133A39">
        <w:rPr>
          <w:iCs/>
          <w:sz w:val="24"/>
        </w:rPr>
        <w:t>præsentere</w:t>
      </w:r>
      <w:r w:rsidR="000F15ED">
        <w:rPr>
          <w:iCs/>
          <w:sz w:val="24"/>
        </w:rPr>
        <w:t>s</w:t>
      </w:r>
      <w:r>
        <w:rPr>
          <w:iCs/>
          <w:sz w:val="24"/>
        </w:rPr>
        <w:t xml:space="preserve"> ejerkredsen i stedet for en alternativ mulighed </w:t>
      </w:r>
      <w:r w:rsidR="00133A39">
        <w:rPr>
          <w:iCs/>
          <w:sz w:val="24"/>
        </w:rPr>
        <w:t>for at</w:t>
      </w:r>
      <w:r>
        <w:rPr>
          <w:iCs/>
          <w:sz w:val="24"/>
        </w:rPr>
        <w:t xml:space="preserve"> undgå udbyttebeskatning</w:t>
      </w:r>
      <w:r w:rsidR="00B6369E">
        <w:rPr>
          <w:iCs/>
          <w:sz w:val="24"/>
        </w:rPr>
        <w:t xml:space="preserve">. Dette </w:t>
      </w:r>
      <w:r w:rsidR="00C40C5F">
        <w:rPr>
          <w:iCs/>
          <w:sz w:val="24"/>
        </w:rPr>
        <w:t>kan</w:t>
      </w:r>
      <w:r w:rsidR="00B6369E">
        <w:rPr>
          <w:iCs/>
          <w:sz w:val="24"/>
        </w:rPr>
        <w:t xml:space="preserve"> ske</w:t>
      </w:r>
      <w:r>
        <w:rPr>
          <w:iCs/>
          <w:sz w:val="24"/>
        </w:rPr>
        <w:t xml:space="preserve"> ved </w:t>
      </w:r>
      <w:r w:rsidR="00133A39">
        <w:rPr>
          <w:iCs/>
          <w:sz w:val="24"/>
        </w:rPr>
        <w:t>en</w:t>
      </w:r>
      <w:r w:rsidR="00B3707D">
        <w:rPr>
          <w:iCs/>
          <w:sz w:val="24"/>
        </w:rPr>
        <w:t xml:space="preserve"> skattefri</w:t>
      </w:r>
      <w:r w:rsidR="00133A39">
        <w:rPr>
          <w:iCs/>
          <w:sz w:val="24"/>
        </w:rPr>
        <w:t xml:space="preserve"> aktieombytning, </w:t>
      </w:r>
      <w:r w:rsidR="000F15ED">
        <w:rPr>
          <w:iCs/>
          <w:sz w:val="24"/>
        </w:rPr>
        <w:t>hvor</w:t>
      </w:r>
      <w:r w:rsidR="00410516">
        <w:rPr>
          <w:iCs/>
          <w:sz w:val="24"/>
        </w:rPr>
        <w:t xml:space="preserve"> </w:t>
      </w:r>
      <w:r>
        <w:rPr>
          <w:iCs/>
          <w:sz w:val="24"/>
        </w:rPr>
        <w:t xml:space="preserve">aktionærerne </w:t>
      </w:r>
      <w:r w:rsidR="00133A39">
        <w:rPr>
          <w:iCs/>
          <w:sz w:val="24"/>
        </w:rPr>
        <w:t>vederlægges i aktier kombineret med en</w:t>
      </w:r>
      <w:r w:rsidR="00B3707D">
        <w:rPr>
          <w:iCs/>
          <w:sz w:val="24"/>
        </w:rPr>
        <w:t xml:space="preserve"> </w:t>
      </w:r>
      <w:r w:rsidR="00133A39">
        <w:rPr>
          <w:iCs/>
          <w:sz w:val="24"/>
        </w:rPr>
        <w:t>kontant udligningssum svarende til deres andel</w:t>
      </w:r>
      <w:r w:rsidR="000F15ED">
        <w:rPr>
          <w:iCs/>
          <w:sz w:val="24"/>
        </w:rPr>
        <w:t xml:space="preserve"> af</w:t>
      </w:r>
      <w:r w:rsidR="00410516">
        <w:rPr>
          <w:iCs/>
          <w:sz w:val="24"/>
        </w:rPr>
        <w:t xml:space="preserve"> det påtænkte</w:t>
      </w:r>
      <w:r w:rsidR="000F15ED">
        <w:rPr>
          <w:iCs/>
          <w:sz w:val="24"/>
        </w:rPr>
        <w:t xml:space="preserve"> udbytte. </w:t>
      </w:r>
      <w:r w:rsidR="00133A39">
        <w:rPr>
          <w:iCs/>
          <w:sz w:val="24"/>
        </w:rPr>
        <w:t>Aktieombytningen indebærer, at de aktionærer, der kunne modtage skattefrit udbytte uden en aktieombytning, fortsat er skattefri.</w:t>
      </w:r>
      <w:r w:rsidR="005A0E28">
        <w:rPr>
          <w:iCs/>
          <w:sz w:val="24"/>
        </w:rPr>
        <w:t xml:space="preserve"> </w:t>
      </w:r>
      <w:r w:rsidR="00133A39">
        <w:rPr>
          <w:iCs/>
          <w:sz w:val="24"/>
        </w:rPr>
        <w:t>De aktionærer, der er skattepligtige før aktieombytningen, bliver skattefri efter aktieombytningen</w:t>
      </w:r>
      <w:r w:rsidR="005A0E28">
        <w:rPr>
          <w:iCs/>
          <w:sz w:val="24"/>
        </w:rPr>
        <w:t>, fordi den kontante udligningssum</w:t>
      </w:r>
      <w:r w:rsidR="00E4196F">
        <w:rPr>
          <w:iCs/>
          <w:sz w:val="24"/>
        </w:rPr>
        <w:t xml:space="preserve"> efter gældende regler</w:t>
      </w:r>
      <w:r w:rsidR="002E6643">
        <w:rPr>
          <w:iCs/>
          <w:sz w:val="24"/>
        </w:rPr>
        <w:t xml:space="preserve"> beskattes efter aktieavancebeskatningsloven</w:t>
      </w:r>
      <w:r w:rsidR="00133A39">
        <w:rPr>
          <w:iCs/>
          <w:sz w:val="24"/>
        </w:rPr>
        <w:t xml:space="preserve">. Dette gælder </w:t>
      </w:r>
      <w:r w:rsidR="005A0E28">
        <w:rPr>
          <w:iCs/>
          <w:sz w:val="24"/>
        </w:rPr>
        <w:t xml:space="preserve">for </w:t>
      </w:r>
      <w:r w:rsidR="00133A39">
        <w:rPr>
          <w:iCs/>
          <w:sz w:val="24"/>
        </w:rPr>
        <w:t>danske</w:t>
      </w:r>
      <w:r w:rsidR="005A0E28">
        <w:rPr>
          <w:iCs/>
          <w:sz w:val="24"/>
        </w:rPr>
        <w:t xml:space="preserve"> </w:t>
      </w:r>
      <w:r w:rsidR="00133A39">
        <w:rPr>
          <w:iCs/>
          <w:sz w:val="24"/>
        </w:rPr>
        <w:t xml:space="preserve">og udenlandske </w:t>
      </w:r>
      <w:r w:rsidR="005A0E28">
        <w:rPr>
          <w:iCs/>
          <w:sz w:val="24"/>
        </w:rPr>
        <w:t>selskabs</w:t>
      </w:r>
      <w:r w:rsidR="00133A39">
        <w:rPr>
          <w:iCs/>
          <w:sz w:val="24"/>
        </w:rPr>
        <w:t>aktionærer</w:t>
      </w:r>
      <w:r w:rsidR="005A0E28">
        <w:rPr>
          <w:iCs/>
          <w:sz w:val="24"/>
        </w:rPr>
        <w:t xml:space="preserve"> samt udenlandske fysiske personer</w:t>
      </w:r>
      <w:r w:rsidR="00133A39">
        <w:rPr>
          <w:iCs/>
          <w:sz w:val="24"/>
        </w:rPr>
        <w:t xml:space="preserve">. </w:t>
      </w:r>
      <w:r w:rsidR="005A0E28">
        <w:rPr>
          <w:iCs/>
          <w:sz w:val="24"/>
        </w:rPr>
        <w:t>Danske fysiske personer er dog som udgangspunkt skattepligtige af avancer, men kan benytte deres anskaffelsess</w:t>
      </w:r>
      <w:r w:rsidR="002E2B7E">
        <w:rPr>
          <w:iCs/>
          <w:sz w:val="24"/>
        </w:rPr>
        <w:t>um til at nedbringe beskatningen</w:t>
      </w:r>
      <w:r w:rsidR="005D7234">
        <w:rPr>
          <w:iCs/>
          <w:sz w:val="24"/>
        </w:rPr>
        <w:t xml:space="preserve"> og opnår dermed også en fordel ved aktieombytningen</w:t>
      </w:r>
      <w:r w:rsidR="005A0E28">
        <w:rPr>
          <w:iCs/>
          <w:sz w:val="24"/>
        </w:rPr>
        <w:t xml:space="preserve">. </w:t>
      </w:r>
      <w:r w:rsidR="000F15ED">
        <w:rPr>
          <w:iCs/>
          <w:sz w:val="24"/>
        </w:rPr>
        <w:t>Efter aktieombytningen er aktionærkredsens ejerandel</w:t>
      </w:r>
      <w:r w:rsidR="005D7234">
        <w:rPr>
          <w:iCs/>
          <w:sz w:val="24"/>
        </w:rPr>
        <w:t>e</w:t>
      </w:r>
      <w:r w:rsidR="000F15ED">
        <w:rPr>
          <w:iCs/>
          <w:sz w:val="24"/>
        </w:rPr>
        <w:t xml:space="preserve"> uændret. </w:t>
      </w:r>
    </w:p>
    <w:p w:rsidR="000F15ED" w:rsidRDefault="000F15ED" w:rsidP="00133A39">
      <w:pPr>
        <w:rPr>
          <w:iCs/>
          <w:sz w:val="24"/>
        </w:rPr>
      </w:pPr>
    </w:p>
    <w:p w:rsidR="005C6533" w:rsidRDefault="00133A39" w:rsidP="00133A39">
      <w:pPr>
        <w:rPr>
          <w:iCs/>
          <w:sz w:val="24"/>
        </w:rPr>
      </w:pPr>
      <w:r>
        <w:rPr>
          <w:iCs/>
          <w:sz w:val="24"/>
        </w:rPr>
        <w:t>Det er muligt at benytte model</w:t>
      </w:r>
      <w:r w:rsidR="009E6BE1">
        <w:rPr>
          <w:iCs/>
          <w:sz w:val="24"/>
        </w:rPr>
        <w:t>len</w:t>
      </w:r>
      <w:r>
        <w:rPr>
          <w:iCs/>
          <w:sz w:val="24"/>
        </w:rPr>
        <w:t xml:space="preserve">, fordi den spredte og uafhængige ejerkreds ikke har modstridende interesser i at foretage en aktieombytning. Brugen af </w:t>
      </w:r>
      <w:r w:rsidR="00B3707D">
        <w:rPr>
          <w:iCs/>
          <w:sz w:val="24"/>
        </w:rPr>
        <w:t>skattefri aktieombytninger</w:t>
      </w:r>
      <w:r>
        <w:rPr>
          <w:iCs/>
          <w:sz w:val="24"/>
        </w:rPr>
        <w:t>, hvor aktionærerne vedlægges med aktier kombineret med en kontant udligningssum</w:t>
      </w:r>
      <w:r w:rsidR="00B3707D">
        <w:rPr>
          <w:iCs/>
          <w:sz w:val="24"/>
        </w:rPr>
        <w:t>,</w:t>
      </w:r>
      <w:r>
        <w:rPr>
          <w:iCs/>
          <w:sz w:val="24"/>
        </w:rPr>
        <w:t xml:space="preserve"> kan benyttes hver gang, der påtænkes at udlodde udbytte.</w:t>
      </w:r>
    </w:p>
    <w:p w:rsidR="005A3B06" w:rsidRDefault="005A3B06" w:rsidP="00376FD2">
      <w:pPr>
        <w:rPr>
          <w:iCs/>
          <w:sz w:val="24"/>
        </w:rPr>
      </w:pPr>
    </w:p>
    <w:p w:rsidR="005A3B06" w:rsidRDefault="00B3707D" w:rsidP="00376FD2">
      <w:pPr>
        <w:rPr>
          <w:iCs/>
          <w:sz w:val="24"/>
        </w:rPr>
      </w:pPr>
      <w:r>
        <w:rPr>
          <w:iCs/>
          <w:sz w:val="24"/>
        </w:rPr>
        <w:t xml:space="preserve">Den model, der markedsføres, er ikke dækket af selskabsskattelovens § 2 D, idet aktionærkredsen ikke </w:t>
      </w:r>
      <w:r w:rsidR="00B942B6">
        <w:rPr>
          <w:iCs/>
          <w:sz w:val="24"/>
        </w:rPr>
        <w:t>er</w:t>
      </w:r>
      <w:r>
        <w:rPr>
          <w:iCs/>
          <w:sz w:val="24"/>
        </w:rPr>
        <w:t xml:space="preserve"> koncern</w:t>
      </w:r>
      <w:r w:rsidR="00B942B6">
        <w:rPr>
          <w:iCs/>
          <w:sz w:val="24"/>
        </w:rPr>
        <w:t>forbunden</w:t>
      </w:r>
      <w:r w:rsidR="00B6369E">
        <w:rPr>
          <w:iCs/>
          <w:sz w:val="24"/>
        </w:rPr>
        <w:t xml:space="preserve">, </w:t>
      </w:r>
      <w:r w:rsidR="00B942B6">
        <w:rPr>
          <w:iCs/>
          <w:sz w:val="24"/>
        </w:rPr>
        <w:t xml:space="preserve">da </w:t>
      </w:r>
      <w:r w:rsidR="00B6369E">
        <w:rPr>
          <w:iCs/>
          <w:sz w:val="24"/>
        </w:rPr>
        <w:t>der er tale om en uafhængig ejerkreds, der</w:t>
      </w:r>
      <w:r w:rsidR="00B942B6">
        <w:rPr>
          <w:iCs/>
          <w:sz w:val="24"/>
        </w:rPr>
        <w:t xml:space="preserve"> ikke</w:t>
      </w:r>
      <w:r w:rsidR="00B6369E">
        <w:rPr>
          <w:iCs/>
          <w:sz w:val="24"/>
        </w:rPr>
        <w:t xml:space="preserve"> på forhånd har aftalt at lede og agere som en samlet enhed.</w:t>
      </w:r>
      <w:r>
        <w:rPr>
          <w:iCs/>
          <w:sz w:val="24"/>
        </w:rPr>
        <w:t xml:space="preserve"> </w:t>
      </w:r>
    </w:p>
    <w:p w:rsidR="005A3B06" w:rsidRDefault="005A3B06" w:rsidP="00376FD2">
      <w:pPr>
        <w:rPr>
          <w:iCs/>
          <w:sz w:val="24"/>
        </w:rPr>
      </w:pPr>
    </w:p>
    <w:p w:rsidR="005A3B06" w:rsidRDefault="000C5D7C" w:rsidP="00376FD2">
      <w:pPr>
        <w:rPr>
          <w:iCs/>
          <w:sz w:val="24"/>
        </w:rPr>
      </w:pPr>
      <w:r>
        <w:rPr>
          <w:iCs/>
          <w:sz w:val="24"/>
        </w:rPr>
        <w:t>Lovforslaget går ud på at</w:t>
      </w:r>
      <w:r w:rsidR="00C40C5F">
        <w:rPr>
          <w:iCs/>
          <w:sz w:val="24"/>
        </w:rPr>
        <w:t xml:space="preserve"> hindre omgåelsesmulighed</w:t>
      </w:r>
      <w:r w:rsidR="00E54CD5">
        <w:rPr>
          <w:iCs/>
          <w:sz w:val="24"/>
        </w:rPr>
        <w:t>erne</w:t>
      </w:r>
      <w:r w:rsidR="00C40C5F">
        <w:rPr>
          <w:iCs/>
          <w:sz w:val="24"/>
        </w:rPr>
        <w:t xml:space="preserve"> for derved at sikre den udbyttebeskatning, der blev fastholdt</w:t>
      </w:r>
      <w:r w:rsidR="003572AB">
        <w:rPr>
          <w:iCs/>
          <w:sz w:val="24"/>
        </w:rPr>
        <w:t xml:space="preserve"> ved lov nr. 1255 af 18. december 2012</w:t>
      </w:r>
      <w:r w:rsidR="00787677">
        <w:rPr>
          <w:iCs/>
          <w:sz w:val="24"/>
        </w:rPr>
        <w:t xml:space="preserve"> (L</w:t>
      </w:r>
      <w:r w:rsidR="002E2B7E">
        <w:rPr>
          <w:iCs/>
          <w:sz w:val="24"/>
        </w:rPr>
        <w:t xml:space="preserve"> </w:t>
      </w:r>
      <w:r w:rsidR="00787677">
        <w:rPr>
          <w:iCs/>
          <w:sz w:val="24"/>
        </w:rPr>
        <w:t>49 Folketingsåret 2012/2013)</w:t>
      </w:r>
      <w:r w:rsidR="003572AB">
        <w:rPr>
          <w:iCs/>
          <w:sz w:val="24"/>
        </w:rPr>
        <w:t>.</w:t>
      </w:r>
    </w:p>
    <w:p w:rsidR="000F15ED" w:rsidRPr="00AA420E" w:rsidRDefault="000F15ED" w:rsidP="00376FD2">
      <w:pPr>
        <w:rPr>
          <w:iCs/>
          <w:sz w:val="24"/>
        </w:rPr>
      </w:pPr>
    </w:p>
    <w:p w:rsidR="00376FD2" w:rsidRPr="00BC172D" w:rsidRDefault="00376FD2" w:rsidP="00376FD2">
      <w:pPr>
        <w:rPr>
          <w:i/>
          <w:iCs/>
          <w:sz w:val="24"/>
        </w:rPr>
      </w:pPr>
      <w:r w:rsidRPr="00BC172D">
        <w:rPr>
          <w:i/>
          <w:iCs/>
          <w:sz w:val="24"/>
        </w:rPr>
        <w:t xml:space="preserve">3. </w:t>
      </w:r>
      <w:r w:rsidR="001140E4">
        <w:rPr>
          <w:i/>
          <w:iCs/>
          <w:sz w:val="24"/>
        </w:rPr>
        <w:t>Gældende ret</w:t>
      </w:r>
    </w:p>
    <w:p w:rsidR="00851198" w:rsidRDefault="00140528" w:rsidP="00140528">
      <w:pPr>
        <w:rPr>
          <w:iCs/>
          <w:sz w:val="24"/>
        </w:rPr>
      </w:pPr>
      <w:r w:rsidRPr="00140528">
        <w:rPr>
          <w:iCs/>
          <w:sz w:val="24"/>
        </w:rPr>
        <w:t xml:space="preserve">De </w:t>
      </w:r>
      <w:r w:rsidR="002E6643">
        <w:rPr>
          <w:iCs/>
          <w:sz w:val="24"/>
        </w:rPr>
        <w:t>gældende</w:t>
      </w:r>
      <w:r w:rsidRPr="00140528">
        <w:rPr>
          <w:iCs/>
          <w:sz w:val="24"/>
        </w:rPr>
        <w:t xml:space="preserve"> skatteregler giver mulighed for</w:t>
      </w:r>
      <w:r w:rsidR="00851198">
        <w:rPr>
          <w:iCs/>
          <w:sz w:val="24"/>
        </w:rPr>
        <w:t xml:space="preserve"> at</w:t>
      </w:r>
      <w:r w:rsidRPr="00140528">
        <w:rPr>
          <w:iCs/>
          <w:sz w:val="24"/>
        </w:rPr>
        <w:t xml:space="preserve"> omgå beskatning</w:t>
      </w:r>
      <w:r w:rsidR="00851198">
        <w:rPr>
          <w:iCs/>
          <w:sz w:val="24"/>
        </w:rPr>
        <w:t>en af udbytter</w:t>
      </w:r>
      <w:r w:rsidRPr="00140528">
        <w:rPr>
          <w:iCs/>
          <w:sz w:val="24"/>
        </w:rPr>
        <w:t xml:space="preserve"> ved at foretage en </w:t>
      </w:r>
      <w:r w:rsidR="00890F5C">
        <w:rPr>
          <w:iCs/>
          <w:sz w:val="24"/>
        </w:rPr>
        <w:t>aktieombytning</w:t>
      </w:r>
      <w:r>
        <w:rPr>
          <w:iCs/>
          <w:sz w:val="24"/>
        </w:rPr>
        <w:t xml:space="preserve"> umiddelbart før en påtænkt udlodning</w:t>
      </w:r>
      <w:r w:rsidRPr="00140528">
        <w:rPr>
          <w:iCs/>
          <w:sz w:val="24"/>
        </w:rPr>
        <w:t xml:space="preserve">. </w:t>
      </w:r>
      <w:r w:rsidR="007A7F9B">
        <w:rPr>
          <w:iCs/>
          <w:sz w:val="24"/>
        </w:rPr>
        <w:t>Omgåelsen kan ske ved</w:t>
      </w:r>
      <w:r w:rsidR="00E40A1C">
        <w:rPr>
          <w:iCs/>
          <w:sz w:val="24"/>
        </w:rPr>
        <w:t>, at</w:t>
      </w:r>
      <w:r w:rsidR="007A7F9B">
        <w:rPr>
          <w:iCs/>
          <w:sz w:val="24"/>
        </w:rPr>
        <w:t xml:space="preserve"> </w:t>
      </w:r>
      <w:r w:rsidR="00B17626">
        <w:rPr>
          <w:iCs/>
          <w:sz w:val="24"/>
        </w:rPr>
        <w:t xml:space="preserve">der </w:t>
      </w:r>
      <w:r w:rsidR="007A7F9B">
        <w:rPr>
          <w:iCs/>
          <w:sz w:val="24"/>
        </w:rPr>
        <w:t>i stedet for</w:t>
      </w:r>
      <w:r w:rsidR="00890F5C">
        <w:rPr>
          <w:iCs/>
          <w:sz w:val="24"/>
        </w:rPr>
        <w:t xml:space="preserve"> at </w:t>
      </w:r>
      <w:r w:rsidR="005D7234">
        <w:rPr>
          <w:iCs/>
          <w:sz w:val="24"/>
        </w:rPr>
        <w:t>udlodde</w:t>
      </w:r>
      <w:r w:rsidR="00890F5C">
        <w:rPr>
          <w:iCs/>
          <w:sz w:val="24"/>
        </w:rPr>
        <w:t xml:space="preserve"> skattepligtigt udbytte indskydes et nyt</w:t>
      </w:r>
      <w:r w:rsidR="007A7F9B">
        <w:rPr>
          <w:iCs/>
          <w:sz w:val="24"/>
        </w:rPr>
        <w:t xml:space="preserve"> selskab</w:t>
      </w:r>
      <w:r w:rsidR="00890F5C">
        <w:rPr>
          <w:iCs/>
          <w:sz w:val="24"/>
        </w:rPr>
        <w:t xml:space="preserve"> mellem aktionærerne og det udbytteudloddende selskab. Ved</w:t>
      </w:r>
      <w:r w:rsidR="00151F63">
        <w:rPr>
          <w:iCs/>
          <w:sz w:val="24"/>
        </w:rPr>
        <w:t xml:space="preserve"> </w:t>
      </w:r>
      <w:r w:rsidR="00890F5C">
        <w:rPr>
          <w:iCs/>
          <w:sz w:val="24"/>
        </w:rPr>
        <w:t xml:space="preserve">en aktieombytning </w:t>
      </w:r>
      <w:r w:rsidR="00851198">
        <w:rPr>
          <w:iCs/>
          <w:sz w:val="24"/>
        </w:rPr>
        <w:t>kan</w:t>
      </w:r>
      <w:r w:rsidR="00890F5C">
        <w:rPr>
          <w:iCs/>
          <w:sz w:val="24"/>
        </w:rPr>
        <w:t xml:space="preserve"> aktionærerne</w:t>
      </w:r>
      <w:r w:rsidR="00851198">
        <w:rPr>
          <w:iCs/>
          <w:sz w:val="24"/>
        </w:rPr>
        <w:t xml:space="preserve"> vælge at blive</w:t>
      </w:r>
      <w:r w:rsidR="00890F5C">
        <w:rPr>
          <w:iCs/>
          <w:sz w:val="24"/>
        </w:rPr>
        <w:t xml:space="preserve"> vederlagt med aktier </w:t>
      </w:r>
      <w:r w:rsidR="00151F63">
        <w:rPr>
          <w:iCs/>
          <w:sz w:val="24"/>
        </w:rPr>
        <w:t>kombinere</w:t>
      </w:r>
      <w:r w:rsidR="00890F5C">
        <w:rPr>
          <w:iCs/>
          <w:sz w:val="24"/>
        </w:rPr>
        <w:t>t</w:t>
      </w:r>
      <w:r w:rsidR="00151F63">
        <w:rPr>
          <w:iCs/>
          <w:sz w:val="24"/>
        </w:rPr>
        <w:t xml:space="preserve"> med </w:t>
      </w:r>
      <w:r w:rsidR="007A7F9B">
        <w:rPr>
          <w:iCs/>
          <w:sz w:val="24"/>
        </w:rPr>
        <w:t>en kontant udligningssum</w:t>
      </w:r>
      <w:r w:rsidR="00151F63">
        <w:rPr>
          <w:iCs/>
          <w:sz w:val="24"/>
        </w:rPr>
        <w:t>.</w:t>
      </w:r>
      <w:r w:rsidR="007A7F9B">
        <w:rPr>
          <w:iCs/>
          <w:sz w:val="24"/>
        </w:rPr>
        <w:t xml:space="preserve"> </w:t>
      </w:r>
      <w:r w:rsidR="00151F63">
        <w:rPr>
          <w:iCs/>
          <w:sz w:val="24"/>
        </w:rPr>
        <w:t>Når vederlaget</w:t>
      </w:r>
      <w:r w:rsidR="00890F5C">
        <w:rPr>
          <w:iCs/>
          <w:sz w:val="24"/>
        </w:rPr>
        <w:t xml:space="preserve"> til aktionærerne</w:t>
      </w:r>
      <w:r w:rsidR="00151F63">
        <w:rPr>
          <w:iCs/>
          <w:sz w:val="24"/>
        </w:rPr>
        <w:t xml:space="preserve"> </w:t>
      </w:r>
      <w:r w:rsidR="00415300">
        <w:rPr>
          <w:iCs/>
          <w:sz w:val="24"/>
        </w:rPr>
        <w:t>består af</w:t>
      </w:r>
      <w:r w:rsidR="00151F63">
        <w:rPr>
          <w:iCs/>
          <w:sz w:val="24"/>
        </w:rPr>
        <w:t xml:space="preserve"> aktier og kontanter opnås, at </w:t>
      </w:r>
      <w:r w:rsidR="00D07E21">
        <w:rPr>
          <w:iCs/>
          <w:sz w:val="24"/>
        </w:rPr>
        <w:t xml:space="preserve">aktionærerne </w:t>
      </w:r>
      <w:r w:rsidR="00151F63">
        <w:rPr>
          <w:iCs/>
          <w:sz w:val="24"/>
        </w:rPr>
        <w:t>bevare</w:t>
      </w:r>
      <w:r w:rsidR="00D07E21">
        <w:rPr>
          <w:iCs/>
          <w:sz w:val="24"/>
        </w:rPr>
        <w:t>r</w:t>
      </w:r>
      <w:r w:rsidR="00151F63">
        <w:rPr>
          <w:iCs/>
          <w:sz w:val="24"/>
        </w:rPr>
        <w:t xml:space="preserve"> deres ejerskab til selskabet</w:t>
      </w:r>
      <w:r w:rsidR="00851198">
        <w:rPr>
          <w:iCs/>
          <w:sz w:val="24"/>
        </w:rPr>
        <w:t xml:space="preserve"> og</w:t>
      </w:r>
      <w:r w:rsidR="00151F63">
        <w:rPr>
          <w:iCs/>
          <w:sz w:val="24"/>
        </w:rPr>
        <w:t xml:space="preserve"> samtidig modtage</w:t>
      </w:r>
      <w:r w:rsidR="00E4196F">
        <w:rPr>
          <w:iCs/>
          <w:sz w:val="24"/>
        </w:rPr>
        <w:t>r</w:t>
      </w:r>
      <w:r w:rsidR="00415300">
        <w:rPr>
          <w:iCs/>
          <w:sz w:val="24"/>
        </w:rPr>
        <w:t xml:space="preserve"> en</w:t>
      </w:r>
      <w:r w:rsidR="00890F5C">
        <w:rPr>
          <w:iCs/>
          <w:sz w:val="24"/>
        </w:rPr>
        <w:t xml:space="preserve"> </w:t>
      </w:r>
      <w:r w:rsidR="00151F63">
        <w:rPr>
          <w:iCs/>
          <w:sz w:val="24"/>
        </w:rPr>
        <w:t>kontant udligningssum</w:t>
      </w:r>
      <w:r w:rsidR="002E6643">
        <w:rPr>
          <w:iCs/>
          <w:sz w:val="24"/>
        </w:rPr>
        <w:t xml:space="preserve">, der beskattes efter aktieavancebeskatningsloven. Ved denne fremgangsmåde har aktionærerne konverteret et skattepligtigt udbytte til en skattefri </w:t>
      </w:r>
      <w:r w:rsidR="00851198">
        <w:rPr>
          <w:iCs/>
          <w:sz w:val="24"/>
        </w:rPr>
        <w:t>avance</w:t>
      </w:r>
      <w:r w:rsidR="00151F63">
        <w:rPr>
          <w:iCs/>
          <w:sz w:val="24"/>
        </w:rPr>
        <w:t>.</w:t>
      </w:r>
    </w:p>
    <w:p w:rsidR="00151F63" w:rsidRDefault="00151F63" w:rsidP="00140528">
      <w:pPr>
        <w:rPr>
          <w:iCs/>
          <w:sz w:val="24"/>
        </w:rPr>
      </w:pPr>
      <w:r>
        <w:rPr>
          <w:iCs/>
          <w:sz w:val="24"/>
        </w:rPr>
        <w:t xml:space="preserve"> </w:t>
      </w:r>
    </w:p>
    <w:p w:rsidR="002D7E26" w:rsidRPr="00673E5A" w:rsidRDefault="001140E4" w:rsidP="00140528">
      <w:pPr>
        <w:rPr>
          <w:i/>
          <w:iCs/>
          <w:sz w:val="24"/>
        </w:rPr>
      </w:pPr>
      <w:r>
        <w:rPr>
          <w:i/>
          <w:iCs/>
          <w:sz w:val="24"/>
        </w:rPr>
        <w:t xml:space="preserve">3.1. </w:t>
      </w:r>
      <w:r w:rsidR="00AD2B75" w:rsidRPr="00673E5A">
        <w:rPr>
          <w:i/>
          <w:iCs/>
          <w:sz w:val="24"/>
        </w:rPr>
        <w:t>Skattefrie omstruktureringer</w:t>
      </w:r>
      <w:r w:rsidR="007F636C" w:rsidRPr="00673E5A">
        <w:rPr>
          <w:i/>
          <w:iCs/>
          <w:sz w:val="24"/>
        </w:rPr>
        <w:t xml:space="preserve"> (aktionær</w:t>
      </w:r>
      <w:r w:rsidR="00E112AD" w:rsidRPr="00673E5A">
        <w:rPr>
          <w:i/>
          <w:iCs/>
          <w:sz w:val="24"/>
        </w:rPr>
        <w:t>niveau</w:t>
      </w:r>
      <w:r w:rsidR="007F636C" w:rsidRPr="00673E5A">
        <w:rPr>
          <w:i/>
          <w:iCs/>
          <w:sz w:val="24"/>
        </w:rPr>
        <w:t>)</w:t>
      </w:r>
      <w:r w:rsidR="00AD2B75" w:rsidRPr="00673E5A">
        <w:rPr>
          <w:i/>
          <w:iCs/>
          <w:sz w:val="24"/>
        </w:rPr>
        <w:t>.</w:t>
      </w:r>
    </w:p>
    <w:p w:rsidR="002D7E26" w:rsidRDefault="002D7E26" w:rsidP="00140528">
      <w:pPr>
        <w:rPr>
          <w:iCs/>
          <w:sz w:val="24"/>
        </w:rPr>
      </w:pPr>
    </w:p>
    <w:p w:rsidR="00470D20" w:rsidRDefault="00B17626" w:rsidP="00140528">
      <w:pPr>
        <w:rPr>
          <w:iCs/>
          <w:sz w:val="24"/>
        </w:rPr>
      </w:pPr>
      <w:r>
        <w:rPr>
          <w:iCs/>
          <w:sz w:val="24"/>
        </w:rPr>
        <w:t>Reglerne for d</w:t>
      </w:r>
      <w:r w:rsidR="00AD2B75">
        <w:rPr>
          <w:iCs/>
          <w:sz w:val="24"/>
        </w:rPr>
        <w:t>e skattefri fusion</w:t>
      </w:r>
      <w:r w:rsidR="00890F5C">
        <w:rPr>
          <w:iCs/>
          <w:sz w:val="24"/>
        </w:rPr>
        <w:t>er</w:t>
      </w:r>
      <w:r w:rsidR="00AD2B75">
        <w:rPr>
          <w:iCs/>
          <w:sz w:val="24"/>
        </w:rPr>
        <w:t xml:space="preserve"> og spaltning</w:t>
      </w:r>
      <w:r w:rsidR="00890F5C">
        <w:rPr>
          <w:iCs/>
          <w:sz w:val="24"/>
        </w:rPr>
        <w:t>er</w:t>
      </w:r>
      <w:r w:rsidR="00AD2B75">
        <w:rPr>
          <w:iCs/>
          <w:sz w:val="24"/>
        </w:rPr>
        <w:t xml:space="preserve"> fremgår af</w:t>
      </w:r>
      <w:r w:rsidR="00655E77">
        <w:rPr>
          <w:iCs/>
          <w:sz w:val="24"/>
        </w:rPr>
        <w:t xml:space="preserve"> </w:t>
      </w:r>
      <w:r w:rsidR="00AD2B75">
        <w:rPr>
          <w:iCs/>
          <w:sz w:val="24"/>
        </w:rPr>
        <w:t xml:space="preserve">fusionsskatteloven. </w:t>
      </w:r>
      <w:r w:rsidR="007F636C">
        <w:rPr>
          <w:iCs/>
          <w:sz w:val="24"/>
        </w:rPr>
        <w:t>Vælger selskaberne at bruge fusionsskatteloven</w:t>
      </w:r>
      <w:r w:rsidR="00E4196F">
        <w:rPr>
          <w:iCs/>
          <w:sz w:val="24"/>
        </w:rPr>
        <w:t>,</w:t>
      </w:r>
      <w:r w:rsidR="003572AB">
        <w:rPr>
          <w:iCs/>
          <w:sz w:val="24"/>
        </w:rPr>
        <w:t xml:space="preserve"> </w:t>
      </w:r>
      <w:r w:rsidR="007F636C">
        <w:rPr>
          <w:iCs/>
          <w:sz w:val="24"/>
        </w:rPr>
        <w:t>beskattes aktionærerne efter reglerne i</w:t>
      </w:r>
      <w:r w:rsidR="00AD2B75">
        <w:rPr>
          <w:iCs/>
          <w:sz w:val="24"/>
        </w:rPr>
        <w:t xml:space="preserve"> fusionsskattelovens §§ 9 og 11</w:t>
      </w:r>
      <w:r w:rsidR="007F636C">
        <w:rPr>
          <w:iCs/>
          <w:sz w:val="24"/>
        </w:rPr>
        <w:t xml:space="preserve">. </w:t>
      </w:r>
    </w:p>
    <w:p w:rsidR="00470D20" w:rsidRDefault="00470D20" w:rsidP="00140528">
      <w:pPr>
        <w:rPr>
          <w:iCs/>
          <w:sz w:val="24"/>
        </w:rPr>
      </w:pPr>
    </w:p>
    <w:p w:rsidR="00470D20" w:rsidRDefault="00B17626" w:rsidP="00140528">
      <w:pPr>
        <w:rPr>
          <w:iCs/>
          <w:sz w:val="24"/>
        </w:rPr>
      </w:pPr>
      <w:r>
        <w:rPr>
          <w:iCs/>
          <w:sz w:val="24"/>
        </w:rPr>
        <w:t>Reglerne for skattefri</w:t>
      </w:r>
      <w:r w:rsidR="00470D20">
        <w:rPr>
          <w:iCs/>
          <w:sz w:val="24"/>
        </w:rPr>
        <w:t xml:space="preserve"> aktieombytning</w:t>
      </w:r>
      <w:r w:rsidR="00890F5C">
        <w:rPr>
          <w:iCs/>
          <w:sz w:val="24"/>
        </w:rPr>
        <w:t>er</w:t>
      </w:r>
      <w:r w:rsidR="00470D20">
        <w:rPr>
          <w:iCs/>
          <w:sz w:val="24"/>
        </w:rPr>
        <w:t xml:space="preserve"> fremgår af aktieavancebeskatningsloven</w:t>
      </w:r>
      <w:r w:rsidR="00AC0020">
        <w:rPr>
          <w:iCs/>
          <w:sz w:val="24"/>
        </w:rPr>
        <w:t>s § 36</w:t>
      </w:r>
      <w:r w:rsidR="00470D20">
        <w:rPr>
          <w:iCs/>
          <w:sz w:val="24"/>
        </w:rPr>
        <w:t xml:space="preserve">. Vælger </w:t>
      </w:r>
      <w:r w:rsidR="005D7234">
        <w:rPr>
          <w:iCs/>
          <w:sz w:val="24"/>
        </w:rPr>
        <w:t>aktionærerne</w:t>
      </w:r>
      <w:r w:rsidR="00470D20">
        <w:rPr>
          <w:iCs/>
          <w:sz w:val="24"/>
        </w:rPr>
        <w:t xml:space="preserve"> at bruge aktieavancebeskatningsloven</w:t>
      </w:r>
      <w:r w:rsidR="00E4196F">
        <w:rPr>
          <w:iCs/>
          <w:sz w:val="24"/>
        </w:rPr>
        <w:t>,</w:t>
      </w:r>
      <w:r w:rsidR="00470D20">
        <w:rPr>
          <w:iCs/>
          <w:sz w:val="24"/>
        </w:rPr>
        <w:t xml:space="preserve"> følger det af § 36</w:t>
      </w:r>
      <w:r w:rsidR="003572AB">
        <w:rPr>
          <w:iCs/>
          <w:sz w:val="24"/>
        </w:rPr>
        <w:t>, stk. 1</w:t>
      </w:r>
      <w:r w:rsidR="00470D20">
        <w:rPr>
          <w:iCs/>
          <w:sz w:val="24"/>
        </w:rPr>
        <w:t>, at</w:t>
      </w:r>
      <w:r w:rsidR="00470D20" w:rsidRPr="00140528">
        <w:rPr>
          <w:iCs/>
          <w:sz w:val="24"/>
        </w:rPr>
        <w:t xml:space="preserve"> aktionærerne </w:t>
      </w:r>
      <w:r w:rsidR="00470D20">
        <w:rPr>
          <w:iCs/>
          <w:sz w:val="24"/>
        </w:rPr>
        <w:t>har</w:t>
      </w:r>
      <w:r w:rsidR="00470D20" w:rsidRPr="00140528">
        <w:rPr>
          <w:iCs/>
          <w:sz w:val="24"/>
        </w:rPr>
        <w:t xml:space="preserve"> adgang til beskatning efter reglerne i fusionsskattelovens §§ 9 og 11</w:t>
      </w:r>
      <w:r w:rsidR="00470D20">
        <w:rPr>
          <w:iCs/>
          <w:sz w:val="24"/>
        </w:rPr>
        <w:t>.</w:t>
      </w:r>
    </w:p>
    <w:p w:rsidR="00470D20" w:rsidRDefault="00470D20" w:rsidP="00140528">
      <w:pPr>
        <w:rPr>
          <w:iCs/>
          <w:sz w:val="24"/>
        </w:rPr>
      </w:pPr>
    </w:p>
    <w:p w:rsidR="002D7E26" w:rsidRDefault="00470D20" w:rsidP="00140528">
      <w:pPr>
        <w:rPr>
          <w:iCs/>
          <w:sz w:val="24"/>
        </w:rPr>
      </w:pPr>
      <w:r>
        <w:rPr>
          <w:iCs/>
          <w:sz w:val="24"/>
        </w:rPr>
        <w:t>Af fusion</w:t>
      </w:r>
      <w:r w:rsidR="00FC4893">
        <w:rPr>
          <w:iCs/>
          <w:sz w:val="24"/>
        </w:rPr>
        <w:t>s</w:t>
      </w:r>
      <w:r>
        <w:rPr>
          <w:iCs/>
          <w:sz w:val="24"/>
        </w:rPr>
        <w:t xml:space="preserve">skattelovens § </w:t>
      </w:r>
      <w:r w:rsidR="00FC4893">
        <w:rPr>
          <w:iCs/>
          <w:sz w:val="24"/>
        </w:rPr>
        <w:t xml:space="preserve">11 fremgår det, at </w:t>
      </w:r>
      <w:r w:rsidR="0054212A">
        <w:rPr>
          <w:iCs/>
          <w:sz w:val="24"/>
        </w:rPr>
        <w:t>når</w:t>
      </w:r>
      <w:r w:rsidR="007F636C">
        <w:rPr>
          <w:iCs/>
          <w:sz w:val="24"/>
        </w:rPr>
        <w:t xml:space="preserve"> aktionærerne fuldt ud vederlægges med aktier</w:t>
      </w:r>
      <w:r w:rsidR="00E4196F">
        <w:rPr>
          <w:iCs/>
          <w:sz w:val="24"/>
        </w:rPr>
        <w:t>,</w:t>
      </w:r>
      <w:r w:rsidR="007F636C">
        <w:rPr>
          <w:iCs/>
          <w:sz w:val="24"/>
        </w:rPr>
        <w:t xml:space="preserve"> sker der succession. </w:t>
      </w:r>
      <w:r w:rsidR="007F636C" w:rsidRPr="00140528">
        <w:rPr>
          <w:iCs/>
          <w:sz w:val="24"/>
        </w:rPr>
        <w:t>De skattemæssige virkninger ved succession er, at aktionære</w:t>
      </w:r>
      <w:r w:rsidR="007F636C">
        <w:rPr>
          <w:iCs/>
          <w:sz w:val="24"/>
        </w:rPr>
        <w:t>r</w:t>
      </w:r>
      <w:r w:rsidR="007F636C" w:rsidRPr="00140528">
        <w:rPr>
          <w:iCs/>
          <w:sz w:val="24"/>
        </w:rPr>
        <w:t>n</w:t>
      </w:r>
      <w:r w:rsidR="007F636C">
        <w:rPr>
          <w:iCs/>
          <w:sz w:val="24"/>
        </w:rPr>
        <w:t>e</w:t>
      </w:r>
      <w:r w:rsidR="007F636C" w:rsidRPr="00140528">
        <w:rPr>
          <w:iCs/>
          <w:sz w:val="24"/>
        </w:rPr>
        <w:t xml:space="preserve"> ikke beskattes</w:t>
      </w:r>
      <w:r w:rsidR="00655E77">
        <w:rPr>
          <w:iCs/>
          <w:sz w:val="24"/>
        </w:rPr>
        <w:t xml:space="preserve"> </w:t>
      </w:r>
      <w:r w:rsidR="007F636C" w:rsidRPr="00140528">
        <w:rPr>
          <w:iCs/>
          <w:sz w:val="24"/>
        </w:rPr>
        <w:t>af en eventuel gevinst</w:t>
      </w:r>
      <w:r w:rsidR="00F70100">
        <w:rPr>
          <w:iCs/>
          <w:sz w:val="24"/>
        </w:rPr>
        <w:t>, idet de modtagne aktier skattemæssigt træder i de gamle aktiers sted.</w:t>
      </w:r>
    </w:p>
    <w:p w:rsidR="002D7E26" w:rsidRDefault="002D7E26" w:rsidP="00140528">
      <w:pPr>
        <w:rPr>
          <w:iCs/>
          <w:sz w:val="24"/>
        </w:rPr>
      </w:pPr>
    </w:p>
    <w:p w:rsidR="002D7E26" w:rsidRDefault="00FC4893" w:rsidP="00140528">
      <w:pPr>
        <w:rPr>
          <w:iCs/>
          <w:sz w:val="24"/>
        </w:rPr>
      </w:pPr>
      <w:r>
        <w:rPr>
          <w:iCs/>
          <w:sz w:val="24"/>
        </w:rPr>
        <w:t xml:space="preserve">Af fusionsskattelovens § 9 fremgår det, at </w:t>
      </w:r>
      <w:r w:rsidR="0054212A">
        <w:rPr>
          <w:iCs/>
          <w:sz w:val="24"/>
        </w:rPr>
        <w:t>når</w:t>
      </w:r>
      <w:r w:rsidR="00470D20">
        <w:rPr>
          <w:iCs/>
          <w:sz w:val="24"/>
        </w:rPr>
        <w:t xml:space="preserve"> </w:t>
      </w:r>
      <w:r w:rsidR="00470D20" w:rsidRPr="00655E77">
        <w:rPr>
          <w:iCs/>
          <w:sz w:val="24"/>
        </w:rPr>
        <w:t>aktionærerne i forbindelse med</w:t>
      </w:r>
      <w:r w:rsidR="0054212A">
        <w:rPr>
          <w:iCs/>
          <w:sz w:val="24"/>
        </w:rPr>
        <w:t xml:space="preserve"> </w:t>
      </w:r>
      <w:r w:rsidR="00890F5C">
        <w:rPr>
          <w:iCs/>
          <w:sz w:val="24"/>
        </w:rPr>
        <w:t>f</w:t>
      </w:r>
      <w:r w:rsidR="00AC0020">
        <w:rPr>
          <w:iCs/>
          <w:sz w:val="24"/>
        </w:rPr>
        <w:t>.eks.</w:t>
      </w:r>
      <w:r w:rsidR="00890F5C">
        <w:rPr>
          <w:iCs/>
          <w:sz w:val="24"/>
        </w:rPr>
        <w:t xml:space="preserve"> </w:t>
      </w:r>
      <w:r w:rsidR="0054212A">
        <w:rPr>
          <w:iCs/>
          <w:sz w:val="24"/>
        </w:rPr>
        <w:t>en</w:t>
      </w:r>
      <w:r w:rsidR="00890F5C">
        <w:rPr>
          <w:iCs/>
          <w:sz w:val="24"/>
        </w:rPr>
        <w:t xml:space="preserve"> aktieombytning</w:t>
      </w:r>
      <w:r w:rsidR="00470D20" w:rsidRPr="00655E77">
        <w:rPr>
          <w:iCs/>
          <w:sz w:val="24"/>
        </w:rPr>
        <w:t xml:space="preserve"> modtager </w:t>
      </w:r>
      <w:r w:rsidR="00470D20">
        <w:rPr>
          <w:iCs/>
          <w:sz w:val="24"/>
        </w:rPr>
        <w:t>en kontant</w:t>
      </w:r>
      <w:r>
        <w:rPr>
          <w:iCs/>
          <w:sz w:val="24"/>
        </w:rPr>
        <w:t xml:space="preserve"> udligningssum</w:t>
      </w:r>
      <w:r w:rsidR="00470D20">
        <w:rPr>
          <w:iCs/>
          <w:sz w:val="24"/>
        </w:rPr>
        <w:t xml:space="preserve">, så </w:t>
      </w:r>
      <w:r w:rsidR="00E32A8B">
        <w:rPr>
          <w:iCs/>
          <w:sz w:val="24"/>
        </w:rPr>
        <w:t>anses de aktier, der er vederlagt med</w:t>
      </w:r>
      <w:r>
        <w:rPr>
          <w:iCs/>
          <w:sz w:val="24"/>
        </w:rPr>
        <w:t xml:space="preserve"> den</w:t>
      </w:r>
      <w:r w:rsidR="00470D20">
        <w:rPr>
          <w:iCs/>
          <w:sz w:val="24"/>
        </w:rPr>
        <w:t xml:space="preserve"> kontant</w:t>
      </w:r>
      <w:r>
        <w:rPr>
          <w:iCs/>
          <w:sz w:val="24"/>
        </w:rPr>
        <w:t>e udligningssum</w:t>
      </w:r>
      <w:r w:rsidR="003572AB">
        <w:rPr>
          <w:iCs/>
          <w:sz w:val="24"/>
        </w:rPr>
        <w:t>,</w:t>
      </w:r>
      <w:r w:rsidR="00470D20">
        <w:rPr>
          <w:iCs/>
          <w:sz w:val="24"/>
        </w:rPr>
        <w:t xml:space="preserve"> som afståe</w:t>
      </w:r>
      <w:r w:rsidR="00E32A8B">
        <w:rPr>
          <w:iCs/>
          <w:sz w:val="24"/>
        </w:rPr>
        <w:t>t</w:t>
      </w:r>
      <w:r w:rsidR="003572AB">
        <w:rPr>
          <w:iCs/>
          <w:sz w:val="24"/>
        </w:rPr>
        <w:t>, hvilket betyder, at beskatningen sker som en avancebeskatning</w:t>
      </w:r>
      <w:r w:rsidR="00470D20" w:rsidRPr="00655E77">
        <w:rPr>
          <w:iCs/>
          <w:sz w:val="24"/>
        </w:rPr>
        <w:t>.</w:t>
      </w:r>
    </w:p>
    <w:p w:rsidR="002D7E26" w:rsidRDefault="002D7E26" w:rsidP="00140528">
      <w:pPr>
        <w:rPr>
          <w:iCs/>
          <w:sz w:val="24"/>
        </w:rPr>
      </w:pPr>
    </w:p>
    <w:p w:rsidR="00390E5B" w:rsidRDefault="00E4196F" w:rsidP="00390E5B">
      <w:pPr>
        <w:rPr>
          <w:iCs/>
          <w:sz w:val="24"/>
        </w:rPr>
      </w:pPr>
      <w:r>
        <w:rPr>
          <w:iCs/>
          <w:sz w:val="24"/>
        </w:rPr>
        <w:t>Fusionsskattelovens § 9 betyder, at d</w:t>
      </w:r>
      <w:r w:rsidR="00AD56B0">
        <w:rPr>
          <w:iCs/>
          <w:sz w:val="24"/>
        </w:rPr>
        <w:t>anske s</w:t>
      </w:r>
      <w:r w:rsidR="007755CC">
        <w:rPr>
          <w:iCs/>
          <w:sz w:val="24"/>
        </w:rPr>
        <w:t>elskabsaktionærer</w:t>
      </w:r>
      <w:r w:rsidR="00AD56B0">
        <w:rPr>
          <w:iCs/>
          <w:sz w:val="24"/>
        </w:rPr>
        <w:t>, der mod</w:t>
      </w:r>
      <w:r w:rsidR="007755CC">
        <w:rPr>
          <w:iCs/>
          <w:sz w:val="24"/>
        </w:rPr>
        <w:t xml:space="preserve">tager </w:t>
      </w:r>
      <w:r w:rsidR="003572AB">
        <w:rPr>
          <w:iCs/>
          <w:sz w:val="24"/>
        </w:rPr>
        <w:t>en kontant udligningssum</w:t>
      </w:r>
      <w:r w:rsidR="007755CC">
        <w:rPr>
          <w:iCs/>
          <w:sz w:val="24"/>
        </w:rPr>
        <w:t>,</w:t>
      </w:r>
      <w:r w:rsidR="003572AB">
        <w:rPr>
          <w:iCs/>
          <w:sz w:val="24"/>
        </w:rPr>
        <w:t xml:space="preserve"> </w:t>
      </w:r>
      <w:r w:rsidR="002E2B7E">
        <w:rPr>
          <w:iCs/>
          <w:sz w:val="24"/>
        </w:rPr>
        <w:t>beskattes</w:t>
      </w:r>
      <w:r w:rsidR="00AD56B0">
        <w:rPr>
          <w:iCs/>
          <w:sz w:val="24"/>
        </w:rPr>
        <w:t xml:space="preserve"> </w:t>
      </w:r>
      <w:r w:rsidR="00F846B8">
        <w:rPr>
          <w:iCs/>
          <w:sz w:val="24"/>
        </w:rPr>
        <w:t>efter aktieavancebeskatningsloven, der som udgangspunkt behandle</w:t>
      </w:r>
      <w:r w:rsidR="00836B8F">
        <w:rPr>
          <w:iCs/>
          <w:sz w:val="24"/>
        </w:rPr>
        <w:t>r den kontante udligningssum</w:t>
      </w:r>
      <w:r w:rsidR="00F846B8">
        <w:rPr>
          <w:iCs/>
          <w:sz w:val="24"/>
        </w:rPr>
        <w:t xml:space="preserve"> som en skattefri avance</w:t>
      </w:r>
      <w:r w:rsidR="00AD56B0">
        <w:rPr>
          <w:iCs/>
          <w:sz w:val="24"/>
        </w:rPr>
        <w:t>. Dette gælder både</w:t>
      </w:r>
      <w:r w:rsidR="00963976">
        <w:rPr>
          <w:iCs/>
          <w:sz w:val="24"/>
        </w:rPr>
        <w:t xml:space="preserve"> kontante udligningssummer, som stammer fra</w:t>
      </w:r>
      <w:r w:rsidR="00AD56B0">
        <w:rPr>
          <w:iCs/>
          <w:sz w:val="24"/>
        </w:rPr>
        <w:t xml:space="preserve"> </w:t>
      </w:r>
      <w:proofErr w:type="spellStart"/>
      <w:r w:rsidR="00AD56B0">
        <w:rPr>
          <w:iCs/>
          <w:sz w:val="24"/>
        </w:rPr>
        <w:t>unoterede</w:t>
      </w:r>
      <w:proofErr w:type="spellEnd"/>
      <w:r w:rsidR="00AD56B0">
        <w:rPr>
          <w:iCs/>
          <w:sz w:val="24"/>
        </w:rPr>
        <w:t xml:space="preserve"> porteføljeaktier (mindre end 10 pct. ejerandel),</w:t>
      </w:r>
      <w:r w:rsidR="002E2B7E">
        <w:rPr>
          <w:iCs/>
          <w:sz w:val="24"/>
        </w:rPr>
        <w:t xml:space="preserve"> fra</w:t>
      </w:r>
      <w:r w:rsidR="00AD56B0">
        <w:rPr>
          <w:iCs/>
          <w:sz w:val="24"/>
        </w:rPr>
        <w:t xml:space="preserve"> datterselskabsaktier (ejerandel</w:t>
      </w:r>
      <w:r w:rsidR="00963976">
        <w:rPr>
          <w:iCs/>
          <w:sz w:val="24"/>
        </w:rPr>
        <w:t xml:space="preserve"> på 10 pct. eller mere</w:t>
      </w:r>
      <w:r w:rsidR="00AD56B0">
        <w:rPr>
          <w:iCs/>
          <w:sz w:val="24"/>
        </w:rPr>
        <w:t xml:space="preserve">) og </w:t>
      </w:r>
      <w:r w:rsidR="00963976">
        <w:rPr>
          <w:iCs/>
          <w:sz w:val="24"/>
        </w:rPr>
        <w:t xml:space="preserve">fra </w:t>
      </w:r>
      <w:r w:rsidR="00AD56B0">
        <w:rPr>
          <w:iCs/>
          <w:sz w:val="24"/>
        </w:rPr>
        <w:t>koncernselskabsaktier, dvs. aktier i selskaber</w:t>
      </w:r>
      <w:r w:rsidR="0054212A" w:rsidRPr="009F2D9F">
        <w:rPr>
          <w:iCs/>
          <w:sz w:val="24"/>
        </w:rPr>
        <w:t>, der indgår eller ville kunne indgå i en sambeskatning med selskabsaktionæren.</w:t>
      </w:r>
      <w:r w:rsidR="00390E5B">
        <w:rPr>
          <w:iCs/>
          <w:sz w:val="24"/>
        </w:rPr>
        <w:t xml:space="preserve"> </w:t>
      </w:r>
    </w:p>
    <w:p w:rsidR="0054212A" w:rsidRDefault="0054212A" w:rsidP="009F2D9F">
      <w:pPr>
        <w:rPr>
          <w:iCs/>
          <w:sz w:val="24"/>
        </w:rPr>
      </w:pPr>
    </w:p>
    <w:p w:rsidR="009F2D9F" w:rsidRDefault="00963976" w:rsidP="009F2D9F">
      <w:pPr>
        <w:rPr>
          <w:iCs/>
          <w:sz w:val="24"/>
        </w:rPr>
      </w:pPr>
      <w:r>
        <w:rPr>
          <w:iCs/>
          <w:sz w:val="24"/>
        </w:rPr>
        <w:t>Aktionærer, der er hjemmehørende i udlandet, og som modtager en kontant udligningssum, beskattes som udgangspunkt heller ikke af avancen, idet</w:t>
      </w:r>
      <w:r w:rsidR="009F2D9F" w:rsidRPr="009F2D9F">
        <w:rPr>
          <w:iCs/>
          <w:sz w:val="24"/>
        </w:rPr>
        <w:t xml:space="preserve"> der ikke er begrænset skattepligt på </w:t>
      </w:r>
      <w:r w:rsidR="003B48F6">
        <w:rPr>
          <w:iCs/>
          <w:sz w:val="24"/>
        </w:rPr>
        <w:t>avancer</w:t>
      </w:r>
      <w:r w:rsidR="009F2D9F" w:rsidRPr="009F2D9F">
        <w:rPr>
          <w:iCs/>
          <w:sz w:val="24"/>
        </w:rPr>
        <w:t xml:space="preserve"> efter </w:t>
      </w:r>
      <w:r w:rsidR="009F2D9F">
        <w:rPr>
          <w:iCs/>
          <w:sz w:val="24"/>
        </w:rPr>
        <w:t xml:space="preserve">selskabsskattelovens </w:t>
      </w:r>
      <w:r w:rsidR="00130CD3">
        <w:rPr>
          <w:iCs/>
          <w:sz w:val="24"/>
        </w:rPr>
        <w:t xml:space="preserve">§ </w:t>
      </w:r>
      <w:r w:rsidR="009F2D9F">
        <w:rPr>
          <w:iCs/>
          <w:sz w:val="24"/>
        </w:rPr>
        <w:t xml:space="preserve">2 </w:t>
      </w:r>
      <w:r w:rsidR="00E32A8B">
        <w:rPr>
          <w:iCs/>
          <w:sz w:val="24"/>
        </w:rPr>
        <w:t>(selskab</w:t>
      </w:r>
      <w:r>
        <w:rPr>
          <w:iCs/>
          <w:sz w:val="24"/>
        </w:rPr>
        <w:t>er</w:t>
      </w:r>
      <w:r w:rsidR="00E32A8B">
        <w:rPr>
          <w:iCs/>
          <w:sz w:val="24"/>
        </w:rPr>
        <w:t xml:space="preserve">) </w:t>
      </w:r>
      <w:r w:rsidR="009F2D9F" w:rsidRPr="009F2D9F">
        <w:rPr>
          <w:iCs/>
          <w:sz w:val="24"/>
        </w:rPr>
        <w:t xml:space="preserve">eller </w:t>
      </w:r>
      <w:r w:rsidR="009F2D9F">
        <w:rPr>
          <w:iCs/>
          <w:sz w:val="24"/>
        </w:rPr>
        <w:t>kildeskattelovens</w:t>
      </w:r>
      <w:r w:rsidR="009F2D9F" w:rsidRPr="009F2D9F">
        <w:rPr>
          <w:iCs/>
          <w:sz w:val="24"/>
        </w:rPr>
        <w:t xml:space="preserve"> § 2</w:t>
      </w:r>
      <w:r>
        <w:rPr>
          <w:iCs/>
          <w:sz w:val="24"/>
        </w:rPr>
        <w:t xml:space="preserve"> (personer</w:t>
      </w:r>
      <w:r w:rsidR="00E32A8B">
        <w:rPr>
          <w:iCs/>
          <w:sz w:val="24"/>
        </w:rPr>
        <w:t>)</w:t>
      </w:r>
      <w:r w:rsidR="009F2D9F" w:rsidRPr="009F2D9F">
        <w:rPr>
          <w:iCs/>
          <w:sz w:val="24"/>
        </w:rPr>
        <w:t>.</w:t>
      </w:r>
    </w:p>
    <w:p w:rsidR="008F3244" w:rsidRDefault="008F3244" w:rsidP="009F2D9F">
      <w:pPr>
        <w:rPr>
          <w:iCs/>
          <w:sz w:val="24"/>
        </w:rPr>
      </w:pPr>
    </w:p>
    <w:p w:rsidR="001707B3" w:rsidRDefault="00A208B7" w:rsidP="001707B3">
      <w:pPr>
        <w:rPr>
          <w:iCs/>
          <w:sz w:val="24"/>
        </w:rPr>
      </w:pPr>
      <w:r>
        <w:rPr>
          <w:iCs/>
          <w:sz w:val="24"/>
        </w:rPr>
        <w:t>Visse kontante udligningssummer be</w:t>
      </w:r>
      <w:r w:rsidR="009B58D6">
        <w:rPr>
          <w:iCs/>
          <w:sz w:val="24"/>
        </w:rPr>
        <w:t>handles</w:t>
      </w:r>
      <w:r>
        <w:rPr>
          <w:iCs/>
          <w:sz w:val="24"/>
        </w:rPr>
        <w:t xml:space="preserve"> dog efter</w:t>
      </w:r>
      <w:r w:rsidR="00E54CD5">
        <w:rPr>
          <w:iCs/>
          <w:sz w:val="24"/>
        </w:rPr>
        <w:t xml:space="preserve"> de</w:t>
      </w:r>
      <w:r>
        <w:rPr>
          <w:iCs/>
          <w:sz w:val="24"/>
        </w:rPr>
        <w:t xml:space="preserve"> gældende regler ikke som avance, men som udbytte. Ved f.eks. en </w:t>
      </w:r>
      <w:r w:rsidR="002C3CA9">
        <w:rPr>
          <w:iCs/>
          <w:sz w:val="24"/>
        </w:rPr>
        <w:t>gren</w:t>
      </w:r>
      <w:r w:rsidR="00687F69">
        <w:rPr>
          <w:iCs/>
          <w:sz w:val="24"/>
        </w:rPr>
        <w:t>s</w:t>
      </w:r>
      <w:r w:rsidR="008F3244">
        <w:rPr>
          <w:iCs/>
          <w:sz w:val="24"/>
        </w:rPr>
        <w:t>paltning</w:t>
      </w:r>
      <w:r w:rsidR="00687F69">
        <w:rPr>
          <w:iCs/>
          <w:sz w:val="24"/>
        </w:rPr>
        <w:t xml:space="preserve">, </w:t>
      </w:r>
      <w:r>
        <w:rPr>
          <w:iCs/>
          <w:sz w:val="24"/>
        </w:rPr>
        <w:t>hvor</w:t>
      </w:r>
      <w:r w:rsidR="00D32577">
        <w:rPr>
          <w:iCs/>
          <w:sz w:val="24"/>
        </w:rPr>
        <w:t xml:space="preserve"> det indskydende selskab</w:t>
      </w:r>
      <w:r>
        <w:rPr>
          <w:iCs/>
          <w:sz w:val="24"/>
        </w:rPr>
        <w:t xml:space="preserve"> ikke ophører ved spaltningen, </w:t>
      </w:r>
      <w:r w:rsidR="001707B3">
        <w:rPr>
          <w:iCs/>
          <w:sz w:val="24"/>
        </w:rPr>
        <w:t>beskattes den kontante udligningssum som udbytte</w:t>
      </w:r>
      <w:r w:rsidR="00E4196F">
        <w:rPr>
          <w:iCs/>
          <w:sz w:val="24"/>
        </w:rPr>
        <w:t>, jf. fusionsskattelovens § 15 B, stk. 4</w:t>
      </w:r>
      <w:r w:rsidR="001707B3">
        <w:rPr>
          <w:iCs/>
          <w:sz w:val="24"/>
        </w:rPr>
        <w:t>.</w:t>
      </w:r>
    </w:p>
    <w:p w:rsidR="009F2D9F" w:rsidRPr="009F2D9F" w:rsidRDefault="009F2D9F" w:rsidP="009F2D9F">
      <w:pPr>
        <w:rPr>
          <w:iCs/>
          <w:sz w:val="24"/>
        </w:rPr>
      </w:pPr>
    </w:p>
    <w:p w:rsidR="00963976" w:rsidRDefault="00AE4D28" w:rsidP="00DF2CCF">
      <w:pPr>
        <w:rPr>
          <w:iCs/>
          <w:sz w:val="24"/>
        </w:rPr>
      </w:pPr>
      <w:r>
        <w:rPr>
          <w:iCs/>
          <w:sz w:val="24"/>
        </w:rPr>
        <w:t xml:space="preserve">Ligeledes gælder det, at </w:t>
      </w:r>
      <w:r w:rsidR="00DF2CCF">
        <w:rPr>
          <w:iCs/>
          <w:sz w:val="24"/>
        </w:rPr>
        <w:t>k</w:t>
      </w:r>
      <w:r w:rsidR="00954320">
        <w:rPr>
          <w:iCs/>
          <w:sz w:val="24"/>
        </w:rPr>
        <w:t>ontante udligningssum</w:t>
      </w:r>
      <w:r w:rsidR="00620754">
        <w:rPr>
          <w:iCs/>
          <w:sz w:val="24"/>
        </w:rPr>
        <w:t>mer</w:t>
      </w:r>
      <w:r w:rsidR="00E47706">
        <w:rPr>
          <w:iCs/>
          <w:sz w:val="24"/>
        </w:rPr>
        <w:t>,</w:t>
      </w:r>
      <w:r w:rsidR="00954320">
        <w:rPr>
          <w:iCs/>
          <w:sz w:val="24"/>
        </w:rPr>
        <w:t xml:space="preserve"> </w:t>
      </w:r>
      <w:r w:rsidR="009F2D9F" w:rsidRPr="009F2D9F">
        <w:rPr>
          <w:iCs/>
          <w:sz w:val="24"/>
        </w:rPr>
        <w:t xml:space="preserve">som </w:t>
      </w:r>
      <w:r w:rsidR="00954320">
        <w:rPr>
          <w:iCs/>
          <w:sz w:val="24"/>
        </w:rPr>
        <w:t>aktionære</w:t>
      </w:r>
      <w:r w:rsidR="00620754">
        <w:rPr>
          <w:iCs/>
          <w:sz w:val="24"/>
        </w:rPr>
        <w:t>r</w:t>
      </w:r>
      <w:r w:rsidR="00DF2CCF">
        <w:rPr>
          <w:iCs/>
          <w:sz w:val="24"/>
        </w:rPr>
        <w:t>, der er hjemmehørende i udlandet</w:t>
      </w:r>
      <w:r w:rsidR="002E2B7E">
        <w:rPr>
          <w:iCs/>
          <w:sz w:val="24"/>
        </w:rPr>
        <w:t>,</w:t>
      </w:r>
      <w:r w:rsidR="00DF2CCF">
        <w:rPr>
          <w:iCs/>
          <w:sz w:val="24"/>
        </w:rPr>
        <w:t xml:space="preserve"> modtager</w:t>
      </w:r>
      <w:r w:rsidR="003B48F6">
        <w:rPr>
          <w:iCs/>
          <w:sz w:val="24"/>
        </w:rPr>
        <w:t>, skal</w:t>
      </w:r>
      <w:r w:rsidR="009F2D9F" w:rsidRPr="009F2D9F">
        <w:rPr>
          <w:iCs/>
          <w:sz w:val="24"/>
        </w:rPr>
        <w:t xml:space="preserve"> behandles som udbytte i de tilfælde, som er nævnt i</w:t>
      </w:r>
      <w:r w:rsidR="00954320">
        <w:rPr>
          <w:iCs/>
          <w:sz w:val="24"/>
        </w:rPr>
        <w:t xml:space="preserve"> ligningslovens § 16</w:t>
      </w:r>
      <w:r w:rsidR="00503ABA">
        <w:rPr>
          <w:iCs/>
          <w:sz w:val="24"/>
        </w:rPr>
        <w:t xml:space="preserve"> A</w:t>
      </w:r>
      <w:r w:rsidR="00DF2CCF">
        <w:rPr>
          <w:iCs/>
          <w:sz w:val="24"/>
        </w:rPr>
        <w:t xml:space="preserve">, stk. 3, nr. 1. </w:t>
      </w:r>
      <w:r w:rsidR="00B0737F">
        <w:rPr>
          <w:iCs/>
          <w:sz w:val="24"/>
        </w:rPr>
        <w:t xml:space="preserve">Dette </w:t>
      </w:r>
      <w:r w:rsidR="00503ABA" w:rsidRPr="00503ABA">
        <w:rPr>
          <w:iCs/>
          <w:sz w:val="24"/>
        </w:rPr>
        <w:t xml:space="preserve">indebærer, at </w:t>
      </w:r>
      <w:r w:rsidR="00733FAE">
        <w:rPr>
          <w:iCs/>
          <w:sz w:val="24"/>
        </w:rPr>
        <w:t>aktionærer</w:t>
      </w:r>
      <w:r w:rsidR="00503ABA" w:rsidRPr="00503ABA">
        <w:rPr>
          <w:iCs/>
          <w:sz w:val="24"/>
        </w:rPr>
        <w:t xml:space="preserve">, der er hjemmehørende </w:t>
      </w:r>
      <w:r w:rsidR="00E4196F">
        <w:rPr>
          <w:iCs/>
          <w:sz w:val="24"/>
        </w:rPr>
        <w:t xml:space="preserve">i lande </w:t>
      </w:r>
      <w:r w:rsidR="00503ABA" w:rsidRPr="00503ABA">
        <w:rPr>
          <w:iCs/>
          <w:sz w:val="24"/>
        </w:rPr>
        <w:t xml:space="preserve">uden for EU/EØS, </w:t>
      </w:r>
      <w:r w:rsidR="008A22C5">
        <w:rPr>
          <w:iCs/>
          <w:sz w:val="24"/>
        </w:rPr>
        <w:t>som</w:t>
      </w:r>
      <w:r w:rsidR="00503ABA" w:rsidRPr="00503ABA">
        <w:rPr>
          <w:iCs/>
          <w:sz w:val="24"/>
        </w:rPr>
        <w:t xml:space="preserve"> Danmark ikke har indgået en dobbeltbeskatningsoverenskomst</w:t>
      </w:r>
      <w:r w:rsidR="008A22C5">
        <w:rPr>
          <w:iCs/>
          <w:sz w:val="24"/>
        </w:rPr>
        <w:t xml:space="preserve"> med</w:t>
      </w:r>
      <w:r w:rsidR="00503ABA" w:rsidRPr="00503ABA">
        <w:rPr>
          <w:iCs/>
          <w:sz w:val="24"/>
        </w:rPr>
        <w:t>, udbyttebe</w:t>
      </w:r>
      <w:r w:rsidR="00F14376">
        <w:rPr>
          <w:iCs/>
          <w:sz w:val="24"/>
        </w:rPr>
        <w:t>skattes af den kontante udligningssum</w:t>
      </w:r>
      <w:r w:rsidR="00503ABA" w:rsidRPr="00503ABA">
        <w:rPr>
          <w:iCs/>
          <w:sz w:val="24"/>
        </w:rPr>
        <w:t xml:space="preserve">. </w:t>
      </w:r>
    </w:p>
    <w:p w:rsidR="00963976" w:rsidRDefault="00963976" w:rsidP="00DF2CCF">
      <w:pPr>
        <w:rPr>
          <w:iCs/>
          <w:sz w:val="24"/>
        </w:rPr>
      </w:pPr>
    </w:p>
    <w:p w:rsidR="009F2D9F" w:rsidRDefault="00AE4D28" w:rsidP="00140528">
      <w:pPr>
        <w:rPr>
          <w:iCs/>
          <w:sz w:val="24"/>
        </w:rPr>
      </w:pPr>
      <w:r>
        <w:rPr>
          <w:iCs/>
          <w:sz w:val="24"/>
        </w:rPr>
        <w:t>Endelig gælder det, at k</w:t>
      </w:r>
      <w:r w:rsidR="0039525C" w:rsidRPr="0039525C">
        <w:rPr>
          <w:iCs/>
          <w:sz w:val="24"/>
        </w:rPr>
        <w:t xml:space="preserve">ontante </w:t>
      </w:r>
      <w:r w:rsidR="0039525C">
        <w:rPr>
          <w:iCs/>
          <w:sz w:val="24"/>
        </w:rPr>
        <w:t>udligningssummer</w:t>
      </w:r>
      <w:r w:rsidR="0039525C" w:rsidRPr="0039525C">
        <w:rPr>
          <w:iCs/>
          <w:sz w:val="24"/>
        </w:rPr>
        <w:t xml:space="preserve">, </w:t>
      </w:r>
      <w:r w:rsidR="00A208B7">
        <w:rPr>
          <w:iCs/>
          <w:sz w:val="24"/>
        </w:rPr>
        <w:t>som aktionærer</w:t>
      </w:r>
      <w:r w:rsidR="0039525C" w:rsidRPr="0039525C">
        <w:rPr>
          <w:iCs/>
          <w:sz w:val="24"/>
        </w:rPr>
        <w:t xml:space="preserve"> modtage</w:t>
      </w:r>
      <w:r w:rsidR="00A208B7">
        <w:rPr>
          <w:iCs/>
          <w:sz w:val="24"/>
        </w:rPr>
        <w:t>r</w:t>
      </w:r>
      <w:r w:rsidR="0039525C" w:rsidRPr="0039525C">
        <w:rPr>
          <w:iCs/>
          <w:sz w:val="24"/>
        </w:rPr>
        <w:t xml:space="preserve"> i forbindelse med en </w:t>
      </w:r>
      <w:r w:rsidR="00AD5AB9">
        <w:rPr>
          <w:iCs/>
          <w:sz w:val="24"/>
        </w:rPr>
        <w:t>fusion, spaltning eller aktieombytning</w:t>
      </w:r>
      <w:r w:rsidR="0039525C" w:rsidRPr="0039525C">
        <w:rPr>
          <w:iCs/>
          <w:sz w:val="24"/>
        </w:rPr>
        <w:t xml:space="preserve">, og som udgør et beløb, der er mindre end kursværdien af hver af de aktier, der tildeles i det erhvervende henholdsvis det modtagende selskab, </w:t>
      </w:r>
      <w:r w:rsidR="00A208B7">
        <w:rPr>
          <w:iCs/>
          <w:sz w:val="24"/>
        </w:rPr>
        <w:t>også</w:t>
      </w:r>
      <w:r w:rsidR="00E97380">
        <w:rPr>
          <w:iCs/>
          <w:sz w:val="24"/>
        </w:rPr>
        <w:t xml:space="preserve"> behandles</w:t>
      </w:r>
      <w:r w:rsidR="00A208B7">
        <w:rPr>
          <w:iCs/>
          <w:sz w:val="24"/>
        </w:rPr>
        <w:t xml:space="preserve"> </w:t>
      </w:r>
      <w:r w:rsidR="008F3244">
        <w:rPr>
          <w:iCs/>
          <w:sz w:val="24"/>
        </w:rPr>
        <w:t>som udbytte</w:t>
      </w:r>
      <w:r w:rsidR="00A208B7">
        <w:rPr>
          <w:iCs/>
          <w:sz w:val="24"/>
        </w:rPr>
        <w:t>.</w:t>
      </w:r>
      <w:r w:rsidR="00E4196F">
        <w:rPr>
          <w:iCs/>
          <w:sz w:val="24"/>
        </w:rPr>
        <w:t xml:space="preserve"> Dette fremgår af aktieavancebeskatningslovens § 2, stk. 4.</w:t>
      </w:r>
      <w:r w:rsidR="007C12A2">
        <w:rPr>
          <w:iCs/>
          <w:sz w:val="24"/>
        </w:rPr>
        <w:t xml:space="preserve"> </w:t>
      </w:r>
      <w:r w:rsidR="0039525C">
        <w:rPr>
          <w:iCs/>
          <w:sz w:val="24"/>
        </w:rPr>
        <w:t>Ved f</w:t>
      </w:r>
      <w:r w:rsidR="00A208B7">
        <w:rPr>
          <w:iCs/>
          <w:sz w:val="24"/>
        </w:rPr>
        <w:t>.eks.</w:t>
      </w:r>
      <w:r w:rsidR="0039525C">
        <w:rPr>
          <w:iCs/>
          <w:sz w:val="24"/>
        </w:rPr>
        <w:t xml:space="preserve"> e</w:t>
      </w:r>
      <w:r w:rsidR="0039525C" w:rsidRPr="0039525C">
        <w:rPr>
          <w:iCs/>
          <w:sz w:val="24"/>
        </w:rPr>
        <w:t xml:space="preserve">n </w:t>
      </w:r>
      <w:r w:rsidR="00146335">
        <w:rPr>
          <w:iCs/>
          <w:sz w:val="24"/>
        </w:rPr>
        <w:t xml:space="preserve">skattefri </w:t>
      </w:r>
      <w:r w:rsidR="0039525C" w:rsidRPr="0039525C">
        <w:rPr>
          <w:iCs/>
          <w:sz w:val="24"/>
        </w:rPr>
        <w:t>aktieombytning</w:t>
      </w:r>
      <w:r w:rsidR="0039525C">
        <w:rPr>
          <w:iCs/>
          <w:sz w:val="24"/>
        </w:rPr>
        <w:t xml:space="preserve"> ombyttes</w:t>
      </w:r>
      <w:r w:rsidR="0039525C" w:rsidRPr="0039525C">
        <w:rPr>
          <w:iCs/>
          <w:sz w:val="24"/>
        </w:rPr>
        <w:t xml:space="preserve"> aktierne i det indskydende selskab til et antal aktier i det </w:t>
      </w:r>
      <w:r w:rsidR="008F3244">
        <w:rPr>
          <w:iCs/>
          <w:sz w:val="24"/>
        </w:rPr>
        <w:t>erhvervende</w:t>
      </w:r>
      <w:r w:rsidR="0039525C" w:rsidRPr="0039525C">
        <w:rPr>
          <w:iCs/>
          <w:sz w:val="24"/>
        </w:rPr>
        <w:t xml:space="preserve"> selskab efter et bestemt ombytningsforhold. Hvis de</w:t>
      </w:r>
      <w:r w:rsidR="0039525C">
        <w:rPr>
          <w:iCs/>
          <w:sz w:val="24"/>
        </w:rPr>
        <w:t>t viser sig, at der</w:t>
      </w:r>
      <w:r w:rsidR="0039525C" w:rsidRPr="0039525C">
        <w:rPr>
          <w:iCs/>
          <w:sz w:val="24"/>
        </w:rPr>
        <w:t xml:space="preserve"> ikke kan ske ombytning i et lige forhold, vil aktionærerne i det indskydende selskab få udlignet restbeløbet i form a</w:t>
      </w:r>
      <w:r w:rsidR="0039525C">
        <w:rPr>
          <w:iCs/>
          <w:sz w:val="24"/>
        </w:rPr>
        <w:t>f en kontant udligningssum,</w:t>
      </w:r>
      <w:r w:rsidR="0039525C" w:rsidRPr="0039525C">
        <w:rPr>
          <w:iCs/>
          <w:sz w:val="24"/>
        </w:rPr>
        <w:t xml:space="preserve"> såkaldte </w:t>
      </w:r>
      <w:r w:rsidR="0039525C">
        <w:rPr>
          <w:iCs/>
          <w:sz w:val="24"/>
        </w:rPr>
        <w:t>”</w:t>
      </w:r>
      <w:r w:rsidR="0039525C" w:rsidRPr="0039525C">
        <w:rPr>
          <w:iCs/>
          <w:sz w:val="24"/>
        </w:rPr>
        <w:t>spidser</w:t>
      </w:r>
      <w:r w:rsidR="0039525C">
        <w:rPr>
          <w:iCs/>
          <w:sz w:val="24"/>
        </w:rPr>
        <w:t>”</w:t>
      </w:r>
      <w:r w:rsidR="0039525C" w:rsidRPr="0039525C">
        <w:rPr>
          <w:iCs/>
          <w:sz w:val="24"/>
        </w:rPr>
        <w:t xml:space="preserve">. Modtagelse af sådanne </w:t>
      </w:r>
      <w:r w:rsidR="0039525C">
        <w:rPr>
          <w:iCs/>
          <w:sz w:val="24"/>
        </w:rPr>
        <w:t>”spidser”</w:t>
      </w:r>
      <w:r w:rsidR="0039525C" w:rsidRPr="0039525C">
        <w:rPr>
          <w:iCs/>
          <w:sz w:val="24"/>
        </w:rPr>
        <w:t xml:space="preserve"> beskattes </w:t>
      </w:r>
      <w:r w:rsidR="00E97380">
        <w:rPr>
          <w:iCs/>
          <w:sz w:val="24"/>
        </w:rPr>
        <w:t>som udbytte</w:t>
      </w:r>
      <w:r w:rsidR="0039525C" w:rsidRPr="0039525C">
        <w:rPr>
          <w:iCs/>
          <w:sz w:val="24"/>
        </w:rPr>
        <w:t>.</w:t>
      </w:r>
    </w:p>
    <w:p w:rsidR="00E4196F" w:rsidRDefault="00E4196F" w:rsidP="00140528">
      <w:pPr>
        <w:rPr>
          <w:iCs/>
          <w:sz w:val="24"/>
        </w:rPr>
      </w:pPr>
    </w:p>
    <w:p w:rsidR="001140E4" w:rsidRDefault="001140E4" w:rsidP="001140E4">
      <w:pPr>
        <w:rPr>
          <w:iCs/>
          <w:sz w:val="24"/>
        </w:rPr>
      </w:pPr>
      <w:r>
        <w:rPr>
          <w:iCs/>
          <w:sz w:val="24"/>
        </w:rPr>
        <w:t xml:space="preserve">Ved lov nr. 1254 af 18. december 2012 (L 10 Folketingsåret 2012/2013), blev der indført en regel i selskabsskattelovens § 2 D med det formål at hindre omgåelse af beskatningen af udbytter. </w:t>
      </w:r>
    </w:p>
    <w:p w:rsidR="001140E4" w:rsidRDefault="001140E4" w:rsidP="001140E4">
      <w:pPr>
        <w:rPr>
          <w:iCs/>
          <w:sz w:val="24"/>
        </w:rPr>
      </w:pPr>
    </w:p>
    <w:p w:rsidR="001140E4" w:rsidRDefault="001140E4" w:rsidP="001140E4">
      <w:pPr>
        <w:rPr>
          <w:iCs/>
          <w:sz w:val="24"/>
        </w:rPr>
      </w:pPr>
      <w:r>
        <w:rPr>
          <w:iCs/>
          <w:sz w:val="24"/>
        </w:rPr>
        <w:lastRenderedPageBreak/>
        <w:t>§ 2 D medfører, at det vederlag, en selskabsaktionær modtager i en koncernintern</w:t>
      </w:r>
      <w:r w:rsidR="00C46C33">
        <w:rPr>
          <w:iCs/>
          <w:sz w:val="24"/>
        </w:rPr>
        <w:t xml:space="preserve"> skattefri eller skattepligtig</w:t>
      </w:r>
      <w:r>
        <w:rPr>
          <w:iCs/>
          <w:sz w:val="24"/>
        </w:rPr>
        <w:t xml:space="preserve"> omstrukturering, </w:t>
      </w:r>
      <w:r w:rsidR="008165BC">
        <w:rPr>
          <w:iCs/>
          <w:sz w:val="24"/>
        </w:rPr>
        <w:t xml:space="preserve">og som </w:t>
      </w:r>
      <w:r>
        <w:rPr>
          <w:iCs/>
          <w:sz w:val="24"/>
        </w:rPr>
        <w:t>ikke er aktier, skal anses som udbytte. Det er en betingelse, at der både før og efter omstruktureringen er en koncernforbindelse i ejerkredsen.</w:t>
      </w:r>
    </w:p>
    <w:p w:rsidR="001140E4" w:rsidRDefault="001140E4" w:rsidP="001140E4">
      <w:pPr>
        <w:rPr>
          <w:iCs/>
          <w:sz w:val="24"/>
        </w:rPr>
      </w:pPr>
    </w:p>
    <w:p w:rsidR="001140E4" w:rsidRDefault="001140E4" w:rsidP="001140E4">
      <w:pPr>
        <w:rPr>
          <w:iCs/>
          <w:sz w:val="24"/>
        </w:rPr>
      </w:pPr>
      <w:r>
        <w:rPr>
          <w:iCs/>
          <w:sz w:val="24"/>
        </w:rPr>
        <w:t xml:space="preserve">Ved en koncernforbindelse forstås bl.a., at ejerkredsen har en aftale om udøvelse af en fælles bestemmende indflydelse, hvilket indebærer, at det på forhånd er aftalt i ejerkredsen at lede og agere som en samlet enhed. </w:t>
      </w:r>
    </w:p>
    <w:p w:rsidR="001140E4" w:rsidRDefault="001140E4" w:rsidP="001140E4">
      <w:pPr>
        <w:rPr>
          <w:iCs/>
          <w:sz w:val="24"/>
        </w:rPr>
      </w:pPr>
    </w:p>
    <w:p w:rsidR="001140E4" w:rsidRDefault="001140E4" w:rsidP="001140E4">
      <w:pPr>
        <w:rPr>
          <w:iCs/>
          <w:sz w:val="24"/>
        </w:rPr>
      </w:pPr>
      <w:r>
        <w:rPr>
          <w:iCs/>
          <w:sz w:val="24"/>
        </w:rPr>
        <w:t xml:space="preserve">Ved lov nr. 1254 af 18. december 2012 (L 10 Folketingsåret 2012/2013) blev der samtidig </w:t>
      </w:r>
      <w:r w:rsidR="008165BC">
        <w:rPr>
          <w:iCs/>
          <w:sz w:val="24"/>
        </w:rPr>
        <w:t xml:space="preserve">indsat </w:t>
      </w:r>
      <w:r>
        <w:rPr>
          <w:iCs/>
          <w:sz w:val="24"/>
        </w:rPr>
        <w:t xml:space="preserve">en tilføjelse </w:t>
      </w:r>
      <w:r w:rsidR="008165BC">
        <w:rPr>
          <w:iCs/>
          <w:sz w:val="24"/>
        </w:rPr>
        <w:t xml:space="preserve">i </w:t>
      </w:r>
      <w:r>
        <w:rPr>
          <w:iCs/>
          <w:sz w:val="24"/>
        </w:rPr>
        <w:t>kildeskattelovens § 2, stk. 1, nr. 6, hvorefter også fysiske personer hjemmehørende i udlandet omfattes af værnet og beskattes af vederlag, der ikke er aktier</w:t>
      </w:r>
      <w:r w:rsidR="00F069C8">
        <w:rPr>
          <w:iCs/>
          <w:sz w:val="24"/>
        </w:rPr>
        <w:t>, på samme måde som de beskattes af udbytte</w:t>
      </w:r>
      <w:r>
        <w:rPr>
          <w:iCs/>
          <w:sz w:val="24"/>
        </w:rPr>
        <w:t xml:space="preserve">. </w:t>
      </w:r>
    </w:p>
    <w:p w:rsidR="001140E4" w:rsidRDefault="001140E4" w:rsidP="001140E4">
      <w:pPr>
        <w:rPr>
          <w:iCs/>
          <w:sz w:val="24"/>
        </w:rPr>
      </w:pPr>
    </w:p>
    <w:p w:rsidR="001140E4" w:rsidRDefault="001140E4" w:rsidP="001140E4">
      <w:pPr>
        <w:rPr>
          <w:iCs/>
          <w:sz w:val="24"/>
        </w:rPr>
      </w:pPr>
      <w:r>
        <w:rPr>
          <w:iCs/>
          <w:sz w:val="24"/>
        </w:rPr>
        <w:t xml:space="preserve">Den omstændighed, at vederlaget </w:t>
      </w:r>
      <w:r w:rsidR="00F069C8">
        <w:rPr>
          <w:iCs/>
          <w:sz w:val="24"/>
        </w:rPr>
        <w:t xml:space="preserve">for selskaber </w:t>
      </w:r>
      <w:r>
        <w:rPr>
          <w:iCs/>
          <w:sz w:val="24"/>
        </w:rPr>
        <w:t>anses som udbytte, indebærer, at udbyttet</w:t>
      </w:r>
      <w:r w:rsidR="00F069C8">
        <w:rPr>
          <w:iCs/>
          <w:sz w:val="24"/>
        </w:rPr>
        <w:t xml:space="preserve"> for selskaber</w:t>
      </w:r>
      <w:r>
        <w:rPr>
          <w:iCs/>
          <w:sz w:val="24"/>
        </w:rPr>
        <w:t xml:space="preserve"> er omfattet af ligningslovens § 16 A, og at udbyttet dermed er omfattet af den begrænsede skattepligt i selskabsskattelovens § 2, stk. 1, litra c.</w:t>
      </w:r>
    </w:p>
    <w:p w:rsidR="001140E4" w:rsidRDefault="001140E4" w:rsidP="00140528">
      <w:pPr>
        <w:rPr>
          <w:iCs/>
          <w:sz w:val="24"/>
        </w:rPr>
      </w:pPr>
    </w:p>
    <w:p w:rsidR="0039525C" w:rsidRPr="00673E5A" w:rsidRDefault="001140E4" w:rsidP="00140528">
      <w:pPr>
        <w:rPr>
          <w:i/>
          <w:iCs/>
          <w:sz w:val="24"/>
        </w:rPr>
      </w:pPr>
      <w:r>
        <w:rPr>
          <w:i/>
          <w:iCs/>
          <w:sz w:val="24"/>
        </w:rPr>
        <w:t xml:space="preserve">3.2. </w:t>
      </w:r>
      <w:r w:rsidR="0039525C" w:rsidRPr="00673E5A">
        <w:rPr>
          <w:i/>
          <w:iCs/>
          <w:sz w:val="24"/>
        </w:rPr>
        <w:t>Skattepligtige omstruktureringer (aktionærniveau)</w:t>
      </w:r>
    </w:p>
    <w:p w:rsidR="009F2D9F" w:rsidRDefault="009F2D9F" w:rsidP="00140528">
      <w:pPr>
        <w:rPr>
          <w:iCs/>
          <w:sz w:val="24"/>
        </w:rPr>
      </w:pPr>
    </w:p>
    <w:p w:rsidR="00E56326" w:rsidRDefault="00DD05F6" w:rsidP="00140528">
      <w:pPr>
        <w:rPr>
          <w:iCs/>
          <w:sz w:val="24"/>
        </w:rPr>
      </w:pPr>
      <w:r>
        <w:rPr>
          <w:iCs/>
          <w:sz w:val="24"/>
        </w:rPr>
        <w:t>En skattepligtig</w:t>
      </w:r>
      <w:r w:rsidR="006B357A">
        <w:rPr>
          <w:iCs/>
          <w:sz w:val="24"/>
        </w:rPr>
        <w:t xml:space="preserve"> fusion eller</w:t>
      </w:r>
      <w:r w:rsidR="00C50AC6">
        <w:rPr>
          <w:iCs/>
          <w:sz w:val="24"/>
        </w:rPr>
        <w:t xml:space="preserve"> </w:t>
      </w:r>
      <w:r w:rsidR="00E4196F">
        <w:rPr>
          <w:iCs/>
          <w:sz w:val="24"/>
        </w:rPr>
        <w:t xml:space="preserve">en </w:t>
      </w:r>
      <w:r w:rsidR="00C50AC6">
        <w:rPr>
          <w:iCs/>
          <w:sz w:val="24"/>
        </w:rPr>
        <w:t>skattepligtig</w:t>
      </w:r>
      <w:r w:rsidR="00F61454">
        <w:rPr>
          <w:iCs/>
          <w:sz w:val="24"/>
        </w:rPr>
        <w:t xml:space="preserve"> spaltning</w:t>
      </w:r>
      <w:r w:rsidR="00C50AC6">
        <w:rPr>
          <w:iCs/>
          <w:sz w:val="24"/>
        </w:rPr>
        <w:t>, hvor det indskydende selskab ophører ved spaltningen,</w:t>
      </w:r>
      <w:r w:rsidR="00F61454">
        <w:rPr>
          <w:iCs/>
          <w:sz w:val="24"/>
        </w:rPr>
        <w:t xml:space="preserve"> </w:t>
      </w:r>
      <w:r w:rsidR="006B357A">
        <w:rPr>
          <w:iCs/>
          <w:sz w:val="24"/>
        </w:rPr>
        <w:t xml:space="preserve">behandles </w:t>
      </w:r>
      <w:r w:rsidR="00B31A18">
        <w:rPr>
          <w:iCs/>
          <w:sz w:val="24"/>
        </w:rPr>
        <w:t xml:space="preserve">lige </w:t>
      </w:r>
      <w:r w:rsidR="006B357A">
        <w:rPr>
          <w:iCs/>
          <w:sz w:val="24"/>
        </w:rPr>
        <w:t xml:space="preserve">som en likvidation </w:t>
      </w:r>
      <w:r w:rsidR="000A023A">
        <w:rPr>
          <w:iCs/>
          <w:sz w:val="24"/>
        </w:rPr>
        <w:t>af det indskydende selskab</w:t>
      </w:r>
      <w:r w:rsidR="00130CD3">
        <w:rPr>
          <w:iCs/>
          <w:sz w:val="24"/>
        </w:rPr>
        <w:t xml:space="preserve"> og omfattes ikke af</w:t>
      </w:r>
      <w:r w:rsidR="00F61454">
        <w:rPr>
          <w:iCs/>
          <w:sz w:val="24"/>
        </w:rPr>
        <w:t xml:space="preserve"> fusionsskattelovens regler</w:t>
      </w:r>
      <w:r w:rsidR="006B357A">
        <w:rPr>
          <w:iCs/>
          <w:sz w:val="24"/>
        </w:rPr>
        <w:t xml:space="preserve">. </w:t>
      </w:r>
      <w:r w:rsidR="00130CD3">
        <w:rPr>
          <w:iCs/>
          <w:sz w:val="24"/>
        </w:rPr>
        <w:t>V</w:t>
      </w:r>
      <w:r w:rsidR="0077773A">
        <w:rPr>
          <w:iCs/>
          <w:sz w:val="24"/>
        </w:rPr>
        <w:t>ederlaget til aktionærerne for aktierne i det indskydende selskab behandles skattemæssigt som et l</w:t>
      </w:r>
      <w:r w:rsidR="007837FF">
        <w:rPr>
          <w:iCs/>
          <w:sz w:val="24"/>
        </w:rPr>
        <w:t>ikvidationsprovenu</w:t>
      </w:r>
      <w:r w:rsidR="0077773A">
        <w:rPr>
          <w:iCs/>
          <w:sz w:val="24"/>
        </w:rPr>
        <w:t xml:space="preserve"> og </w:t>
      </w:r>
      <w:r w:rsidR="007837FF">
        <w:rPr>
          <w:iCs/>
          <w:sz w:val="24"/>
        </w:rPr>
        <w:t>beskattes efter reglerne om beskatning af gevinst og tab ved afståelse af aktier</w:t>
      </w:r>
      <w:r w:rsidR="00130CD3">
        <w:rPr>
          <w:iCs/>
          <w:sz w:val="24"/>
        </w:rPr>
        <w:t xml:space="preserve"> i</w:t>
      </w:r>
      <w:r w:rsidR="007837FF">
        <w:rPr>
          <w:iCs/>
          <w:sz w:val="24"/>
        </w:rPr>
        <w:t xml:space="preserve"> </w:t>
      </w:r>
      <w:r w:rsidR="006E6249">
        <w:rPr>
          <w:iCs/>
          <w:sz w:val="24"/>
        </w:rPr>
        <w:t>ligningslovens § 16 A, stk. 3</w:t>
      </w:r>
      <w:r w:rsidR="009B58D6">
        <w:rPr>
          <w:iCs/>
          <w:sz w:val="24"/>
        </w:rPr>
        <w:t>,</w:t>
      </w:r>
      <w:r w:rsidR="006E6249">
        <w:rPr>
          <w:iCs/>
          <w:sz w:val="24"/>
        </w:rPr>
        <w:t xml:space="preserve"> </w:t>
      </w:r>
      <w:r w:rsidR="007837FF">
        <w:rPr>
          <w:iCs/>
          <w:sz w:val="24"/>
        </w:rPr>
        <w:t>jf. aktieavancebeskatningslovens § 2.</w:t>
      </w:r>
      <w:r w:rsidR="009B14A0">
        <w:rPr>
          <w:iCs/>
          <w:sz w:val="24"/>
        </w:rPr>
        <w:t xml:space="preserve"> </w:t>
      </w:r>
      <w:r w:rsidR="008C7A75">
        <w:rPr>
          <w:iCs/>
          <w:sz w:val="24"/>
        </w:rPr>
        <w:t>Heraf følger, at provenu</w:t>
      </w:r>
      <w:r w:rsidR="00787677">
        <w:rPr>
          <w:iCs/>
          <w:sz w:val="24"/>
        </w:rPr>
        <w:t>et</w:t>
      </w:r>
      <w:r w:rsidR="008C7A75">
        <w:rPr>
          <w:iCs/>
          <w:sz w:val="24"/>
        </w:rPr>
        <w:t xml:space="preserve"> </w:t>
      </w:r>
      <w:r w:rsidR="0077773A">
        <w:rPr>
          <w:iCs/>
          <w:sz w:val="24"/>
        </w:rPr>
        <w:t>som udgangspunkt beskattes som en avance</w:t>
      </w:r>
      <w:r w:rsidR="00787677">
        <w:rPr>
          <w:iCs/>
          <w:sz w:val="24"/>
        </w:rPr>
        <w:t xml:space="preserve">. </w:t>
      </w:r>
    </w:p>
    <w:p w:rsidR="00E56326" w:rsidRDefault="00E56326" w:rsidP="00140528">
      <w:pPr>
        <w:rPr>
          <w:iCs/>
          <w:sz w:val="24"/>
        </w:rPr>
      </w:pPr>
    </w:p>
    <w:p w:rsidR="00E56326" w:rsidRDefault="00E56326" w:rsidP="00E56326">
      <w:pPr>
        <w:rPr>
          <w:iCs/>
          <w:sz w:val="24"/>
        </w:rPr>
      </w:pPr>
      <w:r>
        <w:rPr>
          <w:iCs/>
          <w:sz w:val="24"/>
        </w:rPr>
        <w:t xml:space="preserve">Omstrukturering i form af </w:t>
      </w:r>
      <w:r w:rsidR="00E54CD5">
        <w:rPr>
          <w:iCs/>
          <w:sz w:val="24"/>
        </w:rPr>
        <w:t xml:space="preserve">en skattepligtig </w:t>
      </w:r>
      <w:r>
        <w:rPr>
          <w:iCs/>
          <w:sz w:val="24"/>
        </w:rPr>
        <w:t xml:space="preserve">aktieombytning behandles som en almindelig aktieafståelse, der også beskattes efter reglerne om beskatning af gevinst og tab ved afståelse af aktier, jf. aktieavancebeskatningslovens § 1. Afståelsessummen udgør værdien af det modtagne vederlag, der typisk består af aktier i det erhvervende selskab og </w:t>
      </w:r>
      <w:r w:rsidR="00E54CD5">
        <w:rPr>
          <w:iCs/>
          <w:sz w:val="24"/>
        </w:rPr>
        <w:t xml:space="preserve">en </w:t>
      </w:r>
      <w:r>
        <w:rPr>
          <w:iCs/>
          <w:sz w:val="24"/>
        </w:rPr>
        <w:t>eventuel</w:t>
      </w:r>
      <w:r w:rsidR="00E54CD5">
        <w:rPr>
          <w:iCs/>
          <w:sz w:val="24"/>
        </w:rPr>
        <w:t xml:space="preserve"> </w:t>
      </w:r>
      <w:r>
        <w:rPr>
          <w:iCs/>
          <w:sz w:val="24"/>
        </w:rPr>
        <w:t>kontant udligningssum.</w:t>
      </w:r>
    </w:p>
    <w:p w:rsidR="00787677" w:rsidRDefault="00787677" w:rsidP="00140528">
      <w:pPr>
        <w:rPr>
          <w:iCs/>
          <w:sz w:val="24"/>
        </w:rPr>
      </w:pPr>
    </w:p>
    <w:p w:rsidR="00787677" w:rsidRDefault="00787677" w:rsidP="00140528">
      <w:pPr>
        <w:rPr>
          <w:iCs/>
          <w:sz w:val="24"/>
        </w:rPr>
      </w:pPr>
      <w:r>
        <w:rPr>
          <w:iCs/>
          <w:sz w:val="24"/>
        </w:rPr>
        <w:t>Danske selskabsaktionærer, der modtager en kontant udligningssum</w:t>
      </w:r>
      <w:r w:rsidR="00E56326">
        <w:rPr>
          <w:iCs/>
          <w:sz w:val="24"/>
        </w:rPr>
        <w:t xml:space="preserve"> i forbindelse med en skattepligtig fusion, spaltning eller aktieombytning</w:t>
      </w:r>
      <w:r>
        <w:rPr>
          <w:iCs/>
          <w:sz w:val="24"/>
        </w:rPr>
        <w:t xml:space="preserve">, beskattes ikke af avancen. Dette gælder kontante udligningssummer, som stammer fra </w:t>
      </w:r>
      <w:proofErr w:type="spellStart"/>
      <w:r>
        <w:rPr>
          <w:iCs/>
          <w:sz w:val="24"/>
        </w:rPr>
        <w:t>unoterede</w:t>
      </w:r>
      <w:proofErr w:type="spellEnd"/>
      <w:r>
        <w:rPr>
          <w:iCs/>
          <w:sz w:val="24"/>
        </w:rPr>
        <w:t xml:space="preserve"> porteføljeaktier (mindre end 10 pct. ejerandel), datterselskabsaktier (ejerandel på 10 pct. eller mere) og </w:t>
      </w:r>
      <w:r w:rsidR="00964F46">
        <w:rPr>
          <w:iCs/>
          <w:sz w:val="24"/>
        </w:rPr>
        <w:t>k</w:t>
      </w:r>
      <w:r>
        <w:rPr>
          <w:iCs/>
          <w:sz w:val="24"/>
        </w:rPr>
        <w:t>oncernselskabsaktier, dvs. aktier i selskaber</w:t>
      </w:r>
      <w:r w:rsidRPr="009F2D9F">
        <w:rPr>
          <w:iCs/>
          <w:sz w:val="24"/>
        </w:rPr>
        <w:t>, der indgår eller ville kunne indgå i en sambeskatning med selskabsaktionæren.</w:t>
      </w:r>
    </w:p>
    <w:p w:rsidR="00E56326" w:rsidRDefault="00E56326" w:rsidP="00140528">
      <w:pPr>
        <w:rPr>
          <w:iCs/>
          <w:sz w:val="24"/>
        </w:rPr>
      </w:pPr>
    </w:p>
    <w:p w:rsidR="00E56326" w:rsidRDefault="00E56326" w:rsidP="00E56326">
      <w:pPr>
        <w:rPr>
          <w:iCs/>
          <w:sz w:val="24"/>
        </w:rPr>
      </w:pPr>
      <w:r>
        <w:rPr>
          <w:iCs/>
          <w:sz w:val="24"/>
        </w:rPr>
        <w:t>På tilsvarende vis vil aktionærer, der er hjemmehørende i udlandet, og som modtager en kontant udligningssum, som udgangspunkt heller ikke blive beskattet af avancen, idet</w:t>
      </w:r>
      <w:r w:rsidRPr="009F2D9F">
        <w:rPr>
          <w:iCs/>
          <w:sz w:val="24"/>
        </w:rPr>
        <w:t xml:space="preserve"> der ikke er begrænset skattepligt på </w:t>
      </w:r>
      <w:r>
        <w:rPr>
          <w:iCs/>
          <w:sz w:val="24"/>
        </w:rPr>
        <w:t>avancer</w:t>
      </w:r>
      <w:r w:rsidRPr="009F2D9F">
        <w:rPr>
          <w:iCs/>
          <w:sz w:val="24"/>
        </w:rPr>
        <w:t xml:space="preserve"> efter </w:t>
      </w:r>
      <w:r>
        <w:rPr>
          <w:iCs/>
          <w:sz w:val="24"/>
        </w:rPr>
        <w:t xml:space="preserve">selskabsskattelovens § 2 (selskaber) </w:t>
      </w:r>
      <w:r w:rsidRPr="009F2D9F">
        <w:rPr>
          <w:iCs/>
          <w:sz w:val="24"/>
        </w:rPr>
        <w:t xml:space="preserve">eller </w:t>
      </w:r>
      <w:r>
        <w:rPr>
          <w:iCs/>
          <w:sz w:val="24"/>
        </w:rPr>
        <w:t>kildeskattelovens</w:t>
      </w:r>
      <w:r w:rsidRPr="009F2D9F">
        <w:rPr>
          <w:iCs/>
          <w:sz w:val="24"/>
        </w:rPr>
        <w:t xml:space="preserve"> § 2</w:t>
      </w:r>
      <w:r>
        <w:rPr>
          <w:iCs/>
          <w:sz w:val="24"/>
        </w:rPr>
        <w:t xml:space="preserve"> (personer)</w:t>
      </w:r>
      <w:r w:rsidRPr="009F2D9F">
        <w:rPr>
          <w:iCs/>
          <w:sz w:val="24"/>
        </w:rPr>
        <w:t>.</w:t>
      </w:r>
    </w:p>
    <w:p w:rsidR="00E56326" w:rsidRDefault="00E56326" w:rsidP="00140528">
      <w:pPr>
        <w:rPr>
          <w:iCs/>
          <w:sz w:val="24"/>
        </w:rPr>
      </w:pPr>
    </w:p>
    <w:p w:rsidR="00787677" w:rsidRDefault="00E56326" w:rsidP="00140528">
      <w:pPr>
        <w:rPr>
          <w:iCs/>
          <w:sz w:val="24"/>
        </w:rPr>
      </w:pPr>
      <w:r>
        <w:rPr>
          <w:iCs/>
          <w:sz w:val="24"/>
        </w:rPr>
        <w:t>Visse kontante udligningssummer be</w:t>
      </w:r>
      <w:r w:rsidR="009B58D6">
        <w:rPr>
          <w:iCs/>
          <w:sz w:val="24"/>
        </w:rPr>
        <w:t>handles</w:t>
      </w:r>
      <w:r>
        <w:rPr>
          <w:iCs/>
          <w:sz w:val="24"/>
        </w:rPr>
        <w:t xml:space="preserve"> dog efter gældende regler ikke som avance, men som udbytte. Ved f.eks. en grenspaltning, hvor det indskydende selskab ikke ophører ved spaltningen, beskattes </w:t>
      </w:r>
      <w:r w:rsidR="00B438DD">
        <w:rPr>
          <w:iCs/>
          <w:sz w:val="24"/>
        </w:rPr>
        <w:t>hele vederlaget</w:t>
      </w:r>
      <w:r w:rsidR="008165BC">
        <w:rPr>
          <w:iCs/>
          <w:sz w:val="24"/>
        </w:rPr>
        <w:t>,</w:t>
      </w:r>
      <w:r w:rsidR="00B438DD">
        <w:rPr>
          <w:iCs/>
          <w:sz w:val="24"/>
        </w:rPr>
        <w:t xml:space="preserve"> herunder </w:t>
      </w:r>
      <w:r>
        <w:rPr>
          <w:iCs/>
          <w:sz w:val="24"/>
        </w:rPr>
        <w:t>den kontante udligningssum som udbytte</w:t>
      </w:r>
      <w:r w:rsidR="00E4196F">
        <w:rPr>
          <w:iCs/>
          <w:sz w:val="24"/>
        </w:rPr>
        <w:t xml:space="preserve">, jf. </w:t>
      </w:r>
      <w:r w:rsidR="00E4196F">
        <w:rPr>
          <w:iCs/>
          <w:sz w:val="24"/>
        </w:rPr>
        <w:lastRenderedPageBreak/>
        <w:t>fusionsskattelovens § 15 B, stk. 4</w:t>
      </w:r>
      <w:r>
        <w:rPr>
          <w:iCs/>
          <w:sz w:val="24"/>
        </w:rPr>
        <w:t>.</w:t>
      </w:r>
    </w:p>
    <w:p w:rsidR="00E56326" w:rsidRDefault="00E56326" w:rsidP="00140528">
      <w:pPr>
        <w:rPr>
          <w:iCs/>
          <w:sz w:val="24"/>
        </w:rPr>
      </w:pPr>
    </w:p>
    <w:p w:rsidR="00E56326" w:rsidRDefault="00E56326" w:rsidP="00E56326">
      <w:pPr>
        <w:rPr>
          <w:iCs/>
          <w:sz w:val="24"/>
        </w:rPr>
      </w:pPr>
      <w:r>
        <w:rPr>
          <w:iCs/>
          <w:sz w:val="24"/>
        </w:rPr>
        <w:t xml:space="preserve">Ligeledes gælder det, at </w:t>
      </w:r>
      <w:r w:rsidR="001023D0">
        <w:rPr>
          <w:iCs/>
          <w:sz w:val="24"/>
        </w:rPr>
        <w:t>likvidationsprovenu</w:t>
      </w:r>
      <w:r>
        <w:rPr>
          <w:iCs/>
          <w:sz w:val="24"/>
        </w:rPr>
        <w:t xml:space="preserve">, </w:t>
      </w:r>
      <w:r w:rsidRPr="009F2D9F">
        <w:rPr>
          <w:iCs/>
          <w:sz w:val="24"/>
        </w:rPr>
        <w:t xml:space="preserve">som </w:t>
      </w:r>
      <w:r>
        <w:rPr>
          <w:iCs/>
          <w:sz w:val="24"/>
        </w:rPr>
        <w:t>aktionærer, der er hjemmehørende i udlandet</w:t>
      </w:r>
      <w:r w:rsidR="009F73C2">
        <w:rPr>
          <w:iCs/>
          <w:sz w:val="24"/>
        </w:rPr>
        <w:t>,</w:t>
      </w:r>
      <w:r>
        <w:rPr>
          <w:iCs/>
          <w:sz w:val="24"/>
        </w:rPr>
        <w:t xml:space="preserve"> modtager, skal</w:t>
      </w:r>
      <w:r w:rsidRPr="009F2D9F">
        <w:rPr>
          <w:iCs/>
          <w:sz w:val="24"/>
        </w:rPr>
        <w:t xml:space="preserve"> behandles som udbytte i de tilfælde, som er nævnt i</w:t>
      </w:r>
      <w:r>
        <w:rPr>
          <w:iCs/>
          <w:sz w:val="24"/>
        </w:rPr>
        <w:t xml:space="preserve"> ligningslovens § 16 A, stk. 3, nr. 1. Dette </w:t>
      </w:r>
      <w:r w:rsidRPr="00503ABA">
        <w:rPr>
          <w:iCs/>
          <w:sz w:val="24"/>
        </w:rPr>
        <w:t xml:space="preserve">indebærer, at </w:t>
      </w:r>
      <w:r>
        <w:rPr>
          <w:iCs/>
          <w:sz w:val="24"/>
        </w:rPr>
        <w:t>aktionærer</w:t>
      </w:r>
      <w:r w:rsidRPr="00503ABA">
        <w:rPr>
          <w:iCs/>
          <w:sz w:val="24"/>
        </w:rPr>
        <w:t xml:space="preserve">, der er hjemmehørende </w:t>
      </w:r>
      <w:r w:rsidR="00E4196F">
        <w:rPr>
          <w:iCs/>
          <w:sz w:val="24"/>
        </w:rPr>
        <w:t xml:space="preserve">i lande </w:t>
      </w:r>
      <w:r w:rsidRPr="00503ABA">
        <w:rPr>
          <w:iCs/>
          <w:sz w:val="24"/>
        </w:rPr>
        <w:t xml:space="preserve">uden for EU/EØS, </w:t>
      </w:r>
      <w:r w:rsidR="009F73C2">
        <w:rPr>
          <w:iCs/>
          <w:sz w:val="24"/>
        </w:rPr>
        <w:t xml:space="preserve">som </w:t>
      </w:r>
      <w:r w:rsidRPr="00503ABA">
        <w:rPr>
          <w:iCs/>
          <w:sz w:val="24"/>
        </w:rPr>
        <w:t>Danmark ikke har indgået en dobbeltbeskatningsoverenskomst, udbyttebe</w:t>
      </w:r>
      <w:r>
        <w:rPr>
          <w:iCs/>
          <w:sz w:val="24"/>
        </w:rPr>
        <w:t xml:space="preserve">skattes af </w:t>
      </w:r>
      <w:r w:rsidR="00964F46">
        <w:rPr>
          <w:iCs/>
          <w:sz w:val="24"/>
        </w:rPr>
        <w:t xml:space="preserve">den kontante udligningssum i form af </w:t>
      </w:r>
      <w:r w:rsidR="001023D0">
        <w:rPr>
          <w:iCs/>
          <w:sz w:val="24"/>
        </w:rPr>
        <w:t>likvidationsprovenuet.</w:t>
      </w:r>
      <w:r w:rsidRPr="00503ABA">
        <w:rPr>
          <w:iCs/>
          <w:sz w:val="24"/>
        </w:rPr>
        <w:t xml:space="preserve"> </w:t>
      </w:r>
    </w:p>
    <w:p w:rsidR="00C808A7" w:rsidRDefault="00C808A7" w:rsidP="000E5B01">
      <w:pPr>
        <w:rPr>
          <w:iCs/>
          <w:sz w:val="24"/>
        </w:rPr>
      </w:pPr>
    </w:p>
    <w:p w:rsidR="001140E4" w:rsidRDefault="001140E4" w:rsidP="000E5B01">
      <w:pPr>
        <w:rPr>
          <w:iCs/>
          <w:sz w:val="24"/>
        </w:rPr>
      </w:pPr>
      <w:r>
        <w:rPr>
          <w:iCs/>
          <w:sz w:val="24"/>
        </w:rPr>
        <w:t xml:space="preserve">Reglen i selskabsskattelovens § 2 D, der er nævnt ovenfor i </w:t>
      </w:r>
      <w:r w:rsidR="008165BC">
        <w:rPr>
          <w:iCs/>
          <w:sz w:val="24"/>
        </w:rPr>
        <w:t xml:space="preserve">afsnit 3.1. </w:t>
      </w:r>
      <w:r>
        <w:rPr>
          <w:iCs/>
          <w:sz w:val="24"/>
        </w:rPr>
        <w:t>om skattefrie omstruktureringer, finder også anvendelse ved skattepligtige omstruktureringer</w:t>
      </w:r>
      <w:r w:rsidR="00C46C33">
        <w:rPr>
          <w:iCs/>
          <w:sz w:val="24"/>
        </w:rPr>
        <w:t xml:space="preserve">. </w:t>
      </w:r>
    </w:p>
    <w:p w:rsidR="00F069C8" w:rsidRDefault="00F069C8" w:rsidP="000E5B01">
      <w:pPr>
        <w:rPr>
          <w:iCs/>
          <w:sz w:val="24"/>
        </w:rPr>
      </w:pPr>
    </w:p>
    <w:p w:rsidR="00F069C8" w:rsidRDefault="00F069C8" w:rsidP="00F069C8">
      <w:pPr>
        <w:rPr>
          <w:iCs/>
          <w:sz w:val="24"/>
        </w:rPr>
      </w:pPr>
      <w:r>
        <w:rPr>
          <w:iCs/>
          <w:sz w:val="24"/>
        </w:rPr>
        <w:t>Uanset om der anvendes en skattefri eller skattepligtig omstrukturering, vil en kontant udligningssum, der modtages i forbindelse med en fusion, spaltning eller aktieombytning, som udgangspunkt skulle behandles som en aktieavance, der beskattes lempeligere end en udbytteudlodning.</w:t>
      </w:r>
    </w:p>
    <w:p w:rsidR="00F069C8" w:rsidRDefault="00F069C8" w:rsidP="00F069C8">
      <w:pPr>
        <w:rPr>
          <w:iCs/>
          <w:sz w:val="24"/>
        </w:rPr>
      </w:pPr>
    </w:p>
    <w:p w:rsidR="00F069C8" w:rsidRDefault="00F069C8" w:rsidP="00F069C8">
      <w:pPr>
        <w:rPr>
          <w:iCs/>
          <w:sz w:val="24"/>
        </w:rPr>
      </w:pPr>
      <w:r>
        <w:rPr>
          <w:iCs/>
          <w:sz w:val="24"/>
        </w:rPr>
        <w:t xml:space="preserve">De nuværende regler kan altså medføre, at aktionærer – uden skattemæssige konsekvenser – kan tømme selskaber for overskudskapital, hvilket indebærer, at forrentningen af kapitalen ikke bliver genstand for beskatning, </w:t>
      </w:r>
      <w:r w:rsidR="002E2B7E">
        <w:rPr>
          <w:iCs/>
          <w:sz w:val="24"/>
        </w:rPr>
        <w:t xml:space="preserve">hvilket er </w:t>
      </w:r>
      <w:r>
        <w:rPr>
          <w:iCs/>
          <w:sz w:val="24"/>
        </w:rPr>
        <w:t>i strid med lovgivers hensigt.</w:t>
      </w:r>
    </w:p>
    <w:p w:rsidR="00CE488D" w:rsidRDefault="00CE488D" w:rsidP="00140528">
      <w:pPr>
        <w:rPr>
          <w:iCs/>
          <w:sz w:val="24"/>
        </w:rPr>
      </w:pPr>
      <w:r>
        <w:rPr>
          <w:iCs/>
          <w:sz w:val="24"/>
        </w:rPr>
        <w:t xml:space="preserve"> </w:t>
      </w:r>
    </w:p>
    <w:p w:rsidR="00285934" w:rsidRPr="00E73545" w:rsidRDefault="001140E4" w:rsidP="00285934">
      <w:pPr>
        <w:rPr>
          <w:i/>
          <w:iCs/>
          <w:sz w:val="24"/>
        </w:rPr>
      </w:pPr>
      <w:r>
        <w:rPr>
          <w:i/>
          <w:iCs/>
          <w:sz w:val="24"/>
        </w:rPr>
        <w:t>4</w:t>
      </w:r>
      <w:r w:rsidR="00376FD2" w:rsidRPr="00BC172D">
        <w:rPr>
          <w:i/>
          <w:iCs/>
          <w:sz w:val="24"/>
        </w:rPr>
        <w:t xml:space="preserve">. </w:t>
      </w:r>
      <w:r w:rsidR="00376FD2">
        <w:rPr>
          <w:i/>
          <w:iCs/>
          <w:sz w:val="24"/>
        </w:rPr>
        <w:t>Lovforslaget</w:t>
      </w:r>
    </w:p>
    <w:p w:rsidR="00E56326" w:rsidRDefault="00E56326" w:rsidP="00376FD2">
      <w:pPr>
        <w:rPr>
          <w:iCs/>
          <w:sz w:val="24"/>
        </w:rPr>
      </w:pPr>
    </w:p>
    <w:p w:rsidR="00CB7E19" w:rsidRDefault="001140E4" w:rsidP="00376FD2">
      <w:pPr>
        <w:rPr>
          <w:i/>
          <w:iCs/>
          <w:sz w:val="24"/>
        </w:rPr>
      </w:pPr>
      <w:r>
        <w:rPr>
          <w:i/>
          <w:iCs/>
          <w:sz w:val="24"/>
        </w:rPr>
        <w:t xml:space="preserve">4.1. </w:t>
      </w:r>
      <w:r w:rsidR="00CB7E19">
        <w:rPr>
          <w:i/>
          <w:iCs/>
          <w:sz w:val="24"/>
        </w:rPr>
        <w:t>Skattefri</w:t>
      </w:r>
      <w:r>
        <w:rPr>
          <w:i/>
          <w:iCs/>
          <w:sz w:val="24"/>
        </w:rPr>
        <w:t>e</w:t>
      </w:r>
      <w:r w:rsidR="00CB7E19">
        <w:rPr>
          <w:i/>
          <w:iCs/>
          <w:sz w:val="24"/>
        </w:rPr>
        <w:t xml:space="preserve"> omstruktureringer</w:t>
      </w:r>
      <w:r>
        <w:rPr>
          <w:i/>
          <w:iCs/>
          <w:sz w:val="24"/>
        </w:rPr>
        <w:t xml:space="preserve"> (aktionærniveau)</w:t>
      </w:r>
    </w:p>
    <w:p w:rsidR="00E56326" w:rsidRDefault="00E56326" w:rsidP="00376FD2">
      <w:pPr>
        <w:rPr>
          <w:iCs/>
          <w:sz w:val="24"/>
        </w:rPr>
      </w:pPr>
    </w:p>
    <w:p w:rsidR="00095CC5" w:rsidRDefault="009B4F0C" w:rsidP="00376FD2">
      <w:pPr>
        <w:rPr>
          <w:iCs/>
          <w:sz w:val="24"/>
        </w:rPr>
      </w:pPr>
      <w:r>
        <w:rPr>
          <w:iCs/>
          <w:sz w:val="24"/>
        </w:rPr>
        <w:t>For at hindre, at aktionærer kan tømme selskaber for overskudskapital, samtidig med at de bevarer ejerskabet, for</w:t>
      </w:r>
      <w:r w:rsidR="002E2B7E">
        <w:rPr>
          <w:iCs/>
          <w:sz w:val="24"/>
        </w:rPr>
        <w:t>e</w:t>
      </w:r>
      <w:r>
        <w:rPr>
          <w:iCs/>
          <w:sz w:val="24"/>
        </w:rPr>
        <w:t xml:space="preserve">slås det, at </w:t>
      </w:r>
      <w:r w:rsidR="00D64CF5">
        <w:rPr>
          <w:iCs/>
          <w:sz w:val="24"/>
        </w:rPr>
        <w:t>alle kontante udligningssummer, der modtages i forbindelse med skattefri fusion, spaltning og aktieombytning</w:t>
      </w:r>
      <w:r w:rsidR="002E2B7E">
        <w:rPr>
          <w:iCs/>
          <w:sz w:val="24"/>
        </w:rPr>
        <w:t>,</w:t>
      </w:r>
      <w:r w:rsidR="00D64CF5">
        <w:rPr>
          <w:iCs/>
          <w:sz w:val="24"/>
        </w:rPr>
        <w:t xml:space="preserve"> beskattes som udbytte</w:t>
      </w:r>
      <w:r w:rsidR="006F2D38">
        <w:rPr>
          <w:iCs/>
          <w:sz w:val="24"/>
        </w:rPr>
        <w:t xml:space="preserve">, forudsat at aktionæren efter omstruktureringen ejer aktier i et af de indskydende </w:t>
      </w:r>
      <w:r w:rsidR="009D27EB">
        <w:rPr>
          <w:iCs/>
          <w:sz w:val="24"/>
        </w:rPr>
        <w:t>eller</w:t>
      </w:r>
      <w:r w:rsidR="00BC5255">
        <w:rPr>
          <w:iCs/>
          <w:sz w:val="24"/>
        </w:rPr>
        <w:t xml:space="preserve"> </w:t>
      </w:r>
      <w:r w:rsidR="006F2D38">
        <w:rPr>
          <w:iCs/>
          <w:sz w:val="24"/>
        </w:rPr>
        <w:t>modtagende selskaber</w:t>
      </w:r>
      <w:r w:rsidR="00BC5255">
        <w:rPr>
          <w:iCs/>
          <w:sz w:val="24"/>
        </w:rPr>
        <w:t xml:space="preserve"> eller </w:t>
      </w:r>
      <w:r w:rsidR="009D27EB">
        <w:rPr>
          <w:iCs/>
          <w:sz w:val="24"/>
        </w:rPr>
        <w:t>selskaber</w:t>
      </w:r>
      <w:r w:rsidR="002E2B7E">
        <w:rPr>
          <w:iCs/>
          <w:sz w:val="24"/>
        </w:rPr>
        <w:t>,</w:t>
      </w:r>
      <w:r w:rsidR="009D27EB">
        <w:rPr>
          <w:iCs/>
          <w:sz w:val="24"/>
        </w:rPr>
        <w:t xml:space="preserve"> som er</w:t>
      </w:r>
      <w:r w:rsidR="00BC5255">
        <w:rPr>
          <w:iCs/>
          <w:sz w:val="24"/>
        </w:rPr>
        <w:t xml:space="preserve"> koncernforbundne </w:t>
      </w:r>
      <w:r w:rsidR="009D27EB">
        <w:rPr>
          <w:iCs/>
          <w:sz w:val="24"/>
        </w:rPr>
        <w:t>med de nævnte selskaber</w:t>
      </w:r>
      <w:r w:rsidR="00470964">
        <w:rPr>
          <w:iCs/>
          <w:sz w:val="24"/>
        </w:rPr>
        <w:t>.</w:t>
      </w:r>
      <w:r w:rsidR="00095CC5">
        <w:rPr>
          <w:iCs/>
          <w:sz w:val="24"/>
        </w:rPr>
        <w:t xml:space="preserve"> Forslaget medfører, at aktionærer, der opretholder ejerskabet til selskaberne, bliver udbyttebeskattet af</w:t>
      </w:r>
      <w:r w:rsidR="000E5B01">
        <w:rPr>
          <w:iCs/>
          <w:sz w:val="24"/>
        </w:rPr>
        <w:t xml:space="preserve"> den</w:t>
      </w:r>
      <w:r w:rsidR="00095CC5">
        <w:rPr>
          <w:iCs/>
          <w:sz w:val="24"/>
        </w:rPr>
        <w:t xml:space="preserve"> kontant</w:t>
      </w:r>
      <w:r w:rsidR="000E5B01">
        <w:rPr>
          <w:iCs/>
          <w:sz w:val="24"/>
        </w:rPr>
        <w:t>e udligningssum</w:t>
      </w:r>
      <w:r w:rsidR="00095CC5">
        <w:rPr>
          <w:iCs/>
          <w:sz w:val="24"/>
        </w:rPr>
        <w:t xml:space="preserve"> på samme måde, som hvis </w:t>
      </w:r>
      <w:r w:rsidR="000E5B01">
        <w:rPr>
          <w:iCs/>
          <w:sz w:val="24"/>
        </w:rPr>
        <w:t xml:space="preserve">den </w:t>
      </w:r>
      <w:r w:rsidR="00095CC5">
        <w:rPr>
          <w:iCs/>
          <w:sz w:val="24"/>
        </w:rPr>
        <w:t>kontant</w:t>
      </w:r>
      <w:r w:rsidR="000E5B01">
        <w:rPr>
          <w:iCs/>
          <w:sz w:val="24"/>
        </w:rPr>
        <w:t>e udligningssum</w:t>
      </w:r>
      <w:r w:rsidR="00095CC5">
        <w:rPr>
          <w:iCs/>
          <w:sz w:val="24"/>
        </w:rPr>
        <w:t xml:space="preserve"> var udloddet som sædvanligt udbytte.</w:t>
      </w:r>
    </w:p>
    <w:p w:rsidR="00B675D8" w:rsidRDefault="00B675D8" w:rsidP="00B675D8">
      <w:pPr>
        <w:rPr>
          <w:iCs/>
          <w:sz w:val="24"/>
        </w:rPr>
      </w:pPr>
    </w:p>
    <w:p w:rsidR="00B903C1" w:rsidRDefault="00B903C1" w:rsidP="00376FD2">
      <w:pPr>
        <w:rPr>
          <w:iCs/>
          <w:sz w:val="24"/>
        </w:rPr>
      </w:pPr>
      <w:r>
        <w:rPr>
          <w:iCs/>
          <w:sz w:val="24"/>
        </w:rPr>
        <w:t xml:space="preserve">De foreslåede </w:t>
      </w:r>
      <w:r w:rsidR="00B675D8">
        <w:rPr>
          <w:iCs/>
          <w:sz w:val="24"/>
        </w:rPr>
        <w:t>ændringer</w:t>
      </w:r>
      <w:r>
        <w:rPr>
          <w:iCs/>
          <w:sz w:val="24"/>
        </w:rPr>
        <w:t xml:space="preserve"> forhindrer ikke omstruktureringer, hvor der sker fuld vederlæggelse med aktier. Der ses </w:t>
      </w:r>
      <w:r w:rsidR="009E6BE1">
        <w:rPr>
          <w:iCs/>
          <w:sz w:val="24"/>
        </w:rPr>
        <w:t xml:space="preserve">dog </w:t>
      </w:r>
      <w:r>
        <w:rPr>
          <w:iCs/>
          <w:sz w:val="24"/>
        </w:rPr>
        <w:t>ikke umiddelbart at forekomme situationer, hvor der foreligger tvingende grunde til vederlæggelse som en kombination af aktier og kontante</w:t>
      </w:r>
      <w:r w:rsidR="00E54CD5">
        <w:rPr>
          <w:iCs/>
          <w:sz w:val="24"/>
        </w:rPr>
        <w:t xml:space="preserve"> udligningssummer</w:t>
      </w:r>
      <w:r w:rsidR="00D923C5">
        <w:rPr>
          <w:iCs/>
          <w:sz w:val="24"/>
        </w:rPr>
        <w:t xml:space="preserve"> i forbindelse med omstruktureringer</w:t>
      </w:r>
      <w:r>
        <w:rPr>
          <w:iCs/>
          <w:sz w:val="24"/>
        </w:rPr>
        <w:t xml:space="preserve">. </w:t>
      </w:r>
    </w:p>
    <w:p w:rsidR="00E525B5" w:rsidRDefault="00E525B5" w:rsidP="00376FD2">
      <w:pPr>
        <w:rPr>
          <w:iCs/>
          <w:sz w:val="24"/>
        </w:rPr>
      </w:pPr>
    </w:p>
    <w:p w:rsidR="00E525B5" w:rsidRDefault="00B903C1" w:rsidP="00376FD2">
      <w:pPr>
        <w:rPr>
          <w:iCs/>
          <w:sz w:val="24"/>
        </w:rPr>
      </w:pPr>
      <w:r>
        <w:rPr>
          <w:iCs/>
          <w:sz w:val="24"/>
        </w:rPr>
        <w:t>Det forhold, som</w:t>
      </w:r>
      <w:r w:rsidR="00A7106B">
        <w:rPr>
          <w:iCs/>
          <w:sz w:val="24"/>
        </w:rPr>
        <w:t xml:space="preserve"> særligt</w:t>
      </w:r>
      <w:r>
        <w:rPr>
          <w:iCs/>
          <w:sz w:val="24"/>
        </w:rPr>
        <w:t xml:space="preserve"> kan </w:t>
      </w:r>
      <w:r w:rsidR="009B58D6">
        <w:rPr>
          <w:iCs/>
          <w:sz w:val="24"/>
        </w:rPr>
        <w:t>begrunde</w:t>
      </w:r>
      <w:r>
        <w:rPr>
          <w:iCs/>
          <w:sz w:val="24"/>
        </w:rPr>
        <w:t xml:space="preserve"> </w:t>
      </w:r>
      <w:r w:rsidR="009D27EB">
        <w:rPr>
          <w:iCs/>
          <w:sz w:val="24"/>
        </w:rPr>
        <w:t>udbetalingen</w:t>
      </w:r>
      <w:r>
        <w:rPr>
          <w:iCs/>
          <w:sz w:val="24"/>
        </w:rPr>
        <w:t xml:space="preserve"> af kontante udligningssummer, ses </w:t>
      </w:r>
      <w:r w:rsidR="009B58D6">
        <w:rPr>
          <w:iCs/>
          <w:sz w:val="24"/>
        </w:rPr>
        <w:t>a</w:t>
      </w:r>
      <w:r>
        <w:rPr>
          <w:iCs/>
          <w:sz w:val="24"/>
        </w:rPr>
        <w:t xml:space="preserve">t forekomme, hvor det </w:t>
      </w:r>
      <w:r w:rsidR="009E6BE1">
        <w:rPr>
          <w:iCs/>
          <w:sz w:val="24"/>
        </w:rPr>
        <w:t xml:space="preserve">på grund af </w:t>
      </w:r>
      <w:r w:rsidR="009F7E4A">
        <w:rPr>
          <w:iCs/>
          <w:sz w:val="24"/>
        </w:rPr>
        <w:t>aktiernes stykstørrelse</w:t>
      </w:r>
      <w:r>
        <w:rPr>
          <w:iCs/>
          <w:sz w:val="24"/>
        </w:rPr>
        <w:t xml:space="preserve"> viser sig, at det ikke er muligt at udstede en hel aktie, de såkaldte ”spidser”. </w:t>
      </w:r>
      <w:r w:rsidR="009B58D6">
        <w:rPr>
          <w:iCs/>
          <w:sz w:val="24"/>
        </w:rPr>
        <w:t>D</w:t>
      </w:r>
      <w:r>
        <w:rPr>
          <w:iCs/>
          <w:sz w:val="24"/>
        </w:rPr>
        <w:t>isse ”spidser”</w:t>
      </w:r>
      <w:r w:rsidR="009B58D6">
        <w:rPr>
          <w:iCs/>
          <w:sz w:val="24"/>
        </w:rPr>
        <w:t xml:space="preserve"> beskattes</w:t>
      </w:r>
      <w:r>
        <w:rPr>
          <w:iCs/>
          <w:sz w:val="24"/>
        </w:rPr>
        <w:t xml:space="preserve"> efter gældende regler </w:t>
      </w:r>
      <w:r w:rsidR="00B511FF">
        <w:rPr>
          <w:iCs/>
          <w:sz w:val="24"/>
        </w:rPr>
        <w:t xml:space="preserve">allerede </w:t>
      </w:r>
      <w:r>
        <w:rPr>
          <w:iCs/>
          <w:sz w:val="24"/>
        </w:rPr>
        <w:t>som udbytte.</w:t>
      </w:r>
    </w:p>
    <w:p w:rsidR="00E525B5" w:rsidRDefault="00E525B5" w:rsidP="00376FD2">
      <w:pPr>
        <w:rPr>
          <w:iCs/>
          <w:sz w:val="24"/>
        </w:rPr>
      </w:pPr>
    </w:p>
    <w:p w:rsidR="00B903C1" w:rsidRDefault="00B903C1" w:rsidP="00376FD2">
      <w:pPr>
        <w:rPr>
          <w:iCs/>
          <w:sz w:val="24"/>
        </w:rPr>
      </w:pPr>
      <w:r>
        <w:rPr>
          <w:iCs/>
          <w:sz w:val="24"/>
        </w:rPr>
        <w:t xml:space="preserve">Aktionærer, der ønsker at udtræde delvist af selskabet, kan sælge aktier før omstruktureringen til almindelig aktieavancebeskatning. Der vil også være mulighed for at </w:t>
      </w:r>
      <w:r w:rsidR="009D27EB">
        <w:rPr>
          <w:iCs/>
          <w:sz w:val="24"/>
        </w:rPr>
        <w:t>udbetale</w:t>
      </w:r>
      <w:r>
        <w:rPr>
          <w:iCs/>
          <w:sz w:val="24"/>
        </w:rPr>
        <w:t xml:space="preserve"> vederlaget udelukkende i form af aktier, og aktionærerne kan herefter sælge aktier ligeledes til almindelig aktieavancebeskatning.</w:t>
      </w:r>
    </w:p>
    <w:p w:rsidR="00B00E45" w:rsidRDefault="00B00E45" w:rsidP="00376FD2">
      <w:pPr>
        <w:rPr>
          <w:iCs/>
          <w:sz w:val="24"/>
        </w:rPr>
      </w:pPr>
    </w:p>
    <w:p w:rsidR="00D923C5" w:rsidRDefault="00B675D8" w:rsidP="00B675D8">
      <w:pPr>
        <w:rPr>
          <w:iCs/>
          <w:sz w:val="24"/>
        </w:rPr>
      </w:pPr>
      <w:r>
        <w:rPr>
          <w:iCs/>
          <w:sz w:val="24"/>
        </w:rPr>
        <w:lastRenderedPageBreak/>
        <w:t xml:space="preserve">Forslaget om at beskatte alle kontante udligningssummer som udbytte sker med henblik på at sikre den udbyttebeskatning, der blev fastholdt ved </w:t>
      </w:r>
      <w:r w:rsidR="00FB1667">
        <w:rPr>
          <w:iCs/>
          <w:sz w:val="24"/>
        </w:rPr>
        <w:t>lov nr. 1255 af 18. december 2012 (L 49 Folketingsåret 2012/2013)</w:t>
      </w:r>
      <w:r>
        <w:rPr>
          <w:iCs/>
          <w:sz w:val="24"/>
        </w:rPr>
        <w:t>. Når den skattemæssige behandling af avancer og udbytter ikke er ens, er det afgørende, at der indføres de nødvendige værn for at sikre det, som lovgiver ønsker beskat</w:t>
      </w:r>
      <w:r w:rsidR="00D923C5">
        <w:rPr>
          <w:iCs/>
          <w:sz w:val="24"/>
        </w:rPr>
        <w:t>tet</w:t>
      </w:r>
      <w:r>
        <w:rPr>
          <w:iCs/>
          <w:sz w:val="24"/>
        </w:rPr>
        <w:t xml:space="preserve">. Såvel omgåelsen, der blev imødegået med </w:t>
      </w:r>
      <w:r w:rsidR="00FB1667">
        <w:rPr>
          <w:iCs/>
          <w:sz w:val="24"/>
        </w:rPr>
        <w:t>lov nr. 1254 af 18. december 2012 (L 10 Folketingsåret 2012/2013)</w:t>
      </w:r>
      <w:r>
        <w:rPr>
          <w:iCs/>
          <w:sz w:val="24"/>
        </w:rPr>
        <w:t xml:space="preserve">, som den nye omgåelse viser, at der er behov for </w:t>
      </w:r>
      <w:proofErr w:type="spellStart"/>
      <w:r>
        <w:rPr>
          <w:iCs/>
          <w:sz w:val="24"/>
        </w:rPr>
        <w:t>værnsregler</w:t>
      </w:r>
      <w:proofErr w:type="spellEnd"/>
      <w:r>
        <w:rPr>
          <w:iCs/>
          <w:sz w:val="24"/>
        </w:rPr>
        <w:t xml:space="preserve"> for </w:t>
      </w:r>
      <w:r w:rsidR="005F4774">
        <w:rPr>
          <w:iCs/>
          <w:sz w:val="24"/>
        </w:rPr>
        <w:t xml:space="preserve">at </w:t>
      </w:r>
      <w:r>
        <w:rPr>
          <w:iCs/>
          <w:sz w:val="24"/>
        </w:rPr>
        <w:t>sikre beskatningen af udbytter.</w:t>
      </w:r>
      <w:r w:rsidR="00D923C5">
        <w:rPr>
          <w:iCs/>
          <w:sz w:val="24"/>
        </w:rPr>
        <w:t xml:space="preserve"> Ved at ensarte den skattemæssige behandling af kontante udligningssummer</w:t>
      </w:r>
      <w:r w:rsidR="009D27EB">
        <w:rPr>
          <w:iCs/>
          <w:sz w:val="24"/>
        </w:rPr>
        <w:t xml:space="preserve"> imødegås spekulation </w:t>
      </w:r>
      <w:r w:rsidR="00D923C5">
        <w:rPr>
          <w:iCs/>
          <w:sz w:val="24"/>
        </w:rPr>
        <w:t xml:space="preserve">i at </w:t>
      </w:r>
      <w:r w:rsidR="009D27EB">
        <w:rPr>
          <w:iCs/>
          <w:sz w:val="24"/>
        </w:rPr>
        <w:t>konvertere</w:t>
      </w:r>
      <w:r w:rsidR="00D923C5">
        <w:rPr>
          <w:iCs/>
          <w:sz w:val="24"/>
        </w:rPr>
        <w:t xml:space="preserve"> skattepligtige udbytter til skattefrie udligningssummer</w:t>
      </w:r>
      <w:r w:rsidR="00F37195">
        <w:rPr>
          <w:iCs/>
          <w:sz w:val="24"/>
        </w:rPr>
        <w:t xml:space="preserve"> i forbindelse med fusion, spaltning og aktieombytning</w:t>
      </w:r>
      <w:r w:rsidR="00D923C5">
        <w:rPr>
          <w:iCs/>
          <w:sz w:val="24"/>
        </w:rPr>
        <w:t xml:space="preserve">. </w:t>
      </w:r>
    </w:p>
    <w:p w:rsidR="00B675D8" w:rsidRDefault="00B675D8" w:rsidP="00376FD2">
      <w:pPr>
        <w:rPr>
          <w:iCs/>
          <w:sz w:val="24"/>
        </w:rPr>
      </w:pPr>
    </w:p>
    <w:p w:rsidR="00095CC5" w:rsidRPr="00095CC5" w:rsidRDefault="001140E4" w:rsidP="00376FD2">
      <w:pPr>
        <w:rPr>
          <w:i/>
          <w:iCs/>
          <w:sz w:val="24"/>
        </w:rPr>
      </w:pPr>
      <w:r>
        <w:rPr>
          <w:i/>
          <w:iCs/>
          <w:sz w:val="24"/>
        </w:rPr>
        <w:t xml:space="preserve">4.2. </w:t>
      </w:r>
      <w:r w:rsidR="00095CC5">
        <w:rPr>
          <w:i/>
          <w:iCs/>
          <w:sz w:val="24"/>
        </w:rPr>
        <w:t>Skattepligtige omstruktureringer</w:t>
      </w:r>
      <w:r>
        <w:rPr>
          <w:i/>
          <w:iCs/>
          <w:sz w:val="24"/>
        </w:rPr>
        <w:t xml:space="preserve"> (aktionærniveau)</w:t>
      </w:r>
    </w:p>
    <w:p w:rsidR="00D64CF5" w:rsidRDefault="00D64CF5" w:rsidP="00376FD2">
      <w:pPr>
        <w:rPr>
          <w:iCs/>
          <w:sz w:val="24"/>
        </w:rPr>
      </w:pPr>
    </w:p>
    <w:p w:rsidR="00411EB1" w:rsidRDefault="00D923C5" w:rsidP="0090307F">
      <w:pPr>
        <w:rPr>
          <w:iCs/>
          <w:sz w:val="24"/>
        </w:rPr>
      </w:pPr>
      <w:r>
        <w:rPr>
          <w:iCs/>
          <w:sz w:val="24"/>
        </w:rPr>
        <w:t xml:space="preserve">For at sikre beskatningen </w:t>
      </w:r>
      <w:r w:rsidR="00557FFD">
        <w:rPr>
          <w:iCs/>
          <w:sz w:val="24"/>
        </w:rPr>
        <w:t xml:space="preserve">af udbytter </w:t>
      </w:r>
      <w:r>
        <w:rPr>
          <w:iCs/>
          <w:sz w:val="24"/>
        </w:rPr>
        <w:t xml:space="preserve">fuldt ud </w:t>
      </w:r>
      <w:r w:rsidR="00B675D8">
        <w:rPr>
          <w:iCs/>
          <w:sz w:val="24"/>
        </w:rPr>
        <w:t>foreslås</w:t>
      </w:r>
      <w:r>
        <w:rPr>
          <w:iCs/>
          <w:sz w:val="24"/>
        </w:rPr>
        <w:t xml:space="preserve"> det samtidig</w:t>
      </w:r>
      <w:r w:rsidR="00007AB9">
        <w:rPr>
          <w:iCs/>
          <w:sz w:val="24"/>
        </w:rPr>
        <w:t xml:space="preserve"> </w:t>
      </w:r>
      <w:r w:rsidR="00B66A81">
        <w:rPr>
          <w:iCs/>
          <w:sz w:val="24"/>
        </w:rPr>
        <w:t>at</w:t>
      </w:r>
      <w:r w:rsidR="00007AB9">
        <w:rPr>
          <w:iCs/>
          <w:sz w:val="24"/>
        </w:rPr>
        <w:t xml:space="preserve"> udvide</w:t>
      </w:r>
      <w:r w:rsidR="00B66A81">
        <w:rPr>
          <w:iCs/>
          <w:sz w:val="24"/>
        </w:rPr>
        <w:t xml:space="preserve"> anvendelsesområdet for</w:t>
      </w:r>
      <w:r w:rsidR="00007AB9">
        <w:rPr>
          <w:iCs/>
          <w:sz w:val="24"/>
        </w:rPr>
        <w:t xml:space="preserve"> selskabsskattelovens § 2 D</w:t>
      </w:r>
      <w:r w:rsidR="0090307F">
        <w:rPr>
          <w:iCs/>
          <w:sz w:val="24"/>
        </w:rPr>
        <w:t xml:space="preserve">. Hvis aktionærerne er skattefri af aktieavancer, hvilket </w:t>
      </w:r>
      <w:r w:rsidR="00EC098B">
        <w:rPr>
          <w:iCs/>
          <w:sz w:val="24"/>
        </w:rPr>
        <w:t>som udgangspunkt</w:t>
      </w:r>
      <w:r w:rsidR="0090307F">
        <w:rPr>
          <w:iCs/>
          <w:sz w:val="24"/>
        </w:rPr>
        <w:t xml:space="preserve"> gælder selskabsaktionærer, kan en konvertering af skattepligtigt udbytte til en skattefri </w:t>
      </w:r>
      <w:r w:rsidR="00EC098B">
        <w:rPr>
          <w:iCs/>
          <w:sz w:val="24"/>
        </w:rPr>
        <w:t xml:space="preserve">kontant </w:t>
      </w:r>
      <w:r w:rsidR="0090307F">
        <w:rPr>
          <w:iCs/>
          <w:sz w:val="24"/>
        </w:rPr>
        <w:t>udligningssum anvendes uden at gøre brug af skattefri fusion, spaltning eller aktieombytning.</w:t>
      </w:r>
      <w:r w:rsidR="00EC098B">
        <w:rPr>
          <w:iCs/>
          <w:sz w:val="24"/>
        </w:rPr>
        <w:t xml:space="preserve"> Udvidelsen af selskabsskattelovens § 2 D betyder, at den modtagne kontante udligningssum anses for at være udbytte.</w:t>
      </w:r>
    </w:p>
    <w:p w:rsidR="00E945C6" w:rsidRDefault="00E945C6" w:rsidP="00376FD2">
      <w:pPr>
        <w:rPr>
          <w:iCs/>
          <w:sz w:val="24"/>
        </w:rPr>
      </w:pPr>
    </w:p>
    <w:p w:rsidR="00E945C6" w:rsidRDefault="00E945C6" w:rsidP="00376FD2">
      <w:pPr>
        <w:rPr>
          <w:iCs/>
          <w:sz w:val="24"/>
        </w:rPr>
      </w:pPr>
      <w:r>
        <w:rPr>
          <w:iCs/>
          <w:sz w:val="24"/>
        </w:rPr>
        <w:t xml:space="preserve">For ikke at gøre </w:t>
      </w:r>
      <w:r w:rsidR="005F4774">
        <w:rPr>
          <w:iCs/>
          <w:sz w:val="24"/>
        </w:rPr>
        <w:t xml:space="preserve">bestemmelsen </w:t>
      </w:r>
      <w:r>
        <w:rPr>
          <w:iCs/>
          <w:sz w:val="24"/>
        </w:rPr>
        <w:t>bredere end nødvendigt, foreslås det</w:t>
      </w:r>
      <w:r w:rsidR="00444BFC">
        <w:rPr>
          <w:iCs/>
          <w:sz w:val="24"/>
        </w:rPr>
        <w:t xml:space="preserve"> i forbindelse med aktieombytninger</w:t>
      </w:r>
      <w:r>
        <w:rPr>
          <w:iCs/>
          <w:sz w:val="24"/>
        </w:rPr>
        <w:t>, at</w:t>
      </w:r>
      <w:r w:rsidR="00444BFC">
        <w:rPr>
          <w:iCs/>
          <w:sz w:val="24"/>
        </w:rPr>
        <w:t xml:space="preserve"> det kun er i de tilfælde, hvor der indgår tomme selskaber, at</w:t>
      </w:r>
      <w:r>
        <w:rPr>
          <w:iCs/>
          <w:sz w:val="24"/>
        </w:rPr>
        <w:t xml:space="preserve"> </w:t>
      </w:r>
      <w:proofErr w:type="gramStart"/>
      <w:r w:rsidR="00EC098B">
        <w:rPr>
          <w:iCs/>
          <w:sz w:val="24"/>
        </w:rPr>
        <w:t>de</w:t>
      </w:r>
      <w:proofErr w:type="gramEnd"/>
      <w:r w:rsidR="00541803">
        <w:rPr>
          <w:iCs/>
          <w:sz w:val="24"/>
        </w:rPr>
        <w:t xml:space="preserve"> </w:t>
      </w:r>
      <w:r w:rsidR="00BC5255">
        <w:rPr>
          <w:iCs/>
          <w:sz w:val="24"/>
        </w:rPr>
        <w:t xml:space="preserve">kontante </w:t>
      </w:r>
      <w:proofErr w:type="gramStart"/>
      <w:r w:rsidR="00BC5255">
        <w:rPr>
          <w:iCs/>
          <w:sz w:val="24"/>
        </w:rPr>
        <w:t>udligningssummer</w:t>
      </w:r>
      <w:proofErr w:type="gramEnd"/>
      <w:r w:rsidR="00541803">
        <w:rPr>
          <w:iCs/>
          <w:sz w:val="24"/>
        </w:rPr>
        <w:t xml:space="preserve"> </w:t>
      </w:r>
      <w:r w:rsidR="00EC098B">
        <w:rPr>
          <w:iCs/>
          <w:sz w:val="24"/>
        </w:rPr>
        <w:t>skal anses for at være</w:t>
      </w:r>
      <w:r>
        <w:rPr>
          <w:iCs/>
          <w:sz w:val="24"/>
        </w:rPr>
        <w:t xml:space="preserve"> udbytte.</w:t>
      </w:r>
    </w:p>
    <w:p w:rsidR="005D23DC" w:rsidRDefault="005D23DC" w:rsidP="00376FD2">
      <w:pPr>
        <w:rPr>
          <w:iCs/>
          <w:sz w:val="24"/>
        </w:rPr>
      </w:pPr>
    </w:p>
    <w:p w:rsidR="005D23DC" w:rsidRDefault="00A1326F" w:rsidP="00376FD2">
      <w:pPr>
        <w:rPr>
          <w:iCs/>
          <w:sz w:val="24"/>
        </w:rPr>
      </w:pPr>
      <w:r>
        <w:rPr>
          <w:iCs/>
          <w:sz w:val="24"/>
        </w:rPr>
        <w:t>Den model, der anvendes til at omgå udbyttebeskatningen, involvere</w:t>
      </w:r>
      <w:r w:rsidR="00755D8B">
        <w:rPr>
          <w:iCs/>
          <w:sz w:val="24"/>
        </w:rPr>
        <w:t>r</w:t>
      </w:r>
      <w:r>
        <w:rPr>
          <w:iCs/>
          <w:sz w:val="24"/>
        </w:rPr>
        <w:t xml:space="preserve"> typisk anvende</w:t>
      </w:r>
      <w:r w:rsidR="00F81134">
        <w:rPr>
          <w:iCs/>
          <w:sz w:val="24"/>
        </w:rPr>
        <w:t>l</w:t>
      </w:r>
      <w:r>
        <w:rPr>
          <w:iCs/>
          <w:sz w:val="24"/>
        </w:rPr>
        <w:t>s</w:t>
      </w:r>
      <w:r w:rsidR="00F81134">
        <w:rPr>
          <w:iCs/>
          <w:sz w:val="24"/>
        </w:rPr>
        <w:t>en af</w:t>
      </w:r>
      <w:r>
        <w:rPr>
          <w:iCs/>
          <w:sz w:val="24"/>
        </w:rPr>
        <w:t xml:space="preserve"> nystiftede selskaber, som på overdragelsestidspunktet i det væsentlige er uden økonomisk risiko ved erhvervsmæssig aktivitet, </w:t>
      </w:r>
      <w:r w:rsidR="00EC098B">
        <w:rPr>
          <w:iCs/>
          <w:sz w:val="24"/>
        </w:rPr>
        <w:t>dvs.</w:t>
      </w:r>
      <w:r>
        <w:rPr>
          <w:iCs/>
          <w:sz w:val="24"/>
        </w:rPr>
        <w:t xml:space="preserve"> tomme selskaber.</w:t>
      </w:r>
    </w:p>
    <w:p w:rsidR="00A1326F" w:rsidRDefault="00A1326F" w:rsidP="00376FD2">
      <w:pPr>
        <w:rPr>
          <w:iCs/>
          <w:sz w:val="24"/>
        </w:rPr>
      </w:pPr>
    </w:p>
    <w:p w:rsidR="00A1326F" w:rsidRDefault="00F81134" w:rsidP="00376FD2">
      <w:pPr>
        <w:rPr>
          <w:iCs/>
          <w:sz w:val="24"/>
        </w:rPr>
      </w:pPr>
      <w:r>
        <w:rPr>
          <w:iCs/>
          <w:sz w:val="24"/>
        </w:rPr>
        <w:t>Det foreslås at indføre udbyttebeskatnin</w:t>
      </w:r>
      <w:r w:rsidR="00BC5255">
        <w:rPr>
          <w:iCs/>
          <w:sz w:val="24"/>
        </w:rPr>
        <w:t xml:space="preserve">g af </w:t>
      </w:r>
      <w:r w:rsidR="00320A7E">
        <w:rPr>
          <w:iCs/>
          <w:sz w:val="24"/>
        </w:rPr>
        <w:t xml:space="preserve">de </w:t>
      </w:r>
      <w:r w:rsidR="00BC5255">
        <w:rPr>
          <w:iCs/>
          <w:sz w:val="24"/>
        </w:rPr>
        <w:t>kontante udligningssummer</w:t>
      </w:r>
      <w:r w:rsidR="00EC098B">
        <w:rPr>
          <w:iCs/>
          <w:sz w:val="24"/>
        </w:rPr>
        <w:t>,</w:t>
      </w:r>
      <w:r>
        <w:rPr>
          <w:iCs/>
          <w:sz w:val="24"/>
        </w:rPr>
        <w:t xml:space="preserve"> aktionærerne modtager, når der indskydes tomme selskaber</w:t>
      </w:r>
      <w:r w:rsidR="009D27EB">
        <w:rPr>
          <w:iCs/>
          <w:sz w:val="24"/>
        </w:rPr>
        <w:t>,</w:t>
      </w:r>
      <w:r>
        <w:rPr>
          <w:iCs/>
          <w:sz w:val="24"/>
        </w:rPr>
        <w:t xml:space="preserve"> for derved at sikre, at ellers skattepligtige udbytter ikke </w:t>
      </w:r>
      <w:r w:rsidR="00F41E0E">
        <w:rPr>
          <w:iCs/>
          <w:sz w:val="24"/>
        </w:rPr>
        <w:t>konverteres</w:t>
      </w:r>
      <w:r>
        <w:rPr>
          <w:iCs/>
          <w:sz w:val="24"/>
        </w:rPr>
        <w:t xml:space="preserve"> til skattefrie avancer.</w:t>
      </w:r>
    </w:p>
    <w:p w:rsidR="00755D8B" w:rsidRDefault="00755D8B" w:rsidP="00376FD2">
      <w:pPr>
        <w:rPr>
          <w:iCs/>
          <w:sz w:val="24"/>
        </w:rPr>
      </w:pPr>
    </w:p>
    <w:p w:rsidR="00B66A81" w:rsidRDefault="00A457FD" w:rsidP="00376FD2">
      <w:pPr>
        <w:rPr>
          <w:iCs/>
          <w:sz w:val="24"/>
        </w:rPr>
      </w:pPr>
      <w:r>
        <w:rPr>
          <w:iCs/>
          <w:sz w:val="24"/>
        </w:rPr>
        <w:t>Tomme selskaber, der i det væsentlige er uden økonomisk risiko ved erhvervsmæssig aktivitet, er et begreb, som er kendt og anvendt i anden skattelovg</w:t>
      </w:r>
      <w:r w:rsidR="00411EB1">
        <w:rPr>
          <w:iCs/>
          <w:sz w:val="24"/>
        </w:rPr>
        <w:t>ivning såsom s</w:t>
      </w:r>
      <w:r w:rsidR="00466B3D">
        <w:rPr>
          <w:iCs/>
          <w:sz w:val="24"/>
        </w:rPr>
        <w:t>elskabsskattelovens § 33 A, stk. 3.</w:t>
      </w:r>
    </w:p>
    <w:p w:rsidR="00A457FD" w:rsidRDefault="00A457FD" w:rsidP="00376FD2">
      <w:pPr>
        <w:rPr>
          <w:iCs/>
          <w:sz w:val="24"/>
        </w:rPr>
      </w:pPr>
    </w:p>
    <w:p w:rsidR="005E643D" w:rsidRDefault="005E643D" w:rsidP="005E643D">
      <w:pPr>
        <w:rPr>
          <w:iCs/>
          <w:sz w:val="24"/>
        </w:rPr>
      </w:pPr>
      <w:r>
        <w:rPr>
          <w:iCs/>
          <w:sz w:val="24"/>
        </w:rPr>
        <w:t>Efter</w:t>
      </w:r>
      <w:r w:rsidR="00A457FD">
        <w:rPr>
          <w:iCs/>
          <w:sz w:val="24"/>
        </w:rPr>
        <w:t xml:space="preserve"> selskabsskattelovens § 33 A stk. 3</w:t>
      </w:r>
      <w:r w:rsidR="00EC098B">
        <w:rPr>
          <w:iCs/>
          <w:sz w:val="24"/>
        </w:rPr>
        <w:t>,</w:t>
      </w:r>
      <w:r w:rsidR="00A457FD">
        <w:rPr>
          <w:iCs/>
          <w:sz w:val="24"/>
        </w:rPr>
        <w:t xml:space="preserve"> </w:t>
      </w:r>
      <w:r>
        <w:rPr>
          <w:iCs/>
          <w:sz w:val="24"/>
        </w:rPr>
        <w:t>er</w:t>
      </w:r>
      <w:r w:rsidR="00A457FD">
        <w:rPr>
          <w:iCs/>
          <w:sz w:val="24"/>
        </w:rPr>
        <w:t xml:space="preserve"> det</w:t>
      </w:r>
      <w:r>
        <w:rPr>
          <w:iCs/>
          <w:sz w:val="24"/>
        </w:rPr>
        <w:t xml:space="preserve"> en forudsætning for</w:t>
      </w:r>
      <w:r w:rsidR="00A457FD">
        <w:rPr>
          <w:iCs/>
          <w:sz w:val="24"/>
        </w:rPr>
        <w:t>, at</w:t>
      </w:r>
      <w:r>
        <w:rPr>
          <w:iCs/>
          <w:sz w:val="24"/>
        </w:rPr>
        <w:t xml:space="preserve"> hæftelsesreglen i samme bestemmelses stk. 1 finder anvendelse, at </w:t>
      </w:r>
      <w:r w:rsidRPr="005E643D">
        <w:rPr>
          <w:iCs/>
          <w:sz w:val="24"/>
        </w:rPr>
        <w:t>overdragelsen vedrører kapitalandele i et selskab, der på overdragelsestidspunktet i det væsentlige er uden økonomisk risiko ved erhvervsmæssig aktivitet</w:t>
      </w:r>
      <w:r>
        <w:rPr>
          <w:iCs/>
          <w:sz w:val="24"/>
        </w:rPr>
        <w:t>.</w:t>
      </w:r>
    </w:p>
    <w:p w:rsidR="005E643D" w:rsidRDefault="005E643D" w:rsidP="005E643D">
      <w:pPr>
        <w:rPr>
          <w:iCs/>
          <w:sz w:val="24"/>
        </w:rPr>
      </w:pPr>
    </w:p>
    <w:p w:rsidR="005E643D" w:rsidRDefault="005E643D" w:rsidP="005E643D">
      <w:pPr>
        <w:rPr>
          <w:iCs/>
          <w:sz w:val="24"/>
        </w:rPr>
      </w:pPr>
      <w:r>
        <w:rPr>
          <w:iCs/>
          <w:sz w:val="24"/>
        </w:rPr>
        <w:t xml:space="preserve">Tilsvarende bliver det en forudsætning for, at den foreslåede </w:t>
      </w:r>
      <w:proofErr w:type="spellStart"/>
      <w:r>
        <w:rPr>
          <w:iCs/>
          <w:sz w:val="24"/>
        </w:rPr>
        <w:t>værnsregel</w:t>
      </w:r>
      <w:proofErr w:type="spellEnd"/>
      <w:r>
        <w:rPr>
          <w:iCs/>
          <w:sz w:val="24"/>
        </w:rPr>
        <w:t xml:space="preserve"> finder anvendelse, at der som led i omstruktureringen indskydes et</w:t>
      </w:r>
      <w:r w:rsidR="00F85D45">
        <w:rPr>
          <w:iCs/>
          <w:sz w:val="24"/>
        </w:rPr>
        <w:t xml:space="preserve"> tomt </w:t>
      </w:r>
      <w:r>
        <w:rPr>
          <w:iCs/>
          <w:sz w:val="24"/>
        </w:rPr>
        <w:t>selskab, der i det væsent</w:t>
      </w:r>
      <w:r w:rsidR="00002958">
        <w:rPr>
          <w:iCs/>
          <w:sz w:val="24"/>
        </w:rPr>
        <w:t>lige er uden økonomisk risiko ve</w:t>
      </w:r>
      <w:r>
        <w:rPr>
          <w:iCs/>
          <w:sz w:val="24"/>
        </w:rPr>
        <w:t>d erhvervsmæssig aktivitet andet end erhvervelsen af aktier i det selskab, som skal foretage udlodning af udbytte.</w:t>
      </w:r>
    </w:p>
    <w:p w:rsidR="00DA6F66" w:rsidRDefault="00DA6F66" w:rsidP="005E643D">
      <w:pPr>
        <w:rPr>
          <w:iCs/>
          <w:sz w:val="24"/>
        </w:rPr>
      </w:pPr>
    </w:p>
    <w:p w:rsidR="00DA6F66" w:rsidRDefault="00DA6F66" w:rsidP="005E643D">
      <w:pPr>
        <w:rPr>
          <w:iCs/>
          <w:sz w:val="24"/>
        </w:rPr>
      </w:pPr>
      <w:r>
        <w:rPr>
          <w:iCs/>
          <w:sz w:val="24"/>
        </w:rPr>
        <w:t>At indskyde et tomt selskab</w:t>
      </w:r>
      <w:r w:rsidR="009D27EB">
        <w:rPr>
          <w:iCs/>
          <w:sz w:val="24"/>
        </w:rPr>
        <w:t>, samtidig med at der trækkes kontanter ud,</w:t>
      </w:r>
      <w:r>
        <w:rPr>
          <w:iCs/>
          <w:sz w:val="24"/>
        </w:rPr>
        <w:t xml:space="preserve"> ses </w:t>
      </w:r>
      <w:r w:rsidR="009F7068">
        <w:rPr>
          <w:iCs/>
          <w:sz w:val="24"/>
        </w:rPr>
        <w:t>i høj grad</w:t>
      </w:r>
      <w:r w:rsidR="00EC098B">
        <w:rPr>
          <w:iCs/>
          <w:sz w:val="24"/>
        </w:rPr>
        <w:t xml:space="preserve"> </w:t>
      </w:r>
      <w:r>
        <w:rPr>
          <w:iCs/>
          <w:sz w:val="24"/>
        </w:rPr>
        <w:t>at være motiveret af</w:t>
      </w:r>
      <w:r w:rsidR="00002958">
        <w:rPr>
          <w:iCs/>
          <w:sz w:val="24"/>
        </w:rPr>
        <w:t xml:space="preserve"> et ønske om</w:t>
      </w:r>
      <w:r>
        <w:rPr>
          <w:iCs/>
          <w:sz w:val="24"/>
        </w:rPr>
        <w:t xml:space="preserve"> at omgå udbyttebeskatningen.</w:t>
      </w:r>
      <w:r w:rsidR="00411EB1">
        <w:rPr>
          <w:iCs/>
          <w:sz w:val="24"/>
        </w:rPr>
        <w:t xml:space="preserve"> Når der anvendes tomme selskaber i kombination med udligningssummer, er der </w:t>
      </w:r>
      <w:r w:rsidR="009F7068">
        <w:rPr>
          <w:iCs/>
          <w:sz w:val="24"/>
        </w:rPr>
        <w:t>potentielt</w:t>
      </w:r>
      <w:r w:rsidR="00411EB1">
        <w:rPr>
          <w:iCs/>
          <w:sz w:val="24"/>
        </w:rPr>
        <w:t xml:space="preserve"> tale om at flytte penge ud af de </w:t>
      </w:r>
      <w:r w:rsidR="00411EB1">
        <w:rPr>
          <w:iCs/>
          <w:sz w:val="24"/>
        </w:rPr>
        <w:lastRenderedPageBreak/>
        <w:t>eksisterende virksomheder.</w:t>
      </w:r>
    </w:p>
    <w:p w:rsidR="006C7BF2" w:rsidRDefault="006C7BF2" w:rsidP="005E643D">
      <w:pPr>
        <w:rPr>
          <w:iCs/>
          <w:sz w:val="24"/>
        </w:rPr>
      </w:pPr>
    </w:p>
    <w:p w:rsidR="006C7BF2" w:rsidRDefault="006C7BF2" w:rsidP="005E643D">
      <w:pPr>
        <w:rPr>
          <w:sz w:val="24"/>
        </w:rPr>
      </w:pPr>
      <w:r>
        <w:rPr>
          <w:iCs/>
          <w:sz w:val="24"/>
        </w:rPr>
        <w:t>Ved skattepligtig fusion og spaltning foreslås det tilsvarende, at v</w:t>
      </w:r>
      <w:r>
        <w:rPr>
          <w:sz w:val="24"/>
        </w:rPr>
        <w:t>ederlag i andet end aktier i det modtagende selskab eller hermed koncernforbundne selskaber anses som udbytte, såfremt aktionæren efter omstruktureringen ejer aktier i det modtagende selskab eller hermed koncernforbundne selskaber</w:t>
      </w:r>
      <w:r w:rsidR="00C82F65">
        <w:rPr>
          <w:sz w:val="24"/>
        </w:rPr>
        <w:t xml:space="preserve">. Udbyttebeskatningen af kontante udligningssummer ved skattepligtig fusion og spaltning er ikke begrænset til omstruktureringer, hvori der indgår tomme selskaber. Hermed opnås en ensartet beskatning af kontante udligningssummer, uanset om der er tale om skattefri eller </w:t>
      </w:r>
      <w:r w:rsidR="00B02715">
        <w:rPr>
          <w:sz w:val="24"/>
        </w:rPr>
        <w:t>s</w:t>
      </w:r>
      <w:r w:rsidR="00C82F65">
        <w:rPr>
          <w:sz w:val="24"/>
        </w:rPr>
        <w:t>kattepligtig fusion og spaltning.</w:t>
      </w:r>
    </w:p>
    <w:p w:rsidR="00B02715" w:rsidRDefault="00B02715" w:rsidP="005E643D">
      <w:pPr>
        <w:rPr>
          <w:sz w:val="24"/>
        </w:rPr>
      </w:pPr>
    </w:p>
    <w:p w:rsidR="00B02715" w:rsidRPr="005E643D" w:rsidRDefault="00EC6C04" w:rsidP="005E643D">
      <w:pPr>
        <w:rPr>
          <w:iCs/>
          <w:sz w:val="24"/>
        </w:rPr>
      </w:pPr>
      <w:r>
        <w:rPr>
          <w:sz w:val="24"/>
        </w:rPr>
        <w:t>U</w:t>
      </w:r>
      <w:r w:rsidR="00B02715">
        <w:rPr>
          <w:sz w:val="24"/>
        </w:rPr>
        <w:t xml:space="preserve">dbyttebeskatning af kontante udligningssummer ved </w:t>
      </w:r>
      <w:r>
        <w:rPr>
          <w:sz w:val="24"/>
        </w:rPr>
        <w:t xml:space="preserve">skattepligtige </w:t>
      </w:r>
      <w:r w:rsidR="00B02715">
        <w:rPr>
          <w:sz w:val="24"/>
        </w:rPr>
        <w:t xml:space="preserve">aktieombytninger er som anført begrænset til situationer, hvor </w:t>
      </w:r>
      <w:r>
        <w:rPr>
          <w:sz w:val="24"/>
        </w:rPr>
        <w:t>der indskydes et tomt selskab. Hvis udbyttebeskatningen af kontante udligningssummer ikke indeholdt denne begrænsning ved skattepligtig aktieombytning, ville udbyttebeskatningen kunne omfatte sædvanlige aktiesalg, hvor aktionæren fortsat ejer aktier i et koncernforbundet selskab.</w:t>
      </w:r>
    </w:p>
    <w:p w:rsidR="00A457FD" w:rsidRDefault="00A457FD" w:rsidP="00376FD2">
      <w:pPr>
        <w:rPr>
          <w:iCs/>
          <w:sz w:val="24"/>
        </w:rPr>
      </w:pPr>
    </w:p>
    <w:p w:rsidR="005E643D" w:rsidRDefault="005E643D" w:rsidP="00376FD2">
      <w:pPr>
        <w:rPr>
          <w:iCs/>
          <w:sz w:val="24"/>
        </w:rPr>
      </w:pPr>
      <w:r>
        <w:rPr>
          <w:iCs/>
          <w:sz w:val="24"/>
        </w:rPr>
        <w:t xml:space="preserve">I modsætning til </w:t>
      </w:r>
      <w:r w:rsidR="00002958">
        <w:rPr>
          <w:iCs/>
          <w:sz w:val="24"/>
        </w:rPr>
        <w:t xml:space="preserve">den </w:t>
      </w:r>
      <w:r w:rsidR="00411EB1">
        <w:rPr>
          <w:iCs/>
          <w:sz w:val="24"/>
        </w:rPr>
        <w:t>gældende</w:t>
      </w:r>
      <w:r w:rsidR="00002958">
        <w:rPr>
          <w:iCs/>
          <w:sz w:val="24"/>
        </w:rPr>
        <w:t xml:space="preserve"> </w:t>
      </w:r>
      <w:r>
        <w:rPr>
          <w:iCs/>
          <w:sz w:val="24"/>
        </w:rPr>
        <w:t>selskabsskattelovs § 2 D</w:t>
      </w:r>
      <w:r w:rsidR="00002958">
        <w:rPr>
          <w:iCs/>
          <w:sz w:val="24"/>
        </w:rPr>
        <w:t xml:space="preserve">, stk. 1 og 2, </w:t>
      </w:r>
      <w:r>
        <w:rPr>
          <w:iCs/>
          <w:sz w:val="24"/>
        </w:rPr>
        <w:t xml:space="preserve">bliver det ikke et krav, at der i ejerkredsen er en koncernforbindelse. </w:t>
      </w:r>
      <w:r w:rsidR="009D27EB">
        <w:rPr>
          <w:iCs/>
          <w:sz w:val="24"/>
        </w:rPr>
        <w:t xml:space="preserve"> </w:t>
      </w:r>
      <w:r>
        <w:rPr>
          <w:iCs/>
          <w:sz w:val="24"/>
        </w:rPr>
        <w:t xml:space="preserve">Den foreslåede </w:t>
      </w:r>
      <w:r w:rsidR="00002958">
        <w:rPr>
          <w:iCs/>
          <w:sz w:val="24"/>
        </w:rPr>
        <w:t>udvidelse af selskabsskattelovens § 2 D</w:t>
      </w:r>
      <w:r w:rsidR="009D27EB">
        <w:rPr>
          <w:iCs/>
          <w:sz w:val="24"/>
        </w:rPr>
        <w:t xml:space="preserve"> vil i lighed med den gældende bestemmelse</w:t>
      </w:r>
      <w:r>
        <w:rPr>
          <w:iCs/>
          <w:sz w:val="24"/>
        </w:rPr>
        <w:t xml:space="preserve"> finde anvendelse </w:t>
      </w:r>
      <w:r w:rsidR="00E83A11">
        <w:rPr>
          <w:iCs/>
          <w:sz w:val="24"/>
        </w:rPr>
        <w:t>ved</w:t>
      </w:r>
      <w:r>
        <w:rPr>
          <w:iCs/>
          <w:sz w:val="24"/>
        </w:rPr>
        <w:t xml:space="preserve"> alle former for </w:t>
      </w:r>
      <w:r w:rsidR="009D27EB">
        <w:rPr>
          <w:iCs/>
          <w:sz w:val="24"/>
        </w:rPr>
        <w:t xml:space="preserve">skattefrie og </w:t>
      </w:r>
      <w:r w:rsidR="007C12A2">
        <w:rPr>
          <w:iCs/>
          <w:sz w:val="24"/>
        </w:rPr>
        <w:t>skattepligtige</w:t>
      </w:r>
      <w:r w:rsidR="009D27EB">
        <w:rPr>
          <w:iCs/>
          <w:sz w:val="24"/>
        </w:rPr>
        <w:t xml:space="preserve"> </w:t>
      </w:r>
      <w:r>
        <w:rPr>
          <w:iCs/>
          <w:sz w:val="24"/>
        </w:rPr>
        <w:t>omstruktu</w:t>
      </w:r>
      <w:r w:rsidR="00BC5255">
        <w:rPr>
          <w:iCs/>
          <w:sz w:val="24"/>
        </w:rPr>
        <w:t>reringer, hvor der opnås kontante udligningssummer</w:t>
      </w:r>
      <w:r>
        <w:rPr>
          <w:iCs/>
          <w:sz w:val="24"/>
        </w:rPr>
        <w:t>.</w:t>
      </w:r>
    </w:p>
    <w:p w:rsidR="00277EB6" w:rsidRPr="00277EB6" w:rsidRDefault="00277EB6" w:rsidP="00376FD2">
      <w:pPr>
        <w:rPr>
          <w:iCs/>
          <w:sz w:val="24"/>
        </w:rPr>
      </w:pPr>
    </w:p>
    <w:p w:rsidR="00376FD2" w:rsidRPr="00BC172D" w:rsidRDefault="001140E4" w:rsidP="00376FD2">
      <w:pPr>
        <w:rPr>
          <w:i/>
          <w:iCs/>
          <w:sz w:val="24"/>
        </w:rPr>
      </w:pPr>
      <w:r>
        <w:rPr>
          <w:i/>
          <w:iCs/>
          <w:sz w:val="24"/>
        </w:rPr>
        <w:t>5</w:t>
      </w:r>
      <w:r w:rsidR="00376FD2" w:rsidRPr="00BC172D">
        <w:rPr>
          <w:i/>
          <w:iCs/>
          <w:sz w:val="24"/>
        </w:rPr>
        <w:t xml:space="preserve">. Økonomiske konsekvenser for det offentlige </w:t>
      </w:r>
    </w:p>
    <w:p w:rsidR="00376FD2" w:rsidRDefault="00376FD2" w:rsidP="00376FD2">
      <w:pPr>
        <w:rPr>
          <w:sz w:val="24"/>
        </w:rPr>
      </w:pPr>
    </w:p>
    <w:p w:rsidR="00D264A8" w:rsidRDefault="00E23BDE" w:rsidP="00376FD2">
      <w:pPr>
        <w:rPr>
          <w:sz w:val="24"/>
        </w:rPr>
      </w:pPr>
      <w:r>
        <w:rPr>
          <w:sz w:val="24"/>
        </w:rPr>
        <w:t xml:space="preserve">Lovforslaget </w:t>
      </w:r>
      <w:r w:rsidR="009A5AA8">
        <w:rPr>
          <w:sz w:val="24"/>
        </w:rPr>
        <w:t>om at</w:t>
      </w:r>
      <w:r>
        <w:rPr>
          <w:sz w:val="24"/>
        </w:rPr>
        <w:t xml:space="preserve"> betragte </w:t>
      </w:r>
      <w:r w:rsidR="009A5AA8">
        <w:rPr>
          <w:sz w:val="24"/>
        </w:rPr>
        <w:t xml:space="preserve">kontante udligningssummer ved omstruktureringer som udbytte </w:t>
      </w:r>
      <w:r>
        <w:rPr>
          <w:sz w:val="24"/>
        </w:rPr>
        <w:t xml:space="preserve">har karakter af en </w:t>
      </w:r>
      <w:proofErr w:type="spellStart"/>
      <w:r>
        <w:rPr>
          <w:sz w:val="24"/>
        </w:rPr>
        <w:t>værnsregel</w:t>
      </w:r>
      <w:proofErr w:type="spellEnd"/>
      <w:r>
        <w:rPr>
          <w:sz w:val="24"/>
        </w:rPr>
        <w:t>, som vil forhindre utilsigte</w:t>
      </w:r>
      <w:r w:rsidR="009A5AA8">
        <w:rPr>
          <w:sz w:val="24"/>
        </w:rPr>
        <w:t>de</w:t>
      </w:r>
      <w:r>
        <w:rPr>
          <w:sz w:val="24"/>
        </w:rPr>
        <w:t xml:space="preserve"> provenutab vedrørende udbyttebeskatningen.</w:t>
      </w:r>
    </w:p>
    <w:p w:rsidR="00D264A8" w:rsidRPr="00BC172D" w:rsidRDefault="00D264A8" w:rsidP="00376FD2">
      <w:pPr>
        <w:rPr>
          <w:sz w:val="24"/>
        </w:rPr>
      </w:pPr>
    </w:p>
    <w:p w:rsidR="00376FD2" w:rsidRPr="00BC172D" w:rsidRDefault="001140E4" w:rsidP="00376FD2">
      <w:pPr>
        <w:rPr>
          <w:i/>
          <w:iCs/>
          <w:sz w:val="24"/>
        </w:rPr>
      </w:pPr>
      <w:r>
        <w:rPr>
          <w:i/>
          <w:iCs/>
          <w:sz w:val="24"/>
        </w:rPr>
        <w:t>6</w:t>
      </w:r>
      <w:r w:rsidR="00376FD2" w:rsidRPr="00BC172D">
        <w:rPr>
          <w:i/>
          <w:iCs/>
          <w:sz w:val="24"/>
        </w:rPr>
        <w:t xml:space="preserve">. Administrative konsekvenser for det offentlige </w:t>
      </w:r>
    </w:p>
    <w:p w:rsidR="00376FD2" w:rsidRDefault="00376FD2" w:rsidP="00376FD2">
      <w:pPr>
        <w:rPr>
          <w:sz w:val="24"/>
        </w:rPr>
      </w:pPr>
    </w:p>
    <w:p w:rsidR="00EC098B" w:rsidRDefault="0062345C" w:rsidP="00376FD2">
      <w:pPr>
        <w:rPr>
          <w:sz w:val="24"/>
        </w:rPr>
      </w:pPr>
      <w:r>
        <w:rPr>
          <w:sz w:val="24"/>
        </w:rPr>
        <w:t>SKAT vurderer, at der ikke er nævneværdige</w:t>
      </w:r>
      <w:r w:rsidR="00A5039D">
        <w:rPr>
          <w:sz w:val="24"/>
        </w:rPr>
        <w:t xml:space="preserve"> administrative konsekvenser forbundet med lovforslaget.</w:t>
      </w:r>
    </w:p>
    <w:p w:rsidR="00D264A8" w:rsidRPr="00BC172D" w:rsidRDefault="00D264A8" w:rsidP="00376FD2">
      <w:pPr>
        <w:rPr>
          <w:sz w:val="24"/>
        </w:rPr>
      </w:pPr>
    </w:p>
    <w:p w:rsidR="00376FD2" w:rsidRPr="00BC172D" w:rsidRDefault="001140E4" w:rsidP="00376FD2">
      <w:pPr>
        <w:rPr>
          <w:i/>
          <w:iCs/>
          <w:sz w:val="24"/>
        </w:rPr>
      </w:pPr>
      <w:r>
        <w:rPr>
          <w:i/>
          <w:iCs/>
          <w:sz w:val="24"/>
        </w:rPr>
        <w:t>7</w:t>
      </w:r>
      <w:r w:rsidR="00376FD2" w:rsidRPr="00BC172D">
        <w:rPr>
          <w:i/>
          <w:iCs/>
          <w:sz w:val="24"/>
        </w:rPr>
        <w:t xml:space="preserve">. Økonomiske konsekvenser for erhvervslivet </w:t>
      </w:r>
    </w:p>
    <w:p w:rsidR="00376FD2" w:rsidRDefault="00376FD2" w:rsidP="00376FD2">
      <w:pPr>
        <w:rPr>
          <w:sz w:val="24"/>
        </w:rPr>
      </w:pPr>
    </w:p>
    <w:p w:rsidR="00D264A8" w:rsidRDefault="00E23BDE" w:rsidP="00376FD2">
      <w:pPr>
        <w:rPr>
          <w:sz w:val="24"/>
        </w:rPr>
      </w:pPr>
      <w:r>
        <w:rPr>
          <w:sz w:val="24"/>
        </w:rPr>
        <w:t>Lovforslaget har ingen økonomiske konsekvenser for erhvervslivet.</w:t>
      </w:r>
    </w:p>
    <w:p w:rsidR="00D264A8" w:rsidRPr="00BC172D" w:rsidRDefault="00D264A8" w:rsidP="00376FD2">
      <w:pPr>
        <w:rPr>
          <w:sz w:val="24"/>
        </w:rPr>
      </w:pPr>
    </w:p>
    <w:p w:rsidR="00376FD2" w:rsidRPr="00BC172D" w:rsidRDefault="001140E4" w:rsidP="00376FD2">
      <w:pPr>
        <w:rPr>
          <w:i/>
          <w:iCs/>
          <w:sz w:val="24"/>
        </w:rPr>
      </w:pPr>
      <w:r>
        <w:rPr>
          <w:i/>
          <w:iCs/>
          <w:sz w:val="24"/>
        </w:rPr>
        <w:t>8</w:t>
      </w:r>
      <w:r w:rsidR="00376FD2" w:rsidRPr="00BC172D">
        <w:rPr>
          <w:i/>
          <w:iCs/>
          <w:sz w:val="24"/>
        </w:rPr>
        <w:t xml:space="preserve">. Administrative konsekvenser for erhvervslivet </w:t>
      </w:r>
    </w:p>
    <w:p w:rsidR="00376FD2" w:rsidRDefault="00376FD2" w:rsidP="00376FD2">
      <w:pPr>
        <w:rPr>
          <w:sz w:val="24"/>
        </w:rPr>
      </w:pPr>
    </w:p>
    <w:p w:rsidR="006D09C3" w:rsidRDefault="006D09C3" w:rsidP="00376FD2">
      <w:pPr>
        <w:rPr>
          <w:sz w:val="24"/>
        </w:rPr>
      </w:pPr>
      <w:r>
        <w:rPr>
          <w:sz w:val="24"/>
        </w:rPr>
        <w:t>Lovforslaget har ingen administrative konsekvenser for erhvervslivet.</w:t>
      </w:r>
    </w:p>
    <w:p w:rsidR="006D09C3" w:rsidRPr="00BC172D" w:rsidRDefault="006D09C3" w:rsidP="00376FD2">
      <w:pPr>
        <w:rPr>
          <w:sz w:val="24"/>
        </w:rPr>
      </w:pPr>
    </w:p>
    <w:p w:rsidR="00376FD2" w:rsidRPr="00BC172D" w:rsidRDefault="001140E4" w:rsidP="00376FD2">
      <w:pPr>
        <w:rPr>
          <w:i/>
          <w:iCs/>
          <w:sz w:val="24"/>
        </w:rPr>
      </w:pPr>
      <w:r>
        <w:rPr>
          <w:i/>
          <w:iCs/>
          <w:sz w:val="24"/>
        </w:rPr>
        <w:t>9</w:t>
      </w:r>
      <w:r w:rsidR="00376FD2" w:rsidRPr="00BC172D">
        <w:rPr>
          <w:i/>
          <w:iCs/>
          <w:sz w:val="24"/>
        </w:rPr>
        <w:t xml:space="preserve">. Administrative konsekvenser for borgerne  </w:t>
      </w:r>
    </w:p>
    <w:p w:rsidR="006D09C3" w:rsidRDefault="006D09C3" w:rsidP="00376FD2">
      <w:pPr>
        <w:rPr>
          <w:sz w:val="24"/>
        </w:rPr>
      </w:pPr>
    </w:p>
    <w:p w:rsidR="00376FD2" w:rsidRDefault="006D09C3" w:rsidP="00376FD2">
      <w:pPr>
        <w:rPr>
          <w:sz w:val="24"/>
        </w:rPr>
      </w:pPr>
      <w:r>
        <w:rPr>
          <w:sz w:val="24"/>
        </w:rPr>
        <w:t>Lovforslaget har ingen administrative konsekvenser for borgerne.</w:t>
      </w:r>
    </w:p>
    <w:p w:rsidR="006D09C3" w:rsidRPr="00BC172D" w:rsidRDefault="006D09C3" w:rsidP="00376FD2">
      <w:pPr>
        <w:rPr>
          <w:sz w:val="24"/>
        </w:rPr>
      </w:pPr>
    </w:p>
    <w:p w:rsidR="00376FD2" w:rsidRPr="00BC172D" w:rsidRDefault="001140E4" w:rsidP="00376FD2">
      <w:pPr>
        <w:rPr>
          <w:i/>
          <w:iCs/>
          <w:sz w:val="24"/>
        </w:rPr>
      </w:pPr>
      <w:r>
        <w:rPr>
          <w:i/>
          <w:iCs/>
          <w:sz w:val="24"/>
        </w:rPr>
        <w:t>10</w:t>
      </w:r>
      <w:r w:rsidR="00376FD2" w:rsidRPr="00BC172D">
        <w:rPr>
          <w:i/>
          <w:iCs/>
          <w:sz w:val="24"/>
        </w:rPr>
        <w:t>. Miljømæssige konsekvenser</w:t>
      </w:r>
    </w:p>
    <w:p w:rsidR="00376FD2" w:rsidRDefault="00376FD2" w:rsidP="00376FD2">
      <w:pPr>
        <w:rPr>
          <w:sz w:val="24"/>
        </w:rPr>
      </w:pPr>
    </w:p>
    <w:p w:rsidR="006D09C3" w:rsidRDefault="006D09C3" w:rsidP="00376FD2">
      <w:pPr>
        <w:rPr>
          <w:sz w:val="24"/>
        </w:rPr>
      </w:pPr>
      <w:r>
        <w:rPr>
          <w:sz w:val="24"/>
        </w:rPr>
        <w:t>Lovforslaget har ingen miljømæssige konsekvenser.</w:t>
      </w:r>
    </w:p>
    <w:p w:rsidR="006D09C3" w:rsidRPr="00BC172D" w:rsidRDefault="006D09C3" w:rsidP="00376FD2">
      <w:pPr>
        <w:rPr>
          <w:sz w:val="24"/>
        </w:rPr>
      </w:pPr>
    </w:p>
    <w:p w:rsidR="00376FD2" w:rsidRPr="00BC172D" w:rsidRDefault="00376FD2" w:rsidP="00376FD2">
      <w:pPr>
        <w:rPr>
          <w:i/>
          <w:iCs/>
          <w:sz w:val="24"/>
        </w:rPr>
      </w:pPr>
      <w:r w:rsidRPr="00BC172D">
        <w:rPr>
          <w:i/>
          <w:iCs/>
          <w:sz w:val="24"/>
        </w:rPr>
        <w:lastRenderedPageBreak/>
        <w:t>1</w:t>
      </w:r>
      <w:r w:rsidR="001140E4">
        <w:rPr>
          <w:i/>
          <w:iCs/>
          <w:sz w:val="24"/>
        </w:rPr>
        <w:t>1</w:t>
      </w:r>
      <w:r w:rsidRPr="00BC172D">
        <w:rPr>
          <w:i/>
          <w:iCs/>
          <w:sz w:val="24"/>
        </w:rPr>
        <w:t>. Forholdet til EU-retten</w:t>
      </w:r>
    </w:p>
    <w:p w:rsidR="00376FD2" w:rsidRDefault="00376FD2" w:rsidP="00376FD2">
      <w:pPr>
        <w:rPr>
          <w:sz w:val="24"/>
        </w:rPr>
      </w:pPr>
    </w:p>
    <w:p w:rsidR="00B71A8F" w:rsidRDefault="00B71A8F" w:rsidP="00376FD2">
      <w:pPr>
        <w:rPr>
          <w:sz w:val="24"/>
        </w:rPr>
      </w:pPr>
      <w:r>
        <w:rPr>
          <w:sz w:val="24"/>
        </w:rPr>
        <w:t>Lovforslaget indeholder ikke EU-retlige aspekter.</w:t>
      </w:r>
    </w:p>
    <w:p w:rsidR="00B71A8F" w:rsidRPr="00BC172D" w:rsidRDefault="00B71A8F" w:rsidP="00376FD2">
      <w:pPr>
        <w:rPr>
          <w:sz w:val="24"/>
        </w:rPr>
      </w:pPr>
    </w:p>
    <w:p w:rsidR="00376FD2" w:rsidRPr="00BC172D" w:rsidRDefault="00376FD2" w:rsidP="00376FD2">
      <w:pPr>
        <w:spacing w:line="288" w:lineRule="auto"/>
        <w:rPr>
          <w:i/>
          <w:iCs/>
          <w:sz w:val="24"/>
        </w:rPr>
      </w:pPr>
      <w:r w:rsidRPr="00BC172D">
        <w:rPr>
          <w:i/>
          <w:iCs/>
          <w:sz w:val="24"/>
        </w:rPr>
        <w:t>1</w:t>
      </w:r>
      <w:r w:rsidR="001140E4">
        <w:rPr>
          <w:i/>
          <w:iCs/>
          <w:sz w:val="24"/>
        </w:rPr>
        <w:t>2</w:t>
      </w:r>
      <w:r w:rsidRPr="00BC172D">
        <w:rPr>
          <w:i/>
          <w:iCs/>
          <w:sz w:val="24"/>
        </w:rPr>
        <w:t xml:space="preserve">. Hørte myndigheder og organisationer m.v.  </w:t>
      </w:r>
    </w:p>
    <w:p w:rsidR="00376FD2" w:rsidRDefault="00376FD2" w:rsidP="00376FD2">
      <w:pPr>
        <w:rPr>
          <w:sz w:val="24"/>
        </w:rPr>
      </w:pPr>
    </w:p>
    <w:p w:rsidR="00285887" w:rsidRDefault="00285887" w:rsidP="00376FD2">
      <w:pPr>
        <w:rPr>
          <w:sz w:val="24"/>
        </w:rPr>
      </w:pPr>
      <w:r>
        <w:rPr>
          <w:sz w:val="24"/>
        </w:rPr>
        <w:t>Lovforslaget har ikke været i høring</w:t>
      </w:r>
      <w:r w:rsidR="00EC098B">
        <w:rPr>
          <w:sz w:val="24"/>
        </w:rPr>
        <w:t xml:space="preserve"> inden fremsættelsen</w:t>
      </w:r>
      <w:r>
        <w:rPr>
          <w:sz w:val="24"/>
        </w:rPr>
        <w:t>, idet der er tale om lukning af et hul i skattelovgivningen</w:t>
      </w:r>
      <w:r w:rsidR="006D09C3">
        <w:rPr>
          <w:sz w:val="24"/>
        </w:rPr>
        <w:t>, som skal have virkning fra forslagets fremsættelse. Lovforslaget sendes i høring samtidig med fremsættelsen til følgende:</w:t>
      </w:r>
    </w:p>
    <w:p w:rsidR="006D09C3" w:rsidRDefault="006D09C3" w:rsidP="00376FD2">
      <w:pPr>
        <w:rPr>
          <w:sz w:val="24"/>
        </w:rPr>
      </w:pPr>
    </w:p>
    <w:p w:rsidR="006D09C3" w:rsidRPr="00BC172D" w:rsidRDefault="00936489" w:rsidP="00936489">
      <w:pPr>
        <w:rPr>
          <w:sz w:val="24"/>
        </w:rPr>
      </w:pPr>
      <w:r w:rsidRPr="00936489">
        <w:rPr>
          <w:iCs/>
          <w:sz w:val="24"/>
        </w:rPr>
        <w:t xml:space="preserve">Advokatsamfundet, </w:t>
      </w:r>
      <w:proofErr w:type="spellStart"/>
      <w:r w:rsidRPr="00936489">
        <w:rPr>
          <w:iCs/>
          <w:sz w:val="24"/>
        </w:rPr>
        <w:t>AgroSkat</w:t>
      </w:r>
      <w:proofErr w:type="spellEnd"/>
      <w:r w:rsidRPr="00936489">
        <w:rPr>
          <w:iCs/>
          <w:sz w:val="24"/>
        </w:rPr>
        <w:t xml:space="preserve">, AE Rådet, ATP, Børsmæglerforeningen, CEPOS, </w:t>
      </w:r>
      <w:proofErr w:type="spellStart"/>
      <w:r w:rsidRPr="00936489">
        <w:rPr>
          <w:iCs/>
          <w:sz w:val="24"/>
        </w:rPr>
        <w:t>Cevea</w:t>
      </w:r>
      <w:proofErr w:type="spellEnd"/>
      <w:r w:rsidRPr="00936489">
        <w:rPr>
          <w:iCs/>
          <w:sz w:val="24"/>
        </w:rPr>
        <w:t xml:space="preserve">, Danmarks Rederiforening, Danmarks Skibskreditfond, Dansk Aktionærforening, Dansk Byggeri, Dansk Ejendomsmæglerforening, Dansk Erhverv, Dansk Gartneri, Dansk Iværksætterforening, Dansk Revisorforening, Danske Advokater, Den Danske Fondsmæglerforening, Den danske Skatteborgerforening, DI, DVCA, Ejendomsforeningen Danmark, Finansrådet, </w:t>
      </w:r>
      <w:r w:rsidR="00610746">
        <w:rPr>
          <w:iCs/>
          <w:sz w:val="24"/>
        </w:rPr>
        <w:t>D</w:t>
      </w:r>
      <w:r w:rsidRPr="00936489">
        <w:rPr>
          <w:iCs/>
          <w:sz w:val="24"/>
        </w:rPr>
        <w:t>anske revisorer</w:t>
      </w:r>
      <w:r w:rsidR="00610746">
        <w:rPr>
          <w:iCs/>
          <w:sz w:val="24"/>
        </w:rPr>
        <w:t xml:space="preserve"> - FSR</w:t>
      </w:r>
      <w:r w:rsidRPr="00936489">
        <w:rPr>
          <w:iCs/>
          <w:sz w:val="24"/>
        </w:rPr>
        <w:t xml:space="preserve">, Forsikring &amp; Pension, </w:t>
      </w:r>
      <w:proofErr w:type="spellStart"/>
      <w:r w:rsidRPr="00936489">
        <w:rPr>
          <w:iCs/>
          <w:sz w:val="24"/>
        </w:rPr>
        <w:t>Horesta</w:t>
      </w:r>
      <w:proofErr w:type="spellEnd"/>
      <w:r w:rsidRPr="00936489">
        <w:rPr>
          <w:iCs/>
          <w:sz w:val="24"/>
        </w:rPr>
        <w:t>, Håndværksrådet,</w:t>
      </w:r>
      <w:r>
        <w:rPr>
          <w:iCs/>
          <w:sz w:val="24"/>
        </w:rPr>
        <w:t xml:space="preserve"> </w:t>
      </w:r>
      <w:r w:rsidRPr="00936489">
        <w:rPr>
          <w:iCs/>
          <w:sz w:val="24"/>
        </w:rPr>
        <w:t xml:space="preserve">InvesteringsForeningsRådet, KL, Landbrug &amp; Fødevarer, Lokale Pengeinstitutter, </w:t>
      </w:r>
      <w:proofErr w:type="spellStart"/>
      <w:r w:rsidRPr="00936489">
        <w:rPr>
          <w:iCs/>
          <w:sz w:val="24"/>
        </w:rPr>
        <w:t>Nasdaq</w:t>
      </w:r>
      <w:proofErr w:type="spellEnd"/>
      <w:r w:rsidRPr="00936489">
        <w:rPr>
          <w:iCs/>
          <w:sz w:val="24"/>
        </w:rPr>
        <w:t xml:space="preserve"> OMX Copenhagen A/S, Nationalbanken,</w:t>
      </w:r>
      <w:r>
        <w:rPr>
          <w:iCs/>
          <w:sz w:val="24"/>
        </w:rPr>
        <w:t xml:space="preserve"> </w:t>
      </w:r>
      <w:r w:rsidRPr="00936489">
        <w:rPr>
          <w:iCs/>
          <w:sz w:val="24"/>
        </w:rPr>
        <w:t>Realkreditforeningen, Realkreditrådet, SRF Skattefaglig</w:t>
      </w:r>
      <w:r w:rsidR="00257D34">
        <w:rPr>
          <w:iCs/>
          <w:sz w:val="24"/>
        </w:rPr>
        <w:t xml:space="preserve"> Forening</w:t>
      </w:r>
      <w:r w:rsidRPr="00936489">
        <w:rPr>
          <w:iCs/>
          <w:sz w:val="24"/>
        </w:rPr>
        <w:t xml:space="preserve">, </w:t>
      </w:r>
      <w:proofErr w:type="spellStart"/>
      <w:r w:rsidRPr="00936489">
        <w:rPr>
          <w:iCs/>
          <w:sz w:val="24"/>
        </w:rPr>
        <w:t>Videncentret</w:t>
      </w:r>
      <w:proofErr w:type="spellEnd"/>
      <w:r w:rsidRPr="00936489">
        <w:rPr>
          <w:iCs/>
          <w:sz w:val="24"/>
        </w:rPr>
        <w:t xml:space="preserve"> for Landbrug.</w:t>
      </w:r>
    </w:p>
    <w:p w:rsidR="009D4AF3" w:rsidRDefault="009D4AF3" w:rsidP="009D4AF3">
      <w:pPr>
        <w:rPr>
          <w:i/>
          <w:iCs/>
          <w:sz w:val="24"/>
        </w:rPr>
      </w:pPr>
    </w:p>
    <w:p w:rsidR="009D4AF3" w:rsidRPr="00BC172D" w:rsidRDefault="009D4AF3" w:rsidP="009D4AF3">
      <w:pPr>
        <w:rPr>
          <w:i/>
          <w:iCs/>
          <w:sz w:val="24"/>
        </w:rPr>
      </w:pPr>
      <w:r w:rsidRPr="00BC172D">
        <w:rPr>
          <w:i/>
          <w:iCs/>
          <w:sz w:val="24"/>
        </w:rPr>
        <w:t>1</w:t>
      </w:r>
      <w:r w:rsidR="001140E4">
        <w:rPr>
          <w:i/>
          <w:iCs/>
          <w:sz w:val="24"/>
        </w:rPr>
        <w:t>3</w:t>
      </w:r>
      <w:r w:rsidRPr="00BC172D">
        <w:rPr>
          <w:i/>
          <w:iCs/>
          <w:sz w:val="24"/>
        </w:rPr>
        <w:t xml:space="preserve">. Sammenfattende skema </w:t>
      </w:r>
    </w:p>
    <w:p w:rsidR="009D4AF3" w:rsidRPr="00BC172D" w:rsidRDefault="009D4AF3" w:rsidP="00376FD2">
      <w:pPr>
        <w:rPr>
          <w:i/>
          <w:iCs/>
          <w:sz w:val="24"/>
        </w:rPr>
      </w:pPr>
    </w:p>
    <w:p w:rsidR="00376FD2" w:rsidRPr="00BC172D" w:rsidRDefault="00376FD2" w:rsidP="00376FD2">
      <w:pPr>
        <w:ind w:right="1"/>
        <w:jc w:val="center"/>
        <w:rPr>
          <w:b/>
          <w:bCs/>
          <w:sz w:val="24"/>
        </w:rPr>
      </w:pPr>
      <w:r w:rsidRPr="00BC172D">
        <w:rPr>
          <w:b/>
          <w:bCs/>
          <w:sz w:val="24"/>
        </w:rPr>
        <w:t>Samlet vurdering af konsekvenser af lovforslaget</w:t>
      </w:r>
    </w:p>
    <w:p w:rsidR="00376FD2" w:rsidRPr="00BC172D" w:rsidRDefault="00376FD2" w:rsidP="00376FD2">
      <w:pPr>
        <w:ind w:right="1"/>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Negative konsekvenser/merudgifter</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pStyle w:val="Sidefod"/>
              <w:tabs>
                <w:tab w:val="left" w:pos="1304"/>
              </w:tabs>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A5039D" w:rsidRDefault="00A5039D" w:rsidP="00A5039D">
            <w:pPr>
              <w:rPr>
                <w:sz w:val="24"/>
              </w:rPr>
            </w:pPr>
            <w:r>
              <w:rPr>
                <w:sz w:val="24"/>
              </w:rPr>
              <w:t>SKAT vurderer, at der ikke er nævneværdige administrative konsekvenser forbundet med lovforslaget.</w:t>
            </w:r>
          </w:p>
          <w:p w:rsidR="00376FD2" w:rsidRPr="00BC172D" w:rsidRDefault="00376FD2" w:rsidP="00460FC4">
            <w:pPr>
              <w:rPr>
                <w:sz w:val="24"/>
              </w:rPr>
            </w:pPr>
          </w:p>
        </w:tc>
        <w:tc>
          <w:tcPr>
            <w:tcW w:w="1681" w:type="pct"/>
            <w:tcBorders>
              <w:top w:val="single" w:sz="4" w:space="0" w:color="auto"/>
              <w:left w:val="single" w:sz="4" w:space="0" w:color="auto"/>
              <w:bottom w:val="single" w:sz="4" w:space="0" w:color="auto"/>
              <w:right w:val="single" w:sz="4" w:space="0" w:color="auto"/>
            </w:tcBorders>
          </w:tcPr>
          <w:p w:rsidR="00A5039D" w:rsidRDefault="00A5039D" w:rsidP="00A5039D">
            <w:pPr>
              <w:rPr>
                <w:sz w:val="24"/>
              </w:rPr>
            </w:pPr>
            <w:r>
              <w:rPr>
                <w:sz w:val="24"/>
              </w:rPr>
              <w:t>SKAT vurderer, at der ikke er nævneværdige administrative konsekvenser forbundet med lovforslaget.</w:t>
            </w:r>
          </w:p>
          <w:p w:rsidR="00376FD2" w:rsidRPr="00BC172D" w:rsidRDefault="00376FD2" w:rsidP="00460FC4">
            <w:pPr>
              <w:rPr>
                <w:sz w:val="24"/>
              </w:rPr>
            </w:pP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Ingen</w:t>
            </w:r>
          </w:p>
        </w:tc>
      </w:tr>
      <w:tr w:rsidR="00376FD2" w:rsidRPr="00BC172D" w:rsidTr="00460FC4">
        <w:trPr>
          <w:cantSplit/>
        </w:trPr>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pPr>
              <w:rPr>
                <w:sz w:val="24"/>
              </w:rPr>
            </w:pPr>
            <w:r w:rsidRPr="00BC172D">
              <w:rPr>
                <w:sz w:val="24"/>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76FD2" w:rsidRPr="00BC172D" w:rsidRDefault="00E23BDE" w:rsidP="00460FC4">
            <w:pPr>
              <w:rPr>
                <w:sz w:val="24"/>
              </w:rPr>
            </w:pPr>
            <w:r>
              <w:rPr>
                <w:sz w:val="24"/>
              </w:rPr>
              <w:t>Lovforslaget indeholder ikke EU-retlige aspekter.</w:t>
            </w:r>
          </w:p>
        </w:tc>
      </w:tr>
    </w:tbl>
    <w:p w:rsidR="00376FD2" w:rsidRDefault="00376FD2" w:rsidP="00376FD2">
      <w:pPr>
        <w:ind w:right="1"/>
        <w:rPr>
          <w:sz w:val="24"/>
        </w:rPr>
      </w:pPr>
    </w:p>
    <w:p w:rsidR="000C5BD3" w:rsidRDefault="000C5BD3" w:rsidP="00376FD2">
      <w:pPr>
        <w:ind w:right="1"/>
        <w:rPr>
          <w:sz w:val="24"/>
        </w:rPr>
      </w:pPr>
    </w:p>
    <w:p w:rsidR="000C5BD3" w:rsidRDefault="000C5BD3" w:rsidP="00376FD2">
      <w:pPr>
        <w:ind w:right="1"/>
        <w:rPr>
          <w:sz w:val="24"/>
        </w:rPr>
      </w:pPr>
    </w:p>
    <w:p w:rsidR="000C5BD3" w:rsidRDefault="000C5BD3" w:rsidP="00376FD2">
      <w:pPr>
        <w:ind w:right="1"/>
        <w:rPr>
          <w:sz w:val="24"/>
        </w:rPr>
      </w:pPr>
    </w:p>
    <w:p w:rsidR="00541803" w:rsidRPr="00BC172D" w:rsidRDefault="00541803" w:rsidP="00376FD2">
      <w:pPr>
        <w:ind w:right="1"/>
        <w:rPr>
          <w:sz w:val="24"/>
        </w:rPr>
      </w:pPr>
    </w:p>
    <w:p w:rsidR="00376FD2" w:rsidRPr="00BC172D" w:rsidRDefault="00376FD2" w:rsidP="00376FD2">
      <w:pPr>
        <w:ind w:right="1"/>
        <w:rPr>
          <w:b/>
          <w:sz w:val="24"/>
        </w:rPr>
      </w:pPr>
    </w:p>
    <w:p w:rsidR="00376FD2" w:rsidRPr="00BC172D" w:rsidRDefault="00376FD2" w:rsidP="00376FD2">
      <w:pPr>
        <w:jc w:val="center"/>
        <w:rPr>
          <w:i/>
          <w:iCs/>
          <w:sz w:val="24"/>
        </w:rPr>
      </w:pPr>
      <w:r w:rsidRPr="00BC172D">
        <w:rPr>
          <w:i/>
          <w:iCs/>
          <w:sz w:val="24"/>
        </w:rPr>
        <w:t>Bemærkninger til lovforslagets enkelte bestemmelser</w:t>
      </w:r>
    </w:p>
    <w:p w:rsidR="00376FD2" w:rsidRPr="00BC172D" w:rsidRDefault="00376FD2" w:rsidP="00376FD2">
      <w:pPr>
        <w:rPr>
          <w:sz w:val="24"/>
        </w:rPr>
      </w:pPr>
    </w:p>
    <w:p w:rsidR="00376FD2" w:rsidRPr="00BC172D" w:rsidRDefault="00376FD2" w:rsidP="00376FD2">
      <w:pPr>
        <w:rPr>
          <w:sz w:val="24"/>
        </w:rPr>
      </w:pPr>
    </w:p>
    <w:p w:rsidR="00376FD2" w:rsidRPr="00BC172D" w:rsidRDefault="00376FD2" w:rsidP="00376FD2">
      <w:pPr>
        <w:jc w:val="center"/>
        <w:rPr>
          <w:i/>
          <w:iCs/>
          <w:sz w:val="24"/>
        </w:rPr>
      </w:pPr>
      <w:r w:rsidRPr="00BC172D">
        <w:rPr>
          <w:i/>
          <w:iCs/>
          <w:sz w:val="24"/>
        </w:rPr>
        <w:t>Til § 1</w:t>
      </w:r>
    </w:p>
    <w:p w:rsidR="008B6519" w:rsidRDefault="008B6519" w:rsidP="00376FD2">
      <w:pPr>
        <w:rPr>
          <w:sz w:val="24"/>
        </w:rPr>
      </w:pPr>
      <w:r>
        <w:rPr>
          <w:sz w:val="24"/>
        </w:rPr>
        <w:t>Til nr. 1</w:t>
      </w:r>
    </w:p>
    <w:p w:rsidR="008B6519" w:rsidRDefault="00301CD7" w:rsidP="00376FD2">
      <w:pPr>
        <w:rPr>
          <w:sz w:val="24"/>
        </w:rPr>
      </w:pPr>
      <w:r>
        <w:rPr>
          <w:sz w:val="24"/>
        </w:rPr>
        <w:t>Det foreslås, at alle kontante udligningssummer, der</w:t>
      </w:r>
      <w:r w:rsidR="00930B66" w:rsidRPr="00930B66">
        <w:t xml:space="preserve"> </w:t>
      </w:r>
      <w:r w:rsidR="00930B66" w:rsidRPr="00930B66">
        <w:rPr>
          <w:sz w:val="24"/>
        </w:rPr>
        <w:t>udbetales som vederlag for aktierne i det indskydende selskab</w:t>
      </w:r>
      <w:r>
        <w:rPr>
          <w:sz w:val="24"/>
        </w:rPr>
        <w:t xml:space="preserve"> </w:t>
      </w:r>
      <w:r w:rsidR="00CF09AA">
        <w:rPr>
          <w:sz w:val="24"/>
        </w:rPr>
        <w:t>i forbindelse med skattefri omstrukturering</w:t>
      </w:r>
      <w:r>
        <w:rPr>
          <w:sz w:val="24"/>
        </w:rPr>
        <w:t>, skattemæssigt behandles som udbytte hos aktionærerne i det indskydende selskab. Udbyttebeskatningen af kontante udligningssummer er generel</w:t>
      </w:r>
      <w:r w:rsidR="00CF09AA">
        <w:rPr>
          <w:sz w:val="24"/>
        </w:rPr>
        <w:t xml:space="preserve"> og gælder for alle aktionærer i det indskydende selskab. Det vil sige, at udbyttebeskatningen f.eks. både gælder fysiske og juridiske personer, uanset om aktionærerne er fuldt eller begrænset skattepligtige af udbytte.</w:t>
      </w:r>
    </w:p>
    <w:p w:rsidR="00CF09AA" w:rsidRDefault="00CF09AA" w:rsidP="00376FD2">
      <w:pPr>
        <w:rPr>
          <w:sz w:val="24"/>
        </w:rPr>
      </w:pPr>
    </w:p>
    <w:p w:rsidR="006F6572" w:rsidRDefault="00CB0705" w:rsidP="00376FD2">
      <w:pPr>
        <w:rPr>
          <w:sz w:val="24"/>
        </w:rPr>
      </w:pPr>
      <w:r>
        <w:rPr>
          <w:sz w:val="24"/>
        </w:rPr>
        <w:t>Udbyttebeskatning af kontante udligningssummer ved s</w:t>
      </w:r>
      <w:r w:rsidR="00CF09AA">
        <w:rPr>
          <w:sz w:val="24"/>
        </w:rPr>
        <w:t>kattefri omstrukturering omfatter udover skattefri fusion og spaltning tillige skattefri</w:t>
      </w:r>
      <w:r>
        <w:rPr>
          <w:sz w:val="24"/>
        </w:rPr>
        <w:t xml:space="preserve"> aktieombytning, jf. aktieavancebeskatningsloven 36, der henviser til </w:t>
      </w:r>
      <w:r w:rsidR="006F6572">
        <w:rPr>
          <w:sz w:val="24"/>
        </w:rPr>
        <w:t xml:space="preserve">reglerne i </w:t>
      </w:r>
      <w:r>
        <w:rPr>
          <w:sz w:val="24"/>
        </w:rPr>
        <w:t>fusionsskattelovens § 9.</w:t>
      </w:r>
      <w:r w:rsidR="000D5849">
        <w:rPr>
          <w:sz w:val="24"/>
        </w:rPr>
        <w:t xml:space="preserve"> </w:t>
      </w:r>
      <w:proofErr w:type="gramStart"/>
      <w:r w:rsidR="006F6572">
        <w:rPr>
          <w:sz w:val="24"/>
        </w:rPr>
        <w:t>Kontante</w:t>
      </w:r>
      <w:proofErr w:type="gramEnd"/>
      <w:r w:rsidR="006F6572">
        <w:rPr>
          <w:sz w:val="24"/>
        </w:rPr>
        <w:t xml:space="preserve"> udligningssummer omfatter som hidtil ethvert vederlag, som ikke er aktier i det modtagende</w:t>
      </w:r>
      <w:r w:rsidR="00930B66">
        <w:rPr>
          <w:sz w:val="24"/>
        </w:rPr>
        <w:t xml:space="preserve"> henholdsvis erhvervende</w:t>
      </w:r>
      <w:r w:rsidR="006F6572">
        <w:rPr>
          <w:sz w:val="24"/>
        </w:rPr>
        <w:t xml:space="preserve"> selskab.</w:t>
      </w:r>
      <w:r w:rsidR="00930B66">
        <w:rPr>
          <w:sz w:val="24"/>
        </w:rPr>
        <w:t xml:space="preserve"> </w:t>
      </w:r>
    </w:p>
    <w:p w:rsidR="006F6572" w:rsidRDefault="006F6572" w:rsidP="00376FD2">
      <w:pPr>
        <w:rPr>
          <w:sz w:val="24"/>
        </w:rPr>
      </w:pPr>
    </w:p>
    <w:p w:rsidR="006F6572" w:rsidRDefault="006F6572" w:rsidP="00376FD2">
      <w:pPr>
        <w:rPr>
          <w:sz w:val="24"/>
        </w:rPr>
      </w:pPr>
      <w:r>
        <w:rPr>
          <w:sz w:val="24"/>
        </w:rPr>
        <w:t>Når kontante udligningssummer generelt beskattes som udbytte</w:t>
      </w:r>
      <w:r w:rsidR="007C3A6E">
        <w:rPr>
          <w:sz w:val="24"/>
        </w:rPr>
        <w:t xml:space="preserve">, </w:t>
      </w:r>
      <w:r w:rsidR="00B13FE9">
        <w:rPr>
          <w:sz w:val="24"/>
        </w:rPr>
        <w:t xml:space="preserve">skal ingen af aktierne i det indskydende selskab anses for afstået. </w:t>
      </w:r>
      <w:r w:rsidR="0083475A">
        <w:rPr>
          <w:sz w:val="24"/>
        </w:rPr>
        <w:t xml:space="preserve"> Derfor </w:t>
      </w:r>
      <w:r w:rsidR="007C3A6E">
        <w:rPr>
          <w:sz w:val="24"/>
        </w:rPr>
        <w:t xml:space="preserve">er der ikke </w:t>
      </w:r>
      <w:r w:rsidR="00930B66">
        <w:rPr>
          <w:sz w:val="24"/>
        </w:rPr>
        <w:t xml:space="preserve">længere </w:t>
      </w:r>
      <w:r w:rsidR="007C3A6E">
        <w:rPr>
          <w:sz w:val="24"/>
        </w:rPr>
        <w:t>behov for de gældende regler for</w:t>
      </w:r>
      <w:r w:rsidR="0083475A">
        <w:rPr>
          <w:sz w:val="24"/>
        </w:rPr>
        <w:t xml:space="preserve"> beregningen af</w:t>
      </w:r>
      <w:r w:rsidR="007C3A6E">
        <w:rPr>
          <w:sz w:val="24"/>
        </w:rPr>
        <w:t>, hvilke af aktionærens aktier i det indskydende sels</w:t>
      </w:r>
      <w:r w:rsidR="00930B66">
        <w:rPr>
          <w:sz w:val="24"/>
        </w:rPr>
        <w:t>kab, der skal anses for afstået for den kontante</w:t>
      </w:r>
      <w:r w:rsidR="007D797C">
        <w:rPr>
          <w:sz w:val="24"/>
        </w:rPr>
        <w:t xml:space="preserve"> </w:t>
      </w:r>
      <w:r w:rsidR="00930B66">
        <w:rPr>
          <w:sz w:val="24"/>
        </w:rPr>
        <w:t>udligningssum.</w:t>
      </w:r>
    </w:p>
    <w:p w:rsidR="00242F8C" w:rsidRDefault="00242F8C" w:rsidP="00376FD2">
      <w:pPr>
        <w:rPr>
          <w:sz w:val="24"/>
        </w:rPr>
      </w:pPr>
    </w:p>
    <w:p w:rsidR="00242F8C" w:rsidRDefault="00930B66" w:rsidP="00376FD2">
      <w:pPr>
        <w:rPr>
          <w:sz w:val="24"/>
        </w:rPr>
      </w:pPr>
      <w:r>
        <w:rPr>
          <w:sz w:val="24"/>
        </w:rPr>
        <w:t>S</w:t>
      </w:r>
      <w:r w:rsidR="00242F8C">
        <w:rPr>
          <w:sz w:val="24"/>
        </w:rPr>
        <w:t>om eneste undtagelse til udbyttebeskatning</w:t>
      </w:r>
      <w:r>
        <w:rPr>
          <w:sz w:val="24"/>
        </w:rPr>
        <w:t>en</w:t>
      </w:r>
      <w:r w:rsidR="00242F8C">
        <w:rPr>
          <w:sz w:val="24"/>
        </w:rPr>
        <w:t xml:space="preserve"> af kontante udligningssummer</w:t>
      </w:r>
      <w:r>
        <w:rPr>
          <w:sz w:val="24"/>
        </w:rPr>
        <w:t xml:space="preserve"> foreslås det</w:t>
      </w:r>
      <w:r w:rsidR="00242F8C">
        <w:rPr>
          <w:sz w:val="24"/>
        </w:rPr>
        <w:t>, at</w:t>
      </w:r>
      <w:r>
        <w:rPr>
          <w:sz w:val="24"/>
        </w:rPr>
        <w:t xml:space="preserve"> kontante udligningssummer</w:t>
      </w:r>
      <w:r w:rsidR="00242F8C">
        <w:rPr>
          <w:sz w:val="24"/>
        </w:rPr>
        <w:t xml:space="preserve"> behandles som en aktieafståelse efter reglerne i aktieavancebeskatningsloven, hvis aktionæren helt udtræder af koncernen. Det vil sige, at der sker avancebeskatning af kontantvederlaget under forudsætning af, at aktionæren efter omstrukturering</w:t>
      </w:r>
      <w:r>
        <w:rPr>
          <w:sz w:val="24"/>
        </w:rPr>
        <w:t>en</w:t>
      </w:r>
      <w:r w:rsidR="00242F8C">
        <w:rPr>
          <w:sz w:val="24"/>
        </w:rPr>
        <w:t xml:space="preserve"> </w:t>
      </w:r>
      <w:r w:rsidR="00257D34">
        <w:rPr>
          <w:sz w:val="24"/>
        </w:rPr>
        <w:t>ikke</w:t>
      </w:r>
      <w:r w:rsidR="00242F8C">
        <w:rPr>
          <w:sz w:val="24"/>
        </w:rPr>
        <w:t xml:space="preserve"> ejer aktie</w:t>
      </w:r>
      <w:r w:rsidR="00CD6F1E">
        <w:rPr>
          <w:sz w:val="24"/>
        </w:rPr>
        <w:t>r i det indskydende selskab, det</w:t>
      </w:r>
      <w:r w:rsidR="00242F8C">
        <w:rPr>
          <w:sz w:val="24"/>
        </w:rPr>
        <w:t xml:space="preserve"> modtagende selskab</w:t>
      </w:r>
      <w:r w:rsidR="0049649E">
        <w:rPr>
          <w:sz w:val="24"/>
        </w:rPr>
        <w:t xml:space="preserve"> eller hermed koncernforbundne selskaber.</w:t>
      </w:r>
      <w:r w:rsidR="000A2B6C">
        <w:rPr>
          <w:sz w:val="24"/>
        </w:rPr>
        <w:t xml:space="preserve"> Ved koncernforbundne selskaber forstås selskaber, der har den i ligningslovens § 2 anførte forbindelse.</w:t>
      </w:r>
    </w:p>
    <w:p w:rsidR="008B6519" w:rsidRDefault="008B6519" w:rsidP="00376FD2">
      <w:pPr>
        <w:rPr>
          <w:sz w:val="24"/>
        </w:rPr>
      </w:pPr>
    </w:p>
    <w:p w:rsidR="0043664A" w:rsidRDefault="0043664A" w:rsidP="00376FD2">
      <w:pPr>
        <w:rPr>
          <w:sz w:val="24"/>
        </w:rPr>
      </w:pPr>
      <w:r>
        <w:rPr>
          <w:sz w:val="24"/>
        </w:rPr>
        <w:t>Til nr. 2</w:t>
      </w:r>
    </w:p>
    <w:p w:rsidR="00A27CAF" w:rsidRDefault="00A27CAF" w:rsidP="00376FD2">
      <w:pPr>
        <w:rPr>
          <w:sz w:val="24"/>
        </w:rPr>
      </w:pPr>
      <w:r>
        <w:rPr>
          <w:sz w:val="24"/>
        </w:rPr>
        <w:t xml:space="preserve">Ændringen er </w:t>
      </w:r>
      <w:r w:rsidR="009B4F0C">
        <w:rPr>
          <w:sz w:val="24"/>
        </w:rPr>
        <w:t xml:space="preserve">en </w:t>
      </w:r>
      <w:r>
        <w:rPr>
          <w:sz w:val="24"/>
        </w:rPr>
        <w:t>redaktionel konsekvensændring som følge af en reduktion i antallet af punktummer i stykket</w:t>
      </w:r>
      <w:r w:rsidR="009B4F0C">
        <w:rPr>
          <w:sz w:val="24"/>
        </w:rPr>
        <w:t xml:space="preserve">, jf. ændringen i </w:t>
      </w:r>
      <w:r w:rsidR="006E2F7C">
        <w:rPr>
          <w:sz w:val="24"/>
        </w:rPr>
        <w:t>lov</w:t>
      </w:r>
      <w:r w:rsidR="009B4F0C">
        <w:rPr>
          <w:sz w:val="24"/>
        </w:rPr>
        <w:t>forslagets § 1, nr. 3</w:t>
      </w:r>
      <w:r>
        <w:rPr>
          <w:sz w:val="24"/>
        </w:rPr>
        <w:t>.</w:t>
      </w:r>
    </w:p>
    <w:p w:rsidR="00A27CAF" w:rsidRDefault="00A27CAF" w:rsidP="00376FD2">
      <w:pPr>
        <w:rPr>
          <w:sz w:val="24"/>
        </w:rPr>
      </w:pPr>
    </w:p>
    <w:p w:rsidR="00A27CAF" w:rsidRDefault="00A27CAF" w:rsidP="00376FD2">
      <w:pPr>
        <w:rPr>
          <w:sz w:val="24"/>
        </w:rPr>
      </w:pPr>
      <w:r>
        <w:rPr>
          <w:sz w:val="24"/>
        </w:rPr>
        <w:t>Til nr. 3</w:t>
      </w:r>
    </w:p>
    <w:p w:rsidR="00A27CAF" w:rsidRDefault="00A27CAF" w:rsidP="00376FD2">
      <w:pPr>
        <w:rPr>
          <w:sz w:val="24"/>
        </w:rPr>
      </w:pPr>
      <w:r w:rsidRPr="00A27CAF">
        <w:rPr>
          <w:sz w:val="24"/>
        </w:rPr>
        <w:t xml:space="preserve">Der er tale om en konsekvensændring som følge af </w:t>
      </w:r>
      <w:r w:rsidR="006E2F7C">
        <w:rPr>
          <w:sz w:val="24"/>
        </w:rPr>
        <w:t>lov</w:t>
      </w:r>
      <w:r w:rsidRPr="00A27CAF">
        <w:rPr>
          <w:sz w:val="24"/>
        </w:rPr>
        <w:t>forslaget i</w:t>
      </w:r>
      <w:r w:rsidR="006E2F7C">
        <w:rPr>
          <w:sz w:val="24"/>
        </w:rPr>
        <w:t xml:space="preserve"> § 1</w:t>
      </w:r>
      <w:r w:rsidRPr="00A27CAF">
        <w:rPr>
          <w:sz w:val="24"/>
        </w:rPr>
        <w:t xml:space="preserve"> nr. 1, hvorefter </w:t>
      </w:r>
      <w:proofErr w:type="gramStart"/>
      <w:r w:rsidRPr="00A27CAF">
        <w:rPr>
          <w:sz w:val="24"/>
        </w:rPr>
        <w:t>kontante</w:t>
      </w:r>
      <w:proofErr w:type="gramEnd"/>
      <w:r w:rsidRPr="00A27CAF">
        <w:rPr>
          <w:sz w:val="24"/>
        </w:rPr>
        <w:t xml:space="preserve"> udligningssummer skal beskattes som udbytte. Der er heller ikke ved spaltning behov for de hidtil gældende regler, der fastsætter</w:t>
      </w:r>
      <w:r w:rsidR="008155E2">
        <w:rPr>
          <w:sz w:val="24"/>
        </w:rPr>
        <w:t>,</w:t>
      </w:r>
      <w:r w:rsidRPr="00A27CAF">
        <w:rPr>
          <w:sz w:val="24"/>
        </w:rPr>
        <w:t xml:space="preserve"> hvilke af aktionærens aktier i det indskydende selskab, der skal anses for afstået ved modtagelse af </w:t>
      </w:r>
      <w:r>
        <w:rPr>
          <w:sz w:val="24"/>
        </w:rPr>
        <w:t xml:space="preserve">en </w:t>
      </w:r>
      <w:r w:rsidRPr="00A27CAF">
        <w:rPr>
          <w:sz w:val="24"/>
        </w:rPr>
        <w:t>kontant udligningssum. Tilsvarende er der heller ikke behov for den hidtil gældende særregel, hvorefter en kontant udligningssum beskattes som udbytte, hvis det indskydende selskab ikke ophører ved spaltningen.</w:t>
      </w:r>
    </w:p>
    <w:p w:rsidR="00851F71" w:rsidRDefault="00851F71" w:rsidP="00376FD2">
      <w:pPr>
        <w:rPr>
          <w:sz w:val="24"/>
        </w:rPr>
      </w:pPr>
    </w:p>
    <w:p w:rsidR="00A27CAF" w:rsidRDefault="00A27CAF" w:rsidP="00376FD2">
      <w:pPr>
        <w:rPr>
          <w:sz w:val="24"/>
        </w:rPr>
      </w:pPr>
      <w:r>
        <w:rPr>
          <w:sz w:val="24"/>
        </w:rPr>
        <w:t>Til nr. 4</w:t>
      </w:r>
    </w:p>
    <w:p w:rsidR="0043664A" w:rsidRDefault="00851F71" w:rsidP="00376FD2">
      <w:pPr>
        <w:rPr>
          <w:sz w:val="24"/>
        </w:rPr>
      </w:pPr>
      <w:r>
        <w:rPr>
          <w:sz w:val="24"/>
        </w:rPr>
        <w:t xml:space="preserve">Ændringen er en redaktionel konsekvensændring som </w:t>
      </w:r>
      <w:r w:rsidR="00CD6F1E">
        <w:rPr>
          <w:sz w:val="24"/>
        </w:rPr>
        <w:t xml:space="preserve">følge </w:t>
      </w:r>
      <w:r>
        <w:rPr>
          <w:sz w:val="24"/>
        </w:rPr>
        <w:t xml:space="preserve">af </w:t>
      </w:r>
      <w:r w:rsidR="006E2F7C">
        <w:rPr>
          <w:sz w:val="24"/>
        </w:rPr>
        <w:t>lov</w:t>
      </w:r>
      <w:r>
        <w:rPr>
          <w:sz w:val="24"/>
        </w:rPr>
        <w:t>forslaget</w:t>
      </w:r>
      <w:r w:rsidR="006E2F7C">
        <w:rPr>
          <w:sz w:val="24"/>
        </w:rPr>
        <w:t>s</w:t>
      </w:r>
      <w:r>
        <w:rPr>
          <w:sz w:val="24"/>
        </w:rPr>
        <w:t xml:space="preserve"> </w:t>
      </w:r>
      <w:r w:rsidR="006E2F7C">
        <w:rPr>
          <w:sz w:val="24"/>
        </w:rPr>
        <w:t>§ 1</w:t>
      </w:r>
      <w:r>
        <w:rPr>
          <w:sz w:val="24"/>
        </w:rPr>
        <w:t xml:space="preserve"> nr. 3, hvorefter der ikke vil være tale om afståelse af aktier i forbindelse med modtagelse af en kontant udligningssum.</w:t>
      </w:r>
    </w:p>
    <w:p w:rsidR="00851F71" w:rsidRDefault="00851F71" w:rsidP="00376FD2">
      <w:pPr>
        <w:rPr>
          <w:sz w:val="24"/>
        </w:rPr>
      </w:pPr>
    </w:p>
    <w:p w:rsidR="00376FD2" w:rsidRPr="00BC172D" w:rsidRDefault="00376FD2" w:rsidP="00376FD2">
      <w:pPr>
        <w:jc w:val="center"/>
        <w:rPr>
          <w:i/>
          <w:iCs/>
          <w:sz w:val="24"/>
        </w:rPr>
      </w:pPr>
      <w:r w:rsidRPr="00BC172D">
        <w:rPr>
          <w:i/>
          <w:iCs/>
          <w:sz w:val="24"/>
        </w:rPr>
        <w:t>Til § 2</w:t>
      </w:r>
    </w:p>
    <w:p w:rsidR="00257D34" w:rsidRPr="00BC172D" w:rsidRDefault="00257D34" w:rsidP="00257D34">
      <w:pPr>
        <w:rPr>
          <w:b/>
          <w:bCs/>
          <w:sz w:val="24"/>
        </w:rPr>
      </w:pPr>
    </w:p>
    <w:p w:rsidR="00257D34" w:rsidRDefault="00257D34" w:rsidP="00257D34">
      <w:pPr>
        <w:rPr>
          <w:sz w:val="24"/>
        </w:rPr>
      </w:pPr>
      <w:r>
        <w:rPr>
          <w:sz w:val="24"/>
        </w:rPr>
        <w:t>Til nr. 1</w:t>
      </w:r>
    </w:p>
    <w:p w:rsidR="00257D34" w:rsidRDefault="00257D34" w:rsidP="00257D34">
      <w:pPr>
        <w:rPr>
          <w:sz w:val="24"/>
        </w:rPr>
      </w:pPr>
      <w:r>
        <w:rPr>
          <w:sz w:val="24"/>
        </w:rPr>
        <w:t>De foreslåede ændringer i selskabsskattelovens § 2 D sker med henblik på at hindre omgåelse af beskatning af udbytter til selskaber, som efter de gældende regler ikke er fritaget for beskatning af udbytter.</w:t>
      </w:r>
    </w:p>
    <w:p w:rsidR="00257D34" w:rsidRDefault="00257D34" w:rsidP="00257D34">
      <w:pPr>
        <w:rPr>
          <w:sz w:val="24"/>
        </w:rPr>
      </w:pPr>
    </w:p>
    <w:p w:rsidR="00257D34" w:rsidRDefault="00257D34" w:rsidP="00257D34">
      <w:pPr>
        <w:rPr>
          <w:sz w:val="24"/>
        </w:rPr>
      </w:pPr>
      <w:r>
        <w:rPr>
          <w:sz w:val="24"/>
        </w:rPr>
        <w:t>Bestemmelsen foreslås at finde anvendelse i de tilfælde, hvor skiftet fra udbytte til en anden form for be</w:t>
      </w:r>
      <w:r w:rsidR="00A319F7">
        <w:rPr>
          <w:sz w:val="24"/>
        </w:rPr>
        <w:t xml:space="preserve">taling opnås ved </w:t>
      </w:r>
      <w:r>
        <w:rPr>
          <w:sz w:val="24"/>
        </w:rPr>
        <w:t xml:space="preserve">fusion, spaltning eller aktieombytning. Forslaget berører ikke rækkevidden af de gældende regler i selskabsskattelovens § 2 D, idet der alene sker en præcisering af, at disse regler også gælder ved fusion og spaltning. </w:t>
      </w:r>
    </w:p>
    <w:p w:rsidR="00257D34" w:rsidRDefault="00257D34" w:rsidP="00257D34">
      <w:pPr>
        <w:rPr>
          <w:sz w:val="24"/>
        </w:rPr>
      </w:pPr>
    </w:p>
    <w:p w:rsidR="00257D34" w:rsidRDefault="00257D34" w:rsidP="00257D34">
      <w:pPr>
        <w:rPr>
          <w:iCs/>
          <w:sz w:val="24"/>
        </w:rPr>
      </w:pPr>
      <w:r>
        <w:rPr>
          <w:iCs/>
          <w:sz w:val="24"/>
        </w:rPr>
        <w:t>Det forhold, at vederlaget anses som udbytte, indebærer som efter den gældende § 2 D i selskabsskatteloven, at udbyttet er omfattet af ligningslovens § 16 A, og at udbyttet dermed er omfattet af den begrænsede skattepligt i selskabsskattelovens § 2, stk. 1, litra c.</w:t>
      </w:r>
    </w:p>
    <w:p w:rsidR="00257D34" w:rsidRDefault="00257D34" w:rsidP="00257D34">
      <w:pPr>
        <w:rPr>
          <w:sz w:val="24"/>
        </w:rPr>
      </w:pPr>
    </w:p>
    <w:p w:rsidR="00257D34" w:rsidRDefault="00257D34" w:rsidP="00257D34">
      <w:pPr>
        <w:rPr>
          <w:sz w:val="24"/>
        </w:rPr>
      </w:pPr>
      <w:r>
        <w:rPr>
          <w:sz w:val="24"/>
        </w:rPr>
        <w:t xml:space="preserve">Hvis en aktionær delvist vedlægges med aktier i det erhvervende selskab, det modtagende selskab eller hermed koncernforbundne selskaber, vil reglen finde anvendelse. Dette indebærer, at alt vederlag, som ikke består af sådanne aktier, anses for udbytte. </w:t>
      </w:r>
      <w:r w:rsidRPr="00F7059F">
        <w:rPr>
          <w:sz w:val="24"/>
        </w:rPr>
        <w:t>Ved fastsættelse af, hvornår der er tale om koncernforbundne selskaber, finder ligningslovens § 2 anvendelse</w:t>
      </w:r>
      <w:r>
        <w:rPr>
          <w:sz w:val="24"/>
        </w:rPr>
        <w:t>.</w:t>
      </w:r>
    </w:p>
    <w:p w:rsidR="00257D34" w:rsidRDefault="00257D34" w:rsidP="00257D34">
      <w:pPr>
        <w:rPr>
          <w:sz w:val="24"/>
        </w:rPr>
      </w:pPr>
    </w:p>
    <w:p w:rsidR="00257D34" w:rsidRPr="00BC172D" w:rsidRDefault="00257D34" w:rsidP="00257D34">
      <w:pPr>
        <w:rPr>
          <w:sz w:val="24"/>
        </w:rPr>
      </w:pPr>
      <w:r>
        <w:rPr>
          <w:sz w:val="24"/>
        </w:rPr>
        <w:t xml:space="preserve">I </w:t>
      </w:r>
      <w:r w:rsidR="00E06BAD">
        <w:rPr>
          <w:sz w:val="24"/>
        </w:rPr>
        <w:t xml:space="preserve">§ 2 D, stk. 2, foreslås det, at i </w:t>
      </w:r>
      <w:r>
        <w:rPr>
          <w:sz w:val="24"/>
        </w:rPr>
        <w:t xml:space="preserve">de tilfælde, hvor en aktionær </w:t>
      </w:r>
      <w:r w:rsidR="00455172">
        <w:rPr>
          <w:sz w:val="24"/>
        </w:rPr>
        <w:t xml:space="preserve">i forbindelse med en skattepligtig aktieombytning </w:t>
      </w:r>
      <w:r>
        <w:rPr>
          <w:sz w:val="24"/>
        </w:rPr>
        <w:t xml:space="preserve">fuldt ud vederlægges med aktier i det tomme selskab, finder reglen ikke anvendelse. Ligeledes gælder det, at hvis en aktionær fuldt ud vederlægges med andet end aktier i det erhvervende selskab, det modtagende selskab eller hermed koncernforbundne selskaber, vil reglen heller ikke finde anvendelse, idet aktierne dermed må anses for afstået, forudsat at der efter overdragelsen ikke ejes aktier m.v. i et eller flere af disse selskaber. </w:t>
      </w:r>
    </w:p>
    <w:p w:rsidR="00257D34" w:rsidRDefault="00257D34" w:rsidP="00257D34">
      <w:pPr>
        <w:rPr>
          <w:sz w:val="24"/>
        </w:rPr>
      </w:pPr>
    </w:p>
    <w:p w:rsidR="00257D34" w:rsidRDefault="00E06BAD" w:rsidP="00257D34">
      <w:pPr>
        <w:rPr>
          <w:sz w:val="24"/>
        </w:rPr>
      </w:pPr>
      <w:r>
        <w:rPr>
          <w:sz w:val="24"/>
        </w:rPr>
        <w:t xml:space="preserve">Ved skattepligtig aktieombytning finder bestemmelsen kun anvendelse, hvis overdragelsen sker til et tomt selskab, jf. selskabsskattelovens § 33 A, stk. 3. Det vil sige, at </w:t>
      </w:r>
      <w:r w:rsidR="00257D34">
        <w:rPr>
          <w:sz w:val="24"/>
        </w:rPr>
        <w:t>bestemmelsen ikke finde</w:t>
      </w:r>
      <w:r w:rsidR="004A40E1">
        <w:rPr>
          <w:sz w:val="24"/>
        </w:rPr>
        <w:t>r</w:t>
      </w:r>
      <w:r w:rsidR="00257D34">
        <w:rPr>
          <w:sz w:val="24"/>
        </w:rPr>
        <w:t xml:space="preserve"> anvendelse i de tilfælde, hvor der er tale om en </w:t>
      </w:r>
      <w:r>
        <w:rPr>
          <w:sz w:val="24"/>
        </w:rPr>
        <w:t>aktieombytning</w:t>
      </w:r>
      <w:r w:rsidR="00257D34">
        <w:rPr>
          <w:sz w:val="24"/>
        </w:rPr>
        <w:t>, hvor det erhvervende selskab er i besiddelse af en økonomisk risiko ved erhvervsmæssig aktivitet.</w:t>
      </w:r>
    </w:p>
    <w:p w:rsidR="00257D34" w:rsidRDefault="00257D34" w:rsidP="00257D34">
      <w:pPr>
        <w:rPr>
          <w:sz w:val="24"/>
        </w:rPr>
      </w:pPr>
    </w:p>
    <w:p w:rsidR="00257D34" w:rsidRDefault="00257D34" w:rsidP="00257D34">
      <w:pPr>
        <w:rPr>
          <w:sz w:val="24"/>
        </w:rPr>
      </w:pPr>
      <w:r>
        <w:rPr>
          <w:sz w:val="24"/>
        </w:rPr>
        <w:t xml:space="preserve">Da der er tale om en </w:t>
      </w:r>
      <w:proofErr w:type="spellStart"/>
      <w:r>
        <w:rPr>
          <w:sz w:val="24"/>
        </w:rPr>
        <w:t>værnsregel</w:t>
      </w:r>
      <w:proofErr w:type="spellEnd"/>
      <w:r>
        <w:rPr>
          <w:sz w:val="24"/>
        </w:rPr>
        <w:t xml:space="preserve">, der har til hensigt at forhindre omgåelse, er det nødvendigt </w:t>
      </w:r>
      <w:r w:rsidR="006E2F7C">
        <w:rPr>
          <w:sz w:val="24"/>
        </w:rPr>
        <w:t xml:space="preserve">at </w:t>
      </w:r>
      <w:r>
        <w:rPr>
          <w:sz w:val="24"/>
        </w:rPr>
        <w:t>sikre, at reglen ikke omgås ved tilkøb eller tilførsel af aktiver/aktiviteter. Det foreslås derfor</w:t>
      </w:r>
      <w:r w:rsidR="00E06BAD">
        <w:rPr>
          <w:sz w:val="24"/>
        </w:rPr>
        <w:t xml:space="preserve"> i § 2 D, stk. 3</w:t>
      </w:r>
      <w:r>
        <w:rPr>
          <w:sz w:val="24"/>
        </w:rPr>
        <w:t>, at aktiviteter, der er erhvervet fra koncernforbundne selskaber, ikke indgår i vurderingen af det tomme selskabs erhvervsmæssige aktivitet.  Endvidere vil den aktivitet, der er i det tomme selskabs datterselskaber før og efter omstruktureringen, heller ikke indgå.</w:t>
      </w:r>
    </w:p>
    <w:p w:rsidR="00455172" w:rsidRDefault="00455172" w:rsidP="00257D34">
      <w:pPr>
        <w:rPr>
          <w:sz w:val="24"/>
        </w:rPr>
      </w:pPr>
    </w:p>
    <w:p w:rsidR="00455172" w:rsidRDefault="00455172" w:rsidP="00257D34">
      <w:pPr>
        <w:rPr>
          <w:bCs/>
          <w:sz w:val="24"/>
        </w:rPr>
      </w:pPr>
      <w:r>
        <w:rPr>
          <w:iCs/>
          <w:sz w:val="24"/>
        </w:rPr>
        <w:t>Ved skattepligtig fusion og spaltning foreslås det tilsvarende</w:t>
      </w:r>
      <w:r w:rsidR="00462682">
        <w:rPr>
          <w:iCs/>
          <w:sz w:val="24"/>
        </w:rPr>
        <w:t xml:space="preserve"> i § 2 D, stk. 4</w:t>
      </w:r>
      <w:r>
        <w:rPr>
          <w:iCs/>
          <w:sz w:val="24"/>
        </w:rPr>
        <w:t>, at v</w:t>
      </w:r>
      <w:r>
        <w:rPr>
          <w:sz w:val="24"/>
        </w:rPr>
        <w:t xml:space="preserve">ederlag i andet end aktier i det modtagende selskab eller hermed koncernforbundne selskaber anses som udbytte, såfremt aktionæren efter omstruktureringen ejer aktier i det modtagende selskab eller hermed koncernforbundne selskaber. I modsætning til skattepligtig aktieombytning er den foreslåede udbyttebeskatning af kontante udligningssummer ved skattepligtig fusion og spaltning ikke begrænset til omstruktureringer, hvori der indgår tomme selskaber. </w:t>
      </w:r>
    </w:p>
    <w:p w:rsidR="00257D34" w:rsidRDefault="00257D34" w:rsidP="00376FD2">
      <w:pPr>
        <w:rPr>
          <w:bCs/>
          <w:sz w:val="24"/>
        </w:rPr>
      </w:pPr>
    </w:p>
    <w:p w:rsidR="00665CCB" w:rsidRDefault="00665CCB" w:rsidP="00E83A11">
      <w:pPr>
        <w:rPr>
          <w:sz w:val="24"/>
        </w:rPr>
      </w:pPr>
    </w:p>
    <w:p w:rsidR="00665CCB" w:rsidRPr="00BC172D" w:rsidRDefault="00665CCB" w:rsidP="00665CCB">
      <w:pPr>
        <w:jc w:val="center"/>
        <w:rPr>
          <w:i/>
          <w:iCs/>
          <w:sz w:val="24"/>
        </w:rPr>
      </w:pPr>
      <w:r w:rsidRPr="00BC172D">
        <w:rPr>
          <w:i/>
          <w:iCs/>
          <w:sz w:val="24"/>
        </w:rPr>
        <w:t>Til § 3</w:t>
      </w:r>
    </w:p>
    <w:p w:rsidR="00665CCB" w:rsidRPr="00BC172D" w:rsidRDefault="008B6519" w:rsidP="00665CCB">
      <w:pPr>
        <w:rPr>
          <w:sz w:val="24"/>
        </w:rPr>
      </w:pPr>
      <w:r>
        <w:rPr>
          <w:sz w:val="24"/>
        </w:rPr>
        <w:t>Til nr. 1</w:t>
      </w:r>
    </w:p>
    <w:p w:rsidR="00665CCB" w:rsidRDefault="000C5BD3" w:rsidP="00E83A11">
      <w:pPr>
        <w:rPr>
          <w:sz w:val="24"/>
        </w:rPr>
      </w:pPr>
      <w:r>
        <w:rPr>
          <w:sz w:val="24"/>
        </w:rPr>
        <w:t>De foreslåede nye punktummer i kildeskattelovens § 2, stk. 1, nr. 6</w:t>
      </w:r>
      <w:r w:rsidR="005002E3">
        <w:rPr>
          <w:sz w:val="24"/>
        </w:rPr>
        <w:t>,</w:t>
      </w:r>
      <w:r>
        <w:rPr>
          <w:sz w:val="24"/>
        </w:rPr>
        <w:t xml:space="preserve"> er </w:t>
      </w:r>
      <w:proofErr w:type="spellStart"/>
      <w:r>
        <w:rPr>
          <w:sz w:val="24"/>
        </w:rPr>
        <w:t>værnsreg</w:t>
      </w:r>
      <w:r w:rsidR="00F77E5C">
        <w:rPr>
          <w:sz w:val="24"/>
        </w:rPr>
        <w:t>l</w:t>
      </w:r>
      <w:r>
        <w:rPr>
          <w:sz w:val="24"/>
        </w:rPr>
        <w:t>e</w:t>
      </w:r>
      <w:r w:rsidR="00F77E5C">
        <w:rPr>
          <w:sz w:val="24"/>
        </w:rPr>
        <w:t>r</w:t>
      </w:r>
      <w:proofErr w:type="spellEnd"/>
      <w:r>
        <w:rPr>
          <w:sz w:val="24"/>
        </w:rPr>
        <w:t>, der skal hindre omgåelse af beskatning af udbytte til en person, som efter de gældende regler ikke er fritaget for beskatning af udbytter.</w:t>
      </w:r>
    </w:p>
    <w:p w:rsidR="000C5BD3" w:rsidRDefault="000C5BD3" w:rsidP="00E83A11">
      <w:pPr>
        <w:rPr>
          <w:sz w:val="24"/>
        </w:rPr>
      </w:pPr>
    </w:p>
    <w:p w:rsidR="000C5BD3" w:rsidRDefault="000C5BD3" w:rsidP="00E83A11">
      <w:pPr>
        <w:rPr>
          <w:sz w:val="24"/>
        </w:rPr>
      </w:pPr>
      <w:r>
        <w:rPr>
          <w:sz w:val="24"/>
        </w:rPr>
        <w:t xml:space="preserve">Den foreslåede bestemmelse svarer til den foreslåede ændring i selskabsskattelovens § 2 D, som er nærmere omtalt </w:t>
      </w:r>
      <w:r w:rsidR="00C817DD">
        <w:rPr>
          <w:sz w:val="24"/>
        </w:rPr>
        <w:t>oven</w:t>
      </w:r>
      <w:r>
        <w:rPr>
          <w:sz w:val="24"/>
        </w:rPr>
        <w:t xml:space="preserve">for under § </w:t>
      </w:r>
      <w:r w:rsidR="00C817DD">
        <w:rPr>
          <w:sz w:val="24"/>
        </w:rPr>
        <w:t>2</w:t>
      </w:r>
      <w:r>
        <w:rPr>
          <w:sz w:val="24"/>
        </w:rPr>
        <w:t>.</w:t>
      </w:r>
    </w:p>
    <w:p w:rsidR="00881E79" w:rsidRDefault="00881E79" w:rsidP="00E83A11">
      <w:pPr>
        <w:rPr>
          <w:sz w:val="24"/>
        </w:rPr>
      </w:pPr>
    </w:p>
    <w:p w:rsidR="00444BFC" w:rsidRDefault="00881E79" w:rsidP="00E83A11">
      <w:pPr>
        <w:rPr>
          <w:sz w:val="24"/>
        </w:rPr>
      </w:pPr>
      <w:r>
        <w:rPr>
          <w:sz w:val="24"/>
        </w:rPr>
        <w:t>Til nr. 2</w:t>
      </w:r>
    </w:p>
    <w:p w:rsidR="008B6519" w:rsidRDefault="000747C5" w:rsidP="00E83A11">
      <w:pPr>
        <w:rPr>
          <w:sz w:val="24"/>
        </w:rPr>
      </w:pPr>
      <w:r>
        <w:rPr>
          <w:sz w:val="24"/>
        </w:rPr>
        <w:t xml:space="preserve">De foreslåede nye punktummer </w:t>
      </w:r>
      <w:r w:rsidR="005F0F3C">
        <w:rPr>
          <w:sz w:val="24"/>
        </w:rPr>
        <w:t xml:space="preserve">i lovforslagets § 3, nr. 1 </w:t>
      </w:r>
      <w:r w:rsidR="00334B1D">
        <w:rPr>
          <w:sz w:val="24"/>
        </w:rPr>
        <w:t>skal ikke anvendes</w:t>
      </w:r>
      <w:r w:rsidR="00881E79" w:rsidRPr="00881E79">
        <w:rPr>
          <w:sz w:val="24"/>
        </w:rPr>
        <w:t xml:space="preserve"> hvis personen er hjemmehørende på Færøerne, i Grønland eller i et land, som er medlem af EU/EØS, eller som har en dobbeltbeskatningsoverenskomst med Danmark, og de kompetente myndigheder i denne stat skal udveksle oplysninger med de danske myndigheder efter dobbeltbeskatningsoverenskomsten, en anden international overenskomst eller konvention eller en administrativt indgået aftale om bistand i skattesager.</w:t>
      </w:r>
      <w:r w:rsidR="00881E79">
        <w:rPr>
          <w:sz w:val="24"/>
        </w:rPr>
        <w:t xml:space="preserve"> </w:t>
      </w:r>
      <w:r w:rsidR="005F0F3C">
        <w:rPr>
          <w:sz w:val="24"/>
        </w:rPr>
        <w:t>Beskatningen skal altså kun gennemføres, hvis personen er hjemmehørende i et land uden for EU, som ikke har en dobbeltbeskatningsoverenskomst med Danmark. Skatteplanlægning med kvalifikationsskift er nemlig især fordelagtig, hvis overdragelsen af aktierne ikke medfører avancebeskatning, hvilket må formodes at ske, hvis personen er hjemmehørende i et EU-land eller et land, som har en dobbeltbeskatningsoverenskomst med Danmark.</w:t>
      </w:r>
    </w:p>
    <w:p w:rsidR="008B6519" w:rsidRDefault="008B6519" w:rsidP="00E83A11">
      <w:pPr>
        <w:rPr>
          <w:sz w:val="24"/>
        </w:rPr>
      </w:pPr>
    </w:p>
    <w:p w:rsidR="00E1480D" w:rsidRPr="00BC172D" w:rsidRDefault="00E1480D" w:rsidP="00E1480D">
      <w:pPr>
        <w:jc w:val="center"/>
        <w:rPr>
          <w:i/>
          <w:iCs/>
          <w:sz w:val="24"/>
        </w:rPr>
      </w:pPr>
      <w:r w:rsidRPr="00BC172D">
        <w:rPr>
          <w:i/>
          <w:iCs/>
          <w:sz w:val="24"/>
        </w:rPr>
        <w:t xml:space="preserve">Til § </w:t>
      </w:r>
      <w:r w:rsidR="008B6519">
        <w:rPr>
          <w:i/>
          <w:iCs/>
          <w:sz w:val="24"/>
        </w:rPr>
        <w:t>4</w:t>
      </w:r>
    </w:p>
    <w:p w:rsidR="00257D34" w:rsidRPr="006E18F2" w:rsidRDefault="00257D34" w:rsidP="00257D34">
      <w:pPr>
        <w:rPr>
          <w:bCs/>
          <w:sz w:val="24"/>
        </w:rPr>
      </w:pPr>
      <w:r w:rsidRPr="006E18F2">
        <w:rPr>
          <w:bCs/>
          <w:sz w:val="24"/>
        </w:rPr>
        <w:t>Til nr. 1</w:t>
      </w:r>
    </w:p>
    <w:p w:rsidR="00257D34" w:rsidRDefault="00257D34" w:rsidP="00257D34">
      <w:pPr>
        <w:rPr>
          <w:sz w:val="24"/>
        </w:rPr>
      </w:pPr>
      <w:r>
        <w:rPr>
          <w:sz w:val="24"/>
        </w:rPr>
        <w:t>Der er tale om en konsekvensændring som følge af lovforslagets § 1</w:t>
      </w:r>
      <w:r w:rsidR="006E2F7C">
        <w:rPr>
          <w:sz w:val="24"/>
        </w:rPr>
        <w:t xml:space="preserve"> nr. 1</w:t>
      </w:r>
      <w:r w:rsidRPr="00A27CAF">
        <w:rPr>
          <w:sz w:val="24"/>
        </w:rPr>
        <w:t>, hvorefter kontante udligningssummer skal beskattes som udbytte</w:t>
      </w:r>
      <w:r>
        <w:rPr>
          <w:sz w:val="24"/>
        </w:rPr>
        <w:t>. Der er herefter ikke behov for særreglen om, at de såkaldte ”spidser” beskattes om udbytte. Det følger fremover af den generelle regel i fusionsskattelovens § 9.</w:t>
      </w:r>
    </w:p>
    <w:p w:rsidR="000C5BD3" w:rsidRDefault="000C5BD3" w:rsidP="00AA0ED5">
      <w:pPr>
        <w:rPr>
          <w:sz w:val="24"/>
        </w:rPr>
      </w:pPr>
    </w:p>
    <w:p w:rsidR="00E1480D" w:rsidRDefault="004C706E" w:rsidP="000C5BD3">
      <w:pPr>
        <w:rPr>
          <w:i/>
          <w:iCs/>
          <w:sz w:val="24"/>
        </w:rPr>
      </w:pPr>
      <w:r>
        <w:rPr>
          <w:sz w:val="24"/>
        </w:rPr>
        <w:t xml:space="preserve"> </w:t>
      </w:r>
    </w:p>
    <w:p w:rsidR="00376FD2" w:rsidRPr="00BC172D" w:rsidRDefault="00376FD2" w:rsidP="00376FD2">
      <w:pPr>
        <w:jc w:val="center"/>
        <w:rPr>
          <w:i/>
          <w:iCs/>
          <w:sz w:val="24"/>
        </w:rPr>
      </w:pPr>
      <w:r w:rsidRPr="00BC172D">
        <w:rPr>
          <w:i/>
          <w:iCs/>
          <w:sz w:val="24"/>
        </w:rPr>
        <w:t xml:space="preserve">Til § </w:t>
      </w:r>
      <w:r w:rsidR="000C5BD3">
        <w:rPr>
          <w:i/>
          <w:iCs/>
          <w:sz w:val="24"/>
        </w:rPr>
        <w:t>5</w:t>
      </w:r>
    </w:p>
    <w:p w:rsidR="00376FD2" w:rsidRPr="00BC172D" w:rsidRDefault="00376FD2" w:rsidP="00376FD2">
      <w:pPr>
        <w:rPr>
          <w:b/>
          <w:bCs/>
          <w:sz w:val="24"/>
        </w:rPr>
      </w:pPr>
    </w:p>
    <w:p w:rsidR="00376FD2" w:rsidRPr="00BC172D" w:rsidRDefault="00376FD2" w:rsidP="00376FD2">
      <w:pPr>
        <w:rPr>
          <w:sz w:val="24"/>
        </w:rPr>
      </w:pPr>
      <w:r w:rsidRPr="00BC172D">
        <w:rPr>
          <w:sz w:val="24"/>
        </w:rPr>
        <w:t>Til stk. 1</w:t>
      </w:r>
    </w:p>
    <w:p w:rsidR="00376FD2" w:rsidRDefault="00A856BA" w:rsidP="00376FD2">
      <w:pPr>
        <w:rPr>
          <w:sz w:val="24"/>
        </w:rPr>
      </w:pPr>
      <w:r>
        <w:rPr>
          <w:sz w:val="24"/>
        </w:rPr>
        <w:t xml:space="preserve">Det foreslås, at loven træder i kraft den </w:t>
      </w:r>
      <w:r w:rsidR="006E2F7C">
        <w:rPr>
          <w:sz w:val="24"/>
        </w:rPr>
        <w:t>1</w:t>
      </w:r>
      <w:r>
        <w:rPr>
          <w:sz w:val="24"/>
        </w:rPr>
        <w:t xml:space="preserve">. </w:t>
      </w:r>
      <w:r w:rsidR="006E2F7C">
        <w:rPr>
          <w:sz w:val="24"/>
        </w:rPr>
        <w:t>februar</w:t>
      </w:r>
      <w:r>
        <w:rPr>
          <w:sz w:val="24"/>
        </w:rPr>
        <w:t xml:space="preserve"> 201</w:t>
      </w:r>
      <w:r w:rsidR="006E2F7C">
        <w:rPr>
          <w:sz w:val="24"/>
        </w:rPr>
        <w:t>4</w:t>
      </w:r>
      <w:r>
        <w:rPr>
          <w:sz w:val="24"/>
        </w:rPr>
        <w:t>.</w:t>
      </w:r>
    </w:p>
    <w:p w:rsidR="00A856BA" w:rsidRPr="00BC172D" w:rsidRDefault="00A856BA" w:rsidP="00376FD2">
      <w:pPr>
        <w:rPr>
          <w:sz w:val="24"/>
        </w:rPr>
      </w:pPr>
    </w:p>
    <w:p w:rsidR="00376FD2" w:rsidRPr="00BC172D" w:rsidRDefault="00376FD2" w:rsidP="00376FD2">
      <w:pPr>
        <w:rPr>
          <w:i/>
          <w:iCs/>
          <w:sz w:val="24"/>
        </w:rPr>
      </w:pPr>
      <w:r w:rsidRPr="00BC172D">
        <w:rPr>
          <w:sz w:val="24"/>
        </w:rPr>
        <w:t xml:space="preserve">Til stk. 2 </w:t>
      </w:r>
    </w:p>
    <w:p w:rsidR="00BC0F07" w:rsidRDefault="00A856BA" w:rsidP="00376FD2">
      <w:pPr>
        <w:ind w:right="1"/>
        <w:rPr>
          <w:sz w:val="24"/>
        </w:rPr>
      </w:pPr>
      <w:r>
        <w:rPr>
          <w:sz w:val="24"/>
        </w:rPr>
        <w:t xml:space="preserve">Det foreslås, at </w:t>
      </w:r>
      <w:r w:rsidR="0040482E">
        <w:rPr>
          <w:sz w:val="24"/>
        </w:rPr>
        <w:t>loven</w:t>
      </w:r>
      <w:r w:rsidR="00D626F8">
        <w:rPr>
          <w:sz w:val="24"/>
        </w:rPr>
        <w:t xml:space="preserve"> får virkning for vederlag i forbindelse</w:t>
      </w:r>
      <w:r w:rsidR="00A2100B">
        <w:rPr>
          <w:sz w:val="24"/>
        </w:rPr>
        <w:t xml:space="preserve"> med</w:t>
      </w:r>
      <w:r w:rsidR="00D626F8">
        <w:rPr>
          <w:sz w:val="24"/>
        </w:rPr>
        <w:t xml:space="preserve"> </w:t>
      </w:r>
      <w:r w:rsidR="007D0AC0">
        <w:rPr>
          <w:sz w:val="24"/>
        </w:rPr>
        <w:t>afståelse</w:t>
      </w:r>
      <w:r w:rsidR="002B7FBC">
        <w:rPr>
          <w:sz w:val="24"/>
        </w:rPr>
        <w:t xml:space="preserve"> af aktier</w:t>
      </w:r>
      <w:r w:rsidR="0077744B">
        <w:rPr>
          <w:sz w:val="24"/>
        </w:rPr>
        <w:t>, der foretages</w:t>
      </w:r>
      <w:r w:rsidR="002B7FBC">
        <w:rPr>
          <w:sz w:val="24"/>
        </w:rPr>
        <w:t xml:space="preserve"> </w:t>
      </w:r>
      <w:r w:rsidR="002B7FBC" w:rsidRPr="002B7FBC">
        <w:rPr>
          <w:sz w:val="24"/>
        </w:rPr>
        <w:t xml:space="preserve">fra den </w:t>
      </w:r>
      <w:r w:rsidR="00D74CCE">
        <w:rPr>
          <w:sz w:val="24"/>
        </w:rPr>
        <w:t>20</w:t>
      </w:r>
      <w:r w:rsidR="002B7FBC" w:rsidRPr="002B7FBC">
        <w:rPr>
          <w:sz w:val="24"/>
        </w:rPr>
        <w:t xml:space="preserve">. </w:t>
      </w:r>
      <w:r w:rsidR="006E2F7C">
        <w:rPr>
          <w:sz w:val="24"/>
        </w:rPr>
        <w:t>november</w:t>
      </w:r>
      <w:r w:rsidR="002B7FBC" w:rsidRPr="002B7FBC">
        <w:rPr>
          <w:sz w:val="24"/>
        </w:rPr>
        <w:t xml:space="preserve"> 2013</w:t>
      </w:r>
      <w:r w:rsidR="007D0AC0">
        <w:rPr>
          <w:sz w:val="24"/>
        </w:rPr>
        <w:t>. Ved afståelse forstås, at der er indgået en endelig bindende aftale om overdragelse af aktier.</w:t>
      </w:r>
      <w:r w:rsidR="002B7FBC" w:rsidRPr="002B7FBC">
        <w:rPr>
          <w:sz w:val="24"/>
        </w:rPr>
        <w:t xml:space="preserve"> </w:t>
      </w:r>
      <w:r w:rsidR="002B7FBC">
        <w:rPr>
          <w:sz w:val="24"/>
        </w:rPr>
        <w:t xml:space="preserve"> </w:t>
      </w:r>
    </w:p>
    <w:p w:rsidR="00BC0F07" w:rsidRDefault="00BC0F07" w:rsidP="00376FD2">
      <w:pPr>
        <w:ind w:right="1"/>
        <w:rPr>
          <w:sz w:val="24"/>
        </w:rPr>
      </w:pPr>
    </w:p>
    <w:p w:rsidR="002B7FBC" w:rsidRDefault="002E2FE5" w:rsidP="00376FD2">
      <w:pPr>
        <w:ind w:right="1"/>
        <w:rPr>
          <w:sz w:val="24"/>
        </w:rPr>
      </w:pPr>
      <w:r>
        <w:rPr>
          <w:sz w:val="24"/>
        </w:rPr>
        <w:t xml:space="preserve">Hvis afståelsen sker i forbindelse med omstrukturering, </w:t>
      </w:r>
      <w:r w:rsidR="0077744B">
        <w:rPr>
          <w:sz w:val="24"/>
        </w:rPr>
        <w:t xml:space="preserve">hvor beslutningen kræver vedtagelse på en generalforsamling, </w:t>
      </w:r>
      <w:r>
        <w:rPr>
          <w:sz w:val="24"/>
        </w:rPr>
        <w:t xml:space="preserve">f.eks. </w:t>
      </w:r>
      <w:r w:rsidR="002B7FBC" w:rsidRPr="002B7FBC">
        <w:rPr>
          <w:sz w:val="24"/>
        </w:rPr>
        <w:t xml:space="preserve">fusion </w:t>
      </w:r>
      <w:r w:rsidR="00B20843">
        <w:rPr>
          <w:sz w:val="24"/>
        </w:rPr>
        <w:t>eller</w:t>
      </w:r>
      <w:r w:rsidR="002B7FBC" w:rsidRPr="002B7FBC">
        <w:rPr>
          <w:sz w:val="24"/>
        </w:rPr>
        <w:t xml:space="preserve"> spaltning</w:t>
      </w:r>
      <w:r w:rsidR="0077744B">
        <w:rPr>
          <w:sz w:val="24"/>
        </w:rPr>
        <w:t xml:space="preserve">, </w:t>
      </w:r>
      <w:r>
        <w:rPr>
          <w:sz w:val="24"/>
        </w:rPr>
        <w:t xml:space="preserve">har loven virkning for </w:t>
      </w:r>
      <w:r w:rsidR="00BC0F07">
        <w:rPr>
          <w:sz w:val="24"/>
        </w:rPr>
        <w:t>vederlag</w:t>
      </w:r>
      <w:r>
        <w:rPr>
          <w:sz w:val="24"/>
        </w:rPr>
        <w:t>, hvor omstruktureringen</w:t>
      </w:r>
      <w:r w:rsidR="002B7FBC" w:rsidRPr="002B7FBC">
        <w:rPr>
          <w:sz w:val="24"/>
        </w:rPr>
        <w:t xml:space="preserve"> vedtage</w:t>
      </w:r>
      <w:r>
        <w:rPr>
          <w:sz w:val="24"/>
        </w:rPr>
        <w:t>s den 20. november 2013 eller senere.</w:t>
      </w:r>
      <w:r w:rsidR="00BC0F07">
        <w:rPr>
          <w:sz w:val="24"/>
        </w:rPr>
        <w:t xml:space="preserve"> Dette gælder også vederlag, der modtages i forbindelse med en omstrukturering, hvor det indskydende selskab ikke ophører, dvs. grenspaltning.</w:t>
      </w:r>
    </w:p>
    <w:p w:rsidR="002B7FBC" w:rsidRDefault="002B7FBC" w:rsidP="00376FD2">
      <w:pPr>
        <w:ind w:right="1"/>
        <w:rPr>
          <w:sz w:val="24"/>
        </w:rPr>
      </w:pPr>
    </w:p>
    <w:p w:rsidR="00376FD2" w:rsidRPr="00BC172D" w:rsidRDefault="00D626F8" w:rsidP="00541803">
      <w:pPr>
        <w:ind w:right="1"/>
        <w:rPr>
          <w:sz w:val="24"/>
        </w:rPr>
      </w:pPr>
      <w:r>
        <w:rPr>
          <w:sz w:val="24"/>
        </w:rPr>
        <w:t>De for</w:t>
      </w:r>
      <w:r w:rsidR="006E2F7C">
        <w:rPr>
          <w:sz w:val="24"/>
        </w:rPr>
        <w:t>e</w:t>
      </w:r>
      <w:r>
        <w:rPr>
          <w:sz w:val="24"/>
        </w:rPr>
        <w:t xml:space="preserve">slåede bestemmelser indeholder skærpende ændringer, som undtagelsesvist tillægges </w:t>
      </w:r>
      <w:r>
        <w:rPr>
          <w:sz w:val="24"/>
        </w:rPr>
        <w:lastRenderedPageBreak/>
        <w:t xml:space="preserve">virkning allerede fra fremsættelsesdagen. </w:t>
      </w:r>
      <w:r w:rsidR="006F663B">
        <w:rPr>
          <w:sz w:val="24"/>
        </w:rPr>
        <w:t>Det</w:t>
      </w:r>
      <w:r w:rsidR="00D264A8">
        <w:rPr>
          <w:sz w:val="24"/>
        </w:rPr>
        <w:t xml:space="preserve"> tidlige virkningstidspunkt skal forhindre spekulation, der kunne modvirke formålet med bestemmelserne i tidsrummet fra lovforslagets fremsættelse og indtil dets ikrafttræden. Der ville således være risiko for yderligere utilsigtede provenutab ved et senere virkningstidspunkt. Det er ikke muligt at skønne over størrelsen af disse yderligere potentielle provenutab, men de kan være betydelige, særligt når fremgangsmåden for omgåelsen af den gældende lovgivning gives med lovforslagets fremsættelse.</w:t>
      </w:r>
      <w:r w:rsidR="00376FD2" w:rsidRPr="00BC172D">
        <w:rPr>
          <w:sz w:val="24"/>
        </w:rPr>
        <w:tab/>
      </w:r>
    </w:p>
    <w:p w:rsidR="00376FD2" w:rsidRPr="00912739" w:rsidRDefault="00376FD2" w:rsidP="00FF1638">
      <w:pPr>
        <w:tabs>
          <w:tab w:val="left" w:pos="0"/>
          <w:tab w:val="left" w:pos="900"/>
        </w:tabs>
        <w:ind w:right="1"/>
        <w:jc w:val="right"/>
        <w:rPr>
          <w:b/>
          <w:sz w:val="24"/>
        </w:rPr>
      </w:pPr>
      <w:r w:rsidRPr="00BC172D">
        <w:rPr>
          <w:sz w:val="24"/>
        </w:rPr>
        <w:br w:type="page"/>
      </w:r>
      <w:r w:rsidR="00912739">
        <w:rPr>
          <w:sz w:val="24"/>
        </w:rPr>
        <w:lastRenderedPageBreak/>
        <w:tab/>
      </w:r>
      <w:r w:rsidR="00912739">
        <w:rPr>
          <w:sz w:val="24"/>
        </w:rPr>
        <w:tab/>
      </w:r>
      <w:r w:rsidR="00912739">
        <w:rPr>
          <w:sz w:val="24"/>
        </w:rPr>
        <w:tab/>
      </w:r>
      <w:r w:rsidR="00912739">
        <w:rPr>
          <w:sz w:val="24"/>
        </w:rPr>
        <w:tab/>
      </w:r>
      <w:r w:rsidR="00912739">
        <w:rPr>
          <w:sz w:val="24"/>
        </w:rPr>
        <w:tab/>
      </w:r>
      <w:r w:rsidR="00912739">
        <w:rPr>
          <w:sz w:val="24"/>
        </w:rPr>
        <w:tab/>
      </w:r>
      <w:r w:rsidR="00912739">
        <w:rPr>
          <w:sz w:val="24"/>
        </w:rPr>
        <w:tab/>
      </w:r>
      <w:r w:rsidR="00912739">
        <w:rPr>
          <w:sz w:val="24"/>
        </w:rPr>
        <w:tab/>
      </w:r>
      <w:r w:rsidR="00912739">
        <w:rPr>
          <w:sz w:val="24"/>
        </w:rPr>
        <w:tab/>
      </w:r>
      <w:r w:rsidR="00912739">
        <w:rPr>
          <w:sz w:val="24"/>
        </w:rPr>
        <w:tab/>
      </w:r>
      <w:r w:rsidR="00912739">
        <w:rPr>
          <w:sz w:val="24"/>
        </w:rPr>
        <w:tab/>
      </w:r>
      <w:r w:rsidR="00912739" w:rsidRPr="00912739">
        <w:rPr>
          <w:b/>
          <w:sz w:val="24"/>
        </w:rPr>
        <w:t xml:space="preserve">Bilag </w:t>
      </w:r>
      <w:r w:rsidR="00FF1638">
        <w:rPr>
          <w:b/>
          <w:sz w:val="24"/>
        </w:rPr>
        <w:t>1</w:t>
      </w:r>
    </w:p>
    <w:p w:rsidR="00912739" w:rsidRDefault="00912739" w:rsidP="00912739">
      <w:pPr>
        <w:ind w:left="720" w:firstLine="720"/>
        <w:rPr>
          <w:b/>
          <w:bCs/>
          <w:sz w:val="24"/>
        </w:rPr>
      </w:pPr>
    </w:p>
    <w:p w:rsidR="00376FD2" w:rsidRDefault="00912739" w:rsidP="00912739">
      <w:pPr>
        <w:ind w:left="1440" w:firstLine="720"/>
        <w:rPr>
          <w:b/>
          <w:bCs/>
          <w:sz w:val="24"/>
        </w:rPr>
      </w:pPr>
      <w:r>
        <w:rPr>
          <w:b/>
          <w:bCs/>
          <w:sz w:val="24"/>
        </w:rPr>
        <w:t>Lovforslaget sammenholdt med gældende lov</w:t>
      </w:r>
    </w:p>
    <w:p w:rsidR="00C10B89" w:rsidRPr="00BC172D" w:rsidRDefault="00C10B89" w:rsidP="00912739">
      <w:pPr>
        <w:ind w:left="1440" w:firstLine="720"/>
        <w:rPr>
          <w:b/>
          <w:bCs/>
          <w:sz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05"/>
      </w:tblGrid>
      <w:tr w:rsidR="000C0D03" w:rsidTr="00393D9F">
        <w:tc>
          <w:tcPr>
            <w:tcW w:w="4604" w:type="dxa"/>
          </w:tcPr>
          <w:p w:rsidR="000C0D03" w:rsidRDefault="000C0D03" w:rsidP="00912739">
            <w:pPr>
              <w:widowControl/>
              <w:spacing w:line="288" w:lineRule="auto"/>
              <w:rPr>
                <w:b/>
                <w:sz w:val="24"/>
              </w:rPr>
            </w:pPr>
            <w:r>
              <w:rPr>
                <w:bCs/>
                <w:i/>
                <w:sz w:val="24"/>
              </w:rPr>
              <w:t>Gældende formulering</w:t>
            </w:r>
          </w:p>
        </w:tc>
        <w:tc>
          <w:tcPr>
            <w:tcW w:w="4605" w:type="dxa"/>
          </w:tcPr>
          <w:p w:rsidR="000C0D03" w:rsidRDefault="000C0D03" w:rsidP="000C0D03">
            <w:pPr>
              <w:rPr>
                <w:b/>
                <w:sz w:val="24"/>
              </w:rPr>
            </w:pPr>
            <w:r>
              <w:rPr>
                <w:bCs/>
                <w:i/>
                <w:sz w:val="24"/>
              </w:rPr>
              <w:t>Lovforslaget</w:t>
            </w:r>
          </w:p>
        </w:tc>
      </w:tr>
      <w:tr w:rsidR="000C0D03" w:rsidTr="00393D9F">
        <w:tc>
          <w:tcPr>
            <w:tcW w:w="4604" w:type="dxa"/>
          </w:tcPr>
          <w:p w:rsidR="000C0D03" w:rsidRDefault="000C0D03"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C46F6" w:rsidRDefault="00DC46F6" w:rsidP="00912739">
            <w:pPr>
              <w:widowControl/>
              <w:spacing w:line="288" w:lineRule="auto"/>
              <w:rPr>
                <w:b/>
                <w:sz w:val="24"/>
              </w:rPr>
            </w:pPr>
          </w:p>
          <w:p w:rsidR="00D655A5" w:rsidRDefault="00D655A5" w:rsidP="00912739">
            <w:pPr>
              <w:widowControl/>
              <w:spacing w:line="288" w:lineRule="auto"/>
              <w:rPr>
                <w:b/>
                <w:sz w:val="24"/>
              </w:rPr>
            </w:pPr>
          </w:p>
          <w:p w:rsidR="00DC46F6" w:rsidRDefault="00DC46F6" w:rsidP="00912739">
            <w:pPr>
              <w:widowControl/>
              <w:spacing w:line="288" w:lineRule="auto"/>
              <w:rPr>
                <w:b/>
                <w:sz w:val="24"/>
              </w:rPr>
            </w:pPr>
          </w:p>
          <w:p w:rsidR="00DC46F6" w:rsidRPr="00DC46F6" w:rsidRDefault="00DC46F6" w:rsidP="00DC46F6">
            <w:pPr>
              <w:widowControl/>
              <w:spacing w:line="288" w:lineRule="auto"/>
              <w:rPr>
                <w:sz w:val="24"/>
              </w:rPr>
            </w:pPr>
            <w:r w:rsidRPr="00261E54">
              <w:rPr>
                <w:b/>
                <w:sz w:val="24"/>
              </w:rPr>
              <w:t>§ 9</w:t>
            </w:r>
            <w:r>
              <w:rPr>
                <w:sz w:val="24"/>
              </w:rPr>
              <w:t xml:space="preserve">. </w:t>
            </w:r>
            <w:r w:rsidRPr="00DC46F6">
              <w:rPr>
                <w:sz w:val="24"/>
              </w:rPr>
              <w:t>Aktier i det indskydende selskab anses for afhændet af selskabsdeltageren til tredjemand i det omfang, de vederlægges med andet end aktier i det modtagende selskab. Afhændelsen anses for sket til kursen på den i § 5 nævnte fusionsdato.</w:t>
            </w:r>
          </w:p>
          <w:p w:rsidR="00DC46F6" w:rsidRDefault="00DC46F6" w:rsidP="00DC46F6">
            <w:pPr>
              <w:widowControl/>
              <w:spacing w:line="288" w:lineRule="auto"/>
              <w:rPr>
                <w:sz w:val="24"/>
              </w:rPr>
            </w:pPr>
          </w:p>
          <w:p w:rsidR="00DC46F6" w:rsidRPr="00DC46F6" w:rsidRDefault="00DC46F6" w:rsidP="00DC46F6">
            <w:pPr>
              <w:widowControl/>
              <w:spacing w:line="288" w:lineRule="auto"/>
              <w:rPr>
                <w:sz w:val="24"/>
              </w:rPr>
            </w:pPr>
            <w:r w:rsidRPr="00DC46F6">
              <w:rPr>
                <w:sz w:val="24"/>
              </w:rPr>
              <w:t xml:space="preserve"> </w:t>
            </w:r>
            <w:r w:rsidRPr="00156BAE">
              <w:rPr>
                <w:i/>
                <w:sz w:val="24"/>
              </w:rPr>
              <w:t>Stk. 2</w:t>
            </w:r>
            <w:r w:rsidRPr="00DC46F6">
              <w:rPr>
                <w:sz w:val="24"/>
              </w:rPr>
              <w:t>.</w:t>
            </w:r>
            <w:r>
              <w:rPr>
                <w:sz w:val="24"/>
              </w:rPr>
              <w:t xml:space="preserve"> </w:t>
            </w:r>
            <w:r w:rsidRPr="00DC46F6">
              <w:rPr>
                <w:sz w:val="24"/>
              </w:rPr>
              <w:t>Fortjeneste eller tab i forbindelse med indløsning som nævnt i stk. 1 af aktier i det indskydende selskab behandles efter reglerne i aktieavancebeskatningsloven. Uanset 1. pkt. behandles det kontante vederlag som udbytte i de tilfælde, som er nævnt i ligningslovens § 16 A, stk. 3, nr. 1.</w:t>
            </w:r>
          </w:p>
          <w:p w:rsidR="00DC46F6" w:rsidRDefault="00DC46F6" w:rsidP="00DC46F6">
            <w:pPr>
              <w:widowControl/>
              <w:spacing w:line="288" w:lineRule="auto"/>
              <w:rPr>
                <w:sz w:val="24"/>
              </w:rPr>
            </w:pPr>
          </w:p>
          <w:p w:rsidR="00DC46F6" w:rsidRPr="00DC46F6" w:rsidRDefault="00DC46F6" w:rsidP="00DC46F6">
            <w:pPr>
              <w:widowControl/>
              <w:spacing w:line="288" w:lineRule="auto"/>
              <w:rPr>
                <w:sz w:val="24"/>
              </w:rPr>
            </w:pPr>
            <w:r w:rsidRPr="00156BAE">
              <w:rPr>
                <w:i/>
                <w:sz w:val="24"/>
              </w:rPr>
              <w:t>Stk. 3</w:t>
            </w:r>
            <w:r w:rsidRPr="00DC46F6">
              <w:rPr>
                <w:sz w:val="24"/>
              </w:rPr>
              <w:t xml:space="preserve">. Har selskabsdeltageren flere aktier i det indskydende selskab end dem, der anses for indløst, og er de erhvervet på forskellige tidspunkter, anses de tidligst erhvervede aktier for indløst. Samtidigt erhvervede aktier, som ikke er forbundet med ensartede rettigheder, eller hvoraf nogle er anskaffet som led i selskabsdeltagerens næringsvej, anses for indløst efter forholdet mellem aktiernes kursværdi på den i § 5 nævnte </w:t>
            </w:r>
            <w:r w:rsidRPr="00DC46F6">
              <w:rPr>
                <w:sz w:val="24"/>
              </w:rPr>
              <w:lastRenderedPageBreak/>
              <w:t>fusionsdato.</w:t>
            </w:r>
          </w:p>
          <w:p w:rsidR="00DC46F6" w:rsidRPr="00261E54" w:rsidRDefault="00654215" w:rsidP="00912739">
            <w:pPr>
              <w:widowControl/>
              <w:spacing w:line="288" w:lineRule="auto"/>
              <w:rPr>
                <w:sz w:val="24"/>
              </w:rPr>
            </w:pPr>
            <w:r w:rsidRPr="00261E54">
              <w:rPr>
                <w:b/>
                <w:sz w:val="24"/>
              </w:rPr>
              <w:t>§ 15 b</w:t>
            </w:r>
            <w:r w:rsidR="00261E54">
              <w:rPr>
                <w:b/>
                <w:sz w:val="24"/>
              </w:rPr>
              <w:t>.</w:t>
            </w:r>
            <w:r w:rsidR="00261E54">
              <w:rPr>
                <w:sz w:val="24"/>
              </w:rPr>
              <w:t>---</w:t>
            </w:r>
          </w:p>
          <w:p w:rsidR="00654215" w:rsidRDefault="00654215" w:rsidP="00912739">
            <w:pPr>
              <w:widowControl/>
              <w:spacing w:line="288" w:lineRule="auto"/>
              <w:rPr>
                <w:sz w:val="24"/>
              </w:rPr>
            </w:pPr>
            <w:r w:rsidRPr="00156BAE">
              <w:rPr>
                <w:i/>
                <w:sz w:val="24"/>
              </w:rPr>
              <w:t>Stk. 4</w:t>
            </w:r>
            <w:r w:rsidRPr="00654215">
              <w:rPr>
                <w:sz w:val="24"/>
              </w:rPr>
              <w:t xml:space="preserve">. Spaltes et selskab, og beskattes selskaberne efter reglerne i stk. 1 eller 2, skal beskatningen af selskabsdeltagerne i det indskydende selskab ske efter reglerne i 2.-14. pkt. Ved anvendelse af reglerne anvendes spaltningsdatoen for det indskydende selskab, hvis det indskydende selskab og det eller de modtagende selskaber ikke har samme spaltningsdato. I det omfang aktierne i det indskydende selskab vederlægges med andet end aktier i de modtagende selskaber, anses aktierne for afhændet til tredjemand til kursen på spaltningsdatoen. § 9, stk. 2 og 3, finder tilsvarende anvendelse. Ophører det indskydende selskab ikke ved spaltningen, anses vederlag med andet end aktier eller anparter i det eller de modtagende selskaber som udbytte, jf. dog ligningslovens § 16 A, stk. 3, nr. 3. Bortset fra de afståede aktier anses aktierne i det indskydende selskab for ombyttet med aktier i de modtagende selskaber efter forholdet mellem kursværdien af aktierne i hvert enkelt af de modtagende selskaber og den samlede kursværdi af aktierne i de modtagende selskaber på spaltningsdatoen. Ophører det indskydende selskab, finder § 11 tilsvarende anvendelse på aktierne i hvert af de modtagende selskaber. Ophører det indskydende selskab ikke ved spaltningen, anses dets deltagere for at have anskaffet aktierne i det eller de modtagende selskaber på samme tidspunkt som aktierne i det indskydende selskab. Anskaffelsessummen inden spaltningen for aktierne i det indskydende selskab fordeles som anskaffelsessum for aktierne i det indskydende selskab efter spaltningen og det eller de modtagende selskaber efter forholdet </w:t>
            </w:r>
            <w:r w:rsidRPr="00654215">
              <w:rPr>
                <w:sz w:val="24"/>
              </w:rPr>
              <w:lastRenderedPageBreak/>
              <w:t>mellem kursværdien af aktierne i det indskydende selskab og hvert enkelt af de modtagende selskaber og den samlede kursværdi af aktierne i det indskydende selskab og det eller de modtagende selskaber på spaltningsdatoen. Er aktierne i det indskydende selskab anskaffet som led i selskabsdeltagerens næringsvej, anses aktierne i det eller de modtagende selskaber også for anskaffet som led heri. Er aktierne i det indskydende selskab omfattet af aktieavancebeskatningslovens § 18, anses aktierne i det eller de modtagende selskaber også for omfattet af disse bestemmelser. Har aktierne i det indskydende selskab ikke samme skattemæssige status, eller er de anskaffet på forskellige tidspunkter, foretages en forholdsmæssig fordeling for aktierne i det eller de modtagende selskaber. De forholdsmæssige andele beregnes efter kursværdien af aktierne i det indskydende selskab på spaltningsdatoen. Er de modtagne aktier forbundet med forskellige rettigheder, foretages beregningen særskilt for hver art af de modtagne aktier.</w:t>
            </w:r>
          </w:p>
          <w:p w:rsidR="00D70195" w:rsidRPr="00654215" w:rsidRDefault="00D70195" w:rsidP="00D70195">
            <w:pPr>
              <w:widowControl/>
              <w:spacing w:line="288" w:lineRule="auto"/>
              <w:rPr>
                <w:sz w:val="24"/>
              </w:rPr>
            </w:pPr>
            <w:r>
              <w:rPr>
                <w:sz w:val="24"/>
              </w:rPr>
              <w:t>Stk. 5-6. ---</w:t>
            </w:r>
          </w:p>
        </w:tc>
        <w:tc>
          <w:tcPr>
            <w:tcW w:w="4605" w:type="dxa"/>
          </w:tcPr>
          <w:p w:rsidR="00654215" w:rsidRDefault="00654215" w:rsidP="00A738DC">
            <w:pPr>
              <w:spacing w:line="288" w:lineRule="auto"/>
              <w:rPr>
                <w:b/>
                <w:sz w:val="24"/>
              </w:rPr>
            </w:pPr>
          </w:p>
          <w:p w:rsidR="00E867EE" w:rsidRDefault="00E867EE" w:rsidP="00D655A5">
            <w:pPr>
              <w:jc w:val="center"/>
              <w:rPr>
                <w:b/>
                <w:sz w:val="24"/>
              </w:rPr>
            </w:pPr>
            <w:r w:rsidRPr="00D655A5">
              <w:rPr>
                <w:b/>
                <w:sz w:val="24"/>
              </w:rPr>
              <w:t>§ 1</w:t>
            </w:r>
          </w:p>
          <w:p w:rsidR="00D655A5" w:rsidRPr="00D655A5" w:rsidRDefault="00D655A5" w:rsidP="00D655A5">
            <w:pPr>
              <w:jc w:val="center"/>
              <w:rPr>
                <w:b/>
                <w:sz w:val="24"/>
              </w:rPr>
            </w:pPr>
          </w:p>
          <w:p w:rsidR="00E867EE" w:rsidRDefault="00E867EE" w:rsidP="00E867EE">
            <w:pPr>
              <w:spacing w:line="288" w:lineRule="auto"/>
              <w:rPr>
                <w:sz w:val="24"/>
              </w:rPr>
            </w:pPr>
            <w:r>
              <w:rPr>
                <w:sz w:val="24"/>
              </w:rPr>
              <w:t>I fusionsskatteloven, jf. lovbekendtgørelse nr. 1120 af 14. november 2012, som ændret ved § 4 i lov nr. 433 af 16. maj 2012, § 2 i lov nr. 1255 af 18. december 2012, § 2 i lov nr. 1402 af 23. december 2012 og § 19 i lov nr. 600 af 12. juni 2013, foretages følgende ændringer:</w:t>
            </w:r>
          </w:p>
          <w:p w:rsidR="00E867EE" w:rsidRDefault="00E867EE" w:rsidP="00E867EE">
            <w:pPr>
              <w:jc w:val="both"/>
              <w:rPr>
                <w:sz w:val="24"/>
              </w:rPr>
            </w:pPr>
          </w:p>
          <w:p w:rsidR="00E867EE" w:rsidRDefault="00E867EE" w:rsidP="00E867EE">
            <w:pPr>
              <w:jc w:val="both"/>
              <w:rPr>
                <w:sz w:val="24"/>
              </w:rPr>
            </w:pPr>
            <w:r w:rsidRPr="007A7F19">
              <w:rPr>
                <w:b/>
                <w:sz w:val="24"/>
              </w:rPr>
              <w:t>1.</w:t>
            </w:r>
            <w:r>
              <w:rPr>
                <w:sz w:val="24"/>
              </w:rPr>
              <w:t xml:space="preserve"> </w:t>
            </w:r>
            <w:r>
              <w:rPr>
                <w:i/>
                <w:sz w:val="24"/>
              </w:rPr>
              <w:t>§ 9</w:t>
            </w:r>
            <w:r>
              <w:rPr>
                <w:sz w:val="24"/>
              </w:rPr>
              <w:t xml:space="preserve"> affattes således:</w:t>
            </w:r>
          </w:p>
          <w:p w:rsidR="00E867EE" w:rsidRDefault="00E867EE" w:rsidP="00E867EE">
            <w:pPr>
              <w:spacing w:line="288" w:lineRule="auto"/>
              <w:rPr>
                <w:sz w:val="24"/>
              </w:rPr>
            </w:pPr>
            <w:r w:rsidRPr="00EF2E35">
              <w:rPr>
                <w:sz w:val="24"/>
              </w:rPr>
              <w:t>”</w:t>
            </w:r>
            <w:r>
              <w:rPr>
                <w:b/>
                <w:sz w:val="24"/>
              </w:rPr>
              <w:t>§ 9.</w:t>
            </w:r>
            <w:r>
              <w:rPr>
                <w:sz w:val="24"/>
              </w:rPr>
              <w:t xml:space="preserve"> Udligningssummer omfattet af § 2, stk. 1, anses som udbytte, såfremt aktionæren efter omstruktureringen ejer aktier m.v. i et af de indskydende eller modtagende selskaber eller i selskaber, som er koncernforbundne med de nævnte selskaber, jf. ligningslovens § 2.”</w:t>
            </w:r>
          </w:p>
          <w:p w:rsidR="00E867EE" w:rsidRDefault="00E867EE"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573620" w:rsidRDefault="00573620" w:rsidP="00E867EE">
            <w:pPr>
              <w:spacing w:line="288" w:lineRule="auto"/>
              <w:rPr>
                <w:sz w:val="24"/>
              </w:rPr>
            </w:pPr>
          </w:p>
          <w:p w:rsidR="00E867EE" w:rsidRDefault="00E867EE" w:rsidP="00E867EE">
            <w:pPr>
              <w:spacing w:line="288" w:lineRule="auto"/>
              <w:rPr>
                <w:sz w:val="24"/>
              </w:rPr>
            </w:pPr>
            <w:r w:rsidRPr="00BF2C59">
              <w:rPr>
                <w:b/>
                <w:sz w:val="24"/>
              </w:rPr>
              <w:t>2</w:t>
            </w:r>
            <w:r w:rsidRPr="00BF2C59">
              <w:rPr>
                <w:sz w:val="24"/>
              </w:rPr>
              <w:t xml:space="preserve">. I </w:t>
            </w:r>
            <w:r w:rsidRPr="00B13FE9">
              <w:rPr>
                <w:i/>
                <w:sz w:val="24"/>
              </w:rPr>
              <w:t xml:space="preserve">§ 15 b, stk. </w:t>
            </w:r>
            <w:r>
              <w:rPr>
                <w:i/>
                <w:sz w:val="24"/>
              </w:rPr>
              <w:t>4</w:t>
            </w:r>
            <w:r w:rsidRPr="00B13FE9">
              <w:rPr>
                <w:i/>
                <w:sz w:val="24"/>
              </w:rPr>
              <w:t>, 1. pkt</w:t>
            </w:r>
            <w:r w:rsidRPr="00BF2C59">
              <w:rPr>
                <w:sz w:val="24"/>
              </w:rPr>
              <w:t>., ændres ”</w:t>
            </w:r>
            <w:r w:rsidRPr="001E0DF2">
              <w:rPr>
                <w:sz w:val="24"/>
              </w:rPr>
              <w:t>14</w:t>
            </w:r>
            <w:r>
              <w:rPr>
                <w:sz w:val="24"/>
              </w:rPr>
              <w:t>. pkt.</w:t>
            </w:r>
            <w:r w:rsidRPr="00BF2C59">
              <w:rPr>
                <w:sz w:val="24"/>
              </w:rPr>
              <w:t>” til: ”</w:t>
            </w:r>
            <w:r w:rsidRPr="001E0DF2">
              <w:rPr>
                <w:sz w:val="24"/>
              </w:rPr>
              <w:t>12</w:t>
            </w:r>
            <w:r>
              <w:rPr>
                <w:sz w:val="24"/>
              </w:rPr>
              <w:t>. pkt.</w:t>
            </w:r>
            <w:r w:rsidRPr="00BF2C59">
              <w:rPr>
                <w:sz w:val="24"/>
              </w:rPr>
              <w:t>”</w:t>
            </w:r>
          </w:p>
          <w:p w:rsidR="00E867EE" w:rsidRPr="00BF2C59" w:rsidRDefault="00E867EE" w:rsidP="00E867EE">
            <w:pPr>
              <w:spacing w:line="288" w:lineRule="auto"/>
              <w:rPr>
                <w:sz w:val="24"/>
              </w:rPr>
            </w:pPr>
          </w:p>
          <w:p w:rsidR="00E867EE" w:rsidRDefault="00E867EE" w:rsidP="00E867EE">
            <w:pPr>
              <w:spacing w:line="288" w:lineRule="auto"/>
              <w:rPr>
                <w:sz w:val="24"/>
              </w:rPr>
            </w:pPr>
            <w:r w:rsidRPr="00BF2C59">
              <w:rPr>
                <w:b/>
                <w:sz w:val="24"/>
              </w:rPr>
              <w:t>3</w:t>
            </w:r>
            <w:r w:rsidRPr="00BF2C59">
              <w:rPr>
                <w:sz w:val="24"/>
              </w:rPr>
              <w:t xml:space="preserve">. </w:t>
            </w:r>
            <w:r w:rsidRPr="00B13FE9">
              <w:rPr>
                <w:i/>
                <w:sz w:val="24"/>
              </w:rPr>
              <w:t xml:space="preserve">§ 15 b, stk. </w:t>
            </w:r>
            <w:r>
              <w:rPr>
                <w:i/>
                <w:sz w:val="24"/>
              </w:rPr>
              <w:t>4</w:t>
            </w:r>
            <w:r w:rsidRPr="00BF2C59">
              <w:rPr>
                <w:sz w:val="24"/>
              </w:rPr>
              <w:t xml:space="preserve">, </w:t>
            </w:r>
            <w:r w:rsidRPr="00B13FE9">
              <w:rPr>
                <w:i/>
                <w:sz w:val="24"/>
              </w:rPr>
              <w:t>3.-</w:t>
            </w:r>
            <w:r>
              <w:rPr>
                <w:i/>
                <w:sz w:val="24"/>
              </w:rPr>
              <w:t>5</w:t>
            </w:r>
            <w:r w:rsidRPr="00B13FE9">
              <w:rPr>
                <w:i/>
                <w:sz w:val="24"/>
              </w:rPr>
              <w:t>. pkt</w:t>
            </w:r>
            <w:r w:rsidRPr="00BF2C59">
              <w:rPr>
                <w:sz w:val="24"/>
              </w:rPr>
              <w:t>.</w:t>
            </w:r>
            <w:r>
              <w:rPr>
                <w:sz w:val="24"/>
              </w:rPr>
              <w:t>, ophæves,</w:t>
            </w:r>
            <w:r w:rsidRPr="00BF2C59">
              <w:rPr>
                <w:sz w:val="24"/>
              </w:rPr>
              <w:t xml:space="preserve"> og </w:t>
            </w:r>
            <w:r>
              <w:rPr>
                <w:sz w:val="24"/>
              </w:rPr>
              <w:t xml:space="preserve">i stedet </w:t>
            </w:r>
            <w:r w:rsidRPr="00BF2C59">
              <w:rPr>
                <w:sz w:val="24"/>
              </w:rPr>
              <w:t>indsættes: ”§</w:t>
            </w:r>
            <w:r>
              <w:rPr>
                <w:sz w:val="24"/>
              </w:rPr>
              <w:t xml:space="preserve"> </w:t>
            </w:r>
            <w:r w:rsidRPr="00BF2C59">
              <w:rPr>
                <w:sz w:val="24"/>
              </w:rPr>
              <w:t>9 finder tilsvarende anvendelse.”</w:t>
            </w:r>
          </w:p>
          <w:p w:rsidR="00E867EE" w:rsidRPr="00BF2C59" w:rsidRDefault="00E867EE" w:rsidP="00E867EE">
            <w:pPr>
              <w:spacing w:line="288" w:lineRule="auto"/>
              <w:rPr>
                <w:sz w:val="24"/>
              </w:rPr>
            </w:pPr>
          </w:p>
          <w:p w:rsidR="00E867EE" w:rsidRDefault="00E867EE" w:rsidP="00E867EE">
            <w:pPr>
              <w:spacing w:line="288" w:lineRule="auto"/>
              <w:rPr>
                <w:sz w:val="24"/>
              </w:rPr>
            </w:pPr>
            <w:r w:rsidRPr="00BF2C59">
              <w:rPr>
                <w:b/>
                <w:sz w:val="24"/>
              </w:rPr>
              <w:t>4</w:t>
            </w:r>
            <w:r w:rsidRPr="00BF2C59">
              <w:rPr>
                <w:sz w:val="24"/>
              </w:rPr>
              <w:t xml:space="preserve">. I </w:t>
            </w:r>
            <w:r w:rsidRPr="00B13FE9">
              <w:rPr>
                <w:i/>
                <w:sz w:val="24"/>
              </w:rPr>
              <w:t xml:space="preserve">§ 15 b, stk. </w:t>
            </w:r>
            <w:r>
              <w:rPr>
                <w:i/>
                <w:sz w:val="24"/>
              </w:rPr>
              <w:t>4</w:t>
            </w:r>
            <w:r w:rsidRPr="00B13FE9">
              <w:rPr>
                <w:i/>
                <w:sz w:val="24"/>
              </w:rPr>
              <w:t xml:space="preserve">, </w:t>
            </w:r>
            <w:r>
              <w:rPr>
                <w:i/>
                <w:sz w:val="24"/>
              </w:rPr>
              <w:t>6</w:t>
            </w:r>
            <w:r w:rsidRPr="00B13FE9">
              <w:rPr>
                <w:i/>
                <w:sz w:val="24"/>
              </w:rPr>
              <w:t>. pkt</w:t>
            </w:r>
            <w:r w:rsidRPr="00BF2C59">
              <w:rPr>
                <w:sz w:val="24"/>
              </w:rPr>
              <w:t xml:space="preserve">., der bliver </w:t>
            </w:r>
            <w:r>
              <w:rPr>
                <w:sz w:val="24"/>
              </w:rPr>
              <w:t>4.</w:t>
            </w:r>
            <w:r w:rsidRPr="00BF2C59">
              <w:rPr>
                <w:sz w:val="24"/>
              </w:rPr>
              <w:t xml:space="preserve"> pkt.</w:t>
            </w:r>
            <w:r>
              <w:rPr>
                <w:sz w:val="24"/>
              </w:rPr>
              <w:t>,</w:t>
            </w:r>
            <w:r w:rsidRPr="00BF2C59">
              <w:rPr>
                <w:sz w:val="24"/>
              </w:rPr>
              <w:t xml:space="preserve"> ændres ”Bortset fra de afståede aktier anses aktierne i det indskydende selskab” til: ”Aktierne i</w:t>
            </w:r>
            <w:r>
              <w:rPr>
                <w:sz w:val="24"/>
              </w:rPr>
              <w:t xml:space="preserve"> det indskydende selskab anses”.</w:t>
            </w:r>
          </w:p>
          <w:p w:rsidR="00654215" w:rsidRDefault="00654215" w:rsidP="00A738DC">
            <w:pPr>
              <w:spacing w:line="288" w:lineRule="auto"/>
              <w:rPr>
                <w:b/>
                <w:sz w:val="24"/>
              </w:rPr>
            </w:pPr>
          </w:p>
          <w:p w:rsidR="00654215" w:rsidRDefault="00654215" w:rsidP="00A738DC">
            <w:pPr>
              <w:spacing w:line="288" w:lineRule="auto"/>
              <w:rPr>
                <w:b/>
                <w:sz w:val="24"/>
              </w:rPr>
            </w:pPr>
          </w:p>
          <w:p w:rsidR="00654215" w:rsidRDefault="00654215" w:rsidP="00A738DC">
            <w:pPr>
              <w:spacing w:line="288" w:lineRule="auto"/>
              <w:rPr>
                <w:b/>
                <w:sz w:val="24"/>
              </w:rPr>
            </w:pPr>
          </w:p>
          <w:p w:rsidR="00654215" w:rsidRDefault="00654215" w:rsidP="00A738DC">
            <w:pPr>
              <w:spacing w:line="288" w:lineRule="auto"/>
              <w:rPr>
                <w:b/>
                <w:sz w:val="24"/>
              </w:rPr>
            </w:pPr>
          </w:p>
          <w:p w:rsidR="00654215" w:rsidRDefault="00654215" w:rsidP="00A738DC">
            <w:pPr>
              <w:spacing w:line="288" w:lineRule="auto"/>
              <w:rPr>
                <w:b/>
                <w:sz w:val="24"/>
              </w:rPr>
            </w:pPr>
          </w:p>
          <w:p w:rsidR="00C10B89" w:rsidRDefault="00C10B89" w:rsidP="00E867EE">
            <w:pPr>
              <w:spacing w:line="288" w:lineRule="auto"/>
              <w:rPr>
                <w:b/>
                <w:sz w:val="24"/>
              </w:rPr>
            </w:pPr>
          </w:p>
        </w:tc>
      </w:tr>
      <w:tr w:rsidR="000C0D03" w:rsidTr="00393D9F">
        <w:tc>
          <w:tcPr>
            <w:tcW w:w="4604" w:type="dxa"/>
          </w:tcPr>
          <w:p w:rsidR="000C0D03" w:rsidRDefault="000C0D03" w:rsidP="00912739">
            <w:pPr>
              <w:widowControl/>
              <w:spacing w:line="288" w:lineRule="auto"/>
              <w:rPr>
                <w:b/>
                <w:sz w:val="24"/>
              </w:rPr>
            </w:pPr>
          </w:p>
          <w:p w:rsidR="00B51BD8" w:rsidRDefault="00B51BD8" w:rsidP="00912739">
            <w:pPr>
              <w:widowControl/>
              <w:spacing w:line="288" w:lineRule="auto"/>
              <w:rPr>
                <w:b/>
                <w:sz w:val="24"/>
              </w:rPr>
            </w:pPr>
          </w:p>
          <w:p w:rsidR="00B51BD8" w:rsidRDefault="00B51BD8" w:rsidP="00912739">
            <w:pPr>
              <w:widowControl/>
              <w:spacing w:line="288" w:lineRule="auto"/>
              <w:rPr>
                <w:b/>
                <w:sz w:val="24"/>
              </w:rPr>
            </w:pPr>
          </w:p>
          <w:p w:rsidR="00B51BD8" w:rsidRDefault="00B51BD8" w:rsidP="00912739">
            <w:pPr>
              <w:widowControl/>
              <w:spacing w:line="288" w:lineRule="auto"/>
              <w:rPr>
                <w:b/>
                <w:sz w:val="24"/>
              </w:rPr>
            </w:pPr>
          </w:p>
          <w:p w:rsidR="00B51BD8" w:rsidRDefault="00B51BD8" w:rsidP="00912739">
            <w:pPr>
              <w:widowControl/>
              <w:spacing w:line="288" w:lineRule="auto"/>
              <w:rPr>
                <w:b/>
                <w:sz w:val="24"/>
              </w:rPr>
            </w:pPr>
          </w:p>
          <w:p w:rsidR="00B51BD8" w:rsidRDefault="00B51BD8" w:rsidP="00912739">
            <w:pPr>
              <w:widowControl/>
              <w:spacing w:line="288" w:lineRule="auto"/>
              <w:rPr>
                <w:b/>
                <w:sz w:val="24"/>
              </w:rPr>
            </w:pPr>
          </w:p>
          <w:p w:rsidR="00B51BD8" w:rsidRDefault="00B51BD8" w:rsidP="00912739">
            <w:pPr>
              <w:widowControl/>
              <w:spacing w:line="288" w:lineRule="auto"/>
              <w:rPr>
                <w:b/>
                <w:sz w:val="24"/>
              </w:rPr>
            </w:pPr>
          </w:p>
          <w:p w:rsidR="00573620" w:rsidRDefault="00573620" w:rsidP="00B51BD8">
            <w:pPr>
              <w:widowControl/>
              <w:spacing w:line="288" w:lineRule="auto"/>
              <w:rPr>
                <w:b/>
                <w:sz w:val="24"/>
              </w:rPr>
            </w:pPr>
          </w:p>
          <w:p w:rsidR="00D655A5" w:rsidRDefault="00D655A5" w:rsidP="00B51BD8">
            <w:pPr>
              <w:widowControl/>
              <w:spacing w:line="288" w:lineRule="auto"/>
              <w:rPr>
                <w:b/>
                <w:sz w:val="24"/>
              </w:rPr>
            </w:pPr>
          </w:p>
          <w:p w:rsidR="00573620" w:rsidRDefault="00573620" w:rsidP="00B51BD8">
            <w:pPr>
              <w:widowControl/>
              <w:spacing w:line="288" w:lineRule="auto"/>
              <w:rPr>
                <w:b/>
                <w:sz w:val="24"/>
              </w:rPr>
            </w:pPr>
          </w:p>
          <w:p w:rsidR="00573620" w:rsidRDefault="00573620" w:rsidP="00B51BD8">
            <w:pPr>
              <w:widowControl/>
              <w:spacing w:line="288" w:lineRule="auto"/>
              <w:rPr>
                <w:b/>
                <w:sz w:val="24"/>
              </w:rPr>
            </w:pPr>
          </w:p>
          <w:p w:rsidR="00573620" w:rsidRDefault="00573620" w:rsidP="00B51BD8">
            <w:pPr>
              <w:widowControl/>
              <w:spacing w:line="288" w:lineRule="auto"/>
              <w:rPr>
                <w:b/>
                <w:sz w:val="24"/>
              </w:rPr>
            </w:pPr>
          </w:p>
          <w:p w:rsidR="00B51BD8" w:rsidRPr="00B51BD8" w:rsidRDefault="00B51BD8" w:rsidP="00B51BD8">
            <w:pPr>
              <w:widowControl/>
              <w:spacing w:line="288" w:lineRule="auto"/>
              <w:rPr>
                <w:sz w:val="24"/>
              </w:rPr>
            </w:pPr>
            <w:r w:rsidRPr="00807D0F">
              <w:rPr>
                <w:b/>
                <w:sz w:val="24"/>
              </w:rPr>
              <w:t>§ 2 D</w:t>
            </w:r>
            <w:r w:rsidRPr="00B51BD8">
              <w:rPr>
                <w:sz w:val="24"/>
              </w:rPr>
              <w:t xml:space="preserve">. Hvis en juridisk person overdrager aktier, andelsbeviser og lignende </w:t>
            </w:r>
            <w:r w:rsidRPr="00B51BD8">
              <w:rPr>
                <w:sz w:val="24"/>
              </w:rPr>
              <w:lastRenderedPageBreak/>
              <w:t>værdipapirer, herunder konvertible obligationer, samt tegningsrettigheder til sådanne værdipapirer i et koncernforbundet selskab (det erhvervede selskab) til et andet koncernforbundet selskab eller en koncernforbundet fond eller trust (det erhvervende selskab) og vederlaget for denne overdragelse helt eller delvis sker i form af andet end aktier i det erhvervende selskab, anses denne del af vederlaget for udbytte. Dette gælder dog ikke, hvis det overdragende selskab opfylder betingelserne for at modtage skattefrit udbytte efter § 2, stk. 1, litra c, eller § 13, stk. 1, nr. 2, såfremt vederlaget havde været udbytte af aktier i det overdragede selskab umiddelbart inden overdragelsen. Endvidere gælder det ikke ved overdragelse af aktier til et erhvervende selskab m.v., der inden overdragelsen ikke var koncernforbundet med det overdragende selskab, men som alene som følge af fælles bestemmende indflydelse efter stk. 2, 2. pkt., bliver koncernforbundet med dette selskab efter overdragelsen, såfremt det erhvervende selskab ikke af det overdragende selskab eller et med dette koncernforbundet selskab m.v. har fået midler stillet til rådighed.</w:t>
            </w:r>
          </w:p>
          <w:p w:rsidR="00B51BD8" w:rsidRPr="00B51BD8" w:rsidRDefault="00B51BD8" w:rsidP="00B51BD8">
            <w:pPr>
              <w:widowControl/>
              <w:spacing w:line="288" w:lineRule="auto"/>
              <w:rPr>
                <w:sz w:val="24"/>
              </w:rPr>
            </w:pPr>
          </w:p>
          <w:p w:rsidR="00B51BD8" w:rsidRPr="00B51BD8" w:rsidRDefault="00B51BD8" w:rsidP="00B51BD8">
            <w:pPr>
              <w:widowControl/>
              <w:spacing w:line="288" w:lineRule="auto"/>
              <w:rPr>
                <w:sz w:val="24"/>
              </w:rPr>
            </w:pPr>
            <w:r w:rsidRPr="00156BAE">
              <w:rPr>
                <w:i/>
                <w:sz w:val="24"/>
              </w:rPr>
              <w:t>Stk. 2</w:t>
            </w:r>
            <w:r w:rsidRPr="00B51BD8">
              <w:rPr>
                <w:sz w:val="24"/>
              </w:rPr>
              <w:t>. Ved fastsættelse af, hvornår der er tale om koncernforbundne selskaber, finder ligningslovens § 2 anvendelse. Med en juridisk person sidestilles et selskab og en forening m.v., der efter danske skatteregler ikke udgør et selvstændigt skattesubjekt, men hvis forhold er reguleret af selskabsretlige regler, en selskabsaftale eller en foreningsvedtægt.</w:t>
            </w:r>
          </w:p>
          <w:p w:rsidR="00B51BD8" w:rsidRDefault="00B51BD8" w:rsidP="00912739">
            <w:pPr>
              <w:widowControl/>
              <w:spacing w:line="288" w:lineRule="auto"/>
              <w:rPr>
                <w:b/>
                <w:sz w:val="24"/>
              </w:rPr>
            </w:pPr>
          </w:p>
        </w:tc>
        <w:tc>
          <w:tcPr>
            <w:tcW w:w="4605" w:type="dxa"/>
          </w:tcPr>
          <w:p w:rsidR="00573620" w:rsidRDefault="00573620" w:rsidP="002416AB">
            <w:pPr>
              <w:tabs>
                <w:tab w:val="left" w:pos="360"/>
              </w:tabs>
              <w:spacing w:line="288" w:lineRule="auto"/>
              <w:rPr>
                <w:bCs/>
                <w:sz w:val="24"/>
              </w:rPr>
            </w:pPr>
          </w:p>
          <w:p w:rsidR="0089030E" w:rsidRDefault="0089030E" w:rsidP="00D655A5">
            <w:pPr>
              <w:tabs>
                <w:tab w:val="left" w:pos="360"/>
              </w:tabs>
              <w:spacing w:line="288" w:lineRule="auto"/>
              <w:jc w:val="center"/>
              <w:rPr>
                <w:b/>
                <w:bCs/>
                <w:sz w:val="24"/>
              </w:rPr>
            </w:pPr>
            <w:r w:rsidRPr="00D655A5">
              <w:rPr>
                <w:b/>
                <w:bCs/>
                <w:sz w:val="24"/>
              </w:rPr>
              <w:t>§ 2</w:t>
            </w:r>
          </w:p>
          <w:p w:rsidR="00D655A5" w:rsidRPr="00D655A5" w:rsidRDefault="00D655A5" w:rsidP="00D655A5">
            <w:pPr>
              <w:tabs>
                <w:tab w:val="left" w:pos="360"/>
              </w:tabs>
              <w:spacing w:line="288" w:lineRule="auto"/>
              <w:jc w:val="center"/>
              <w:rPr>
                <w:b/>
                <w:bCs/>
                <w:sz w:val="24"/>
              </w:rPr>
            </w:pPr>
          </w:p>
          <w:p w:rsidR="00573620" w:rsidRDefault="00573620" w:rsidP="00573620">
            <w:pPr>
              <w:spacing w:line="288" w:lineRule="auto"/>
              <w:rPr>
                <w:sz w:val="24"/>
              </w:rPr>
            </w:pPr>
            <w:r>
              <w:rPr>
                <w:rStyle w:val="Fodnotehenvisning"/>
                <w:sz w:val="24"/>
              </w:rPr>
              <w:t>I</w:t>
            </w:r>
            <w:r>
              <w:rPr>
                <w:sz w:val="24"/>
              </w:rPr>
              <w:t xml:space="preserve"> selskabsskatteloven, jf. lovbekendtgørelse nr. </w:t>
            </w:r>
            <w:r w:rsidRPr="00617F4A">
              <w:rPr>
                <w:sz w:val="24"/>
              </w:rPr>
              <w:t>1082 af 14</w:t>
            </w:r>
            <w:r>
              <w:rPr>
                <w:sz w:val="24"/>
              </w:rPr>
              <w:t xml:space="preserve">. november </w:t>
            </w:r>
            <w:r w:rsidRPr="00617F4A">
              <w:rPr>
                <w:sz w:val="24"/>
              </w:rPr>
              <w:t>2012</w:t>
            </w:r>
            <w:r>
              <w:rPr>
                <w:sz w:val="24"/>
              </w:rPr>
              <w:t>, som ændret ved § 2 i lov nr. 1254 af 18. december 2012, § 17 i lov</w:t>
            </w:r>
            <w:r w:rsidRPr="0008703E">
              <w:rPr>
                <w:sz w:val="24"/>
              </w:rPr>
              <w:t xml:space="preserve"> nr</w:t>
            </w:r>
            <w:r>
              <w:rPr>
                <w:sz w:val="24"/>
              </w:rPr>
              <w:t>.</w:t>
            </w:r>
            <w:r w:rsidRPr="0008703E">
              <w:rPr>
                <w:sz w:val="24"/>
              </w:rPr>
              <w:t xml:space="preserve"> 1354 af 21</w:t>
            </w:r>
            <w:r>
              <w:rPr>
                <w:sz w:val="24"/>
              </w:rPr>
              <w:t xml:space="preserve">. december </w:t>
            </w:r>
            <w:r w:rsidRPr="0008703E">
              <w:rPr>
                <w:sz w:val="24"/>
              </w:rPr>
              <w:t>2012</w:t>
            </w:r>
            <w:r>
              <w:rPr>
                <w:sz w:val="24"/>
              </w:rPr>
              <w:t>, § 1 i lov</w:t>
            </w:r>
            <w:r w:rsidRPr="0008703E">
              <w:rPr>
                <w:sz w:val="24"/>
              </w:rPr>
              <w:t xml:space="preserve"> nr</w:t>
            </w:r>
            <w:r>
              <w:rPr>
                <w:sz w:val="24"/>
              </w:rPr>
              <w:t>.</w:t>
            </w:r>
            <w:r w:rsidRPr="0008703E">
              <w:rPr>
                <w:sz w:val="24"/>
              </w:rPr>
              <w:t xml:space="preserve"> 1394 af 23</w:t>
            </w:r>
            <w:r>
              <w:rPr>
                <w:sz w:val="24"/>
              </w:rPr>
              <w:t xml:space="preserve">. december </w:t>
            </w:r>
            <w:r w:rsidRPr="0008703E">
              <w:rPr>
                <w:sz w:val="24"/>
              </w:rPr>
              <w:t>2012</w:t>
            </w:r>
            <w:r>
              <w:rPr>
                <w:sz w:val="24"/>
              </w:rPr>
              <w:t>, § 17 i lov</w:t>
            </w:r>
            <w:r w:rsidRPr="004148EB">
              <w:rPr>
                <w:sz w:val="24"/>
              </w:rPr>
              <w:t xml:space="preserve"> nr</w:t>
            </w:r>
            <w:r>
              <w:rPr>
                <w:sz w:val="24"/>
              </w:rPr>
              <w:t>.</w:t>
            </w:r>
            <w:r w:rsidRPr="004148EB">
              <w:rPr>
                <w:sz w:val="24"/>
              </w:rPr>
              <w:t xml:space="preserve"> 600 af 12</w:t>
            </w:r>
            <w:r>
              <w:rPr>
                <w:sz w:val="24"/>
              </w:rPr>
              <w:t xml:space="preserve">. juni </w:t>
            </w:r>
            <w:r w:rsidRPr="004148EB">
              <w:rPr>
                <w:sz w:val="24"/>
              </w:rPr>
              <w:t>2013</w:t>
            </w:r>
            <w:r>
              <w:rPr>
                <w:sz w:val="24"/>
              </w:rPr>
              <w:t xml:space="preserve"> og § 1 i lov nr. 792 af 28. juni 2013, foretages følgende ændring:</w:t>
            </w:r>
          </w:p>
          <w:p w:rsidR="00573620" w:rsidRDefault="00573620" w:rsidP="00573620">
            <w:pPr>
              <w:spacing w:line="288" w:lineRule="auto"/>
              <w:rPr>
                <w:sz w:val="24"/>
              </w:rPr>
            </w:pPr>
          </w:p>
          <w:p w:rsidR="00573620" w:rsidRDefault="00573620" w:rsidP="00573620">
            <w:pPr>
              <w:spacing w:line="288" w:lineRule="auto"/>
              <w:rPr>
                <w:sz w:val="24"/>
              </w:rPr>
            </w:pPr>
            <w:r>
              <w:rPr>
                <w:b/>
                <w:sz w:val="24"/>
              </w:rPr>
              <w:t xml:space="preserve">1. </w:t>
            </w:r>
            <w:r w:rsidRPr="001B78AD">
              <w:rPr>
                <w:sz w:val="24"/>
              </w:rPr>
              <w:t xml:space="preserve">I </w:t>
            </w:r>
            <w:r w:rsidRPr="001B78AD">
              <w:rPr>
                <w:i/>
                <w:sz w:val="24"/>
              </w:rPr>
              <w:t xml:space="preserve">§ </w:t>
            </w:r>
            <w:r>
              <w:rPr>
                <w:i/>
                <w:sz w:val="24"/>
              </w:rPr>
              <w:t>2 D</w:t>
            </w:r>
            <w:r>
              <w:rPr>
                <w:sz w:val="24"/>
              </w:rPr>
              <w:t xml:space="preserve"> indsættes efter stk. 1 som nye stykker:</w:t>
            </w:r>
          </w:p>
          <w:p w:rsidR="00573620" w:rsidRDefault="00573620" w:rsidP="00573620">
            <w:pPr>
              <w:spacing w:line="288" w:lineRule="auto"/>
              <w:rPr>
                <w:sz w:val="24"/>
              </w:rPr>
            </w:pPr>
            <w:r>
              <w:rPr>
                <w:i/>
                <w:sz w:val="24"/>
              </w:rPr>
              <w:lastRenderedPageBreak/>
              <w:t>”Stk. 2.</w:t>
            </w:r>
            <w:r>
              <w:rPr>
                <w:sz w:val="24"/>
              </w:rPr>
              <w:t xml:space="preserve"> </w:t>
            </w:r>
            <w:r w:rsidRPr="004076C7">
              <w:rPr>
                <w:sz w:val="24"/>
              </w:rPr>
              <w:t>Hvis en juridisk person overdrager aktier</w:t>
            </w:r>
            <w:r>
              <w:rPr>
                <w:sz w:val="24"/>
              </w:rPr>
              <w:t>, andelsbeviser og lignende værdipapirer, herunder konvertible obligationer, samt tegningsrettigheder til sådanne værdipapirer til selskaber, der på overdragelsestidspunktet i det væsentlige er uden økonomisk risiko ved erhvervsmæssig aktivitet, jf. § 33 A, stk. 3,</w:t>
            </w:r>
            <w:r w:rsidRPr="004076C7">
              <w:rPr>
                <w:sz w:val="24"/>
              </w:rPr>
              <w:t xml:space="preserve"> og vederlaget delvist består af aktier i det erhvervende selskab eller hermed koncernforbundne selskaber, </w:t>
            </w:r>
            <w:r>
              <w:rPr>
                <w:sz w:val="24"/>
              </w:rPr>
              <w:t xml:space="preserve">anses </w:t>
            </w:r>
            <w:r w:rsidRPr="004076C7">
              <w:rPr>
                <w:sz w:val="24"/>
              </w:rPr>
              <w:t>det resterende vederlag</w:t>
            </w:r>
            <w:r>
              <w:rPr>
                <w:sz w:val="24"/>
              </w:rPr>
              <w:t xml:space="preserve"> </w:t>
            </w:r>
            <w:r w:rsidRPr="004076C7">
              <w:rPr>
                <w:sz w:val="24"/>
              </w:rPr>
              <w:t xml:space="preserve">som udbytte. </w:t>
            </w:r>
            <w:r>
              <w:rPr>
                <w:sz w:val="24"/>
              </w:rPr>
              <w:t>Det samme gælder, hvis overdrageren udelukkende modtager vederlag i andet end aktier m.v. i det erhvervende eller hermed koncernforbundne selskaber, og der efter overdragelsen ejes aktier m.v. i et eller flere af disse selskaber eller i det selskab, hvori der overdrages aktier. Stk. 1, 2. pkt., finder tilsvarende anvendelse.</w:t>
            </w:r>
          </w:p>
          <w:p w:rsidR="00573620" w:rsidRDefault="00573620" w:rsidP="00573620">
            <w:pPr>
              <w:spacing w:line="288" w:lineRule="auto"/>
              <w:rPr>
                <w:sz w:val="24"/>
              </w:rPr>
            </w:pPr>
            <w:r w:rsidRPr="009F5D48">
              <w:rPr>
                <w:i/>
                <w:sz w:val="24"/>
              </w:rPr>
              <w:t xml:space="preserve">Stk. </w:t>
            </w:r>
            <w:r>
              <w:rPr>
                <w:i/>
                <w:sz w:val="24"/>
              </w:rPr>
              <w:t>3</w:t>
            </w:r>
            <w:r w:rsidRPr="009F5D48">
              <w:rPr>
                <w:i/>
                <w:sz w:val="24"/>
              </w:rPr>
              <w:t>.</w:t>
            </w:r>
            <w:r>
              <w:rPr>
                <w:sz w:val="24"/>
              </w:rPr>
              <w:t xml:space="preserve"> Erhvervsmæssig aktivitet, der er erhvervet fra et koncernforbundet selskab, indgår ikke i vurderingen efter stk. 2, jf. § 33 A, stk. 3. Ved transaktioner mellem et moderselskab og et datterselskab indgår erhvervsmæssig aktivitet i datterselskabet ikke i vurderingen af moderselskabet efter § 33 A, stk. 3.</w:t>
            </w:r>
          </w:p>
          <w:p w:rsidR="00573620" w:rsidRPr="009F5D48" w:rsidRDefault="00573620" w:rsidP="00573620">
            <w:pPr>
              <w:spacing w:line="288" w:lineRule="auto"/>
              <w:rPr>
                <w:i/>
                <w:sz w:val="24"/>
              </w:rPr>
            </w:pPr>
            <w:r>
              <w:rPr>
                <w:i/>
                <w:sz w:val="24"/>
              </w:rPr>
              <w:t>Stk. 4.</w:t>
            </w:r>
            <w:r>
              <w:rPr>
                <w:sz w:val="24"/>
              </w:rPr>
              <w:t xml:space="preserve"> </w:t>
            </w:r>
            <w:r w:rsidRPr="000D5849">
              <w:rPr>
                <w:sz w:val="24"/>
              </w:rPr>
              <w:t>Vederlag i andet end aktier</w:t>
            </w:r>
            <w:r>
              <w:rPr>
                <w:sz w:val="24"/>
              </w:rPr>
              <w:t xml:space="preserve"> m.v.</w:t>
            </w:r>
            <w:r w:rsidRPr="000D5849">
              <w:rPr>
                <w:sz w:val="24"/>
              </w:rPr>
              <w:t xml:space="preserve"> i det modtagende selskab eller hermed koncernforbundne selskaber i forbindelse med fusion eller spaltning, der ikke er omfattet af fusionsskatteloven, anses som udbytte, såfremt aktionæren efter omstruktureringen ejer aktier i et af de indskydende eller modtagende selskaber eller hermed koncernforbundne selskaber.</w:t>
            </w:r>
            <w:r>
              <w:rPr>
                <w:sz w:val="24"/>
              </w:rPr>
              <w:t>”</w:t>
            </w:r>
            <w:r w:rsidRPr="009F5D48">
              <w:rPr>
                <w:i/>
                <w:sz w:val="24"/>
              </w:rPr>
              <w:t xml:space="preserve"> </w:t>
            </w:r>
          </w:p>
          <w:p w:rsidR="00573620" w:rsidRDefault="00573620" w:rsidP="00573620">
            <w:pPr>
              <w:tabs>
                <w:tab w:val="left" w:pos="360"/>
              </w:tabs>
              <w:spacing w:line="288" w:lineRule="auto"/>
              <w:rPr>
                <w:sz w:val="24"/>
              </w:rPr>
            </w:pPr>
            <w:r>
              <w:rPr>
                <w:sz w:val="24"/>
              </w:rPr>
              <w:t>Stk. 2 bliver herefter stk. 5.</w:t>
            </w:r>
          </w:p>
          <w:p w:rsidR="000C0D03" w:rsidRDefault="000C0D03" w:rsidP="00573620">
            <w:pPr>
              <w:tabs>
                <w:tab w:val="left" w:pos="360"/>
              </w:tabs>
              <w:spacing w:line="288" w:lineRule="auto"/>
              <w:rPr>
                <w:b/>
                <w:sz w:val="24"/>
              </w:rPr>
            </w:pPr>
          </w:p>
        </w:tc>
      </w:tr>
      <w:tr w:rsidR="000C0D03" w:rsidTr="00393D9F">
        <w:tc>
          <w:tcPr>
            <w:tcW w:w="4604" w:type="dxa"/>
          </w:tcPr>
          <w:p w:rsidR="000C0D03" w:rsidRDefault="000C0D03"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2206E6" w:rsidRDefault="002206E6" w:rsidP="00912739">
            <w:pPr>
              <w:widowControl/>
              <w:spacing w:line="288" w:lineRule="auto"/>
              <w:rPr>
                <w:b/>
                <w:sz w:val="24"/>
              </w:rPr>
            </w:pPr>
          </w:p>
          <w:p w:rsidR="00D655A5" w:rsidRDefault="00D655A5" w:rsidP="00912739">
            <w:pPr>
              <w:widowControl/>
              <w:spacing w:line="288" w:lineRule="auto"/>
              <w:rPr>
                <w:b/>
                <w:sz w:val="24"/>
              </w:rPr>
            </w:pPr>
          </w:p>
          <w:p w:rsidR="002206E6" w:rsidRDefault="002206E6" w:rsidP="00912739">
            <w:pPr>
              <w:widowControl/>
              <w:spacing w:line="288" w:lineRule="auto"/>
              <w:rPr>
                <w:b/>
                <w:sz w:val="24"/>
              </w:rPr>
            </w:pPr>
          </w:p>
          <w:p w:rsidR="002206E6" w:rsidRPr="002206E6" w:rsidRDefault="00FA159D" w:rsidP="002206E6">
            <w:pPr>
              <w:widowControl/>
              <w:spacing w:line="288" w:lineRule="auto"/>
              <w:rPr>
                <w:sz w:val="24"/>
              </w:rPr>
            </w:pPr>
            <w:r w:rsidRPr="00807D0F">
              <w:rPr>
                <w:b/>
                <w:sz w:val="24"/>
              </w:rPr>
              <w:t>§ 2</w:t>
            </w:r>
            <w:r>
              <w:rPr>
                <w:sz w:val="24"/>
              </w:rPr>
              <w:t xml:space="preserve">. </w:t>
            </w:r>
            <w:r w:rsidR="002206E6" w:rsidRPr="002206E6">
              <w:rPr>
                <w:sz w:val="24"/>
              </w:rPr>
              <w:t>Pligt til at svare indkomstskat til staten påhviler endvidere personer, der ikke er omfattet af § 1, og dødsboer, der behandles i udlandet, jf. dødsboskattelovens § 1, stk. 3, for så vidt de pågældende personer eller dødsboer:</w:t>
            </w:r>
          </w:p>
          <w:p w:rsidR="002206E6" w:rsidRPr="002206E6" w:rsidRDefault="002206E6" w:rsidP="00102011">
            <w:pPr>
              <w:widowControl/>
              <w:spacing w:line="288" w:lineRule="auto"/>
              <w:rPr>
                <w:sz w:val="24"/>
              </w:rPr>
            </w:pPr>
            <w:r w:rsidRPr="002206E6">
              <w:rPr>
                <w:sz w:val="24"/>
              </w:rPr>
              <w:t>1)</w:t>
            </w:r>
            <w:r w:rsidR="00E43FC3">
              <w:rPr>
                <w:sz w:val="24"/>
              </w:rPr>
              <w:t>-</w:t>
            </w:r>
            <w:r w:rsidR="00102011">
              <w:rPr>
                <w:sz w:val="24"/>
              </w:rPr>
              <w:t>5) ---</w:t>
            </w:r>
          </w:p>
          <w:p w:rsidR="002206E6" w:rsidRPr="002206E6" w:rsidRDefault="002206E6" w:rsidP="002206E6">
            <w:pPr>
              <w:widowControl/>
              <w:spacing w:line="288" w:lineRule="auto"/>
              <w:rPr>
                <w:sz w:val="24"/>
              </w:rPr>
            </w:pPr>
            <w:r w:rsidRPr="002206E6">
              <w:rPr>
                <w:sz w:val="24"/>
              </w:rPr>
              <w:t xml:space="preserve">6) Erhverver udbytter omfattet af ligningslovens § 16 A, stk. 1 og 2, eller erhverver afståelsessummer omfattet af ligningslovens § 16 B, stk. 1, idet selskabsskattelovens § 2, stk. 1, litra c, 5. og 6. pkt., dog finder tilsvarende anvendelse. 1. pkt. omfatter ikke udbytte fra investeringsinstitutter med minimumsbeskatning omfattet af ligningslovens § 16 C, der udelukkende investerer i fordringer omfattet af kursgevinstloven, aktier i det administrationsselskab, der forestår investeringsinstituttets administration, afledte finansielle instrumenter efter Finanstilsynets regler herom og beviser i investeringsinstitutter med minimumsbeskatning omfattet af ligningslovens § 16 C, der udelukkende investerer i aktiver som nævnt i denne </w:t>
            </w:r>
            <w:r w:rsidRPr="002206E6">
              <w:rPr>
                <w:sz w:val="24"/>
              </w:rPr>
              <w:lastRenderedPageBreak/>
              <w:t>bestemmelse. Skattepligten omfatter endvidere vederlag i form af andet end aktier i det erhvervende selskab, som en person erhverver ved overdragelse af aktier, andelsbeviser og lignende værdipapirer, herunder konvertible obligationer, samt tegningsrettigheder til sådanne værdipapirer i et koncernforbundet selskab (det erhvervede selskab) til et andet koncernforbundet selskab eller en koncernforbundet fond eller trust (det erhvervende selskab). 3. pkt. anvendes dog ikke, hvis personen er hjemmehørende på Færøerne, i Grønland eller i et land, som er medlem af EU/EØS, eller som har en dobbeltbeskatningsoverenskomst med Danmark, og de kompetente myndigheder i denne stat skal udveksle oplysninger med de danske myndigheder efter dobbeltbeskatningsoverenskomsten, en anden international overenskomst eller konvention eller en administrativt indgået aftale om bistand i skattesager. Det er en betingelse for anvendelsen af 3. pkt., at der er forbindelse som nævnt i ligningslovens § 2 mellem personen og det erhvervede henholdsvis det erhvervende selskab, og at det erhvervede selskab og det erhvervende selskab er koncernforbundet som nævnt i ligningslovens § 2.</w:t>
            </w:r>
          </w:p>
          <w:p w:rsidR="002206E6" w:rsidRPr="002206E6" w:rsidRDefault="002206E6" w:rsidP="002206E6">
            <w:pPr>
              <w:widowControl/>
              <w:spacing w:line="288" w:lineRule="auto"/>
              <w:rPr>
                <w:sz w:val="24"/>
              </w:rPr>
            </w:pPr>
          </w:p>
          <w:p w:rsidR="002206E6" w:rsidRDefault="002206E6" w:rsidP="00E43FC3">
            <w:pPr>
              <w:widowControl/>
              <w:spacing w:line="288" w:lineRule="auto"/>
              <w:rPr>
                <w:b/>
                <w:sz w:val="24"/>
              </w:rPr>
            </w:pPr>
            <w:r w:rsidRPr="002206E6">
              <w:rPr>
                <w:sz w:val="24"/>
              </w:rPr>
              <w:t>7)</w:t>
            </w:r>
            <w:r w:rsidR="00E43FC3">
              <w:rPr>
                <w:sz w:val="24"/>
              </w:rPr>
              <w:t>-</w:t>
            </w:r>
            <w:r w:rsidR="00102011">
              <w:rPr>
                <w:sz w:val="24"/>
              </w:rPr>
              <w:t>29) ---</w:t>
            </w:r>
            <w:r w:rsidR="00102011">
              <w:rPr>
                <w:b/>
                <w:sz w:val="24"/>
              </w:rPr>
              <w:t xml:space="preserve"> </w:t>
            </w:r>
          </w:p>
        </w:tc>
        <w:tc>
          <w:tcPr>
            <w:tcW w:w="4605" w:type="dxa"/>
          </w:tcPr>
          <w:p w:rsidR="003F34C3" w:rsidRDefault="003F34C3" w:rsidP="003F34C3">
            <w:pPr>
              <w:ind w:left="3600" w:firstLine="720"/>
              <w:rPr>
                <w:b/>
                <w:sz w:val="24"/>
              </w:rPr>
            </w:pPr>
          </w:p>
          <w:p w:rsidR="003F34C3" w:rsidRDefault="003F34C3" w:rsidP="00D655A5">
            <w:pPr>
              <w:jc w:val="center"/>
              <w:rPr>
                <w:b/>
                <w:sz w:val="24"/>
              </w:rPr>
            </w:pPr>
            <w:r w:rsidRPr="00D655A5">
              <w:rPr>
                <w:b/>
                <w:sz w:val="24"/>
              </w:rPr>
              <w:lastRenderedPageBreak/>
              <w:t>§ 3</w:t>
            </w:r>
          </w:p>
          <w:p w:rsidR="00D655A5" w:rsidRPr="00D655A5" w:rsidRDefault="00D655A5" w:rsidP="00D655A5">
            <w:pPr>
              <w:jc w:val="center"/>
              <w:rPr>
                <w:b/>
                <w:sz w:val="24"/>
              </w:rPr>
            </w:pPr>
          </w:p>
          <w:p w:rsidR="005B503E" w:rsidRDefault="005B503E" w:rsidP="0077421E">
            <w:pPr>
              <w:spacing w:line="288" w:lineRule="auto"/>
              <w:rPr>
                <w:sz w:val="24"/>
              </w:rPr>
            </w:pPr>
            <w:r>
              <w:rPr>
                <w:rStyle w:val="Fodnotehenvisning"/>
                <w:sz w:val="24"/>
              </w:rPr>
              <w:t>I</w:t>
            </w:r>
            <w:r>
              <w:rPr>
                <w:sz w:val="24"/>
              </w:rPr>
              <w:t xml:space="preserve"> kildeskatteloven, jf. lovbekendtgørelse nr. 1403 af 7. december 2010, som ændret bl.a. ved § 5 i lov nr. 254 af 30 marts 2011, § 1 i lov nr. 398 af 9. maj 2012, § 5 i lov nr. 433 af 16. maj 2012, § 5 i lov nr. 591 af 18. juni 2012, § 2 i lov nr. 921 af 18. september 2012, § 1 i lov nr. 1254 af 18. december 2012, § 4 i lov nr. 1347 af 21. december 2012 og senest ved § 7 i lov nr. 894 af 4. juli 2013, foretages følgende ændringer:</w:t>
            </w:r>
          </w:p>
          <w:p w:rsidR="005B503E" w:rsidRDefault="005B503E" w:rsidP="005B503E">
            <w:pPr>
              <w:spacing w:line="288" w:lineRule="auto"/>
              <w:rPr>
                <w:sz w:val="24"/>
              </w:rPr>
            </w:pPr>
          </w:p>
          <w:p w:rsidR="005B503E" w:rsidRDefault="005B503E" w:rsidP="005B503E">
            <w:pPr>
              <w:spacing w:line="288" w:lineRule="auto"/>
              <w:rPr>
                <w:sz w:val="24"/>
              </w:rPr>
            </w:pPr>
            <w:r w:rsidRPr="002763CD">
              <w:rPr>
                <w:b/>
                <w:sz w:val="24"/>
              </w:rPr>
              <w:t>1.</w:t>
            </w:r>
            <w:r>
              <w:rPr>
                <w:sz w:val="24"/>
              </w:rPr>
              <w:t xml:space="preserve"> </w:t>
            </w:r>
            <w:r w:rsidRPr="001B78AD">
              <w:rPr>
                <w:sz w:val="24"/>
              </w:rPr>
              <w:t xml:space="preserve">I </w:t>
            </w:r>
            <w:r w:rsidRPr="001B78AD">
              <w:rPr>
                <w:i/>
                <w:sz w:val="24"/>
              </w:rPr>
              <w:t xml:space="preserve">§ </w:t>
            </w:r>
            <w:r>
              <w:rPr>
                <w:i/>
                <w:sz w:val="24"/>
              </w:rPr>
              <w:t>2, stk. 1, nr. 6,</w:t>
            </w:r>
            <w:r>
              <w:rPr>
                <w:sz w:val="24"/>
              </w:rPr>
              <w:t xml:space="preserve"> indsættes efter 3.</w:t>
            </w:r>
            <w:r>
              <w:rPr>
                <w:i/>
                <w:sz w:val="24"/>
              </w:rPr>
              <w:t xml:space="preserve"> </w:t>
            </w:r>
            <w:r w:rsidRPr="00557FFD">
              <w:rPr>
                <w:sz w:val="24"/>
              </w:rPr>
              <w:t>pkt</w:t>
            </w:r>
            <w:r>
              <w:rPr>
                <w:i/>
                <w:sz w:val="24"/>
              </w:rPr>
              <w:t>.</w:t>
            </w:r>
            <w:r>
              <w:rPr>
                <w:sz w:val="24"/>
              </w:rPr>
              <w:t>:</w:t>
            </w:r>
          </w:p>
          <w:p w:rsidR="005B503E" w:rsidRDefault="005B503E" w:rsidP="005B503E">
            <w:pPr>
              <w:spacing w:line="288" w:lineRule="auto"/>
              <w:rPr>
                <w:sz w:val="24"/>
              </w:rPr>
            </w:pPr>
            <w:r>
              <w:rPr>
                <w:sz w:val="24"/>
              </w:rPr>
              <w:t>”Skattepligten omfatter derudover vederlag i form af andet end aktier i det erhvervende selskab eller hermed koncernforbundne selskaber, som en person erhverver ved overdragelse af aktier, andelsbeviser og lignende værdipapirer, herunder konvertible obligationer, samt tegningsrettigheder til sådanne værdipapirer til selskaber</w:t>
            </w:r>
            <w:r w:rsidRPr="00C800C6">
              <w:rPr>
                <w:sz w:val="24"/>
              </w:rPr>
              <w:t>, der på overdragelsestidspunktet i det væsentlige er uden økonomisk risiko ved erhvervsmæssig aktivitet</w:t>
            </w:r>
            <w:r>
              <w:rPr>
                <w:sz w:val="24"/>
              </w:rPr>
              <w:t>, jf. selskabsskattelovens § 33 A, stk. 3, hvis personen efter overdragelsen ejer aktier m.v. i et eller flere af disse selskaber.</w:t>
            </w:r>
            <w:r w:rsidRPr="00D904EA">
              <w:rPr>
                <w:sz w:val="24"/>
              </w:rPr>
              <w:t xml:space="preserve"> </w:t>
            </w:r>
            <w:r>
              <w:rPr>
                <w:sz w:val="24"/>
              </w:rPr>
              <w:t>Skattepligten omfatter også vederlag i andet end aktier i det modtagende selskab eller hermed koncernforbundne selskaber, som en person erhverver i forbindelse med fusion eller spaltning, der ikke er omfattet af fusionsskatteloven, hvis personen efter omstruktureringen ejer aktier i det modtagende selskab eller hermed koncernforbundne selskaber”.</w:t>
            </w:r>
          </w:p>
          <w:p w:rsidR="005B503E" w:rsidRDefault="005B503E" w:rsidP="005B503E">
            <w:pPr>
              <w:spacing w:line="288" w:lineRule="auto"/>
              <w:rPr>
                <w:sz w:val="24"/>
              </w:rPr>
            </w:pPr>
          </w:p>
          <w:p w:rsidR="005B503E" w:rsidRPr="00E330BC" w:rsidRDefault="005B503E" w:rsidP="005B503E">
            <w:pPr>
              <w:spacing w:line="288" w:lineRule="auto"/>
              <w:rPr>
                <w:sz w:val="24"/>
              </w:rPr>
            </w:pPr>
            <w:r>
              <w:rPr>
                <w:b/>
                <w:sz w:val="24"/>
              </w:rPr>
              <w:t>2.</w:t>
            </w:r>
            <w:r>
              <w:rPr>
                <w:sz w:val="24"/>
              </w:rPr>
              <w:t xml:space="preserve"> I </w:t>
            </w:r>
            <w:r w:rsidRPr="00557FFD">
              <w:rPr>
                <w:i/>
                <w:sz w:val="24"/>
              </w:rPr>
              <w:t>§ 2, stk. 1, nr. 6,</w:t>
            </w:r>
            <w:r>
              <w:rPr>
                <w:i/>
                <w:sz w:val="24"/>
              </w:rPr>
              <w:t>4</w:t>
            </w:r>
            <w:r w:rsidRPr="00557FFD">
              <w:rPr>
                <w:i/>
                <w:sz w:val="24"/>
              </w:rPr>
              <w:t>. pkt.,</w:t>
            </w:r>
            <w:r>
              <w:rPr>
                <w:sz w:val="24"/>
              </w:rPr>
              <w:t xml:space="preserve"> der bliver 6. pkt., ændres ”3. pkt.” til: ”3.-5. pkt.”</w:t>
            </w:r>
          </w:p>
          <w:p w:rsidR="000C0D03" w:rsidRDefault="000C0D03" w:rsidP="005B503E">
            <w:pPr>
              <w:spacing w:line="288" w:lineRule="auto"/>
              <w:rPr>
                <w:b/>
                <w:sz w:val="24"/>
              </w:rPr>
            </w:pPr>
          </w:p>
        </w:tc>
      </w:tr>
      <w:tr w:rsidR="000C0D03" w:rsidTr="00393D9F">
        <w:tc>
          <w:tcPr>
            <w:tcW w:w="4604" w:type="dxa"/>
          </w:tcPr>
          <w:p w:rsidR="000C0D03" w:rsidRDefault="000C0D03"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AB74A0" w:rsidRDefault="00AB74A0" w:rsidP="00912739">
            <w:pPr>
              <w:widowControl/>
              <w:spacing w:line="288" w:lineRule="auto"/>
              <w:rPr>
                <w:b/>
                <w:sz w:val="24"/>
              </w:rPr>
            </w:pPr>
          </w:p>
          <w:p w:rsidR="00D655A5" w:rsidRDefault="00D655A5" w:rsidP="00807D0F">
            <w:pPr>
              <w:widowControl/>
              <w:spacing w:line="288" w:lineRule="auto"/>
              <w:rPr>
                <w:b/>
                <w:sz w:val="24"/>
              </w:rPr>
            </w:pPr>
          </w:p>
          <w:p w:rsidR="007D49C6" w:rsidRDefault="00AB74A0" w:rsidP="00807D0F">
            <w:pPr>
              <w:widowControl/>
              <w:spacing w:line="288" w:lineRule="auto"/>
              <w:rPr>
                <w:sz w:val="24"/>
              </w:rPr>
            </w:pPr>
            <w:r>
              <w:rPr>
                <w:b/>
                <w:sz w:val="24"/>
              </w:rPr>
              <w:t>§ 2.</w:t>
            </w:r>
            <w:r w:rsidR="00261E54">
              <w:rPr>
                <w:sz w:val="24"/>
              </w:rPr>
              <w:t>---</w:t>
            </w:r>
          </w:p>
          <w:p w:rsidR="00AB74A0" w:rsidRPr="00AB74A0" w:rsidRDefault="00AB74A0" w:rsidP="00807D0F">
            <w:pPr>
              <w:widowControl/>
              <w:spacing w:line="288" w:lineRule="auto"/>
              <w:rPr>
                <w:sz w:val="24"/>
              </w:rPr>
            </w:pPr>
            <w:r w:rsidRPr="00156BAE">
              <w:rPr>
                <w:i/>
                <w:sz w:val="24"/>
              </w:rPr>
              <w:t>Stk. 4</w:t>
            </w:r>
            <w:r w:rsidRPr="00AB74A0">
              <w:rPr>
                <w:sz w:val="24"/>
              </w:rPr>
              <w:t>. Kontante beløb, der modtages i forbindelse med en skattefri aktieombytning, jf. § 36, eller en skattefri fusion eller en skattefri spaltning omfattet af fusionsskattelovens regler, og som udgør et beløb, der er mindre end kursværdien af hver af de aktier, der tildeles i det erhvervende henholdsvis det modtagende selskab, behandles efter reglerne i ligningslovens § 16 A, stk. 1.</w:t>
            </w:r>
          </w:p>
        </w:tc>
        <w:tc>
          <w:tcPr>
            <w:tcW w:w="4605" w:type="dxa"/>
          </w:tcPr>
          <w:p w:rsidR="003F34C3" w:rsidRDefault="003F34C3" w:rsidP="003F34C3">
            <w:pPr>
              <w:ind w:left="3600" w:firstLine="720"/>
              <w:rPr>
                <w:b/>
                <w:sz w:val="24"/>
              </w:rPr>
            </w:pPr>
          </w:p>
          <w:p w:rsidR="003F34C3" w:rsidRDefault="003F34C3" w:rsidP="003F34C3">
            <w:pPr>
              <w:rPr>
                <w:b/>
                <w:sz w:val="24"/>
              </w:rPr>
            </w:pPr>
          </w:p>
          <w:p w:rsidR="003F34C3" w:rsidRDefault="003F34C3" w:rsidP="003F34C3">
            <w:pPr>
              <w:rPr>
                <w:b/>
                <w:sz w:val="24"/>
              </w:rPr>
            </w:pPr>
          </w:p>
          <w:p w:rsidR="003F34C3" w:rsidRDefault="003F34C3" w:rsidP="00D655A5">
            <w:pPr>
              <w:jc w:val="center"/>
              <w:rPr>
                <w:b/>
                <w:sz w:val="24"/>
              </w:rPr>
            </w:pPr>
            <w:r w:rsidRPr="00D655A5">
              <w:rPr>
                <w:b/>
                <w:sz w:val="24"/>
              </w:rPr>
              <w:t>§ 4</w:t>
            </w:r>
          </w:p>
          <w:p w:rsidR="00D655A5" w:rsidRPr="00D655A5" w:rsidRDefault="00D655A5" w:rsidP="00D655A5">
            <w:pPr>
              <w:jc w:val="center"/>
              <w:rPr>
                <w:b/>
                <w:sz w:val="24"/>
              </w:rPr>
            </w:pPr>
          </w:p>
          <w:p w:rsidR="00283149" w:rsidRPr="00BC172D" w:rsidRDefault="00283149" w:rsidP="00283149">
            <w:pPr>
              <w:spacing w:line="288" w:lineRule="auto"/>
              <w:rPr>
                <w:sz w:val="24"/>
              </w:rPr>
            </w:pPr>
            <w:r>
              <w:rPr>
                <w:sz w:val="24"/>
              </w:rPr>
              <w:t>I aktieavancebeskatningsloven, jf. lovbekendtgørelse nr. 796 af 20. juni 2011, som ændret senest ved § 2 i lov nr. 792 af 28. juni 2013, foretages følgende ændring:</w:t>
            </w:r>
          </w:p>
          <w:p w:rsidR="00283149" w:rsidRDefault="00283149" w:rsidP="00283149">
            <w:pPr>
              <w:spacing w:line="288" w:lineRule="auto"/>
              <w:rPr>
                <w:sz w:val="24"/>
              </w:rPr>
            </w:pPr>
          </w:p>
          <w:p w:rsidR="00283149" w:rsidRPr="00D749A6" w:rsidRDefault="00283149" w:rsidP="00283149">
            <w:pPr>
              <w:spacing w:line="288" w:lineRule="auto"/>
              <w:rPr>
                <w:sz w:val="24"/>
              </w:rPr>
            </w:pPr>
            <w:r>
              <w:rPr>
                <w:b/>
                <w:sz w:val="24"/>
              </w:rPr>
              <w:t xml:space="preserve">1. </w:t>
            </w:r>
            <w:r w:rsidRPr="001B78AD">
              <w:rPr>
                <w:i/>
                <w:sz w:val="24"/>
              </w:rPr>
              <w:t xml:space="preserve">§ </w:t>
            </w:r>
            <w:r>
              <w:rPr>
                <w:i/>
                <w:sz w:val="24"/>
              </w:rPr>
              <w:t>2, stk. 4,</w:t>
            </w:r>
            <w:r>
              <w:rPr>
                <w:sz w:val="24"/>
              </w:rPr>
              <w:t xml:space="preserve"> ophæves.</w:t>
            </w:r>
          </w:p>
          <w:p w:rsidR="000C0D03" w:rsidRDefault="000C0D03" w:rsidP="00283149">
            <w:pPr>
              <w:spacing w:line="288" w:lineRule="auto"/>
              <w:rPr>
                <w:b/>
                <w:sz w:val="24"/>
              </w:rPr>
            </w:pPr>
          </w:p>
        </w:tc>
      </w:tr>
    </w:tbl>
    <w:p w:rsidR="00912739" w:rsidRPr="00912739" w:rsidRDefault="000747ED" w:rsidP="00376FD2">
      <w:pPr>
        <w:rPr>
          <w:sz w:val="24"/>
        </w:rPr>
      </w:pPr>
      <w:r>
        <w:rPr>
          <w:sz w:val="24"/>
        </w:rPr>
        <w:lastRenderedPageBreak/>
        <w:t xml:space="preserve"> </w:t>
      </w:r>
    </w:p>
    <w:sectPr w:rsidR="00912739" w:rsidRPr="00912739"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07" w:rsidRPr="008C7957" w:rsidRDefault="003B4A07">
      <w:pPr>
        <w:rPr>
          <w:sz w:val="16"/>
        </w:rPr>
      </w:pPr>
      <w:r>
        <w:separator/>
      </w:r>
    </w:p>
  </w:endnote>
  <w:endnote w:type="continuationSeparator" w:id="0">
    <w:p w:rsidR="003B4A07" w:rsidRPr="008C7957" w:rsidRDefault="003B4A0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07" w:rsidRPr="008C7957" w:rsidRDefault="003B4A07">
      <w:pPr>
        <w:rPr>
          <w:sz w:val="16"/>
        </w:rPr>
      </w:pPr>
      <w:r>
        <w:separator/>
      </w:r>
    </w:p>
  </w:footnote>
  <w:footnote w:type="continuationSeparator" w:id="0">
    <w:p w:rsidR="003B4A07" w:rsidRPr="008C7957" w:rsidRDefault="003B4A0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07" w:rsidRDefault="003B4A07">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436BDF">
      <w:rPr>
        <w:rStyle w:val="Sidetal"/>
        <w:noProof/>
        <w:sz w:val="24"/>
      </w:rPr>
      <w:t>22</w:t>
    </w:r>
    <w:r>
      <w:rPr>
        <w:rStyle w:val="Sidetal"/>
        <w:sz w:val="24"/>
      </w:rPr>
      <w:fldChar w:fldCharType="end"/>
    </w:r>
    <w:r>
      <w:rPr>
        <w:rStyle w:val="Sidetal"/>
        <w:sz w:val="24"/>
      </w:rPr>
      <w:t xml:space="preserve"> -</w:t>
    </w:r>
  </w:p>
  <w:p w:rsidR="003B4A07" w:rsidRDefault="003B4A07">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A1E50FD"/>
    <w:multiLevelType w:val="hybridMultilevel"/>
    <w:tmpl w:val="045EDD32"/>
    <w:lvl w:ilvl="0" w:tplc="475E2D8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63C0748"/>
    <w:multiLevelType w:val="multilevel"/>
    <w:tmpl w:val="26FE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A7064"/>
    <w:multiLevelType w:val="hybridMultilevel"/>
    <w:tmpl w:val="720CC1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2EE157F"/>
    <w:multiLevelType w:val="hybridMultilevel"/>
    <w:tmpl w:val="FFB2F568"/>
    <w:lvl w:ilvl="0" w:tplc="8F065DE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4FDD2023"/>
    <w:multiLevelType w:val="hybridMultilevel"/>
    <w:tmpl w:val="B6FC5B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14E6108"/>
    <w:multiLevelType w:val="hybridMultilevel"/>
    <w:tmpl w:val="89CCF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AF14F99"/>
    <w:multiLevelType w:val="hybridMultilevel"/>
    <w:tmpl w:val="57F4BE18"/>
    <w:lvl w:ilvl="0" w:tplc="7C32F5F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8"/>
  </w:num>
  <w:num w:numId="6">
    <w:abstractNumId w:val="1"/>
  </w:num>
  <w:num w:numId="7">
    <w:abstractNumId w:val="2"/>
  </w:num>
  <w:num w:numId="8">
    <w:abstractNumId w:val="5"/>
  </w:num>
  <w:num w:numId="9">
    <w:abstractNumId w:val="11"/>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02958"/>
    <w:rsid w:val="00003AE0"/>
    <w:rsid w:val="00004FC1"/>
    <w:rsid w:val="00007AB9"/>
    <w:rsid w:val="000233B6"/>
    <w:rsid w:val="000256EF"/>
    <w:rsid w:val="00031AB7"/>
    <w:rsid w:val="00032DFC"/>
    <w:rsid w:val="00037A44"/>
    <w:rsid w:val="00045639"/>
    <w:rsid w:val="00054D2A"/>
    <w:rsid w:val="00055E47"/>
    <w:rsid w:val="00074325"/>
    <w:rsid w:val="000747C5"/>
    <w:rsid w:val="000747ED"/>
    <w:rsid w:val="000853B3"/>
    <w:rsid w:val="0008703E"/>
    <w:rsid w:val="000952D5"/>
    <w:rsid w:val="00095CC5"/>
    <w:rsid w:val="000A023A"/>
    <w:rsid w:val="000A2B6C"/>
    <w:rsid w:val="000A4134"/>
    <w:rsid w:val="000A4308"/>
    <w:rsid w:val="000B59A6"/>
    <w:rsid w:val="000C0D03"/>
    <w:rsid w:val="000C11CE"/>
    <w:rsid w:val="000C50AE"/>
    <w:rsid w:val="000C5BD3"/>
    <w:rsid w:val="000C5D7C"/>
    <w:rsid w:val="000D0A69"/>
    <w:rsid w:val="000D5849"/>
    <w:rsid w:val="000D6720"/>
    <w:rsid w:val="000E35B6"/>
    <w:rsid w:val="000E5B01"/>
    <w:rsid w:val="000F15ED"/>
    <w:rsid w:val="000F254B"/>
    <w:rsid w:val="00100D9D"/>
    <w:rsid w:val="00102011"/>
    <w:rsid w:val="001023D0"/>
    <w:rsid w:val="0010336B"/>
    <w:rsid w:val="00105E9E"/>
    <w:rsid w:val="00107DE6"/>
    <w:rsid w:val="001140E4"/>
    <w:rsid w:val="001159D7"/>
    <w:rsid w:val="00121B48"/>
    <w:rsid w:val="00122EB1"/>
    <w:rsid w:val="00126CA5"/>
    <w:rsid w:val="00127BE1"/>
    <w:rsid w:val="00130B1F"/>
    <w:rsid w:val="00130CD3"/>
    <w:rsid w:val="00132D97"/>
    <w:rsid w:val="0013310B"/>
    <w:rsid w:val="00133A39"/>
    <w:rsid w:val="00140528"/>
    <w:rsid w:val="00146335"/>
    <w:rsid w:val="001506AB"/>
    <w:rsid w:val="0015075E"/>
    <w:rsid w:val="00151F63"/>
    <w:rsid w:val="00156BAE"/>
    <w:rsid w:val="00161136"/>
    <w:rsid w:val="00167880"/>
    <w:rsid w:val="001707B3"/>
    <w:rsid w:val="00172A7A"/>
    <w:rsid w:val="00174EB4"/>
    <w:rsid w:val="00192F97"/>
    <w:rsid w:val="00194955"/>
    <w:rsid w:val="001A2A95"/>
    <w:rsid w:val="001B78AD"/>
    <w:rsid w:val="001D098B"/>
    <w:rsid w:val="001E0674"/>
    <w:rsid w:val="001E0DF2"/>
    <w:rsid w:val="001E29D8"/>
    <w:rsid w:val="001E500A"/>
    <w:rsid w:val="001F3258"/>
    <w:rsid w:val="00216EA5"/>
    <w:rsid w:val="0021791F"/>
    <w:rsid w:val="002205FD"/>
    <w:rsid w:val="002206E6"/>
    <w:rsid w:val="0022767D"/>
    <w:rsid w:val="00237264"/>
    <w:rsid w:val="002416AB"/>
    <w:rsid w:val="00242F8C"/>
    <w:rsid w:val="00245F69"/>
    <w:rsid w:val="0025413C"/>
    <w:rsid w:val="00257D34"/>
    <w:rsid w:val="00261E54"/>
    <w:rsid w:val="00263AE0"/>
    <w:rsid w:val="00264887"/>
    <w:rsid w:val="00265E86"/>
    <w:rsid w:val="00267789"/>
    <w:rsid w:val="00267B52"/>
    <w:rsid w:val="002763CD"/>
    <w:rsid w:val="00277EB6"/>
    <w:rsid w:val="00281676"/>
    <w:rsid w:val="00281AE0"/>
    <w:rsid w:val="00283149"/>
    <w:rsid w:val="0028365C"/>
    <w:rsid w:val="00285887"/>
    <w:rsid w:val="00285934"/>
    <w:rsid w:val="00290D29"/>
    <w:rsid w:val="00291456"/>
    <w:rsid w:val="002918CF"/>
    <w:rsid w:val="00294402"/>
    <w:rsid w:val="0029759F"/>
    <w:rsid w:val="002A11A0"/>
    <w:rsid w:val="002A701A"/>
    <w:rsid w:val="002B26C0"/>
    <w:rsid w:val="002B7FBC"/>
    <w:rsid w:val="002C3CA9"/>
    <w:rsid w:val="002D45BF"/>
    <w:rsid w:val="002D7E26"/>
    <w:rsid w:val="002E2B7E"/>
    <w:rsid w:val="002E2FE5"/>
    <w:rsid w:val="002E5C81"/>
    <w:rsid w:val="002E6643"/>
    <w:rsid w:val="002F1D14"/>
    <w:rsid w:val="002F2EFB"/>
    <w:rsid w:val="002F4DE2"/>
    <w:rsid w:val="002F5EAA"/>
    <w:rsid w:val="00301CD7"/>
    <w:rsid w:val="0031176B"/>
    <w:rsid w:val="00311A92"/>
    <w:rsid w:val="003145F6"/>
    <w:rsid w:val="00314817"/>
    <w:rsid w:val="00320A7E"/>
    <w:rsid w:val="00326DF6"/>
    <w:rsid w:val="00334B1D"/>
    <w:rsid w:val="00336613"/>
    <w:rsid w:val="00350361"/>
    <w:rsid w:val="003572AB"/>
    <w:rsid w:val="00363D47"/>
    <w:rsid w:val="003671F1"/>
    <w:rsid w:val="00375668"/>
    <w:rsid w:val="00376142"/>
    <w:rsid w:val="00376FD2"/>
    <w:rsid w:val="00380A89"/>
    <w:rsid w:val="00380DAE"/>
    <w:rsid w:val="003877D1"/>
    <w:rsid w:val="00390E5B"/>
    <w:rsid w:val="00393D9F"/>
    <w:rsid w:val="0039525C"/>
    <w:rsid w:val="003A2A48"/>
    <w:rsid w:val="003A5F7B"/>
    <w:rsid w:val="003A6F53"/>
    <w:rsid w:val="003A73CC"/>
    <w:rsid w:val="003B2A3C"/>
    <w:rsid w:val="003B2BCC"/>
    <w:rsid w:val="003B4895"/>
    <w:rsid w:val="003B48F6"/>
    <w:rsid w:val="003B4A07"/>
    <w:rsid w:val="003C0A64"/>
    <w:rsid w:val="003C67BB"/>
    <w:rsid w:val="003D48C0"/>
    <w:rsid w:val="003E58D6"/>
    <w:rsid w:val="003F0FB4"/>
    <w:rsid w:val="003F34C3"/>
    <w:rsid w:val="003F684F"/>
    <w:rsid w:val="0040482E"/>
    <w:rsid w:val="004050E3"/>
    <w:rsid w:val="004076C7"/>
    <w:rsid w:val="00410516"/>
    <w:rsid w:val="00411EB1"/>
    <w:rsid w:val="00413015"/>
    <w:rsid w:val="004148EB"/>
    <w:rsid w:val="00415300"/>
    <w:rsid w:val="00416A88"/>
    <w:rsid w:val="0043664A"/>
    <w:rsid w:val="00436BDF"/>
    <w:rsid w:val="004371D1"/>
    <w:rsid w:val="00443EBC"/>
    <w:rsid w:val="00444491"/>
    <w:rsid w:val="00444BFC"/>
    <w:rsid w:val="004528A9"/>
    <w:rsid w:val="00455172"/>
    <w:rsid w:val="00460FC4"/>
    <w:rsid w:val="00462682"/>
    <w:rsid w:val="00466B3D"/>
    <w:rsid w:val="00470964"/>
    <w:rsid w:val="00470D20"/>
    <w:rsid w:val="0048275A"/>
    <w:rsid w:val="00483E1A"/>
    <w:rsid w:val="004854C3"/>
    <w:rsid w:val="0049649E"/>
    <w:rsid w:val="004A1A1C"/>
    <w:rsid w:val="004A40E1"/>
    <w:rsid w:val="004A7D7E"/>
    <w:rsid w:val="004C5782"/>
    <w:rsid w:val="004C706E"/>
    <w:rsid w:val="004D31B0"/>
    <w:rsid w:val="004D4940"/>
    <w:rsid w:val="004F06AF"/>
    <w:rsid w:val="005002E3"/>
    <w:rsid w:val="00500EDE"/>
    <w:rsid w:val="00503ABA"/>
    <w:rsid w:val="00510E7E"/>
    <w:rsid w:val="00511125"/>
    <w:rsid w:val="00511C24"/>
    <w:rsid w:val="005249D3"/>
    <w:rsid w:val="00526869"/>
    <w:rsid w:val="00526889"/>
    <w:rsid w:val="00531DFF"/>
    <w:rsid w:val="00532253"/>
    <w:rsid w:val="00541803"/>
    <w:rsid w:val="0054212A"/>
    <w:rsid w:val="0055416C"/>
    <w:rsid w:val="00554BB1"/>
    <w:rsid w:val="00557FFD"/>
    <w:rsid w:val="005624DE"/>
    <w:rsid w:val="00573620"/>
    <w:rsid w:val="005774C6"/>
    <w:rsid w:val="00584A07"/>
    <w:rsid w:val="00587703"/>
    <w:rsid w:val="00593DA9"/>
    <w:rsid w:val="005A0E28"/>
    <w:rsid w:val="005A3B06"/>
    <w:rsid w:val="005A3C3F"/>
    <w:rsid w:val="005B503E"/>
    <w:rsid w:val="005C5411"/>
    <w:rsid w:val="005C6533"/>
    <w:rsid w:val="005C712F"/>
    <w:rsid w:val="005D23DC"/>
    <w:rsid w:val="005D6525"/>
    <w:rsid w:val="005D7234"/>
    <w:rsid w:val="005E084C"/>
    <w:rsid w:val="005E1A96"/>
    <w:rsid w:val="005E46F8"/>
    <w:rsid w:val="005E643D"/>
    <w:rsid w:val="005F0F3C"/>
    <w:rsid w:val="005F4774"/>
    <w:rsid w:val="005F6402"/>
    <w:rsid w:val="00605AA3"/>
    <w:rsid w:val="00610746"/>
    <w:rsid w:val="0061246F"/>
    <w:rsid w:val="00617F4A"/>
    <w:rsid w:val="00620754"/>
    <w:rsid w:val="0062345C"/>
    <w:rsid w:val="00626F60"/>
    <w:rsid w:val="0063237E"/>
    <w:rsid w:val="00633D10"/>
    <w:rsid w:val="00642350"/>
    <w:rsid w:val="0064325B"/>
    <w:rsid w:val="00653D78"/>
    <w:rsid w:val="00654215"/>
    <w:rsid w:val="00655E77"/>
    <w:rsid w:val="00656679"/>
    <w:rsid w:val="00657010"/>
    <w:rsid w:val="00657160"/>
    <w:rsid w:val="00665CCB"/>
    <w:rsid w:val="00670477"/>
    <w:rsid w:val="00673E5A"/>
    <w:rsid w:val="00677CFD"/>
    <w:rsid w:val="00684568"/>
    <w:rsid w:val="00687F69"/>
    <w:rsid w:val="006B357A"/>
    <w:rsid w:val="006C3822"/>
    <w:rsid w:val="006C7BF2"/>
    <w:rsid w:val="006D09C3"/>
    <w:rsid w:val="006D0EF3"/>
    <w:rsid w:val="006D5B53"/>
    <w:rsid w:val="006E0970"/>
    <w:rsid w:val="006E18F2"/>
    <w:rsid w:val="006E2F7C"/>
    <w:rsid w:val="006E6249"/>
    <w:rsid w:val="006F2D38"/>
    <w:rsid w:val="006F593D"/>
    <w:rsid w:val="006F6572"/>
    <w:rsid w:val="006F663B"/>
    <w:rsid w:val="00703BA7"/>
    <w:rsid w:val="00713F5B"/>
    <w:rsid w:val="00714FC9"/>
    <w:rsid w:val="00730852"/>
    <w:rsid w:val="00730D31"/>
    <w:rsid w:val="00733FAE"/>
    <w:rsid w:val="0074344C"/>
    <w:rsid w:val="00743C87"/>
    <w:rsid w:val="00755D8B"/>
    <w:rsid w:val="0075646E"/>
    <w:rsid w:val="00765BE2"/>
    <w:rsid w:val="00772A9E"/>
    <w:rsid w:val="0077421E"/>
    <w:rsid w:val="007755CC"/>
    <w:rsid w:val="0077744B"/>
    <w:rsid w:val="0077773A"/>
    <w:rsid w:val="00781E52"/>
    <w:rsid w:val="007837FF"/>
    <w:rsid w:val="00787677"/>
    <w:rsid w:val="00791997"/>
    <w:rsid w:val="007A6F66"/>
    <w:rsid w:val="007A7F19"/>
    <w:rsid w:val="007A7F9B"/>
    <w:rsid w:val="007B5D15"/>
    <w:rsid w:val="007B6D87"/>
    <w:rsid w:val="007B7EA8"/>
    <w:rsid w:val="007C052B"/>
    <w:rsid w:val="007C12A2"/>
    <w:rsid w:val="007C3A6E"/>
    <w:rsid w:val="007C689B"/>
    <w:rsid w:val="007D0AC0"/>
    <w:rsid w:val="007D36B1"/>
    <w:rsid w:val="007D40DC"/>
    <w:rsid w:val="007D49C6"/>
    <w:rsid w:val="007D797C"/>
    <w:rsid w:val="007F43FD"/>
    <w:rsid w:val="007F636C"/>
    <w:rsid w:val="00807D0F"/>
    <w:rsid w:val="00814B14"/>
    <w:rsid w:val="008155E2"/>
    <w:rsid w:val="008165BC"/>
    <w:rsid w:val="0083475A"/>
    <w:rsid w:val="00836B8F"/>
    <w:rsid w:val="00850C50"/>
    <w:rsid w:val="00851198"/>
    <w:rsid w:val="00851F71"/>
    <w:rsid w:val="008542A5"/>
    <w:rsid w:val="008612FD"/>
    <w:rsid w:val="00863197"/>
    <w:rsid w:val="00863595"/>
    <w:rsid w:val="0086471B"/>
    <w:rsid w:val="008677D7"/>
    <w:rsid w:val="00873502"/>
    <w:rsid w:val="008742E7"/>
    <w:rsid w:val="00876D91"/>
    <w:rsid w:val="00881E79"/>
    <w:rsid w:val="0089030E"/>
    <w:rsid w:val="00890F5C"/>
    <w:rsid w:val="0089505B"/>
    <w:rsid w:val="008A22C5"/>
    <w:rsid w:val="008A72E1"/>
    <w:rsid w:val="008B0622"/>
    <w:rsid w:val="008B6519"/>
    <w:rsid w:val="008C7794"/>
    <w:rsid w:val="008C7A75"/>
    <w:rsid w:val="008D2308"/>
    <w:rsid w:val="008E2A9E"/>
    <w:rsid w:val="008E3D25"/>
    <w:rsid w:val="008E7F50"/>
    <w:rsid w:val="008F0D6E"/>
    <w:rsid w:val="008F3244"/>
    <w:rsid w:val="008F324E"/>
    <w:rsid w:val="008F529F"/>
    <w:rsid w:val="0090307F"/>
    <w:rsid w:val="00912739"/>
    <w:rsid w:val="00914765"/>
    <w:rsid w:val="00930B66"/>
    <w:rsid w:val="00930F17"/>
    <w:rsid w:val="00935369"/>
    <w:rsid w:val="00936489"/>
    <w:rsid w:val="00937474"/>
    <w:rsid w:val="009419D6"/>
    <w:rsid w:val="00954320"/>
    <w:rsid w:val="00963976"/>
    <w:rsid w:val="00964F46"/>
    <w:rsid w:val="00967680"/>
    <w:rsid w:val="00972BD5"/>
    <w:rsid w:val="0097397D"/>
    <w:rsid w:val="00980357"/>
    <w:rsid w:val="00992F7D"/>
    <w:rsid w:val="009A5AA8"/>
    <w:rsid w:val="009B14A0"/>
    <w:rsid w:val="009B4F0C"/>
    <w:rsid w:val="009B58D6"/>
    <w:rsid w:val="009C41BB"/>
    <w:rsid w:val="009C5EA6"/>
    <w:rsid w:val="009D271D"/>
    <w:rsid w:val="009D27EB"/>
    <w:rsid w:val="009D3D2A"/>
    <w:rsid w:val="009D4AF3"/>
    <w:rsid w:val="009D5844"/>
    <w:rsid w:val="009D6FBB"/>
    <w:rsid w:val="009E6BE1"/>
    <w:rsid w:val="009F2D9F"/>
    <w:rsid w:val="009F5D48"/>
    <w:rsid w:val="009F656E"/>
    <w:rsid w:val="009F7068"/>
    <w:rsid w:val="009F73C2"/>
    <w:rsid w:val="009F7E4A"/>
    <w:rsid w:val="00A00226"/>
    <w:rsid w:val="00A013C6"/>
    <w:rsid w:val="00A1326F"/>
    <w:rsid w:val="00A16A2D"/>
    <w:rsid w:val="00A208B7"/>
    <w:rsid w:val="00A2100B"/>
    <w:rsid w:val="00A21783"/>
    <w:rsid w:val="00A26129"/>
    <w:rsid w:val="00A27CAF"/>
    <w:rsid w:val="00A319F7"/>
    <w:rsid w:val="00A457FD"/>
    <w:rsid w:val="00A5039D"/>
    <w:rsid w:val="00A51BB8"/>
    <w:rsid w:val="00A53331"/>
    <w:rsid w:val="00A6378E"/>
    <w:rsid w:val="00A650AD"/>
    <w:rsid w:val="00A676E6"/>
    <w:rsid w:val="00A7106B"/>
    <w:rsid w:val="00A72387"/>
    <w:rsid w:val="00A738DC"/>
    <w:rsid w:val="00A74D00"/>
    <w:rsid w:val="00A856BA"/>
    <w:rsid w:val="00A9167F"/>
    <w:rsid w:val="00A9207B"/>
    <w:rsid w:val="00A952F0"/>
    <w:rsid w:val="00A962EC"/>
    <w:rsid w:val="00AA0D69"/>
    <w:rsid w:val="00AA0ED5"/>
    <w:rsid w:val="00AA164F"/>
    <w:rsid w:val="00AA1AF0"/>
    <w:rsid w:val="00AA420E"/>
    <w:rsid w:val="00AB2972"/>
    <w:rsid w:val="00AB6113"/>
    <w:rsid w:val="00AB6972"/>
    <w:rsid w:val="00AB74A0"/>
    <w:rsid w:val="00AC0020"/>
    <w:rsid w:val="00AD2B75"/>
    <w:rsid w:val="00AD56B0"/>
    <w:rsid w:val="00AD5AB9"/>
    <w:rsid w:val="00AE4729"/>
    <w:rsid w:val="00AE4D28"/>
    <w:rsid w:val="00AF5591"/>
    <w:rsid w:val="00B00E45"/>
    <w:rsid w:val="00B02715"/>
    <w:rsid w:val="00B0737F"/>
    <w:rsid w:val="00B133FE"/>
    <w:rsid w:val="00B13FE9"/>
    <w:rsid w:val="00B15E1E"/>
    <w:rsid w:val="00B17626"/>
    <w:rsid w:val="00B205E3"/>
    <w:rsid w:val="00B20843"/>
    <w:rsid w:val="00B21D5C"/>
    <w:rsid w:val="00B271F5"/>
    <w:rsid w:val="00B303EA"/>
    <w:rsid w:val="00B31A18"/>
    <w:rsid w:val="00B3707D"/>
    <w:rsid w:val="00B403FA"/>
    <w:rsid w:val="00B415C3"/>
    <w:rsid w:val="00B438DD"/>
    <w:rsid w:val="00B511FF"/>
    <w:rsid w:val="00B51BD8"/>
    <w:rsid w:val="00B614C4"/>
    <w:rsid w:val="00B61DB2"/>
    <w:rsid w:val="00B6369E"/>
    <w:rsid w:val="00B65745"/>
    <w:rsid w:val="00B66A81"/>
    <w:rsid w:val="00B675D8"/>
    <w:rsid w:val="00B71A8F"/>
    <w:rsid w:val="00B80595"/>
    <w:rsid w:val="00B808B2"/>
    <w:rsid w:val="00B84048"/>
    <w:rsid w:val="00B903C1"/>
    <w:rsid w:val="00B942B6"/>
    <w:rsid w:val="00BA7E19"/>
    <w:rsid w:val="00BB1136"/>
    <w:rsid w:val="00BC0F07"/>
    <w:rsid w:val="00BC172D"/>
    <w:rsid w:val="00BC1ACF"/>
    <w:rsid w:val="00BC458A"/>
    <w:rsid w:val="00BC5255"/>
    <w:rsid w:val="00BC5C99"/>
    <w:rsid w:val="00BD21A3"/>
    <w:rsid w:val="00BD3FD9"/>
    <w:rsid w:val="00BD475A"/>
    <w:rsid w:val="00BD48ED"/>
    <w:rsid w:val="00BD4E6A"/>
    <w:rsid w:val="00BD657F"/>
    <w:rsid w:val="00BF2C59"/>
    <w:rsid w:val="00BF3BC7"/>
    <w:rsid w:val="00BF51F1"/>
    <w:rsid w:val="00BF570C"/>
    <w:rsid w:val="00BF6D25"/>
    <w:rsid w:val="00C103A0"/>
    <w:rsid w:val="00C10B89"/>
    <w:rsid w:val="00C11B2D"/>
    <w:rsid w:val="00C25DD3"/>
    <w:rsid w:val="00C26356"/>
    <w:rsid w:val="00C35758"/>
    <w:rsid w:val="00C35A14"/>
    <w:rsid w:val="00C40C30"/>
    <w:rsid w:val="00C40C5F"/>
    <w:rsid w:val="00C46C33"/>
    <w:rsid w:val="00C50AC6"/>
    <w:rsid w:val="00C567B7"/>
    <w:rsid w:val="00C62CB6"/>
    <w:rsid w:val="00C70EAE"/>
    <w:rsid w:val="00C725E0"/>
    <w:rsid w:val="00C7559A"/>
    <w:rsid w:val="00C800C6"/>
    <w:rsid w:val="00C801B6"/>
    <w:rsid w:val="00C808A7"/>
    <w:rsid w:val="00C817DD"/>
    <w:rsid w:val="00C82F65"/>
    <w:rsid w:val="00C975C4"/>
    <w:rsid w:val="00CB0705"/>
    <w:rsid w:val="00CB0B09"/>
    <w:rsid w:val="00CB7E19"/>
    <w:rsid w:val="00CC1296"/>
    <w:rsid w:val="00CC39CE"/>
    <w:rsid w:val="00CD6F1E"/>
    <w:rsid w:val="00CD6F9A"/>
    <w:rsid w:val="00CE31C3"/>
    <w:rsid w:val="00CE488D"/>
    <w:rsid w:val="00CF09AA"/>
    <w:rsid w:val="00CF736C"/>
    <w:rsid w:val="00D07E21"/>
    <w:rsid w:val="00D10CE7"/>
    <w:rsid w:val="00D24921"/>
    <w:rsid w:val="00D264A8"/>
    <w:rsid w:val="00D27FAA"/>
    <w:rsid w:val="00D32577"/>
    <w:rsid w:val="00D37749"/>
    <w:rsid w:val="00D37896"/>
    <w:rsid w:val="00D45447"/>
    <w:rsid w:val="00D55CC1"/>
    <w:rsid w:val="00D57935"/>
    <w:rsid w:val="00D607C4"/>
    <w:rsid w:val="00D626F8"/>
    <w:rsid w:val="00D62F6C"/>
    <w:rsid w:val="00D64CF5"/>
    <w:rsid w:val="00D655A5"/>
    <w:rsid w:val="00D70195"/>
    <w:rsid w:val="00D749A6"/>
    <w:rsid w:val="00D74CCE"/>
    <w:rsid w:val="00D864B4"/>
    <w:rsid w:val="00D904EA"/>
    <w:rsid w:val="00D923C5"/>
    <w:rsid w:val="00DA5C55"/>
    <w:rsid w:val="00DA6F66"/>
    <w:rsid w:val="00DB306F"/>
    <w:rsid w:val="00DB4C29"/>
    <w:rsid w:val="00DC0237"/>
    <w:rsid w:val="00DC4660"/>
    <w:rsid w:val="00DC46F6"/>
    <w:rsid w:val="00DC65B1"/>
    <w:rsid w:val="00DC69B5"/>
    <w:rsid w:val="00DD05F6"/>
    <w:rsid w:val="00DD1E27"/>
    <w:rsid w:val="00DD4DD0"/>
    <w:rsid w:val="00DD5959"/>
    <w:rsid w:val="00DD5D2A"/>
    <w:rsid w:val="00DF2CCF"/>
    <w:rsid w:val="00E06BAD"/>
    <w:rsid w:val="00E0754E"/>
    <w:rsid w:val="00E10A98"/>
    <w:rsid w:val="00E112AD"/>
    <w:rsid w:val="00E1480D"/>
    <w:rsid w:val="00E206D2"/>
    <w:rsid w:val="00E23BDE"/>
    <w:rsid w:val="00E32A8B"/>
    <w:rsid w:val="00E330BC"/>
    <w:rsid w:val="00E33822"/>
    <w:rsid w:val="00E3479C"/>
    <w:rsid w:val="00E36CBF"/>
    <w:rsid w:val="00E372F3"/>
    <w:rsid w:val="00E40A1C"/>
    <w:rsid w:val="00E4196F"/>
    <w:rsid w:val="00E43FC3"/>
    <w:rsid w:val="00E47706"/>
    <w:rsid w:val="00E525B5"/>
    <w:rsid w:val="00E54CD5"/>
    <w:rsid w:val="00E56326"/>
    <w:rsid w:val="00E66E42"/>
    <w:rsid w:val="00E7056F"/>
    <w:rsid w:val="00E70581"/>
    <w:rsid w:val="00E71E73"/>
    <w:rsid w:val="00E73545"/>
    <w:rsid w:val="00E83A11"/>
    <w:rsid w:val="00E843DE"/>
    <w:rsid w:val="00E84A31"/>
    <w:rsid w:val="00E867EE"/>
    <w:rsid w:val="00E945C6"/>
    <w:rsid w:val="00E95962"/>
    <w:rsid w:val="00E97380"/>
    <w:rsid w:val="00E974AB"/>
    <w:rsid w:val="00EB1AA0"/>
    <w:rsid w:val="00EB2DAD"/>
    <w:rsid w:val="00EC098B"/>
    <w:rsid w:val="00EC47E0"/>
    <w:rsid w:val="00EC5AB0"/>
    <w:rsid w:val="00EC6C04"/>
    <w:rsid w:val="00EE37E8"/>
    <w:rsid w:val="00EE77B0"/>
    <w:rsid w:val="00EF0D49"/>
    <w:rsid w:val="00EF2E35"/>
    <w:rsid w:val="00EF7C9D"/>
    <w:rsid w:val="00F000ED"/>
    <w:rsid w:val="00F01A57"/>
    <w:rsid w:val="00F069C8"/>
    <w:rsid w:val="00F06AB8"/>
    <w:rsid w:val="00F06C5B"/>
    <w:rsid w:val="00F14376"/>
    <w:rsid w:val="00F16BCD"/>
    <w:rsid w:val="00F24EA4"/>
    <w:rsid w:val="00F25125"/>
    <w:rsid w:val="00F37195"/>
    <w:rsid w:val="00F37923"/>
    <w:rsid w:val="00F41E0E"/>
    <w:rsid w:val="00F44FB2"/>
    <w:rsid w:val="00F45ECE"/>
    <w:rsid w:val="00F54450"/>
    <w:rsid w:val="00F61454"/>
    <w:rsid w:val="00F70100"/>
    <w:rsid w:val="00F7059F"/>
    <w:rsid w:val="00F705DA"/>
    <w:rsid w:val="00F737DF"/>
    <w:rsid w:val="00F7582C"/>
    <w:rsid w:val="00F77E5C"/>
    <w:rsid w:val="00F81134"/>
    <w:rsid w:val="00F81C80"/>
    <w:rsid w:val="00F83076"/>
    <w:rsid w:val="00F846B8"/>
    <w:rsid w:val="00F85D45"/>
    <w:rsid w:val="00F874E8"/>
    <w:rsid w:val="00F92EC3"/>
    <w:rsid w:val="00F92F44"/>
    <w:rsid w:val="00F96631"/>
    <w:rsid w:val="00FA159D"/>
    <w:rsid w:val="00FB1667"/>
    <w:rsid w:val="00FC4893"/>
    <w:rsid w:val="00FD01AD"/>
    <w:rsid w:val="00FE05F9"/>
    <w:rsid w:val="00FE0E14"/>
    <w:rsid w:val="00FF1638"/>
    <w:rsid w:val="00FF4CFE"/>
    <w:rsid w:val="00FF4D0D"/>
    <w:rsid w:val="00FF5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D2A"/>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rsid w:val="007D36B1"/>
    <w:pPr>
      <w:tabs>
        <w:tab w:val="center" w:pos="4819"/>
        <w:tab w:val="right" w:pos="9638"/>
      </w:tabs>
    </w:pPr>
  </w:style>
  <w:style w:type="paragraph" w:styleId="Sidefod">
    <w:name w:val="footer"/>
    <w:basedOn w:val="Normal"/>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character" w:styleId="BesgtHyperlink">
    <w:name w:val="FollowedHyperlink"/>
    <w:rsid w:val="00A319F7"/>
    <w:rPr>
      <w:color w:val="800080"/>
      <w:u w:val="single"/>
    </w:rPr>
  </w:style>
  <w:style w:type="table" w:styleId="Tabel-Gitter">
    <w:name w:val="Table Grid"/>
    <w:basedOn w:val="Tabel-Normal"/>
    <w:rsid w:val="000C0D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siv">
    <w:name w:val="kursiv"/>
    <w:rsid w:val="00654215"/>
    <w:rPr>
      <w:i/>
      <w:iCs/>
    </w:rPr>
  </w:style>
  <w:style w:type="character" w:styleId="Fremhv">
    <w:name w:val="Emphasis"/>
    <w:basedOn w:val="Standardskrifttypeiafsnit"/>
    <w:qFormat/>
    <w:rsid w:val="008F529F"/>
    <w:rPr>
      <w:i/>
      <w:iCs/>
    </w:rPr>
  </w:style>
  <w:style w:type="character" w:styleId="Kommentarhenvisning">
    <w:name w:val="annotation reference"/>
    <w:basedOn w:val="Standardskrifttypeiafsnit"/>
    <w:rsid w:val="008F529F"/>
    <w:rPr>
      <w:sz w:val="16"/>
      <w:szCs w:val="16"/>
    </w:rPr>
  </w:style>
  <w:style w:type="paragraph" w:styleId="Kommentartekst">
    <w:name w:val="annotation text"/>
    <w:basedOn w:val="Normal"/>
    <w:link w:val="KommentartekstTegn"/>
    <w:rsid w:val="008F529F"/>
    <w:rPr>
      <w:szCs w:val="20"/>
    </w:rPr>
  </w:style>
  <w:style w:type="character" w:customStyle="1" w:styleId="KommentartekstTegn">
    <w:name w:val="Kommentartekst Tegn"/>
    <w:basedOn w:val="Standardskrifttypeiafsnit"/>
    <w:link w:val="Kommentartekst"/>
    <w:rsid w:val="008F529F"/>
  </w:style>
  <w:style w:type="paragraph" w:styleId="Kommentaremne">
    <w:name w:val="annotation subject"/>
    <w:basedOn w:val="Kommentartekst"/>
    <w:next w:val="Kommentartekst"/>
    <w:link w:val="KommentaremneTegn"/>
    <w:rsid w:val="008F529F"/>
    <w:rPr>
      <w:b/>
      <w:bCs/>
    </w:rPr>
  </w:style>
  <w:style w:type="character" w:customStyle="1" w:styleId="KommentaremneTegn">
    <w:name w:val="Kommentaremne Tegn"/>
    <w:basedOn w:val="KommentartekstTegn"/>
    <w:link w:val="Kommentaremne"/>
    <w:rsid w:val="008F5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498">
      <w:bodyDiv w:val="1"/>
      <w:marLeft w:val="0"/>
      <w:marRight w:val="0"/>
      <w:marTop w:val="0"/>
      <w:marBottom w:val="0"/>
      <w:divBdr>
        <w:top w:val="none" w:sz="0" w:space="0" w:color="auto"/>
        <w:left w:val="none" w:sz="0" w:space="0" w:color="auto"/>
        <w:bottom w:val="none" w:sz="0" w:space="0" w:color="auto"/>
        <w:right w:val="none" w:sz="0" w:space="0" w:color="auto"/>
      </w:divBdr>
    </w:div>
    <w:div w:id="649291031">
      <w:bodyDiv w:val="1"/>
      <w:marLeft w:val="0"/>
      <w:marRight w:val="0"/>
      <w:marTop w:val="0"/>
      <w:marBottom w:val="0"/>
      <w:divBdr>
        <w:top w:val="none" w:sz="0" w:space="0" w:color="auto"/>
        <w:left w:val="none" w:sz="0" w:space="0" w:color="auto"/>
        <w:bottom w:val="none" w:sz="0" w:space="0" w:color="auto"/>
        <w:right w:val="none" w:sz="0" w:space="0" w:color="auto"/>
      </w:divBdr>
    </w:div>
    <w:div w:id="826047091">
      <w:bodyDiv w:val="1"/>
      <w:marLeft w:val="0"/>
      <w:marRight w:val="0"/>
      <w:marTop w:val="0"/>
      <w:marBottom w:val="0"/>
      <w:divBdr>
        <w:top w:val="none" w:sz="0" w:space="0" w:color="auto"/>
        <w:left w:val="none" w:sz="0" w:space="0" w:color="auto"/>
        <w:bottom w:val="none" w:sz="0" w:space="0" w:color="auto"/>
        <w:right w:val="none" w:sz="0" w:space="0" w:color="auto"/>
      </w:divBdr>
      <w:divsChild>
        <w:div w:id="1520392578">
          <w:marLeft w:val="0"/>
          <w:marRight w:val="0"/>
          <w:marTop w:val="0"/>
          <w:marBottom w:val="0"/>
          <w:divBdr>
            <w:top w:val="none" w:sz="0" w:space="0" w:color="auto"/>
            <w:left w:val="none" w:sz="0" w:space="0" w:color="auto"/>
            <w:bottom w:val="none" w:sz="0" w:space="0" w:color="auto"/>
            <w:right w:val="none" w:sz="0" w:space="0" w:color="auto"/>
          </w:divBdr>
          <w:divsChild>
            <w:div w:id="1879971700">
              <w:marLeft w:val="0"/>
              <w:marRight w:val="0"/>
              <w:marTop w:val="0"/>
              <w:marBottom w:val="0"/>
              <w:divBdr>
                <w:top w:val="single" w:sz="6" w:space="0" w:color="BBBBBB"/>
                <w:left w:val="single" w:sz="2" w:space="0" w:color="BBBBBB"/>
                <w:bottom w:val="single" w:sz="2" w:space="0" w:color="BBBBBB"/>
                <w:right w:val="single" w:sz="2" w:space="0" w:color="BBBBBB"/>
              </w:divBdr>
              <w:divsChild>
                <w:div w:id="1949701795">
                  <w:marLeft w:val="0"/>
                  <w:marRight w:val="0"/>
                  <w:marTop w:val="0"/>
                  <w:marBottom w:val="0"/>
                  <w:divBdr>
                    <w:top w:val="none" w:sz="0" w:space="0" w:color="auto"/>
                    <w:left w:val="none" w:sz="0" w:space="0" w:color="auto"/>
                    <w:bottom w:val="none" w:sz="0" w:space="0" w:color="auto"/>
                    <w:right w:val="none" w:sz="0" w:space="0" w:color="auto"/>
                  </w:divBdr>
                  <w:divsChild>
                    <w:div w:id="689333081">
                      <w:marLeft w:val="0"/>
                      <w:marRight w:val="0"/>
                      <w:marTop w:val="0"/>
                      <w:marBottom w:val="0"/>
                      <w:divBdr>
                        <w:top w:val="none" w:sz="0" w:space="0" w:color="auto"/>
                        <w:left w:val="none" w:sz="0" w:space="0" w:color="auto"/>
                        <w:bottom w:val="none" w:sz="0" w:space="0" w:color="auto"/>
                        <w:right w:val="none" w:sz="0" w:space="0" w:color="auto"/>
                      </w:divBdr>
                      <w:divsChild>
                        <w:div w:id="1031228769">
                          <w:marLeft w:val="0"/>
                          <w:marRight w:val="0"/>
                          <w:marTop w:val="0"/>
                          <w:marBottom w:val="0"/>
                          <w:divBdr>
                            <w:top w:val="none" w:sz="0" w:space="0" w:color="auto"/>
                            <w:left w:val="none" w:sz="0" w:space="0" w:color="auto"/>
                            <w:bottom w:val="none" w:sz="0" w:space="0" w:color="auto"/>
                            <w:right w:val="none" w:sz="0" w:space="0" w:color="auto"/>
                          </w:divBdr>
                          <w:divsChild>
                            <w:div w:id="181163482">
                              <w:marLeft w:val="0"/>
                              <w:marRight w:val="0"/>
                              <w:marTop w:val="0"/>
                              <w:marBottom w:val="0"/>
                              <w:divBdr>
                                <w:top w:val="none" w:sz="0" w:space="0" w:color="auto"/>
                                <w:left w:val="none" w:sz="0" w:space="0" w:color="auto"/>
                                <w:bottom w:val="none" w:sz="0" w:space="0" w:color="auto"/>
                                <w:right w:val="none" w:sz="0" w:space="0" w:color="auto"/>
                              </w:divBdr>
                              <w:divsChild>
                                <w:div w:id="834420517">
                                  <w:marLeft w:val="0"/>
                                  <w:marRight w:val="0"/>
                                  <w:marTop w:val="0"/>
                                  <w:marBottom w:val="0"/>
                                  <w:divBdr>
                                    <w:top w:val="none" w:sz="0" w:space="0" w:color="auto"/>
                                    <w:left w:val="none" w:sz="0" w:space="0" w:color="auto"/>
                                    <w:bottom w:val="none" w:sz="0" w:space="0" w:color="auto"/>
                                    <w:right w:val="none" w:sz="0" w:space="0" w:color="auto"/>
                                  </w:divBdr>
                                  <w:divsChild>
                                    <w:div w:id="1883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86109">
      <w:bodyDiv w:val="1"/>
      <w:marLeft w:val="0"/>
      <w:marRight w:val="0"/>
      <w:marTop w:val="0"/>
      <w:marBottom w:val="0"/>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844245986">
              <w:marLeft w:val="0"/>
              <w:marRight w:val="0"/>
              <w:marTop w:val="0"/>
              <w:marBottom w:val="0"/>
              <w:divBdr>
                <w:top w:val="single" w:sz="6" w:space="0" w:color="BBBBBB"/>
                <w:left w:val="single" w:sz="2" w:space="0" w:color="BBBBBB"/>
                <w:bottom w:val="single" w:sz="2" w:space="0" w:color="BBBBBB"/>
                <w:right w:val="single" w:sz="2" w:space="0" w:color="BBBBBB"/>
              </w:divBdr>
              <w:divsChild>
                <w:div w:id="1874346213">
                  <w:marLeft w:val="0"/>
                  <w:marRight w:val="0"/>
                  <w:marTop w:val="0"/>
                  <w:marBottom w:val="0"/>
                  <w:divBdr>
                    <w:top w:val="none" w:sz="0" w:space="0" w:color="auto"/>
                    <w:left w:val="none" w:sz="0" w:space="0" w:color="auto"/>
                    <w:bottom w:val="none" w:sz="0" w:space="0" w:color="auto"/>
                    <w:right w:val="none" w:sz="0" w:space="0" w:color="auto"/>
                  </w:divBdr>
                  <w:divsChild>
                    <w:div w:id="1514880894">
                      <w:marLeft w:val="0"/>
                      <w:marRight w:val="0"/>
                      <w:marTop w:val="0"/>
                      <w:marBottom w:val="0"/>
                      <w:divBdr>
                        <w:top w:val="none" w:sz="0" w:space="0" w:color="auto"/>
                        <w:left w:val="none" w:sz="0" w:space="0" w:color="auto"/>
                        <w:bottom w:val="none" w:sz="0" w:space="0" w:color="auto"/>
                        <w:right w:val="none" w:sz="0" w:space="0" w:color="auto"/>
                      </w:divBdr>
                      <w:divsChild>
                        <w:div w:id="1550409854">
                          <w:marLeft w:val="0"/>
                          <w:marRight w:val="0"/>
                          <w:marTop w:val="0"/>
                          <w:marBottom w:val="0"/>
                          <w:divBdr>
                            <w:top w:val="none" w:sz="0" w:space="0" w:color="auto"/>
                            <w:left w:val="none" w:sz="0" w:space="0" w:color="auto"/>
                            <w:bottom w:val="none" w:sz="0" w:space="0" w:color="auto"/>
                            <w:right w:val="none" w:sz="0" w:space="0" w:color="auto"/>
                          </w:divBdr>
                          <w:divsChild>
                            <w:div w:id="1970626712">
                              <w:marLeft w:val="0"/>
                              <w:marRight w:val="0"/>
                              <w:marTop w:val="0"/>
                              <w:marBottom w:val="0"/>
                              <w:divBdr>
                                <w:top w:val="none" w:sz="0" w:space="0" w:color="auto"/>
                                <w:left w:val="none" w:sz="0" w:space="0" w:color="auto"/>
                                <w:bottom w:val="none" w:sz="0" w:space="0" w:color="auto"/>
                                <w:right w:val="none" w:sz="0" w:space="0" w:color="auto"/>
                              </w:divBdr>
                              <w:divsChild>
                                <w:div w:id="1279215120">
                                  <w:marLeft w:val="0"/>
                                  <w:marRight w:val="0"/>
                                  <w:marTop w:val="0"/>
                                  <w:marBottom w:val="0"/>
                                  <w:divBdr>
                                    <w:top w:val="none" w:sz="0" w:space="0" w:color="auto"/>
                                    <w:left w:val="none" w:sz="0" w:space="0" w:color="auto"/>
                                    <w:bottom w:val="none" w:sz="0" w:space="0" w:color="auto"/>
                                    <w:right w:val="none" w:sz="0" w:space="0" w:color="auto"/>
                                  </w:divBdr>
                                  <w:divsChild>
                                    <w:div w:id="10229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938924">
      <w:bodyDiv w:val="1"/>
      <w:marLeft w:val="0"/>
      <w:marRight w:val="0"/>
      <w:marTop w:val="0"/>
      <w:marBottom w:val="0"/>
      <w:divBdr>
        <w:top w:val="none" w:sz="0" w:space="0" w:color="auto"/>
        <w:left w:val="none" w:sz="0" w:space="0" w:color="auto"/>
        <w:bottom w:val="none" w:sz="0" w:space="0" w:color="auto"/>
        <w:right w:val="none" w:sz="0" w:space="0" w:color="auto"/>
      </w:divBdr>
    </w:div>
    <w:div w:id="920869792">
      <w:bodyDiv w:val="1"/>
      <w:marLeft w:val="0"/>
      <w:marRight w:val="0"/>
      <w:marTop w:val="0"/>
      <w:marBottom w:val="0"/>
      <w:divBdr>
        <w:top w:val="none" w:sz="0" w:space="0" w:color="auto"/>
        <w:left w:val="none" w:sz="0" w:space="0" w:color="auto"/>
        <w:bottom w:val="none" w:sz="0" w:space="0" w:color="auto"/>
        <w:right w:val="none" w:sz="0" w:space="0" w:color="auto"/>
      </w:divBdr>
      <w:divsChild>
        <w:div w:id="1015032565">
          <w:marLeft w:val="0"/>
          <w:marRight w:val="0"/>
          <w:marTop w:val="0"/>
          <w:marBottom w:val="0"/>
          <w:divBdr>
            <w:top w:val="none" w:sz="0" w:space="0" w:color="auto"/>
            <w:left w:val="none" w:sz="0" w:space="0" w:color="auto"/>
            <w:bottom w:val="none" w:sz="0" w:space="0" w:color="auto"/>
            <w:right w:val="none" w:sz="0" w:space="0" w:color="auto"/>
          </w:divBdr>
          <w:divsChild>
            <w:div w:id="1592617983">
              <w:marLeft w:val="0"/>
              <w:marRight w:val="0"/>
              <w:marTop w:val="0"/>
              <w:marBottom w:val="0"/>
              <w:divBdr>
                <w:top w:val="single" w:sz="6" w:space="0" w:color="BBBBBB"/>
                <w:left w:val="single" w:sz="2" w:space="0" w:color="BBBBBB"/>
                <w:bottom w:val="single" w:sz="2" w:space="0" w:color="BBBBBB"/>
                <w:right w:val="single" w:sz="2" w:space="0" w:color="BBBBBB"/>
              </w:divBdr>
              <w:divsChild>
                <w:div w:id="1729449782">
                  <w:marLeft w:val="0"/>
                  <w:marRight w:val="0"/>
                  <w:marTop w:val="0"/>
                  <w:marBottom w:val="0"/>
                  <w:divBdr>
                    <w:top w:val="none" w:sz="0" w:space="0" w:color="auto"/>
                    <w:left w:val="none" w:sz="0" w:space="0" w:color="auto"/>
                    <w:bottom w:val="none" w:sz="0" w:space="0" w:color="auto"/>
                    <w:right w:val="none" w:sz="0" w:space="0" w:color="auto"/>
                  </w:divBdr>
                  <w:divsChild>
                    <w:div w:id="1227454829">
                      <w:marLeft w:val="0"/>
                      <w:marRight w:val="0"/>
                      <w:marTop w:val="0"/>
                      <w:marBottom w:val="0"/>
                      <w:divBdr>
                        <w:top w:val="none" w:sz="0" w:space="0" w:color="auto"/>
                        <w:left w:val="none" w:sz="0" w:space="0" w:color="auto"/>
                        <w:bottom w:val="none" w:sz="0" w:space="0" w:color="auto"/>
                        <w:right w:val="none" w:sz="0" w:space="0" w:color="auto"/>
                      </w:divBdr>
                      <w:divsChild>
                        <w:div w:id="1637568913">
                          <w:marLeft w:val="0"/>
                          <w:marRight w:val="0"/>
                          <w:marTop w:val="0"/>
                          <w:marBottom w:val="0"/>
                          <w:divBdr>
                            <w:top w:val="none" w:sz="0" w:space="0" w:color="auto"/>
                            <w:left w:val="none" w:sz="0" w:space="0" w:color="auto"/>
                            <w:bottom w:val="none" w:sz="0" w:space="0" w:color="auto"/>
                            <w:right w:val="none" w:sz="0" w:space="0" w:color="auto"/>
                          </w:divBdr>
                          <w:divsChild>
                            <w:div w:id="1030305435">
                              <w:marLeft w:val="0"/>
                              <w:marRight w:val="0"/>
                              <w:marTop w:val="0"/>
                              <w:marBottom w:val="0"/>
                              <w:divBdr>
                                <w:top w:val="none" w:sz="0" w:space="0" w:color="auto"/>
                                <w:left w:val="none" w:sz="0" w:space="0" w:color="auto"/>
                                <w:bottom w:val="none" w:sz="0" w:space="0" w:color="auto"/>
                                <w:right w:val="none" w:sz="0" w:space="0" w:color="auto"/>
                              </w:divBdr>
                              <w:divsChild>
                                <w:div w:id="918438825">
                                  <w:marLeft w:val="0"/>
                                  <w:marRight w:val="0"/>
                                  <w:marTop w:val="0"/>
                                  <w:marBottom w:val="0"/>
                                  <w:divBdr>
                                    <w:top w:val="none" w:sz="0" w:space="0" w:color="auto"/>
                                    <w:left w:val="none" w:sz="0" w:space="0" w:color="auto"/>
                                    <w:bottom w:val="none" w:sz="0" w:space="0" w:color="auto"/>
                                    <w:right w:val="none" w:sz="0" w:space="0" w:color="auto"/>
                                  </w:divBdr>
                                  <w:divsChild>
                                    <w:div w:id="2071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88129">
      <w:bodyDiv w:val="1"/>
      <w:marLeft w:val="0"/>
      <w:marRight w:val="0"/>
      <w:marTop w:val="0"/>
      <w:marBottom w:val="0"/>
      <w:divBdr>
        <w:top w:val="none" w:sz="0" w:space="0" w:color="auto"/>
        <w:left w:val="none" w:sz="0" w:space="0" w:color="auto"/>
        <w:bottom w:val="none" w:sz="0" w:space="0" w:color="auto"/>
        <w:right w:val="none" w:sz="0" w:space="0" w:color="auto"/>
      </w:divBdr>
      <w:divsChild>
        <w:div w:id="56129316">
          <w:marLeft w:val="0"/>
          <w:marRight w:val="0"/>
          <w:marTop w:val="0"/>
          <w:marBottom w:val="0"/>
          <w:divBdr>
            <w:top w:val="none" w:sz="0" w:space="0" w:color="auto"/>
            <w:left w:val="none" w:sz="0" w:space="0" w:color="auto"/>
            <w:bottom w:val="none" w:sz="0" w:space="0" w:color="auto"/>
            <w:right w:val="none" w:sz="0" w:space="0" w:color="auto"/>
          </w:divBdr>
          <w:divsChild>
            <w:div w:id="170487345">
              <w:marLeft w:val="0"/>
              <w:marRight w:val="0"/>
              <w:marTop w:val="120"/>
              <w:marBottom w:val="120"/>
              <w:divBdr>
                <w:top w:val="none" w:sz="0" w:space="0" w:color="auto"/>
                <w:left w:val="none" w:sz="0" w:space="0" w:color="auto"/>
                <w:bottom w:val="none" w:sz="0" w:space="0" w:color="auto"/>
                <w:right w:val="none" w:sz="0" w:space="0" w:color="auto"/>
              </w:divBdr>
              <w:divsChild>
                <w:div w:id="2719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21598929">
      <w:bodyDiv w:val="1"/>
      <w:marLeft w:val="0"/>
      <w:marRight w:val="0"/>
      <w:marTop w:val="0"/>
      <w:marBottom w:val="0"/>
      <w:divBdr>
        <w:top w:val="none" w:sz="0" w:space="0" w:color="auto"/>
        <w:left w:val="none" w:sz="0" w:space="0" w:color="auto"/>
        <w:bottom w:val="none" w:sz="0" w:space="0" w:color="auto"/>
        <w:right w:val="none" w:sz="0" w:space="0" w:color="auto"/>
      </w:divBdr>
      <w:divsChild>
        <w:div w:id="1185244269">
          <w:marLeft w:val="0"/>
          <w:marRight w:val="0"/>
          <w:marTop w:val="0"/>
          <w:marBottom w:val="300"/>
          <w:divBdr>
            <w:top w:val="none" w:sz="0" w:space="0" w:color="auto"/>
            <w:left w:val="none" w:sz="0" w:space="0" w:color="auto"/>
            <w:bottom w:val="none" w:sz="0" w:space="0" w:color="auto"/>
            <w:right w:val="none" w:sz="0" w:space="0" w:color="auto"/>
          </w:divBdr>
          <w:divsChild>
            <w:div w:id="2059815299">
              <w:marLeft w:val="0"/>
              <w:marRight w:val="0"/>
              <w:marTop w:val="0"/>
              <w:marBottom w:val="0"/>
              <w:divBdr>
                <w:top w:val="none" w:sz="0" w:space="0" w:color="auto"/>
                <w:left w:val="single" w:sz="6" w:space="1" w:color="FFFFFF"/>
                <w:bottom w:val="none" w:sz="0" w:space="0" w:color="auto"/>
                <w:right w:val="single" w:sz="6" w:space="1" w:color="FFFFFF"/>
              </w:divBdr>
              <w:divsChild>
                <w:div w:id="522935072">
                  <w:marLeft w:val="0"/>
                  <w:marRight w:val="0"/>
                  <w:marTop w:val="0"/>
                  <w:marBottom w:val="0"/>
                  <w:divBdr>
                    <w:top w:val="none" w:sz="0" w:space="0" w:color="auto"/>
                    <w:left w:val="none" w:sz="0" w:space="0" w:color="auto"/>
                    <w:bottom w:val="none" w:sz="0" w:space="0" w:color="auto"/>
                    <w:right w:val="none" w:sz="0" w:space="0" w:color="auto"/>
                  </w:divBdr>
                  <w:divsChild>
                    <w:div w:id="807237454">
                      <w:marLeft w:val="0"/>
                      <w:marRight w:val="0"/>
                      <w:marTop w:val="0"/>
                      <w:marBottom w:val="0"/>
                      <w:divBdr>
                        <w:top w:val="none" w:sz="0" w:space="0" w:color="auto"/>
                        <w:left w:val="none" w:sz="0" w:space="0" w:color="auto"/>
                        <w:bottom w:val="none" w:sz="0" w:space="0" w:color="auto"/>
                        <w:right w:val="none" w:sz="0" w:space="0" w:color="auto"/>
                      </w:divBdr>
                      <w:divsChild>
                        <w:div w:id="1245917699">
                          <w:marLeft w:val="0"/>
                          <w:marRight w:val="0"/>
                          <w:marTop w:val="0"/>
                          <w:marBottom w:val="0"/>
                          <w:divBdr>
                            <w:top w:val="none" w:sz="0" w:space="0" w:color="auto"/>
                            <w:left w:val="none" w:sz="0" w:space="0" w:color="auto"/>
                            <w:bottom w:val="none" w:sz="0" w:space="0" w:color="auto"/>
                            <w:right w:val="none" w:sz="0" w:space="0" w:color="auto"/>
                          </w:divBdr>
                          <w:divsChild>
                            <w:div w:id="2083404556">
                              <w:marLeft w:val="0"/>
                              <w:marRight w:val="0"/>
                              <w:marTop w:val="0"/>
                              <w:marBottom w:val="0"/>
                              <w:divBdr>
                                <w:top w:val="none" w:sz="0" w:space="0" w:color="auto"/>
                                <w:left w:val="none" w:sz="0" w:space="0" w:color="auto"/>
                                <w:bottom w:val="none" w:sz="0" w:space="0" w:color="auto"/>
                                <w:right w:val="none" w:sz="0" w:space="0" w:color="auto"/>
                              </w:divBdr>
                              <w:divsChild>
                                <w:div w:id="1994261501">
                                  <w:marLeft w:val="0"/>
                                  <w:marRight w:val="0"/>
                                  <w:marTop w:val="0"/>
                                  <w:marBottom w:val="150"/>
                                  <w:divBdr>
                                    <w:top w:val="none" w:sz="0" w:space="0" w:color="auto"/>
                                    <w:left w:val="none" w:sz="0" w:space="0" w:color="auto"/>
                                    <w:bottom w:val="none" w:sz="0" w:space="0" w:color="auto"/>
                                    <w:right w:val="none" w:sz="0" w:space="0" w:color="auto"/>
                                  </w:divBdr>
                                  <w:divsChild>
                                    <w:div w:id="2643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90444">
      <w:bodyDiv w:val="1"/>
      <w:marLeft w:val="0"/>
      <w:marRight w:val="0"/>
      <w:marTop w:val="0"/>
      <w:marBottom w:val="0"/>
      <w:divBdr>
        <w:top w:val="none" w:sz="0" w:space="0" w:color="auto"/>
        <w:left w:val="none" w:sz="0" w:space="0" w:color="auto"/>
        <w:bottom w:val="none" w:sz="0" w:space="0" w:color="auto"/>
        <w:right w:val="none" w:sz="0" w:space="0" w:color="auto"/>
      </w:divBdr>
    </w:div>
    <w:div w:id="1435518659">
      <w:bodyDiv w:val="1"/>
      <w:marLeft w:val="0"/>
      <w:marRight w:val="0"/>
      <w:marTop w:val="0"/>
      <w:marBottom w:val="0"/>
      <w:divBdr>
        <w:top w:val="none" w:sz="0" w:space="0" w:color="auto"/>
        <w:left w:val="none" w:sz="0" w:space="0" w:color="auto"/>
        <w:bottom w:val="none" w:sz="0" w:space="0" w:color="auto"/>
        <w:right w:val="none" w:sz="0" w:space="0" w:color="auto"/>
      </w:divBdr>
      <w:divsChild>
        <w:div w:id="726687890">
          <w:marLeft w:val="0"/>
          <w:marRight w:val="0"/>
          <w:marTop w:val="0"/>
          <w:marBottom w:val="300"/>
          <w:divBdr>
            <w:top w:val="none" w:sz="0" w:space="0" w:color="auto"/>
            <w:left w:val="none" w:sz="0" w:space="0" w:color="auto"/>
            <w:bottom w:val="none" w:sz="0" w:space="0" w:color="auto"/>
            <w:right w:val="none" w:sz="0" w:space="0" w:color="auto"/>
          </w:divBdr>
          <w:divsChild>
            <w:div w:id="892427972">
              <w:marLeft w:val="0"/>
              <w:marRight w:val="0"/>
              <w:marTop w:val="0"/>
              <w:marBottom w:val="0"/>
              <w:divBdr>
                <w:top w:val="none" w:sz="0" w:space="0" w:color="auto"/>
                <w:left w:val="single" w:sz="6" w:space="1" w:color="FFFFFF"/>
                <w:bottom w:val="none" w:sz="0" w:space="0" w:color="auto"/>
                <w:right w:val="single" w:sz="6" w:space="1" w:color="FFFFFF"/>
              </w:divBdr>
              <w:divsChild>
                <w:div w:id="463472031">
                  <w:marLeft w:val="0"/>
                  <w:marRight w:val="0"/>
                  <w:marTop w:val="0"/>
                  <w:marBottom w:val="0"/>
                  <w:divBdr>
                    <w:top w:val="none" w:sz="0" w:space="0" w:color="auto"/>
                    <w:left w:val="none" w:sz="0" w:space="0" w:color="auto"/>
                    <w:bottom w:val="none" w:sz="0" w:space="0" w:color="auto"/>
                    <w:right w:val="none" w:sz="0" w:space="0" w:color="auto"/>
                  </w:divBdr>
                  <w:divsChild>
                    <w:div w:id="142308968">
                      <w:marLeft w:val="0"/>
                      <w:marRight w:val="0"/>
                      <w:marTop w:val="0"/>
                      <w:marBottom w:val="0"/>
                      <w:divBdr>
                        <w:top w:val="none" w:sz="0" w:space="0" w:color="auto"/>
                        <w:left w:val="none" w:sz="0" w:space="0" w:color="auto"/>
                        <w:bottom w:val="none" w:sz="0" w:space="0" w:color="auto"/>
                        <w:right w:val="none" w:sz="0" w:space="0" w:color="auto"/>
                      </w:divBdr>
                      <w:divsChild>
                        <w:div w:id="1559511051">
                          <w:marLeft w:val="0"/>
                          <w:marRight w:val="0"/>
                          <w:marTop w:val="0"/>
                          <w:marBottom w:val="0"/>
                          <w:divBdr>
                            <w:top w:val="none" w:sz="0" w:space="0" w:color="auto"/>
                            <w:left w:val="none" w:sz="0" w:space="0" w:color="auto"/>
                            <w:bottom w:val="none" w:sz="0" w:space="0" w:color="auto"/>
                            <w:right w:val="none" w:sz="0" w:space="0" w:color="auto"/>
                          </w:divBdr>
                          <w:divsChild>
                            <w:div w:id="1382633970">
                              <w:marLeft w:val="0"/>
                              <w:marRight w:val="0"/>
                              <w:marTop w:val="0"/>
                              <w:marBottom w:val="0"/>
                              <w:divBdr>
                                <w:top w:val="none" w:sz="0" w:space="0" w:color="auto"/>
                                <w:left w:val="none" w:sz="0" w:space="0" w:color="auto"/>
                                <w:bottom w:val="none" w:sz="0" w:space="0" w:color="auto"/>
                                <w:right w:val="none" w:sz="0" w:space="0" w:color="auto"/>
                              </w:divBdr>
                              <w:divsChild>
                                <w:div w:id="1832016134">
                                  <w:marLeft w:val="0"/>
                                  <w:marRight w:val="0"/>
                                  <w:marTop w:val="0"/>
                                  <w:marBottom w:val="150"/>
                                  <w:divBdr>
                                    <w:top w:val="none" w:sz="0" w:space="0" w:color="auto"/>
                                    <w:left w:val="none" w:sz="0" w:space="0" w:color="auto"/>
                                    <w:bottom w:val="none" w:sz="0" w:space="0" w:color="auto"/>
                                    <w:right w:val="none" w:sz="0" w:space="0" w:color="auto"/>
                                  </w:divBdr>
                                  <w:divsChild>
                                    <w:div w:id="77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3335">
      <w:bodyDiv w:val="1"/>
      <w:marLeft w:val="0"/>
      <w:marRight w:val="0"/>
      <w:marTop w:val="0"/>
      <w:marBottom w:val="0"/>
      <w:divBdr>
        <w:top w:val="none" w:sz="0" w:space="0" w:color="auto"/>
        <w:left w:val="none" w:sz="0" w:space="0" w:color="auto"/>
        <w:bottom w:val="none" w:sz="0" w:space="0" w:color="auto"/>
        <w:right w:val="none" w:sz="0" w:space="0" w:color="auto"/>
      </w:divBdr>
      <w:divsChild>
        <w:div w:id="50428031">
          <w:marLeft w:val="0"/>
          <w:marRight w:val="0"/>
          <w:marTop w:val="0"/>
          <w:marBottom w:val="0"/>
          <w:divBdr>
            <w:top w:val="none" w:sz="0" w:space="0" w:color="auto"/>
            <w:left w:val="none" w:sz="0" w:space="0" w:color="auto"/>
            <w:bottom w:val="none" w:sz="0" w:space="0" w:color="auto"/>
            <w:right w:val="none" w:sz="0" w:space="0" w:color="auto"/>
          </w:divBdr>
          <w:divsChild>
            <w:div w:id="8790564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22746747">
      <w:bodyDiv w:val="1"/>
      <w:marLeft w:val="0"/>
      <w:marRight w:val="0"/>
      <w:marTop w:val="0"/>
      <w:marBottom w:val="0"/>
      <w:divBdr>
        <w:top w:val="none" w:sz="0" w:space="0" w:color="auto"/>
        <w:left w:val="none" w:sz="0" w:space="0" w:color="auto"/>
        <w:bottom w:val="none" w:sz="0" w:space="0" w:color="auto"/>
        <w:right w:val="none" w:sz="0" w:space="0" w:color="auto"/>
      </w:divBdr>
      <w:divsChild>
        <w:div w:id="192231611">
          <w:marLeft w:val="0"/>
          <w:marRight w:val="0"/>
          <w:marTop w:val="0"/>
          <w:marBottom w:val="300"/>
          <w:divBdr>
            <w:top w:val="none" w:sz="0" w:space="0" w:color="auto"/>
            <w:left w:val="none" w:sz="0" w:space="0" w:color="auto"/>
            <w:bottom w:val="none" w:sz="0" w:space="0" w:color="auto"/>
            <w:right w:val="none" w:sz="0" w:space="0" w:color="auto"/>
          </w:divBdr>
          <w:divsChild>
            <w:div w:id="1012609728">
              <w:marLeft w:val="0"/>
              <w:marRight w:val="0"/>
              <w:marTop w:val="0"/>
              <w:marBottom w:val="0"/>
              <w:divBdr>
                <w:top w:val="none" w:sz="0" w:space="0" w:color="auto"/>
                <w:left w:val="single" w:sz="6" w:space="1" w:color="FFFFFF"/>
                <w:bottom w:val="none" w:sz="0" w:space="0" w:color="auto"/>
                <w:right w:val="single" w:sz="6" w:space="1" w:color="FFFFFF"/>
              </w:divBdr>
              <w:divsChild>
                <w:div w:id="447436851">
                  <w:marLeft w:val="0"/>
                  <w:marRight w:val="0"/>
                  <w:marTop w:val="0"/>
                  <w:marBottom w:val="0"/>
                  <w:divBdr>
                    <w:top w:val="none" w:sz="0" w:space="0" w:color="auto"/>
                    <w:left w:val="none" w:sz="0" w:space="0" w:color="auto"/>
                    <w:bottom w:val="none" w:sz="0" w:space="0" w:color="auto"/>
                    <w:right w:val="none" w:sz="0" w:space="0" w:color="auto"/>
                  </w:divBdr>
                  <w:divsChild>
                    <w:div w:id="1000698792">
                      <w:marLeft w:val="0"/>
                      <w:marRight w:val="0"/>
                      <w:marTop w:val="0"/>
                      <w:marBottom w:val="0"/>
                      <w:divBdr>
                        <w:top w:val="none" w:sz="0" w:space="0" w:color="auto"/>
                        <w:left w:val="none" w:sz="0" w:space="0" w:color="auto"/>
                        <w:bottom w:val="none" w:sz="0" w:space="0" w:color="auto"/>
                        <w:right w:val="none" w:sz="0" w:space="0" w:color="auto"/>
                      </w:divBdr>
                      <w:divsChild>
                        <w:div w:id="182282746">
                          <w:marLeft w:val="0"/>
                          <w:marRight w:val="0"/>
                          <w:marTop w:val="0"/>
                          <w:marBottom w:val="0"/>
                          <w:divBdr>
                            <w:top w:val="none" w:sz="0" w:space="0" w:color="auto"/>
                            <w:left w:val="none" w:sz="0" w:space="0" w:color="auto"/>
                            <w:bottom w:val="none" w:sz="0" w:space="0" w:color="auto"/>
                            <w:right w:val="none" w:sz="0" w:space="0" w:color="auto"/>
                          </w:divBdr>
                          <w:divsChild>
                            <w:div w:id="1282688562">
                              <w:marLeft w:val="0"/>
                              <w:marRight w:val="0"/>
                              <w:marTop w:val="0"/>
                              <w:marBottom w:val="0"/>
                              <w:divBdr>
                                <w:top w:val="none" w:sz="0" w:space="0" w:color="auto"/>
                                <w:left w:val="none" w:sz="0" w:space="0" w:color="auto"/>
                                <w:bottom w:val="none" w:sz="0" w:space="0" w:color="auto"/>
                                <w:right w:val="none" w:sz="0" w:space="0" w:color="auto"/>
                              </w:divBdr>
                              <w:divsChild>
                                <w:div w:id="2064211229">
                                  <w:marLeft w:val="0"/>
                                  <w:marRight w:val="0"/>
                                  <w:marTop w:val="0"/>
                                  <w:marBottom w:val="150"/>
                                  <w:divBdr>
                                    <w:top w:val="none" w:sz="0" w:space="0" w:color="auto"/>
                                    <w:left w:val="none" w:sz="0" w:space="0" w:color="auto"/>
                                    <w:bottom w:val="none" w:sz="0" w:space="0" w:color="auto"/>
                                    <w:right w:val="none" w:sz="0" w:space="0" w:color="auto"/>
                                  </w:divBdr>
                                  <w:divsChild>
                                    <w:div w:id="21409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308">
      <w:bodyDiv w:val="1"/>
      <w:marLeft w:val="0"/>
      <w:marRight w:val="0"/>
      <w:marTop w:val="0"/>
      <w:marBottom w:val="0"/>
      <w:divBdr>
        <w:top w:val="none" w:sz="0" w:space="0" w:color="auto"/>
        <w:left w:val="none" w:sz="0" w:space="0" w:color="auto"/>
        <w:bottom w:val="none" w:sz="0" w:space="0" w:color="auto"/>
        <w:right w:val="none" w:sz="0" w:space="0" w:color="auto"/>
      </w:divBdr>
      <w:divsChild>
        <w:div w:id="1188057880">
          <w:marLeft w:val="0"/>
          <w:marRight w:val="0"/>
          <w:marTop w:val="0"/>
          <w:marBottom w:val="0"/>
          <w:divBdr>
            <w:top w:val="none" w:sz="0" w:space="0" w:color="auto"/>
            <w:left w:val="none" w:sz="0" w:space="0" w:color="auto"/>
            <w:bottom w:val="none" w:sz="0" w:space="0" w:color="auto"/>
            <w:right w:val="none" w:sz="0" w:space="0" w:color="auto"/>
          </w:divBdr>
          <w:divsChild>
            <w:div w:id="15164626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1345982467">
          <w:marLeft w:val="0"/>
          <w:marRight w:val="0"/>
          <w:marTop w:val="0"/>
          <w:marBottom w:val="0"/>
          <w:divBdr>
            <w:top w:val="none" w:sz="0" w:space="0" w:color="auto"/>
            <w:left w:val="none" w:sz="0" w:space="0" w:color="auto"/>
            <w:bottom w:val="none" w:sz="0" w:space="0" w:color="auto"/>
            <w:right w:val="none" w:sz="0" w:space="0" w:color="auto"/>
          </w:divBdr>
          <w:divsChild>
            <w:div w:id="1572303475">
              <w:marLeft w:val="0"/>
              <w:marRight w:val="0"/>
              <w:marTop w:val="0"/>
              <w:marBottom w:val="0"/>
              <w:divBdr>
                <w:top w:val="single" w:sz="6" w:space="0" w:color="BBBBBB"/>
                <w:left w:val="single" w:sz="2" w:space="0" w:color="BBBBBB"/>
                <w:bottom w:val="single" w:sz="2" w:space="0" w:color="BBBBBB"/>
                <w:right w:val="single" w:sz="2" w:space="0" w:color="BBBBBB"/>
              </w:divBdr>
              <w:divsChild>
                <w:div w:id="861668795">
                  <w:marLeft w:val="0"/>
                  <w:marRight w:val="0"/>
                  <w:marTop w:val="0"/>
                  <w:marBottom w:val="0"/>
                  <w:divBdr>
                    <w:top w:val="none" w:sz="0" w:space="0" w:color="auto"/>
                    <w:left w:val="none" w:sz="0" w:space="0" w:color="auto"/>
                    <w:bottom w:val="none" w:sz="0" w:space="0" w:color="auto"/>
                    <w:right w:val="none" w:sz="0" w:space="0" w:color="auto"/>
                  </w:divBdr>
                  <w:divsChild>
                    <w:div w:id="1525902652">
                      <w:marLeft w:val="0"/>
                      <w:marRight w:val="0"/>
                      <w:marTop w:val="0"/>
                      <w:marBottom w:val="0"/>
                      <w:divBdr>
                        <w:top w:val="none" w:sz="0" w:space="0" w:color="auto"/>
                        <w:left w:val="none" w:sz="0" w:space="0" w:color="auto"/>
                        <w:bottom w:val="none" w:sz="0" w:space="0" w:color="auto"/>
                        <w:right w:val="none" w:sz="0" w:space="0" w:color="auto"/>
                      </w:divBdr>
                      <w:divsChild>
                        <w:div w:id="1304042997">
                          <w:marLeft w:val="0"/>
                          <w:marRight w:val="0"/>
                          <w:marTop w:val="0"/>
                          <w:marBottom w:val="0"/>
                          <w:divBdr>
                            <w:top w:val="none" w:sz="0" w:space="0" w:color="auto"/>
                            <w:left w:val="none" w:sz="0" w:space="0" w:color="auto"/>
                            <w:bottom w:val="none" w:sz="0" w:space="0" w:color="auto"/>
                            <w:right w:val="none" w:sz="0" w:space="0" w:color="auto"/>
                          </w:divBdr>
                          <w:divsChild>
                            <w:div w:id="1464882888">
                              <w:marLeft w:val="0"/>
                              <w:marRight w:val="0"/>
                              <w:marTop w:val="0"/>
                              <w:marBottom w:val="0"/>
                              <w:divBdr>
                                <w:top w:val="none" w:sz="0" w:space="0" w:color="auto"/>
                                <w:left w:val="none" w:sz="0" w:space="0" w:color="auto"/>
                                <w:bottom w:val="none" w:sz="0" w:space="0" w:color="auto"/>
                                <w:right w:val="none" w:sz="0" w:space="0" w:color="auto"/>
                              </w:divBdr>
                              <w:divsChild>
                                <w:div w:id="527449248">
                                  <w:marLeft w:val="0"/>
                                  <w:marRight w:val="0"/>
                                  <w:marTop w:val="0"/>
                                  <w:marBottom w:val="0"/>
                                  <w:divBdr>
                                    <w:top w:val="none" w:sz="0" w:space="0" w:color="auto"/>
                                    <w:left w:val="none" w:sz="0" w:space="0" w:color="auto"/>
                                    <w:bottom w:val="none" w:sz="0" w:space="0" w:color="auto"/>
                                    <w:right w:val="none" w:sz="0" w:space="0" w:color="auto"/>
                                  </w:divBdr>
                                  <w:divsChild>
                                    <w:div w:id="186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732111">
      <w:bodyDiv w:val="1"/>
      <w:marLeft w:val="0"/>
      <w:marRight w:val="0"/>
      <w:marTop w:val="0"/>
      <w:marBottom w:val="0"/>
      <w:divBdr>
        <w:top w:val="none" w:sz="0" w:space="0" w:color="auto"/>
        <w:left w:val="none" w:sz="0" w:space="0" w:color="auto"/>
        <w:bottom w:val="none" w:sz="0" w:space="0" w:color="auto"/>
        <w:right w:val="none" w:sz="0" w:space="0" w:color="auto"/>
      </w:divBdr>
      <w:divsChild>
        <w:div w:id="1672368120">
          <w:marLeft w:val="0"/>
          <w:marRight w:val="0"/>
          <w:marTop w:val="0"/>
          <w:marBottom w:val="300"/>
          <w:divBdr>
            <w:top w:val="none" w:sz="0" w:space="0" w:color="auto"/>
            <w:left w:val="none" w:sz="0" w:space="0" w:color="auto"/>
            <w:bottom w:val="none" w:sz="0" w:space="0" w:color="auto"/>
            <w:right w:val="none" w:sz="0" w:space="0" w:color="auto"/>
          </w:divBdr>
          <w:divsChild>
            <w:div w:id="618607425">
              <w:marLeft w:val="0"/>
              <w:marRight w:val="0"/>
              <w:marTop w:val="0"/>
              <w:marBottom w:val="0"/>
              <w:divBdr>
                <w:top w:val="none" w:sz="0" w:space="0" w:color="auto"/>
                <w:left w:val="single" w:sz="6" w:space="1" w:color="FFFFFF"/>
                <w:bottom w:val="none" w:sz="0" w:space="0" w:color="auto"/>
                <w:right w:val="single" w:sz="6" w:space="1" w:color="FFFFFF"/>
              </w:divBdr>
              <w:divsChild>
                <w:div w:id="1897661755">
                  <w:marLeft w:val="0"/>
                  <w:marRight w:val="0"/>
                  <w:marTop w:val="0"/>
                  <w:marBottom w:val="0"/>
                  <w:divBdr>
                    <w:top w:val="none" w:sz="0" w:space="0" w:color="auto"/>
                    <w:left w:val="none" w:sz="0" w:space="0" w:color="auto"/>
                    <w:bottom w:val="none" w:sz="0" w:space="0" w:color="auto"/>
                    <w:right w:val="none" w:sz="0" w:space="0" w:color="auto"/>
                  </w:divBdr>
                  <w:divsChild>
                    <w:div w:id="1706828668">
                      <w:marLeft w:val="0"/>
                      <w:marRight w:val="0"/>
                      <w:marTop w:val="0"/>
                      <w:marBottom w:val="0"/>
                      <w:divBdr>
                        <w:top w:val="none" w:sz="0" w:space="0" w:color="auto"/>
                        <w:left w:val="none" w:sz="0" w:space="0" w:color="auto"/>
                        <w:bottom w:val="none" w:sz="0" w:space="0" w:color="auto"/>
                        <w:right w:val="none" w:sz="0" w:space="0" w:color="auto"/>
                      </w:divBdr>
                      <w:divsChild>
                        <w:div w:id="427115304">
                          <w:marLeft w:val="0"/>
                          <w:marRight w:val="0"/>
                          <w:marTop w:val="0"/>
                          <w:marBottom w:val="0"/>
                          <w:divBdr>
                            <w:top w:val="none" w:sz="0" w:space="0" w:color="auto"/>
                            <w:left w:val="none" w:sz="0" w:space="0" w:color="auto"/>
                            <w:bottom w:val="none" w:sz="0" w:space="0" w:color="auto"/>
                            <w:right w:val="none" w:sz="0" w:space="0" w:color="auto"/>
                          </w:divBdr>
                          <w:divsChild>
                            <w:div w:id="558714799">
                              <w:marLeft w:val="0"/>
                              <w:marRight w:val="0"/>
                              <w:marTop w:val="0"/>
                              <w:marBottom w:val="0"/>
                              <w:divBdr>
                                <w:top w:val="none" w:sz="0" w:space="0" w:color="auto"/>
                                <w:left w:val="none" w:sz="0" w:space="0" w:color="auto"/>
                                <w:bottom w:val="none" w:sz="0" w:space="0" w:color="auto"/>
                                <w:right w:val="none" w:sz="0" w:space="0" w:color="auto"/>
                              </w:divBdr>
                              <w:divsChild>
                                <w:div w:id="1477068499">
                                  <w:marLeft w:val="0"/>
                                  <w:marRight w:val="0"/>
                                  <w:marTop w:val="0"/>
                                  <w:marBottom w:val="150"/>
                                  <w:divBdr>
                                    <w:top w:val="none" w:sz="0" w:space="0" w:color="auto"/>
                                    <w:left w:val="none" w:sz="0" w:space="0" w:color="auto"/>
                                    <w:bottom w:val="none" w:sz="0" w:space="0" w:color="auto"/>
                                    <w:right w:val="none" w:sz="0" w:space="0" w:color="auto"/>
                                  </w:divBdr>
                                  <w:divsChild>
                                    <w:div w:id="789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4389-D983-488E-943D-4BEC04CB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0</TotalTime>
  <Pages>22</Pages>
  <Words>6796</Words>
  <Characters>41462</Characters>
  <Application>Microsoft Office Word</Application>
  <DocSecurity>4</DocSecurity>
  <Lines>345</Lines>
  <Paragraphs>96</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48162</CharactersWithSpaces>
  <SharedDoc>false</SharedDoc>
  <HLinks>
    <vt:vector size="6" baseType="variant">
      <vt:variant>
        <vt:i4>2883591</vt:i4>
      </vt:variant>
      <vt:variant>
        <vt:i4>2</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Susanne Poulsen</dc:creator>
  <cp:lastModifiedBy>Susanne Poulsen</cp:lastModifiedBy>
  <cp:revision>2</cp:revision>
  <cp:lastPrinted>2013-11-20T09:06:00Z</cp:lastPrinted>
  <dcterms:created xsi:type="dcterms:W3CDTF">2013-11-20T12:21:00Z</dcterms:created>
  <dcterms:modified xsi:type="dcterms:W3CDTF">2013-11-20T12:21:00Z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C:\Users\w11527\AppData\Local\Temp\Scanjour\Captia\SJ20131120090619628 [DOK27112693].DOCX</vt:lpwstr>
  </property>
  <property fmtid="{D5CDD505-2E9C-101B-9397-08002B2CF9AE}" pid="3" name="title">
    <vt:lpwstr>Lovforslag - Indgreb mod omgåelse af udbyttebeskatningen i forbindelse med kontante udligningssummer (DOK27112693)</vt:lpwstr>
  </property>
  <property fmtid="{D5CDD505-2E9C-101B-9397-08002B2CF9AE}" pid="4" name="command">
    <vt:lpwstr>&amp;x_infomerge=1</vt:lpwstr>
  </property>
</Properties>
</file>