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D65E69" w:rsidRPr="000F4C2E" w:rsidTr="00EA5C4F">
        <w:trPr>
          <w:cantSplit/>
          <w:trHeight w:val="3159"/>
        </w:trPr>
        <w:tc>
          <w:tcPr>
            <w:tcW w:w="7144" w:type="dxa"/>
          </w:tcPr>
          <w:p w:rsidR="001E63D8" w:rsidRPr="000F4C2E" w:rsidRDefault="001E63D8" w:rsidP="008D1674">
            <w:pPr>
              <w:tabs>
                <w:tab w:val="left" w:pos="6511"/>
              </w:tabs>
              <w:rPr>
                <w:rFonts w:cs="Arial"/>
                <w:szCs w:val="22"/>
              </w:rPr>
            </w:pPr>
          </w:p>
        </w:tc>
      </w:tr>
    </w:tbl>
    <w:p w:rsidR="00A85ECD" w:rsidRPr="000F4C2E" w:rsidRDefault="00A85ECD" w:rsidP="00944EE8">
      <w:pPr>
        <w:pStyle w:val="DocumentHeading"/>
      </w:pPr>
    </w:p>
    <w:p w:rsidR="004830C6" w:rsidRPr="0051298B" w:rsidRDefault="0051298B" w:rsidP="0051298B">
      <w:pPr>
        <w:jc w:val="center"/>
        <w:rPr>
          <w:b/>
        </w:rPr>
      </w:pPr>
      <w:r w:rsidRPr="0051298B">
        <w:rPr>
          <w:b/>
        </w:rPr>
        <w:t>UDKAST til</w:t>
      </w:r>
    </w:p>
    <w:p w:rsidR="00FE7E77" w:rsidRPr="000F4C2E" w:rsidRDefault="00FE7E77" w:rsidP="00FE7E77"/>
    <w:p w:rsidR="000F4C2E" w:rsidRPr="00604410" w:rsidRDefault="000F4C2E" w:rsidP="000F4C2E">
      <w:pPr>
        <w:jc w:val="center"/>
        <w:rPr>
          <w:b/>
        </w:rPr>
      </w:pPr>
      <w:r>
        <w:rPr>
          <w:b/>
        </w:rPr>
        <w:t>A</w:t>
      </w:r>
      <w:r w:rsidRPr="00604410">
        <w:rPr>
          <w:b/>
        </w:rPr>
        <w:t xml:space="preserve">fgørelse efter miljøvurderingslovens § 10 om ændring </w:t>
      </w:r>
      <w:r>
        <w:rPr>
          <w:b/>
        </w:rPr>
        <w:t>af husdyrgodkendelsesbekendtgørelsen</w:t>
      </w:r>
    </w:p>
    <w:p w:rsidR="000F4C2E" w:rsidRPr="00641C31" w:rsidRDefault="000F4C2E" w:rsidP="000F4C2E">
      <w:pPr>
        <w:pStyle w:val="DocumentHeading"/>
        <w:jc w:val="center"/>
      </w:pPr>
    </w:p>
    <w:p w:rsidR="000F4C2E" w:rsidRPr="00641C31" w:rsidRDefault="000F4C2E" w:rsidP="000F4C2E"/>
    <w:p w:rsidR="000F4C2E" w:rsidRDefault="000F4C2E" w:rsidP="000F4C2E"/>
    <w:p w:rsidR="000F4C2E" w:rsidRDefault="000F4C2E" w:rsidP="000F4C2E">
      <w:pPr>
        <w:rPr>
          <w:b/>
        </w:rPr>
      </w:pPr>
      <w:r w:rsidRPr="00604410">
        <w:rPr>
          <w:b/>
        </w:rPr>
        <w:t xml:space="preserve">Baggrund </w:t>
      </w:r>
    </w:p>
    <w:p w:rsidR="000F4C2E" w:rsidRDefault="000F4C2E" w:rsidP="000F4C2E">
      <w:pPr>
        <w:rPr>
          <w:rFonts w:asciiTheme="minorHAnsi" w:hAnsiTheme="minorHAnsi" w:cs="Georgia"/>
          <w:color w:val="000000"/>
        </w:rPr>
      </w:pPr>
      <w:r w:rsidRPr="00B4430B">
        <w:rPr>
          <w:rFonts w:asciiTheme="minorHAnsi" w:hAnsiTheme="minorHAnsi"/>
        </w:rPr>
        <w:t>N</w:t>
      </w:r>
      <w:r w:rsidRPr="00B4430B">
        <w:rPr>
          <w:rFonts w:asciiTheme="minorHAnsi" w:hAnsiTheme="minorHAnsi" w:cs="Georgia"/>
          <w:color w:val="000000"/>
        </w:rPr>
        <w:t xml:space="preserve">y viden om af ammoniakemissioner fra kvægstalde med forskellige gulvtyper og miljøteknologi indebærer, at værdierne for de fastsatte emissionsfaktorer i husdyrgodkendelsesbekendtgørelsens bilag 3, tabel 1 skal opdateres. </w:t>
      </w:r>
    </w:p>
    <w:p w:rsidR="000F4C2E" w:rsidRDefault="000F4C2E" w:rsidP="000F4C2E">
      <w:pPr>
        <w:rPr>
          <w:rFonts w:asciiTheme="minorHAnsi" w:hAnsiTheme="minorHAnsi" w:cs="Georgia"/>
          <w:color w:val="000000"/>
        </w:rPr>
      </w:pPr>
    </w:p>
    <w:p w:rsidR="000F4C2E" w:rsidRDefault="000F4C2E" w:rsidP="000F4C2E">
      <w:pPr>
        <w:rPr>
          <w:rFonts w:asciiTheme="minorHAnsi" w:hAnsiTheme="minorHAnsi" w:cs="Georgia"/>
          <w:color w:val="000000"/>
        </w:rPr>
      </w:pPr>
      <w:r w:rsidRPr="00B4430B">
        <w:rPr>
          <w:rFonts w:asciiTheme="minorHAnsi" w:hAnsiTheme="minorHAnsi" w:cs="Georgia"/>
          <w:color w:val="000000"/>
        </w:rPr>
        <w:t xml:space="preserve">Nyeste viden, som er dokumenteret i DCA rapport no. 110 </w:t>
      </w:r>
      <w:r w:rsidRPr="00B4430B">
        <w:rPr>
          <w:rFonts w:asciiTheme="minorHAnsi" w:hAnsiTheme="minorHAnsi" w:cs="Georgia"/>
          <w:i/>
          <w:color w:val="000000"/>
        </w:rPr>
        <w:t>”</w:t>
      </w:r>
      <w:proofErr w:type="spellStart"/>
      <w:r w:rsidRPr="00B4430B">
        <w:rPr>
          <w:rFonts w:asciiTheme="minorHAnsi" w:hAnsiTheme="minorHAnsi" w:cs="Georgia"/>
          <w:i/>
          <w:color w:val="000000"/>
        </w:rPr>
        <w:t>Ammonia</w:t>
      </w:r>
      <w:proofErr w:type="spellEnd"/>
      <w:r w:rsidRPr="00B4430B">
        <w:rPr>
          <w:rFonts w:asciiTheme="minorHAnsi" w:hAnsiTheme="minorHAnsi" w:cs="Georgia"/>
          <w:i/>
          <w:color w:val="000000"/>
        </w:rPr>
        <w:t xml:space="preserve"> emission from Danish </w:t>
      </w:r>
      <w:proofErr w:type="spellStart"/>
      <w:r w:rsidRPr="00B4430B">
        <w:rPr>
          <w:rFonts w:asciiTheme="minorHAnsi" w:hAnsiTheme="minorHAnsi" w:cs="Georgia"/>
          <w:i/>
          <w:color w:val="000000"/>
        </w:rPr>
        <w:t>cubicle</w:t>
      </w:r>
      <w:proofErr w:type="spellEnd"/>
      <w:r w:rsidRPr="00B4430B">
        <w:rPr>
          <w:rFonts w:asciiTheme="minorHAnsi" w:hAnsiTheme="minorHAnsi" w:cs="Georgia"/>
          <w:i/>
          <w:color w:val="000000"/>
        </w:rPr>
        <w:t xml:space="preserve"> barns for </w:t>
      </w:r>
      <w:proofErr w:type="spellStart"/>
      <w:r w:rsidRPr="00B4430B">
        <w:rPr>
          <w:rFonts w:asciiTheme="minorHAnsi" w:hAnsiTheme="minorHAnsi" w:cs="Georgia"/>
          <w:i/>
          <w:color w:val="000000"/>
        </w:rPr>
        <w:t>dairy</w:t>
      </w:r>
      <w:proofErr w:type="spellEnd"/>
      <w:r w:rsidRPr="00B4430B">
        <w:rPr>
          <w:rFonts w:asciiTheme="minorHAnsi" w:hAnsiTheme="minorHAnsi" w:cs="Georgia"/>
          <w:i/>
          <w:color w:val="000000"/>
        </w:rPr>
        <w:t xml:space="preserve"> </w:t>
      </w:r>
      <w:proofErr w:type="spellStart"/>
      <w:r w:rsidRPr="00B4430B">
        <w:rPr>
          <w:rFonts w:asciiTheme="minorHAnsi" w:hAnsiTheme="minorHAnsi" w:cs="Georgia"/>
          <w:i/>
          <w:color w:val="000000"/>
        </w:rPr>
        <w:t>cows</w:t>
      </w:r>
      <w:proofErr w:type="spellEnd"/>
      <w:r w:rsidRPr="00B4430B">
        <w:rPr>
          <w:rFonts w:asciiTheme="minorHAnsi" w:hAnsiTheme="minorHAnsi" w:cs="Georgia"/>
          <w:i/>
          <w:color w:val="000000"/>
        </w:rPr>
        <w:t xml:space="preserve">. </w:t>
      </w:r>
      <w:proofErr w:type="spellStart"/>
      <w:r w:rsidRPr="00B4430B">
        <w:rPr>
          <w:rFonts w:asciiTheme="minorHAnsi" w:hAnsiTheme="minorHAnsi" w:cs="Georgia"/>
          <w:i/>
          <w:color w:val="000000"/>
        </w:rPr>
        <w:t>Effect</w:t>
      </w:r>
      <w:proofErr w:type="spellEnd"/>
      <w:r w:rsidRPr="00B4430B">
        <w:rPr>
          <w:rFonts w:asciiTheme="minorHAnsi" w:hAnsiTheme="minorHAnsi" w:cs="Georgia"/>
          <w:i/>
          <w:color w:val="000000"/>
        </w:rPr>
        <w:t xml:space="preserve"> of </w:t>
      </w:r>
      <w:proofErr w:type="spellStart"/>
      <w:r w:rsidRPr="00B4430B">
        <w:rPr>
          <w:rFonts w:asciiTheme="minorHAnsi" w:hAnsiTheme="minorHAnsi" w:cs="Georgia"/>
          <w:i/>
          <w:color w:val="000000"/>
        </w:rPr>
        <w:t>floor</w:t>
      </w:r>
      <w:proofErr w:type="spellEnd"/>
      <w:r w:rsidRPr="00B4430B">
        <w:rPr>
          <w:rFonts w:asciiTheme="minorHAnsi" w:hAnsiTheme="minorHAnsi" w:cs="Georgia"/>
          <w:i/>
          <w:color w:val="000000"/>
        </w:rPr>
        <w:t xml:space="preserve"> type and </w:t>
      </w:r>
      <w:proofErr w:type="spellStart"/>
      <w:r w:rsidRPr="00B4430B">
        <w:rPr>
          <w:rFonts w:asciiTheme="minorHAnsi" w:hAnsiTheme="minorHAnsi" w:cs="Georgia"/>
          <w:i/>
          <w:color w:val="000000"/>
        </w:rPr>
        <w:t>manure</w:t>
      </w:r>
      <w:proofErr w:type="spellEnd"/>
      <w:r w:rsidRPr="00B4430B">
        <w:rPr>
          <w:rFonts w:asciiTheme="minorHAnsi" w:hAnsiTheme="minorHAnsi" w:cs="Georgia"/>
          <w:i/>
          <w:color w:val="000000"/>
        </w:rPr>
        <w:t xml:space="preserve"> </w:t>
      </w:r>
      <w:proofErr w:type="spellStart"/>
      <w:r w:rsidRPr="00B4430B">
        <w:rPr>
          <w:rFonts w:asciiTheme="minorHAnsi" w:hAnsiTheme="minorHAnsi" w:cs="Georgia"/>
          <w:i/>
          <w:color w:val="000000"/>
        </w:rPr>
        <w:t>scraping</w:t>
      </w:r>
      <w:proofErr w:type="spellEnd"/>
      <w:r w:rsidRPr="00B4430B">
        <w:rPr>
          <w:rFonts w:asciiTheme="minorHAnsi" w:hAnsiTheme="minorHAnsi" w:cs="Georgia"/>
          <w:color w:val="000000"/>
        </w:rPr>
        <w:t xml:space="preserve">” samt det </w:t>
      </w:r>
      <w:proofErr w:type="spellStart"/>
      <w:r w:rsidRPr="00B4430B">
        <w:rPr>
          <w:rFonts w:asciiTheme="minorHAnsi" w:hAnsiTheme="minorHAnsi" w:cs="Georgia"/>
          <w:color w:val="000000"/>
        </w:rPr>
        <w:t>opfølgende</w:t>
      </w:r>
      <w:proofErr w:type="spellEnd"/>
      <w:r w:rsidRPr="00B4430B">
        <w:rPr>
          <w:rFonts w:asciiTheme="minorHAnsi" w:hAnsiTheme="minorHAnsi" w:cs="Georgia"/>
          <w:color w:val="000000"/>
        </w:rPr>
        <w:t xml:space="preserve"> notat </w:t>
      </w:r>
      <w:r w:rsidRPr="00B4430B">
        <w:t>”</w:t>
      </w:r>
      <w:r w:rsidRPr="00B4430B">
        <w:rPr>
          <w:i/>
        </w:rPr>
        <w:t>Faglig vurdering af BAT-krav til sengestalde efter fremkomst af ny viden</w:t>
      </w:r>
      <w:r w:rsidRPr="00B4430B">
        <w:t xml:space="preserve">” fra 26. januar 2018 </w:t>
      </w:r>
      <w:r w:rsidRPr="00B4430B">
        <w:rPr>
          <w:rFonts w:asciiTheme="minorHAnsi" w:hAnsiTheme="minorHAnsi" w:cs="Georgia"/>
          <w:color w:val="000000"/>
        </w:rPr>
        <w:t>viser, at staldsystemet ”Sengestald, fast drænet gulv med skraber og ajleafløb” har en højere ammoniakemission end hidtil antaget</w:t>
      </w:r>
      <w:proofErr w:type="gramStart"/>
      <w:r w:rsidRPr="00B4430B">
        <w:rPr>
          <w:rFonts w:asciiTheme="minorHAnsi" w:hAnsiTheme="minorHAnsi" w:cs="Georgia"/>
          <w:color w:val="000000"/>
        </w:rPr>
        <w:t xml:space="preserve"> (0,89 kg NH</w:t>
      </w:r>
      <w:r w:rsidRPr="00B4430B">
        <w:rPr>
          <w:rFonts w:asciiTheme="minorHAnsi" w:hAnsiTheme="minorHAnsi" w:cs="Georgia"/>
          <w:color w:val="000000"/>
          <w:vertAlign w:val="subscript"/>
        </w:rPr>
        <w:t>3</w:t>
      </w:r>
      <w:r w:rsidRPr="00B4430B">
        <w:rPr>
          <w:rFonts w:asciiTheme="minorHAnsi" w:hAnsiTheme="minorHAnsi" w:cs="Georgia"/>
          <w:color w:val="000000"/>
        </w:rPr>
        <w:t>-N/m</w:t>
      </w:r>
      <w:r w:rsidRPr="00B4430B">
        <w:rPr>
          <w:rFonts w:asciiTheme="minorHAnsi" w:hAnsiTheme="minorHAnsi" w:cs="Georgia"/>
          <w:color w:val="000000"/>
          <w:vertAlign w:val="superscript"/>
        </w:rPr>
        <w:t>2</w:t>
      </w:r>
      <w:r w:rsidRPr="00B4430B">
        <w:rPr>
          <w:rFonts w:asciiTheme="minorHAnsi" w:hAnsiTheme="minorHAnsi" w:cs="Georgia"/>
          <w:color w:val="000000"/>
        </w:rPr>
        <w:t>/år mod hidtil</w:t>
      </w:r>
      <w:proofErr w:type="gramEnd"/>
      <w:r w:rsidRPr="00B4430B">
        <w:rPr>
          <w:rFonts w:asciiTheme="minorHAnsi" w:hAnsiTheme="minorHAnsi" w:cs="Georgia"/>
          <w:color w:val="000000"/>
        </w:rPr>
        <w:t xml:space="preserve"> 0,67 kg NH</w:t>
      </w:r>
      <w:r w:rsidRPr="00B4430B">
        <w:rPr>
          <w:rFonts w:asciiTheme="minorHAnsi" w:hAnsiTheme="minorHAnsi" w:cs="Georgia"/>
          <w:color w:val="000000"/>
          <w:vertAlign w:val="subscript"/>
        </w:rPr>
        <w:t>3</w:t>
      </w:r>
      <w:r w:rsidRPr="00B4430B">
        <w:rPr>
          <w:rFonts w:asciiTheme="minorHAnsi" w:hAnsiTheme="minorHAnsi" w:cs="Georgia"/>
          <w:color w:val="000000"/>
        </w:rPr>
        <w:t>-N/m</w:t>
      </w:r>
      <w:r w:rsidRPr="00B4430B">
        <w:rPr>
          <w:rFonts w:asciiTheme="minorHAnsi" w:hAnsiTheme="minorHAnsi" w:cs="Georgia"/>
          <w:color w:val="000000"/>
          <w:vertAlign w:val="superscript"/>
        </w:rPr>
        <w:t>2</w:t>
      </w:r>
      <w:r w:rsidRPr="00B4430B">
        <w:rPr>
          <w:rFonts w:asciiTheme="minorHAnsi" w:hAnsiTheme="minorHAnsi" w:cs="Georgia"/>
          <w:color w:val="000000"/>
        </w:rPr>
        <w:t>/år), mens staldsystemet ”Sengestalde med spalter (kanal, bagskyl eller ringkanal)” har en lavere ammoniakemission (1,16 kg NH</w:t>
      </w:r>
      <w:r w:rsidRPr="00B4430B">
        <w:rPr>
          <w:rFonts w:asciiTheme="minorHAnsi" w:hAnsiTheme="minorHAnsi" w:cs="Georgia"/>
          <w:color w:val="000000"/>
          <w:vertAlign w:val="subscript"/>
        </w:rPr>
        <w:t>3</w:t>
      </w:r>
      <w:r w:rsidRPr="00B4430B">
        <w:rPr>
          <w:rFonts w:asciiTheme="minorHAnsi" w:hAnsiTheme="minorHAnsi" w:cs="Georgia"/>
          <w:color w:val="000000"/>
        </w:rPr>
        <w:t>-N/m</w:t>
      </w:r>
      <w:r w:rsidRPr="00B4430B">
        <w:rPr>
          <w:rFonts w:asciiTheme="minorHAnsi" w:hAnsiTheme="minorHAnsi" w:cs="Georgia"/>
          <w:color w:val="000000"/>
          <w:vertAlign w:val="superscript"/>
        </w:rPr>
        <w:t>2</w:t>
      </w:r>
      <w:r w:rsidRPr="00B4430B">
        <w:rPr>
          <w:rFonts w:asciiTheme="minorHAnsi" w:hAnsiTheme="minorHAnsi" w:cs="Georgia"/>
          <w:color w:val="000000"/>
        </w:rPr>
        <w:t>/år mod hidtil 1,34 kg NH</w:t>
      </w:r>
      <w:r w:rsidRPr="00B4430B">
        <w:rPr>
          <w:rFonts w:asciiTheme="minorHAnsi" w:hAnsiTheme="minorHAnsi" w:cs="Georgia"/>
          <w:color w:val="000000"/>
          <w:vertAlign w:val="subscript"/>
        </w:rPr>
        <w:t>3</w:t>
      </w:r>
      <w:r w:rsidRPr="00B4430B">
        <w:rPr>
          <w:rFonts w:asciiTheme="minorHAnsi" w:hAnsiTheme="minorHAnsi" w:cs="Georgia"/>
          <w:color w:val="000000"/>
        </w:rPr>
        <w:t>-N/m</w:t>
      </w:r>
      <w:r w:rsidRPr="00DF1B0E">
        <w:rPr>
          <w:rFonts w:asciiTheme="minorHAnsi" w:hAnsiTheme="minorHAnsi" w:cs="Georgia"/>
          <w:color w:val="000000"/>
          <w:vertAlign w:val="superscript"/>
        </w:rPr>
        <w:t>2</w:t>
      </w:r>
      <w:r w:rsidRPr="00B4430B">
        <w:rPr>
          <w:rFonts w:asciiTheme="minorHAnsi" w:hAnsiTheme="minorHAnsi" w:cs="Georgia"/>
          <w:color w:val="000000"/>
        </w:rPr>
        <w:t xml:space="preserve">/år). </w:t>
      </w:r>
    </w:p>
    <w:p w:rsidR="000F4C2E" w:rsidRPr="00B4430B" w:rsidRDefault="000F4C2E" w:rsidP="000F4C2E">
      <w:pPr>
        <w:rPr>
          <w:rFonts w:asciiTheme="minorHAnsi" w:hAnsiTheme="minorHAnsi"/>
        </w:rPr>
      </w:pPr>
    </w:p>
    <w:p w:rsidR="000F4C2E" w:rsidRDefault="000F4C2E" w:rsidP="000F4C2E">
      <w:pPr>
        <w:rPr>
          <w:rFonts w:asciiTheme="minorHAnsi" w:hAnsiTheme="minorHAnsi"/>
          <w:iCs/>
        </w:rPr>
      </w:pPr>
      <w:r w:rsidRPr="00B4430B">
        <w:rPr>
          <w:rFonts w:asciiTheme="minorHAnsi" w:hAnsiTheme="minorHAnsi"/>
          <w:iCs/>
        </w:rPr>
        <w:t xml:space="preserve">Endvidere </w:t>
      </w:r>
      <w:r>
        <w:rPr>
          <w:rFonts w:asciiTheme="minorHAnsi" w:hAnsiTheme="minorHAnsi"/>
          <w:iCs/>
        </w:rPr>
        <w:t>foreslås</w:t>
      </w:r>
      <w:r w:rsidRPr="00B4430B">
        <w:rPr>
          <w:rFonts w:asciiTheme="minorHAnsi" w:hAnsiTheme="minorHAnsi"/>
          <w:iCs/>
        </w:rPr>
        <w:t xml:space="preserve"> emissionsfaktorerne fra ”Sengestalde med spalter (kanal, linespil)” </w:t>
      </w:r>
      <w:r>
        <w:rPr>
          <w:rFonts w:asciiTheme="minorHAnsi" w:hAnsiTheme="minorHAnsi"/>
          <w:iCs/>
        </w:rPr>
        <w:t xml:space="preserve">fastsat </w:t>
      </w:r>
      <w:r w:rsidRPr="00B4430B">
        <w:rPr>
          <w:rFonts w:asciiTheme="minorHAnsi" w:hAnsiTheme="minorHAnsi"/>
          <w:iCs/>
        </w:rPr>
        <w:t xml:space="preserve">til </w:t>
      </w:r>
      <w:r w:rsidR="00DF1B0E">
        <w:rPr>
          <w:rFonts w:asciiTheme="minorHAnsi" w:hAnsiTheme="minorHAnsi"/>
          <w:iCs/>
        </w:rPr>
        <w:t xml:space="preserve">de </w:t>
      </w:r>
      <w:r w:rsidRPr="00B4430B">
        <w:rPr>
          <w:rFonts w:asciiTheme="minorHAnsi" w:hAnsiTheme="minorHAnsi"/>
          <w:iCs/>
        </w:rPr>
        <w:t xml:space="preserve">samme som for ”Sengestalde med spalter (kanal, bagskyl eller ringkanal)”, da der ikke længere er fagligt belæg for at differentiere mellem de to staldsystemer, </w:t>
      </w:r>
      <w:r w:rsidRPr="00B4430B">
        <w:rPr>
          <w:rFonts w:asciiTheme="minorHAnsi" w:hAnsiTheme="minorHAnsi" w:cs="Georgia"/>
          <w:color w:val="000000"/>
        </w:rPr>
        <w:t xml:space="preserve">dvs. at </w:t>
      </w:r>
      <w:r w:rsidRPr="00B4430B">
        <w:rPr>
          <w:rFonts w:asciiTheme="minorHAnsi" w:hAnsiTheme="minorHAnsi"/>
          <w:iCs/>
        </w:rPr>
        <w:t xml:space="preserve">”Sengestalde med spalter (kanal, linespil)” får </w:t>
      </w:r>
      <w:r w:rsidRPr="00B4430B">
        <w:rPr>
          <w:rFonts w:asciiTheme="minorHAnsi" w:hAnsiTheme="minorHAnsi" w:cs="Georgia"/>
          <w:color w:val="000000"/>
        </w:rPr>
        <w:t>en højere ammoniakemission end hidtil antaget (1,16 kg NH</w:t>
      </w:r>
      <w:r w:rsidRPr="00B4430B">
        <w:rPr>
          <w:rFonts w:asciiTheme="minorHAnsi" w:hAnsiTheme="minorHAnsi" w:cs="Georgia"/>
          <w:color w:val="000000"/>
          <w:vertAlign w:val="subscript"/>
        </w:rPr>
        <w:t>3</w:t>
      </w:r>
      <w:r w:rsidRPr="00B4430B">
        <w:rPr>
          <w:rFonts w:asciiTheme="minorHAnsi" w:hAnsiTheme="minorHAnsi" w:cs="Georgia"/>
          <w:color w:val="000000"/>
        </w:rPr>
        <w:t>-N/m</w:t>
      </w:r>
      <w:r w:rsidRPr="00B4430B">
        <w:rPr>
          <w:rFonts w:asciiTheme="minorHAnsi" w:hAnsiTheme="minorHAnsi" w:cs="Georgia"/>
          <w:color w:val="000000"/>
          <w:vertAlign w:val="superscript"/>
        </w:rPr>
        <w:t>2</w:t>
      </w:r>
      <w:r w:rsidRPr="00B4430B">
        <w:rPr>
          <w:rFonts w:asciiTheme="minorHAnsi" w:hAnsiTheme="minorHAnsi" w:cs="Georgia"/>
          <w:color w:val="000000"/>
        </w:rPr>
        <w:t>/år mod hidtil 1,00 kg NH</w:t>
      </w:r>
      <w:r w:rsidRPr="00B4430B">
        <w:rPr>
          <w:rFonts w:asciiTheme="minorHAnsi" w:hAnsiTheme="minorHAnsi" w:cs="Georgia"/>
          <w:color w:val="000000"/>
          <w:vertAlign w:val="subscript"/>
        </w:rPr>
        <w:t>3</w:t>
      </w:r>
      <w:r w:rsidRPr="00B4430B">
        <w:rPr>
          <w:rFonts w:asciiTheme="minorHAnsi" w:hAnsiTheme="minorHAnsi" w:cs="Georgia"/>
          <w:color w:val="000000"/>
        </w:rPr>
        <w:t>-N/m</w:t>
      </w:r>
      <w:r w:rsidRPr="00B4430B">
        <w:rPr>
          <w:rFonts w:asciiTheme="minorHAnsi" w:hAnsiTheme="minorHAnsi" w:cs="Georgia"/>
          <w:color w:val="000000"/>
          <w:vertAlign w:val="superscript"/>
        </w:rPr>
        <w:t>2</w:t>
      </w:r>
      <w:r w:rsidRPr="00B4430B">
        <w:rPr>
          <w:rFonts w:asciiTheme="minorHAnsi" w:hAnsiTheme="minorHAnsi" w:cs="Georgia"/>
          <w:color w:val="000000"/>
        </w:rPr>
        <w:t>/år)</w:t>
      </w:r>
      <w:r w:rsidRPr="00B4430B">
        <w:rPr>
          <w:rFonts w:asciiTheme="minorHAnsi" w:hAnsiTheme="minorHAnsi"/>
          <w:iCs/>
        </w:rPr>
        <w:t xml:space="preserve">. </w:t>
      </w:r>
    </w:p>
    <w:p w:rsidR="000F4C2E" w:rsidRDefault="000F4C2E" w:rsidP="000F4C2E">
      <w:pPr>
        <w:rPr>
          <w:rFonts w:asciiTheme="minorHAnsi" w:hAnsiTheme="minorHAnsi"/>
          <w:iCs/>
        </w:rPr>
      </w:pPr>
    </w:p>
    <w:p w:rsidR="000F4C2E" w:rsidRDefault="000F4C2E" w:rsidP="000F4C2E">
      <w:r w:rsidRPr="00B4430B">
        <w:rPr>
          <w:rFonts w:asciiTheme="minorHAnsi" w:hAnsiTheme="minorHAnsi"/>
          <w:iCs/>
        </w:rPr>
        <w:t xml:space="preserve">Emissionsfaktorer for dybstrøelsesstalde og stalde til </w:t>
      </w:r>
      <w:proofErr w:type="spellStart"/>
      <w:r w:rsidRPr="00B4430B">
        <w:rPr>
          <w:rFonts w:asciiTheme="minorHAnsi" w:hAnsiTheme="minorHAnsi"/>
          <w:iCs/>
        </w:rPr>
        <w:t>ammekøer</w:t>
      </w:r>
      <w:proofErr w:type="spellEnd"/>
      <w:r w:rsidRPr="00B4430B">
        <w:rPr>
          <w:rFonts w:asciiTheme="minorHAnsi" w:hAnsiTheme="minorHAnsi"/>
          <w:iCs/>
        </w:rPr>
        <w:t xml:space="preserve"> og slagtekalve </w:t>
      </w:r>
      <w:r>
        <w:rPr>
          <w:rFonts w:asciiTheme="minorHAnsi" w:hAnsiTheme="minorHAnsi"/>
          <w:iCs/>
        </w:rPr>
        <w:t xml:space="preserve">foreslås også </w:t>
      </w:r>
      <w:r w:rsidRPr="00B4430B">
        <w:rPr>
          <w:rFonts w:asciiTheme="minorHAnsi" w:hAnsiTheme="minorHAnsi"/>
          <w:iCs/>
        </w:rPr>
        <w:t>justere</w:t>
      </w:r>
      <w:r>
        <w:rPr>
          <w:rFonts w:asciiTheme="minorHAnsi" w:hAnsiTheme="minorHAnsi"/>
          <w:iCs/>
        </w:rPr>
        <w:t>t</w:t>
      </w:r>
      <w:r w:rsidRPr="00B4430B">
        <w:rPr>
          <w:rFonts w:asciiTheme="minorHAnsi" w:hAnsiTheme="minorHAnsi"/>
          <w:iCs/>
        </w:rPr>
        <w:t xml:space="preserve"> som følge af den nye viden. Emissionsfaktoren for ”Får og geder. Dybstrøelse” </w:t>
      </w:r>
      <w:r>
        <w:rPr>
          <w:rFonts w:asciiTheme="minorHAnsi" w:hAnsiTheme="minorHAnsi"/>
          <w:iCs/>
        </w:rPr>
        <w:t xml:space="preserve">foreslås </w:t>
      </w:r>
      <w:r w:rsidRPr="00B4430B">
        <w:rPr>
          <w:rFonts w:asciiTheme="minorHAnsi" w:hAnsiTheme="minorHAnsi"/>
          <w:iCs/>
        </w:rPr>
        <w:t>justere</w:t>
      </w:r>
      <w:r>
        <w:rPr>
          <w:rFonts w:asciiTheme="minorHAnsi" w:hAnsiTheme="minorHAnsi"/>
          <w:iCs/>
        </w:rPr>
        <w:t>t</w:t>
      </w:r>
      <w:r w:rsidRPr="00B4430B">
        <w:rPr>
          <w:rFonts w:asciiTheme="minorHAnsi" w:hAnsiTheme="minorHAnsi"/>
          <w:iCs/>
        </w:rPr>
        <w:t xml:space="preserve"> af praktiske årsager, så den fortsat følger ”Malkekøer, kvier og stude. Dybstrøelse”. </w:t>
      </w:r>
      <w:r>
        <w:t xml:space="preserve">Derudover er spalteskraber som en effektiv miljøteknologi fjernet fra Miljøstyrelsens teknologiliste, da test har dokumenteret, at denne ikke har en dokumenteret ammoniakreducerende effekt i kvægstalde med spaltegulve som hidtil antaget. </w:t>
      </w:r>
    </w:p>
    <w:p w:rsidR="000F4C2E" w:rsidRDefault="000F4C2E" w:rsidP="000F4C2E"/>
    <w:p w:rsidR="000F4C2E" w:rsidRDefault="000F4C2E" w:rsidP="000F4C2E">
      <w:r w:rsidRPr="00CF1901">
        <w:lastRenderedPageBreak/>
        <w:t xml:space="preserve">Tilvejebringelse af denne nye </w:t>
      </w:r>
      <w:r>
        <w:t>viden betyder, at emissionsgræns</w:t>
      </w:r>
      <w:r w:rsidRPr="00CF1901">
        <w:t xml:space="preserve">eværdierne </w:t>
      </w:r>
      <w:r>
        <w:t xml:space="preserve">for kvægbedrifter </w:t>
      </w:r>
      <w:r w:rsidRPr="00CF1901">
        <w:t>(BAT krav)</w:t>
      </w:r>
      <w:r>
        <w:t xml:space="preserve"> skal opdateres</w:t>
      </w:r>
      <w:r w:rsidRPr="00CF1901">
        <w:t xml:space="preserve"> i </w:t>
      </w:r>
      <w:r>
        <w:t xml:space="preserve">husdyrgodkendelsesbekendtgørelsens </w:t>
      </w:r>
      <w:r w:rsidRPr="00E72534">
        <w:t>bilag 3</w:t>
      </w:r>
      <w:r>
        <w:t>.</w:t>
      </w:r>
    </w:p>
    <w:p w:rsidR="000F4C2E" w:rsidRDefault="000F4C2E" w:rsidP="000F4C2E">
      <w:pPr>
        <w:rPr>
          <w:b/>
        </w:rPr>
      </w:pPr>
    </w:p>
    <w:p w:rsidR="000F4C2E" w:rsidRDefault="000F4C2E" w:rsidP="000F4C2E">
      <w:r>
        <w:t xml:space="preserve">Miljø- og Fødevareministeriet vil på baggrund af denne ny viden opdatere emissionsfaktorerne for ammoniak fra forskellige typer af staldgulve til kvægstalde samt opdatere BAT-kravet for kvæg (bekendtgørelsens bilag 3, tabel 1, tabel 4 og tabel 5). Herudover planlægges der etableret en anmeldeordning om bortfald af vilkår om anvendelse af spalteskraber. </w:t>
      </w:r>
    </w:p>
    <w:p w:rsidR="000F4C2E" w:rsidRDefault="000F4C2E" w:rsidP="000F4C2E"/>
    <w:p w:rsidR="000F4C2E" w:rsidRDefault="000F4C2E" w:rsidP="000F4C2E">
      <w:r>
        <w:t xml:space="preserve">De øvrige forslag til ændringer i bekendtgørelsen er ny </w:t>
      </w:r>
      <w:r w:rsidRPr="00B4430B">
        <w:t>anmeldeordning for gødningsopbevaringsanlæg</w:t>
      </w:r>
      <w:r>
        <w:t xml:space="preserve">, </w:t>
      </w:r>
      <w:r w:rsidR="00DF1B0E">
        <w:t>ophævelse af</w:t>
      </w:r>
      <w:r>
        <w:t xml:space="preserve"> </w:t>
      </w:r>
      <w:r w:rsidRPr="00B4430B">
        <w:t xml:space="preserve">anmeldeordning for emissionsorienteret produktionstilpasning, nye emissionsfaktorer </w:t>
      </w:r>
      <w:r>
        <w:t xml:space="preserve">for </w:t>
      </w:r>
      <w:r w:rsidRPr="00B4430B">
        <w:t>husdyrbrug med avlstyre,</w:t>
      </w:r>
      <w:r>
        <w:t xml:space="preserve"> og mulighed for skift mellem tung race og Jersey efter anmeldelse. </w:t>
      </w:r>
    </w:p>
    <w:p w:rsidR="000F4C2E" w:rsidRDefault="000F4C2E" w:rsidP="000F4C2E"/>
    <w:p w:rsidR="00E3689B" w:rsidRDefault="000F4C2E" w:rsidP="000F4C2E">
      <w:r>
        <w:t xml:space="preserve">Endelig foreslås der nogle tekniske justeringer af husdyrgodkendelsesbekendtgørelsen, bl.a. justering af FMK-lugtgeneberegningerne i bilag 3, og den såkaldte ”50 pct.-regel” for lugt. </w:t>
      </w:r>
    </w:p>
    <w:p w:rsidR="00E3689B" w:rsidRDefault="00E3689B" w:rsidP="000F4C2E"/>
    <w:p w:rsidR="000F4C2E" w:rsidRDefault="000F4C2E" w:rsidP="000F4C2E">
      <w:r>
        <w:t xml:space="preserve">Der henvises til udkast til husdyrgodkendelsesbekendtgørelsen, hvor ændringerne er markeret, samt høringsbrevet, hvori ændringerne er nærmere beskrevet. Begge dele findes på Høringsportalen. Bekendtgørelsen vil efter udstedelsen være tilgængelig på www.retsinformation.dk. </w:t>
      </w:r>
    </w:p>
    <w:p w:rsidR="000F4C2E" w:rsidRDefault="000F4C2E" w:rsidP="000F4C2E"/>
    <w:p w:rsidR="000F4C2E" w:rsidRDefault="000F4C2E" w:rsidP="000F4C2E">
      <w:pPr>
        <w:rPr>
          <w:b/>
        </w:rPr>
      </w:pPr>
      <w:r w:rsidRPr="009F43FE">
        <w:rPr>
          <w:b/>
        </w:rPr>
        <w:t>Miljøvurderingsloven</w:t>
      </w:r>
    </w:p>
    <w:p w:rsidR="000F4C2E" w:rsidRPr="00041ECF" w:rsidRDefault="000F4C2E" w:rsidP="000F4C2E">
      <w:r w:rsidRPr="00041ECF">
        <w:t xml:space="preserve">Det følger af § 8, stk. 1, nr. 1 og 2, i miljøvurderingsloven, jf. lovbekendtgørelse nr. 448 af 10. maj 2017 af lov om miljøvurdering af planer og programmer og af konkrete projekter (VVM), at der bl.a. skal gennemføres en miljøvurdering, når en myndighed udarbejder en plan eller et program, eller foretager ændringer deri, hvis planen eller programmet tilvejebringes inden for landbrug og vandforvaltning og fastlægger rammer for fremtidige anlægstilladelser til projekter omfattet af lovens bilag 1 og 2, eller hvis planen vurderes at kunne få væsentlig indvirkning på et internationalt naturbeskyttelsesområde under hensyntagen til områdets bevaringsmålsætninger. </w:t>
      </w:r>
    </w:p>
    <w:p w:rsidR="000F4C2E" w:rsidRPr="00041ECF" w:rsidRDefault="000F4C2E" w:rsidP="000F4C2E"/>
    <w:p w:rsidR="000F4C2E" w:rsidRPr="00041ECF" w:rsidRDefault="000F4C2E" w:rsidP="000F4C2E">
      <w:r w:rsidRPr="00041ECF">
        <w:t xml:space="preserve">Der er tidligere gennemført en strategisk miljøvurdering af forslag til ændringer i den nu gældende husdyrgodkendelsesbekendtgørelse i forbindelse med implementering af ny husdyrregulering. Denne miljøvurdering har været i offentlig høring i perioden den 7. april til den 2. juni 2017, og den sammenfattende redegørelse samt plandokument og miljørapport kan ses på Høringsportalen. </w:t>
      </w:r>
      <w:r>
        <w:t xml:space="preserve">Miljø- og Fødevareministeriet har endvidere den 1. december 2017 truffet en afgørelse efter miljøvurderingslovens § 10, om ændring af husdyrgodkendelsesbekendtgørelsen. Afgørelsen er offentliggjort på ministeriets hjemmeside. </w:t>
      </w:r>
    </w:p>
    <w:p w:rsidR="000F4C2E" w:rsidRPr="00041ECF" w:rsidRDefault="000F4C2E" w:rsidP="000F4C2E"/>
    <w:p w:rsidR="000F4C2E" w:rsidRPr="00041ECF" w:rsidRDefault="000F4C2E" w:rsidP="000F4C2E">
      <w:r w:rsidRPr="00041ECF">
        <w:t>Det er Miljø- og Fødevareministeriets vurdering, at d</w:t>
      </w:r>
      <w:r>
        <w:t>e forventede</w:t>
      </w:r>
      <w:r w:rsidRPr="00041ECF">
        <w:t xml:space="preserve"> ændring</w:t>
      </w:r>
      <w:r>
        <w:t>er</w:t>
      </w:r>
      <w:r w:rsidRPr="00041ECF">
        <w:t xml:space="preserve"> af</w:t>
      </w:r>
      <w:r>
        <w:t xml:space="preserve"> </w:t>
      </w:r>
      <w:r w:rsidRPr="00041ECF">
        <w:t xml:space="preserve">husdyrgodkendelsesbekendtgørelsen, må betragtes som en ændring af planen, som i udgangspunktet er omfattet af kravet om miljøvurdering. </w:t>
      </w:r>
    </w:p>
    <w:p w:rsidR="000F4C2E" w:rsidRDefault="000F4C2E" w:rsidP="000F4C2E">
      <w:pPr>
        <w:rPr>
          <w:b/>
        </w:rPr>
      </w:pPr>
    </w:p>
    <w:p w:rsidR="000F4C2E" w:rsidRDefault="000F4C2E" w:rsidP="000F4C2E">
      <w:pPr>
        <w:rPr>
          <w:b/>
        </w:rPr>
      </w:pPr>
      <w:r w:rsidRPr="00FF5773">
        <w:rPr>
          <w:b/>
        </w:rPr>
        <w:t>Screening</w:t>
      </w:r>
    </w:p>
    <w:p w:rsidR="000F4C2E" w:rsidRDefault="000F4C2E" w:rsidP="000F4C2E">
      <w:r w:rsidRPr="00B4430B">
        <w:lastRenderedPageBreak/>
        <w:t xml:space="preserve">Det </w:t>
      </w:r>
      <w:r>
        <w:t xml:space="preserve">følger </w:t>
      </w:r>
      <w:r w:rsidRPr="00B4430B">
        <w:t xml:space="preserve">af miljøvurderingslovens § 8, stk. 2, at myndigheden skal gennemføre en vurdering af, hvorvidt mindre ændringer i planer eller programmer, der udarbejdes inden for </w:t>
      </w:r>
      <w:r>
        <w:t xml:space="preserve">fx </w:t>
      </w:r>
      <w:r w:rsidRPr="00B4430B">
        <w:t xml:space="preserve">landbrug og fastlægger rammerne for fremtidige anlægstilladelser til </w:t>
      </w:r>
      <w:r>
        <w:t xml:space="preserve">fx </w:t>
      </w:r>
      <w:r w:rsidRPr="00B4430B">
        <w:t>anlæg til intensiv husdyravl</w:t>
      </w:r>
      <w:r>
        <w:t xml:space="preserve"> (nr. 1)</w:t>
      </w:r>
      <w:r w:rsidRPr="00B4430B">
        <w:t xml:space="preserve"> eller i øvrigt fastlægger rammerne for fremtidige anlægstilladelser</w:t>
      </w:r>
      <w:r>
        <w:t xml:space="preserve"> (nr. 2)</w:t>
      </w:r>
      <w:r w:rsidRPr="00B4430B">
        <w:t>, kan</w:t>
      </w:r>
      <w:r>
        <w:t xml:space="preserve"> </w:t>
      </w:r>
      <w:r w:rsidRPr="00B4430B">
        <w:t>få væsentlig indvirkning på miljøet, således at der skal gennemføres en miljøvurdering.</w:t>
      </w:r>
    </w:p>
    <w:p w:rsidR="000F4C2E" w:rsidRDefault="000F4C2E" w:rsidP="000F4C2E"/>
    <w:p w:rsidR="000F4C2E" w:rsidRDefault="000F4C2E" w:rsidP="000F4C2E">
      <w:r>
        <w:t>En screening er en vurdering og afgørelse af planens mulige væsentlige indvirkning på miljøet. Til brug for denne vurdering (screening) skal der tages hensyn til kriterierne i miljøvurderingslovens bilag 3, det vil sige planens karakteristik og kendetegn ved indvirkning og det område, der kan blive berørt, jf. miljøvurderingslovens § 10.</w:t>
      </w:r>
    </w:p>
    <w:p w:rsidR="000F4C2E" w:rsidRDefault="000F4C2E" w:rsidP="000F4C2E"/>
    <w:p w:rsidR="000F4C2E" w:rsidRDefault="000F4C2E" w:rsidP="000F4C2E">
      <w:r>
        <w:t xml:space="preserve">I vedlagte bilag 1 er der foretaget en vurdering af de påtænkte ændringer af husdyrgodkendelsesbekendtgørelsen. </w:t>
      </w:r>
    </w:p>
    <w:p w:rsidR="000F4C2E" w:rsidRDefault="000F4C2E" w:rsidP="000F4C2E">
      <w:pPr>
        <w:rPr>
          <w:b/>
        </w:rPr>
      </w:pPr>
    </w:p>
    <w:p w:rsidR="000F4C2E" w:rsidRPr="00A4326E" w:rsidRDefault="000F4C2E" w:rsidP="000F4C2E">
      <w:pPr>
        <w:rPr>
          <w:b/>
        </w:rPr>
      </w:pPr>
      <w:r w:rsidRPr="00A4326E">
        <w:rPr>
          <w:b/>
        </w:rPr>
        <w:t>Afgørelse</w:t>
      </w:r>
    </w:p>
    <w:p w:rsidR="000F4C2E" w:rsidRDefault="000F4C2E" w:rsidP="000F4C2E">
      <w:r>
        <w:t xml:space="preserve">Ved en gennemgang af kriterierne i miljøvurderingslovens bilag 3 er det Miljø- og Fødevareministeriets vurdering, at de påtænkte ændringer af husdyrgodkendelsesbekendtgørelsen ikke forventes at få væsentlig indvirkning på miljøet. </w:t>
      </w:r>
    </w:p>
    <w:p w:rsidR="000F4C2E" w:rsidRDefault="000F4C2E" w:rsidP="000F4C2E"/>
    <w:p w:rsidR="000F4C2E" w:rsidRDefault="000F4C2E" w:rsidP="000F4C2E">
      <w:r>
        <w:t xml:space="preserve">Herved er der især lagt vægt på, at den foreslåede justering af BAT-kravet for kvægstalde er en opdatering af det hidtidige BAT-krav og ligger i direkte forlængelse af opdatering af emissionsfaktorerne som følger af ny viden. </w:t>
      </w:r>
    </w:p>
    <w:p w:rsidR="000F4C2E" w:rsidRDefault="000F4C2E" w:rsidP="000F4C2E"/>
    <w:p w:rsidR="000F4C2E" w:rsidRPr="00E465D2" w:rsidRDefault="000F4C2E" w:rsidP="000F4C2E">
      <w:r w:rsidRPr="00E465D2">
        <w:t xml:space="preserve">Med opdateringen af </w:t>
      </w:r>
      <w:r>
        <w:t xml:space="preserve">emissionsfaktorer og </w:t>
      </w:r>
      <w:r w:rsidRPr="00E465D2">
        <w:t xml:space="preserve">BAT-krav </w:t>
      </w:r>
      <w:r>
        <w:t xml:space="preserve">bliver </w:t>
      </w:r>
      <w:r w:rsidRPr="00E465D2">
        <w:t>beregningerne af den samlede ammoniakemission fra kvægstalde bedre i overensstemmelse med de faktiske emissioner. Med justeringen af bekendtgørelsen sikr</w:t>
      </w:r>
      <w:r>
        <w:t>es således</w:t>
      </w:r>
      <w:r w:rsidRPr="00E465D2">
        <w:t xml:space="preserve"> bedre overensstemmelse mellem de beregnede emissioner og de faktiske emissioner. </w:t>
      </w:r>
    </w:p>
    <w:p w:rsidR="000F4C2E" w:rsidRDefault="000F4C2E" w:rsidP="000F4C2E"/>
    <w:p w:rsidR="000F4C2E" w:rsidRDefault="00CE4F17" w:rsidP="000F4C2E">
      <w:pPr>
        <w:contextualSpacing/>
      </w:pPr>
      <w:r w:rsidRPr="00CE4F17">
        <w:t>Opdateringen af emissionsfaktorer og BAT-kravet kan betyde, at der vil være en reduktion af ammoniak fra Danmark, som er op til 750 tons mindre end hidtil antaget, i 2030 set i forhold til 2005. De 750 tons tager udgangspunkt i, at den nuværende staldtypefordeling, som er anvendt til vurdering af emissionerne i 2030, fastholdes. Staldtypefordelingen vil imidlertid ændre sig over tid, da der ikke længere vil kunne etableres nye stalde med spaltegulve (medmindre de anvender gylleforsuring eller evt. anden ny teknologi), fordi de har en for høj emission. Dermed vil der være tale om forøgelse af ammoniakemissionen i forhold til den forventede reduktion i 2030, dvs. en formindsket reduktion og ikke en egentlig merudledning</w:t>
      </w:r>
      <w:r w:rsidR="002F2001">
        <w:t xml:space="preserve"> og der er </w:t>
      </w:r>
      <w:r w:rsidRPr="00CE4F17">
        <w:t xml:space="preserve">maksimalt tale om 750 tons på landsplan, </w:t>
      </w:r>
      <w:r w:rsidR="002F2001">
        <w:t xml:space="preserve">og </w:t>
      </w:r>
      <w:r w:rsidRPr="00CE4F17">
        <w:t xml:space="preserve">det er ikke muligt at præcisere ud fra det nuværende </w:t>
      </w:r>
      <w:proofErr w:type="spellStart"/>
      <w:r w:rsidRPr="00CE4F17">
        <w:t>videngrundlag</w:t>
      </w:r>
      <w:proofErr w:type="spellEnd"/>
      <w:r w:rsidRPr="00CE4F17">
        <w:t xml:space="preserve">. Stalde antages at have en levetid på ca. 30 år. </w:t>
      </w:r>
    </w:p>
    <w:p w:rsidR="000F4C2E" w:rsidRDefault="000F4C2E" w:rsidP="000F4C2E"/>
    <w:p w:rsidR="00CE4F17" w:rsidRPr="00CE4F17" w:rsidRDefault="00CE4F17" w:rsidP="00CE4F17">
      <w:pPr>
        <w:contextualSpacing/>
      </w:pPr>
      <w:r w:rsidRPr="00CE4F17">
        <w:t xml:space="preserve">Isoleret set vil en øget ammoniakemission øge baggrundsbelastningen. En øget baggrundsbelastning kan generelt betyde, at tålegrænsen for både habitatnaturtyper og naturtyper omfattet af naturbeskyttelseslovens § 3 vil kunne blive overskredet, hvor den ikke tidligere har været overskredet, eller at eksisterende overskridelser af tålegrænsen vil kunne blive øget i forhold til det nuværende niveau. Tålegrænseoverskridelser – såvel eksisterende som kommende </w:t>
      </w:r>
      <w:r w:rsidRPr="00CE4F17">
        <w:lastRenderedPageBreak/>
        <w:t xml:space="preserve">– kan bl.a. hænge sammen med, at den eksisterende (lokale/regionale) baggrundsbelastning er høj i forhold til naturarealernes tålegrænser. Det skal her tages med i betragtning, at der er tale om en forøgelse i forhold til den forventede reduktion i 2030, dvs. en formindsket reduktion og ikke en egentlig merudledning, og at der maksimalt er tale om 750 tons på landsplan, at meremissionen foregår over en længere tidshorisont (mod 2030), og at der er metodiske usikkerheder knyttet til fremskrivningen, bl.a. ift. </w:t>
      </w:r>
      <w:proofErr w:type="gramStart"/>
      <w:r w:rsidRPr="00CE4F17">
        <w:t>s</w:t>
      </w:r>
      <w:r>
        <w:t xml:space="preserve">trukturudvikling og udvikling i </w:t>
      </w:r>
      <w:r w:rsidRPr="00CE4F17">
        <w:t>husdyrproduktionen.</w:t>
      </w:r>
      <w:proofErr w:type="gramEnd"/>
      <w:r w:rsidRPr="00CE4F17">
        <w:t xml:space="preserve">  </w:t>
      </w:r>
    </w:p>
    <w:p w:rsidR="00CE4F17" w:rsidRDefault="00CE4F17" w:rsidP="000F4C2E"/>
    <w:p w:rsidR="000F4C2E" w:rsidRDefault="000F4C2E" w:rsidP="000F4C2E">
      <w:r>
        <w:t xml:space="preserve">Kvægbrug i nærheden af ammoniakfølsom natur vil fortsat skulle overholde gældende regler om </w:t>
      </w:r>
      <w:proofErr w:type="spellStart"/>
      <w:r>
        <w:t>totaldepositionskrav</w:t>
      </w:r>
      <w:proofErr w:type="spellEnd"/>
      <w:r>
        <w:t xml:space="preserve"> eller </w:t>
      </w:r>
      <w:proofErr w:type="spellStart"/>
      <w:r>
        <w:t>merdepositionskrav</w:t>
      </w:r>
      <w:proofErr w:type="spellEnd"/>
      <w:r>
        <w:t xml:space="preserve">, og den ny viden påvirker ikke reglerne eller beskyttelsesniveauet ift. </w:t>
      </w:r>
      <w:proofErr w:type="gramStart"/>
      <w:r>
        <w:t>det specifikke ammoniakkrav.</w:t>
      </w:r>
      <w:proofErr w:type="gramEnd"/>
      <w:r>
        <w:t xml:space="preserve"> </w:t>
      </w:r>
    </w:p>
    <w:p w:rsidR="000F4C2E" w:rsidRDefault="000F4C2E" w:rsidP="000F4C2E"/>
    <w:p w:rsidR="000F4C2E" w:rsidRDefault="000F4C2E" w:rsidP="000F4C2E">
      <w:r>
        <w:t xml:space="preserve">Det vurderes samlet set, at der ikke er tale om en væsentlig indvirkning på miljøet, set i lyset af størrelsesordenen, tidshorisonten og den metodiske usikkerhed forbundet med fremskrivningen. </w:t>
      </w:r>
    </w:p>
    <w:p w:rsidR="000F4C2E" w:rsidRDefault="000F4C2E" w:rsidP="000F4C2E"/>
    <w:p w:rsidR="000F4C2E" w:rsidRDefault="000F4C2E" w:rsidP="000F4C2E">
      <w:r>
        <w:t xml:space="preserve">Ændringer i emissioner fra staldsystemerne og staldtypefordelingen over tid vil, uanset størrelsesordenen, indgå i løbende fremskrivninger af ammoniakemissionen og </w:t>
      </w:r>
      <w:r w:rsidRPr="00B4430B">
        <w:t>i forbindelse med udarbejdelsen af det nationale program for bekæmpelse af luftforurening</w:t>
      </w:r>
      <w:r>
        <w:t>.</w:t>
      </w:r>
    </w:p>
    <w:p w:rsidR="000F4C2E" w:rsidRDefault="000F4C2E" w:rsidP="000F4C2E"/>
    <w:p w:rsidR="008A73A4" w:rsidRPr="00B4430B" w:rsidRDefault="008A73A4" w:rsidP="008A73A4">
      <w:pPr>
        <w:rPr>
          <w:rFonts w:asciiTheme="minorHAnsi" w:hAnsiTheme="minorHAnsi"/>
        </w:rPr>
      </w:pPr>
      <w:r>
        <w:t>Derudover er der lagt vægt på, at de øvrige forslag til ændringer har meget beskedne miljømæssige konsekvenser.</w:t>
      </w:r>
      <w:r w:rsidRPr="00CF2FC7">
        <w:t xml:space="preserve"> </w:t>
      </w:r>
      <w:r>
        <w:rPr>
          <w:rFonts w:asciiTheme="minorHAnsi" w:hAnsiTheme="minorHAnsi"/>
        </w:rPr>
        <w:t xml:space="preserve">I forhold til ammoniakemission vurderes den foreslåede anmeldeordning om bortfald af vilkår om anvendelse af spalteskraber </w:t>
      </w:r>
      <w:r w:rsidRPr="00B4430B">
        <w:rPr>
          <w:rFonts w:asciiTheme="minorHAnsi" w:hAnsiTheme="minorHAnsi"/>
        </w:rPr>
        <w:t xml:space="preserve">ikke at have nogen væsentlig påvirkning på miljøet, da spalteskrabere ikke som hidtil antaget har en ammoniakreducerende effekt. </w:t>
      </w:r>
    </w:p>
    <w:p w:rsidR="008A73A4" w:rsidRPr="00B4430B" w:rsidRDefault="008A73A4" w:rsidP="008A73A4">
      <w:pPr>
        <w:rPr>
          <w:rFonts w:asciiTheme="minorHAnsi" w:hAnsiTheme="minorHAnsi"/>
        </w:rPr>
      </w:pPr>
      <w:r w:rsidRPr="00B4430B">
        <w:rPr>
          <w:rFonts w:asciiTheme="minorHAnsi" w:hAnsiTheme="minorHAnsi"/>
        </w:rPr>
        <w:t xml:space="preserve"> </w:t>
      </w:r>
    </w:p>
    <w:p w:rsidR="008A73A4" w:rsidRPr="00B4430B" w:rsidRDefault="008A73A4" w:rsidP="008A73A4">
      <w:pPr>
        <w:rPr>
          <w:rFonts w:asciiTheme="minorHAnsi" w:hAnsiTheme="minorHAnsi"/>
        </w:rPr>
      </w:pPr>
      <w:r w:rsidRPr="00B4430B">
        <w:rPr>
          <w:rFonts w:asciiTheme="minorHAnsi" w:hAnsiTheme="minorHAnsi"/>
        </w:rPr>
        <w:t>De særskilte emissionsfaktorer for avlstyre forventes ikke at medføre højere emissioner, lugtgener eller lignende fra denne produktionsgren</w:t>
      </w:r>
      <w:r w:rsidR="00BC1383">
        <w:rPr>
          <w:rFonts w:asciiTheme="minorHAnsi" w:hAnsiTheme="minorHAnsi"/>
        </w:rPr>
        <w:t>,</w:t>
      </w:r>
      <w:r w:rsidRPr="00B4430B">
        <w:rPr>
          <w:rFonts w:asciiTheme="minorHAnsi" w:hAnsiTheme="minorHAnsi"/>
        </w:rPr>
        <w:t xml:space="preserve"> end der er i dag.</w:t>
      </w:r>
    </w:p>
    <w:p w:rsidR="008A73A4" w:rsidRDefault="008A73A4" w:rsidP="008A73A4"/>
    <w:p w:rsidR="008A73A4" w:rsidRPr="00B4430B" w:rsidRDefault="008A73A4" w:rsidP="008A73A4">
      <w:pPr>
        <w:rPr>
          <w:rFonts w:asciiTheme="minorHAnsi" w:hAnsiTheme="minorHAnsi"/>
        </w:rPr>
      </w:pPr>
      <w:r>
        <w:rPr>
          <w:rFonts w:asciiTheme="minorHAnsi" w:hAnsiTheme="minorHAnsi"/>
        </w:rPr>
        <w:t xml:space="preserve">Forslaget om </w:t>
      </w:r>
      <w:r w:rsidRPr="00B4430B">
        <w:rPr>
          <w:rFonts w:asciiTheme="minorHAnsi" w:hAnsiTheme="minorHAnsi"/>
        </w:rPr>
        <w:t xml:space="preserve">ophævelse af anmeldeordningen </w:t>
      </w:r>
      <w:r>
        <w:rPr>
          <w:rFonts w:asciiTheme="minorHAnsi" w:hAnsiTheme="minorHAnsi"/>
        </w:rPr>
        <w:t xml:space="preserve">vedr. emissionsorienteret produktionstilpasning (slagtesvin) vurderes ikke at </w:t>
      </w:r>
      <w:r w:rsidRPr="00B4430B">
        <w:rPr>
          <w:rFonts w:asciiTheme="minorHAnsi" w:hAnsiTheme="minorHAnsi"/>
        </w:rPr>
        <w:t>vil medføre væsentlig virkning på miljøet, da der ikke er flere som forventes at bruge ordningen.</w:t>
      </w:r>
    </w:p>
    <w:p w:rsidR="008A73A4" w:rsidRDefault="008A73A4" w:rsidP="008A73A4"/>
    <w:p w:rsidR="008A73A4" w:rsidRDefault="008A73A4" w:rsidP="008A73A4">
      <w:pPr>
        <w:rPr>
          <w:rFonts w:asciiTheme="minorHAnsi" w:hAnsiTheme="minorHAnsi"/>
        </w:rPr>
      </w:pPr>
      <w:r w:rsidRPr="00B4430B">
        <w:rPr>
          <w:rFonts w:asciiTheme="minorHAnsi" w:hAnsiTheme="minorHAnsi"/>
        </w:rPr>
        <w:t xml:space="preserve">Samlet </w:t>
      </w:r>
      <w:r>
        <w:rPr>
          <w:rFonts w:asciiTheme="minorHAnsi" w:hAnsiTheme="minorHAnsi"/>
        </w:rPr>
        <w:t xml:space="preserve">vurderer Miljø- og Fødevareministeriet, at der </w:t>
      </w:r>
      <w:r w:rsidRPr="00B4430B">
        <w:rPr>
          <w:rFonts w:asciiTheme="minorHAnsi" w:hAnsiTheme="minorHAnsi"/>
        </w:rPr>
        <w:t xml:space="preserve">ikke </w:t>
      </w:r>
      <w:r>
        <w:rPr>
          <w:rFonts w:asciiTheme="minorHAnsi" w:hAnsiTheme="minorHAnsi"/>
        </w:rPr>
        <w:t>vil</w:t>
      </w:r>
      <w:r w:rsidRPr="00B4430B">
        <w:rPr>
          <w:rFonts w:asciiTheme="minorHAnsi" w:hAnsiTheme="minorHAnsi"/>
        </w:rPr>
        <w:t xml:space="preserve"> være en væsentlig påvirkning på miljøet ved </w:t>
      </w:r>
      <w:r>
        <w:rPr>
          <w:rFonts w:asciiTheme="minorHAnsi" w:hAnsiTheme="minorHAnsi"/>
        </w:rPr>
        <w:t>d</w:t>
      </w:r>
      <w:r w:rsidRPr="00B4430B">
        <w:rPr>
          <w:rFonts w:asciiTheme="minorHAnsi" w:hAnsiTheme="minorHAnsi"/>
        </w:rPr>
        <w:t xml:space="preserve">en </w:t>
      </w:r>
      <w:r>
        <w:rPr>
          <w:rFonts w:asciiTheme="minorHAnsi" w:hAnsiTheme="minorHAnsi"/>
        </w:rPr>
        <w:t xml:space="preserve">foreslåede </w:t>
      </w:r>
      <w:r w:rsidRPr="00B4430B">
        <w:rPr>
          <w:rFonts w:asciiTheme="minorHAnsi" w:hAnsiTheme="minorHAnsi"/>
        </w:rPr>
        <w:t xml:space="preserve">anmeldeordning til etablering af gødningsopbevaringsanlæg, da der </w:t>
      </w:r>
      <w:r>
        <w:rPr>
          <w:rFonts w:asciiTheme="minorHAnsi" w:hAnsiTheme="minorHAnsi"/>
        </w:rPr>
        <w:t xml:space="preserve">i den foreslåede ordning </w:t>
      </w:r>
      <w:r w:rsidRPr="00B4430B">
        <w:rPr>
          <w:rFonts w:asciiTheme="minorHAnsi" w:hAnsiTheme="minorHAnsi"/>
        </w:rPr>
        <w:t xml:space="preserve">fuldt ud er taget højde for overholdelse af det gældende beskyttelsesniveau også i kombination med den eksisterende godkendelse/tilladelse. </w:t>
      </w:r>
    </w:p>
    <w:p w:rsidR="008A73A4" w:rsidRDefault="008A73A4" w:rsidP="008A73A4"/>
    <w:p w:rsidR="008A73A4" w:rsidRDefault="008A73A4" w:rsidP="008A73A4">
      <w:pPr>
        <w:rPr>
          <w:rFonts w:asciiTheme="minorHAnsi" w:hAnsiTheme="minorHAnsi"/>
        </w:rPr>
      </w:pPr>
      <w:r>
        <w:t xml:space="preserve">Det er Miljø- og Fødevareministeriets </w:t>
      </w:r>
      <w:r w:rsidRPr="00B4430B">
        <w:rPr>
          <w:rFonts w:asciiTheme="minorHAnsi" w:hAnsiTheme="minorHAnsi"/>
        </w:rPr>
        <w:t>vurder</w:t>
      </w:r>
      <w:r>
        <w:rPr>
          <w:rFonts w:asciiTheme="minorHAnsi" w:hAnsiTheme="minorHAnsi"/>
        </w:rPr>
        <w:t>ing, at der ikke vil</w:t>
      </w:r>
      <w:r w:rsidRPr="00B4430B">
        <w:rPr>
          <w:rFonts w:asciiTheme="minorHAnsi" w:hAnsiTheme="minorHAnsi"/>
        </w:rPr>
        <w:t xml:space="preserve"> være en væsentlig påvirkning på miljøet ved en anmeldeordning </w:t>
      </w:r>
      <w:r>
        <w:rPr>
          <w:rFonts w:asciiTheme="minorHAnsi" w:hAnsiTheme="minorHAnsi"/>
        </w:rPr>
        <w:t>om skift mellem tung race og Jersey (kvæg)</w:t>
      </w:r>
      <w:r w:rsidRPr="00B4430B">
        <w:rPr>
          <w:rFonts w:asciiTheme="minorHAnsi" w:hAnsiTheme="minorHAnsi"/>
        </w:rPr>
        <w:t xml:space="preserve">, da </w:t>
      </w:r>
      <w:r>
        <w:rPr>
          <w:rFonts w:asciiTheme="minorHAnsi" w:hAnsiTheme="minorHAnsi"/>
        </w:rPr>
        <w:t>reduktionskravene for antal dyreenheder betyder, at der ikke sker en forøget ammoniakemission</w:t>
      </w:r>
      <w:r w:rsidRPr="00B4430B">
        <w:rPr>
          <w:rFonts w:asciiTheme="minorHAnsi" w:hAnsiTheme="minorHAnsi"/>
        </w:rPr>
        <w:t xml:space="preserve">. </w:t>
      </w:r>
    </w:p>
    <w:p w:rsidR="00E078CB" w:rsidRDefault="00E078CB" w:rsidP="00E078CB"/>
    <w:p w:rsidR="00E078CB" w:rsidRPr="00E078CB" w:rsidRDefault="00E078CB" w:rsidP="00E078CB">
      <w:r>
        <w:t>Derudover er der foretaget justeringer af visse elementer i lugtberegning</w:t>
      </w:r>
      <w:r>
        <w:rPr>
          <w:rStyle w:val="Kommentarhenvisning"/>
        </w:rPr>
        <w:t> </w:t>
      </w:r>
      <w:r>
        <w:t xml:space="preserve">en med henblik på at forenkle og forbedre miljøvurderingen. Der er dels en fjernelse af en forældet regel, den såkaldte ”bortscreening” af ejendomme, hvorved enkelte </w:t>
      </w:r>
      <w:r>
        <w:lastRenderedPageBreak/>
        <w:t>husdyrbrug mister en lille fordel, og dels en ny afgrænsning af ejendomme som er relevante for den såkaldte ”</w:t>
      </w:r>
      <w:proofErr w:type="gramStart"/>
      <w:r>
        <w:t>50%</w:t>
      </w:r>
      <w:proofErr w:type="gramEnd"/>
      <w:r>
        <w:t xml:space="preserve"> regel”, hvilket giver erhvervet enkelte nye muligheder i forhold til de gældende regler.  </w:t>
      </w:r>
      <w:r w:rsidRPr="00E078CB">
        <w:t xml:space="preserve">Samlet set vurderes ændringerne at være neutrale for </w:t>
      </w:r>
      <w:r>
        <w:t>miljøet</w:t>
      </w:r>
      <w:r w:rsidRPr="00E078CB">
        <w:t>, men i de konkret</w:t>
      </w:r>
      <w:r>
        <w:t>e sager kan det give forskelle.</w:t>
      </w:r>
    </w:p>
    <w:p w:rsidR="008A73A4" w:rsidRPr="000345BD" w:rsidRDefault="008A73A4" w:rsidP="008A73A4"/>
    <w:p w:rsidR="000F4C2E" w:rsidRPr="004B6DF4" w:rsidRDefault="000F4C2E" w:rsidP="000F4C2E">
      <w:pPr>
        <w:rPr>
          <w:b/>
        </w:rPr>
      </w:pPr>
      <w:r w:rsidRPr="004B6DF4">
        <w:rPr>
          <w:b/>
        </w:rPr>
        <w:t>Høring af berørte myndigheder</w:t>
      </w:r>
    </w:p>
    <w:p w:rsidR="000F4C2E" w:rsidRDefault="000F4C2E" w:rsidP="000F4C2E">
      <w:r>
        <w:t xml:space="preserve">I henhold til miljøvurderingslovens § 32 skal den myndighed, der er ansvarlig for tilvejebringelse af en plan, høre berørte myndigheder, før der træffes screeningsafgørelse om, hvorvidt der skal foretages en miljøvurdering. </w:t>
      </w:r>
    </w:p>
    <w:p w:rsidR="000F4C2E" w:rsidRDefault="000F4C2E" w:rsidP="000F4C2E">
      <w:r>
        <w:t>Ifølge bekendtgørelse om berørte myndigheder og om offentliggørelse efter lov om miljøvurdering af planer og programmer, er de berørte myndigheder i denne sammenhæng, kommunerne, Miljøstyrelsen ift. naturbeskyttelse, vandplanlægning, beskyttelsen af overfladevand og grundvand samt vejledning om husdyrregulering. Herudover er Miljø-og Fødevareministeriets departement, kontoret for Forskning og Landbrug berørt myndighed i denne sammenhæng.</w:t>
      </w:r>
    </w:p>
    <w:p w:rsidR="000F4C2E" w:rsidRDefault="000F4C2E" w:rsidP="000F4C2E"/>
    <w:p w:rsidR="000F4C2E" w:rsidRDefault="000F4C2E" w:rsidP="000F4C2E">
      <w:r>
        <w:t>Miljø- og Fødevareministeriet har derfor gennemføret en høring af disse myndigheder i perioden</w:t>
      </w:r>
      <w:r w:rsidRPr="00F374EE">
        <w:rPr>
          <w:b/>
        </w:rPr>
        <w:t xml:space="preserve"> </w:t>
      </w:r>
      <w:r w:rsidR="008A73A4">
        <w:rPr>
          <w:b/>
        </w:rPr>
        <w:t xml:space="preserve">fra den 20. april til den 4. maj </w:t>
      </w:r>
      <w:r w:rsidRPr="00F374EE">
        <w:rPr>
          <w:b/>
        </w:rPr>
        <w:t xml:space="preserve">2018. </w:t>
      </w:r>
    </w:p>
    <w:p w:rsidR="000F4C2E" w:rsidRDefault="000F4C2E" w:rsidP="000F4C2E"/>
    <w:p w:rsidR="000F4C2E" w:rsidRPr="00641C31" w:rsidRDefault="000F4C2E" w:rsidP="000F4C2E">
      <w:r>
        <w:t xml:space="preserve">KL har afgivet høringssvar den 2. maj. For så vidt angår høringssvar ang. afgrænsning af miljørapporten er KL enige i, at de fleste ændringer ikke vurderes at skulle underlægges en miljøvurdering. Vedr. anmeldeordning for ophør af spalteskrabere mener KL, at anmeldeordningen kan have en øget påvirkning af omgivelserne, hvis ikke der udføres kompenserende tiltag. Desuden peger KL på, at konsekvenserne af, at spalteskraberen ikke har en ammoniakreducerende effekt, bør belyses, herunder konsekvenserne ift. </w:t>
      </w:r>
      <w:proofErr w:type="gramStart"/>
      <w:r>
        <w:t>de fejlvurderede afgørelser.</w:t>
      </w:r>
      <w:proofErr w:type="gramEnd"/>
      <w:r>
        <w:t xml:space="preserve">   </w:t>
      </w:r>
    </w:p>
    <w:p w:rsidR="000F4C2E" w:rsidRDefault="000F4C2E" w:rsidP="000F4C2E">
      <w:pPr>
        <w:rPr>
          <w:szCs w:val="22"/>
        </w:rPr>
      </w:pPr>
    </w:p>
    <w:p w:rsidR="000F4C2E" w:rsidRDefault="000F4C2E" w:rsidP="000F4C2E">
      <w:pPr>
        <w:rPr>
          <w:szCs w:val="22"/>
        </w:rPr>
      </w:pPr>
      <w:r>
        <w:t xml:space="preserve">Miljø- og Fødevareministeriet bemærker hertil, at spalteskraberen som miljøeffektiv teknologi ikke er fastsat i bekendtgørelsen og derfor indgår den ikke i vurderingen af regelændringer. Forslag om en anmeldeordning for spalteskrabere vurderes ikke at have en væsentlig indvirkning på miljøet, idet ny viden dokumenterer, at den ikke har en ammoniakreducerende effekt. De enkelte kvægbrug vil med anmeldeordningen blot få mulighed for selv at vælge metode til at fjerne husdyrgødningen fra stalden. </w:t>
      </w:r>
    </w:p>
    <w:p w:rsidR="000F4C2E" w:rsidRPr="00641C31" w:rsidRDefault="000F4C2E" w:rsidP="000F4C2E">
      <w:pPr>
        <w:rPr>
          <w:szCs w:val="22"/>
        </w:rPr>
      </w:pPr>
    </w:p>
    <w:p w:rsidR="000F4C2E" w:rsidRPr="00041ECF" w:rsidRDefault="000F4C2E" w:rsidP="000F4C2E">
      <w:pPr>
        <w:rPr>
          <w:b/>
        </w:rPr>
      </w:pPr>
      <w:r w:rsidRPr="00041ECF">
        <w:rPr>
          <w:b/>
        </w:rPr>
        <w:t>Klagevejledning</w:t>
      </w:r>
    </w:p>
    <w:p w:rsidR="000F4C2E" w:rsidRPr="00041ECF" w:rsidRDefault="000F4C2E" w:rsidP="000F4C2E"/>
    <w:p w:rsidR="000F4C2E" w:rsidRPr="00041ECF" w:rsidRDefault="000F4C2E" w:rsidP="000F4C2E">
      <w:r w:rsidRPr="00041ECF">
        <w:t xml:space="preserve">Der kan klages til Miljø- og Fødevareklagenævnet over Miljø- og Fødevareministeriets afgørelse om, at der ikke skal foretages en miljøvurdering (screeningsafgørelsen), for så vidt angår retlige spørgsmål inden </w:t>
      </w:r>
      <w:r w:rsidR="008A73A4">
        <w:t>3</w:t>
      </w:r>
      <w:r w:rsidRPr="00041ECF">
        <w:t xml:space="preserve"> uger efter screeningsafgørelsens annoncering, det vil sige senest den </w:t>
      </w:r>
      <w:r w:rsidR="008A73A4">
        <w:t>2</w:t>
      </w:r>
      <w:r w:rsidR="00E0711D">
        <w:t>7</w:t>
      </w:r>
      <w:r w:rsidR="008A73A4">
        <w:t>. juni 2018</w:t>
      </w:r>
      <w:r w:rsidRPr="00041ECF">
        <w:t xml:space="preserve"> ved kontortids udløb, jf. miljøvurderingslovens § 51.</w:t>
      </w:r>
    </w:p>
    <w:p w:rsidR="000F4C2E" w:rsidRPr="00041ECF" w:rsidRDefault="000F4C2E" w:rsidP="000F4C2E"/>
    <w:p w:rsidR="000F4C2E" w:rsidRPr="00041ECF" w:rsidRDefault="000F4C2E" w:rsidP="000F4C2E">
      <w:pPr>
        <w:rPr>
          <w:b/>
        </w:rPr>
      </w:pPr>
      <w:r w:rsidRPr="00041ECF">
        <w:rPr>
          <w:b/>
        </w:rPr>
        <w:t xml:space="preserve">Klageportalen </w:t>
      </w:r>
    </w:p>
    <w:p w:rsidR="000F4C2E" w:rsidRPr="00041ECF" w:rsidRDefault="000F4C2E" w:rsidP="000F4C2E"/>
    <w:p w:rsidR="000F4C2E" w:rsidRPr="00041ECF" w:rsidRDefault="000F4C2E" w:rsidP="000F4C2E">
      <w:r w:rsidRPr="00041ECF">
        <w:t xml:space="preserve">Klage til Miljø- og Fødevareklagenævnet indgives skriftligt til Miljø- og Fødevareministeriet ved anvendelse af digital selvbetjening (Klageportalen), jf. miljøvurderingslovens § 52, jf. dog § 21, stk. 2-4 i lov om Miljø- og Fødevareklagenævnet. Se mere om, hvordan man klager via Klageportalen på Miljø- og Fødevareklagenævnets hjemmeside. </w:t>
      </w:r>
    </w:p>
    <w:p w:rsidR="000F4C2E" w:rsidRPr="00041ECF" w:rsidRDefault="000F4C2E" w:rsidP="000F4C2E"/>
    <w:p w:rsidR="000F4C2E" w:rsidRPr="00041ECF" w:rsidRDefault="000F4C2E" w:rsidP="000F4C2E">
      <w:pPr>
        <w:rPr>
          <w:b/>
        </w:rPr>
      </w:pPr>
      <w:r w:rsidRPr="00041ECF">
        <w:rPr>
          <w:b/>
        </w:rPr>
        <w:t>Klageberettige</w:t>
      </w:r>
      <w:r>
        <w:rPr>
          <w:b/>
        </w:rPr>
        <w:t>de</w:t>
      </w:r>
      <w:r w:rsidRPr="00041ECF">
        <w:rPr>
          <w:b/>
        </w:rPr>
        <w:t xml:space="preserve"> </w:t>
      </w:r>
    </w:p>
    <w:p w:rsidR="000F4C2E" w:rsidRPr="00041ECF" w:rsidRDefault="000F4C2E" w:rsidP="000F4C2E"/>
    <w:p w:rsidR="000F4C2E" w:rsidRPr="00041ECF" w:rsidRDefault="000F4C2E" w:rsidP="000F4C2E">
      <w:r w:rsidRPr="00041ECF">
        <w:t>Klageberettiget er enhver med retlig interesse i sagens udfald. Klageberettiget er endvidere landsdækkende foreninger og organisationer, der som formål har beskyttelsen af natur og miljø eller varetagelsen af væsentlige brugerinteresser inden for arealanvendelsen og har vedtægter eller love, som dokumenterer dens formål, og som repræsenterer mindst 100 medlemmer, jf. miljøvurderingslovens § 50.</w:t>
      </w:r>
    </w:p>
    <w:p w:rsidR="000F4C2E" w:rsidRPr="00641C31" w:rsidRDefault="000F4C2E" w:rsidP="000F4C2E">
      <w:pPr>
        <w:rPr>
          <w:szCs w:val="22"/>
        </w:rPr>
      </w:pPr>
    </w:p>
    <w:p w:rsidR="000F4C2E" w:rsidRPr="00641C31" w:rsidRDefault="000F4C2E" w:rsidP="000F4C2E">
      <w:pPr>
        <w:rPr>
          <w:szCs w:val="22"/>
        </w:rPr>
      </w:pPr>
    </w:p>
    <w:p w:rsidR="00CA5B78" w:rsidRDefault="00CA5B78">
      <w:pPr>
        <w:rPr>
          <w:szCs w:val="22"/>
        </w:rPr>
      </w:pPr>
      <w:r>
        <w:rPr>
          <w:szCs w:val="22"/>
        </w:rPr>
        <w:br w:type="page"/>
      </w:r>
    </w:p>
    <w:tbl>
      <w:tblPr>
        <w:tblStyle w:val="Tabel-Gitter"/>
        <w:tblW w:w="9055"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CA5B78" w:rsidRPr="0097545E" w:rsidTr="00EA5C4F">
        <w:trPr>
          <w:cantSplit/>
        </w:trPr>
        <w:tc>
          <w:tcPr>
            <w:tcW w:w="7116" w:type="dxa"/>
          </w:tcPr>
          <w:p w:rsidR="00CA5B78" w:rsidRDefault="00CA5B78" w:rsidP="00EA5C4F">
            <w:pPr>
              <w:rPr>
                <w:rFonts w:cs="Arial"/>
                <w:bCs/>
                <w:sz w:val="22"/>
                <w:szCs w:val="32"/>
              </w:rPr>
            </w:pPr>
            <w:r>
              <w:rPr>
                <w:rFonts w:cs="Arial"/>
                <w:bCs/>
                <w:sz w:val="22"/>
                <w:szCs w:val="32"/>
              </w:rPr>
              <w:lastRenderedPageBreak/>
              <w:t>Bilag</w:t>
            </w:r>
          </w:p>
          <w:p w:rsidR="00CA5B78" w:rsidRPr="00CA5B78" w:rsidRDefault="00CA5B78" w:rsidP="00EA5C4F">
            <w:pPr>
              <w:rPr>
                <w:rFonts w:cs="Arial"/>
                <w:bCs/>
                <w:sz w:val="22"/>
                <w:szCs w:val="32"/>
              </w:rPr>
            </w:pPr>
          </w:p>
          <w:p w:rsidR="00CA5B78" w:rsidRPr="0097545E" w:rsidRDefault="00CA5B78" w:rsidP="00EA5C4F">
            <w:pPr>
              <w:rPr>
                <w:rFonts w:cs="Arial"/>
                <w:b/>
                <w:bCs/>
                <w:sz w:val="22"/>
                <w:szCs w:val="32"/>
              </w:rPr>
            </w:pPr>
            <w:r w:rsidRPr="0097545E">
              <w:rPr>
                <w:rFonts w:cs="Arial"/>
                <w:b/>
                <w:bCs/>
                <w:sz w:val="22"/>
                <w:szCs w:val="32"/>
              </w:rPr>
              <w:t xml:space="preserve">Screening af </w:t>
            </w:r>
            <w:r>
              <w:rPr>
                <w:rFonts w:cs="Arial"/>
                <w:b/>
                <w:bCs/>
                <w:sz w:val="22"/>
                <w:szCs w:val="32"/>
              </w:rPr>
              <w:t xml:space="preserve">forslag til ændring af bekendtgørelse nr. 1380 af 30. november 2017 om godkendelse og tilladelse af husdyrbrug </w:t>
            </w:r>
            <w:r>
              <w:t xml:space="preserve">  </w:t>
            </w:r>
          </w:p>
        </w:tc>
        <w:tc>
          <w:tcPr>
            <w:tcW w:w="1939" w:type="dxa"/>
          </w:tcPr>
          <w:p w:rsidR="00CA5B78" w:rsidRPr="0097545E" w:rsidRDefault="00CA5B78" w:rsidP="00EA5C4F"/>
        </w:tc>
      </w:tr>
    </w:tbl>
    <w:p w:rsidR="00CA5B78" w:rsidRPr="00641C31" w:rsidRDefault="00CA5B78" w:rsidP="00CA5B78"/>
    <w:p w:rsidR="00CA5B78" w:rsidRPr="00BA02FD" w:rsidRDefault="00CA5B78" w:rsidP="00CA5B78">
      <w:pPr>
        <w:rPr>
          <w:b/>
        </w:rPr>
      </w:pPr>
      <w:r w:rsidRPr="00BA02FD">
        <w:rPr>
          <w:b/>
        </w:rPr>
        <w:t>Indledning</w:t>
      </w:r>
    </w:p>
    <w:p w:rsidR="00CA5B78" w:rsidRDefault="00CA5B78" w:rsidP="00CA5B78">
      <w:r>
        <w:t xml:space="preserve">Det følger af § 8, stk. 1 nr. 1 og 2 i miljøvurderingsloven, jf. lovbekendtgørelse nr. 448 af 10. maj 2017 af lov om miljøvurdering af planer og programmer og af konkrete projekter (VVM), at der bl.a. skal gennemføres en miljøvurdering, når en myndighed udarbejder en plan eller et program, eller foretager ændringer deri, hvis planen eller programmet tilvejebringes inden for landbrug og vandforvaltning og fastlægger rammer for fremtidige anlægstilladelser til projekter omfattet af lovens bilag 1 og 2, eller hvis planen vurderes at kunne få væsentlig indvirkning på et internationalt naturbeskyttelsesområde under hensyntagen til områdets bevaringsmålsætninger. </w:t>
      </w:r>
    </w:p>
    <w:p w:rsidR="00CA5B78" w:rsidRDefault="00CA5B78" w:rsidP="00CA5B78"/>
    <w:p w:rsidR="00CA5B78" w:rsidRDefault="00CA5B78" w:rsidP="00CA5B78">
      <w:r w:rsidRPr="00B4430B">
        <w:t>Miljø- og Fødevareministeriet har med henvisning til miljøvurderingslovens § 11</w:t>
      </w:r>
      <w:r>
        <w:t xml:space="preserve"> i perioden fra den 20. april til 4.</w:t>
      </w:r>
      <w:r w:rsidRPr="00B4430B">
        <w:t xml:space="preserve"> </w:t>
      </w:r>
      <w:r>
        <w:t>maj</w:t>
      </w:r>
      <w:r w:rsidRPr="00B4430B">
        <w:t xml:space="preserve"> 2018 gennemført en høring af berørte myndigheder, jf. lovens § 32, stk. 1, om afgrænsning af miljørapportens indhold, hvor de berørte myndigheder er blevet hørt om, hvorvidt der er særlige oplysninger eller emner, der bør indgå i miljøvurderingen. </w:t>
      </w:r>
    </w:p>
    <w:p w:rsidR="00CA5B78" w:rsidRPr="00B4430B" w:rsidRDefault="00CA5B78" w:rsidP="00CA5B78"/>
    <w:p w:rsidR="00CA5B78" w:rsidRPr="00B4430B" w:rsidRDefault="00CA5B78" w:rsidP="00CA5B78">
      <w:r>
        <w:t>Kommunernes Landsforening (KL) har den 3. maj 2018 indsendt høringssvar</w:t>
      </w:r>
      <w:r w:rsidRPr="00E50E42">
        <w:t xml:space="preserve"> </w:t>
      </w:r>
      <w:r>
        <w:t>på vegne af kommunerne. Herudover er der ikke modtaget høringssvar fra berørte myndigheder. De relevante dele af høringssvaret er behandlet i screeningsafgørelsen.</w:t>
      </w:r>
    </w:p>
    <w:p w:rsidR="00CA5B78" w:rsidRDefault="00CA5B78" w:rsidP="00CA5B78"/>
    <w:p w:rsidR="00CA5B78" w:rsidRDefault="00CA5B78" w:rsidP="00CA5B78">
      <w:r w:rsidRPr="00B4430B">
        <w:t>Det følger endvidere af miljøvurderingslovens § 8, stk. 2, at myndigheden skal gennemføre en vurdering af, hvorvidt mindre ændringer i planer eller programmer, der udarbejdes inden for</w:t>
      </w:r>
      <w:r>
        <w:t xml:space="preserve"> fx</w:t>
      </w:r>
      <w:r w:rsidRPr="00B4430B">
        <w:t xml:space="preserve"> landbrug og fastlægger rammerne for fremtidige anlægstilladelser til </w:t>
      </w:r>
      <w:r>
        <w:t xml:space="preserve">fx </w:t>
      </w:r>
      <w:r w:rsidRPr="00B4430B">
        <w:t>anlæg til intensiv husdyravl</w:t>
      </w:r>
      <w:r>
        <w:t xml:space="preserve"> (nr. 1)</w:t>
      </w:r>
      <w:r w:rsidRPr="00B4430B">
        <w:t xml:space="preserve"> eller i øvrigt fastlægger rammerne for fremtidige anlægstilladelser</w:t>
      </w:r>
      <w:r>
        <w:t xml:space="preserve"> (nr. 2)</w:t>
      </w:r>
      <w:r w:rsidRPr="00B4430B">
        <w:t>, kan</w:t>
      </w:r>
      <w:r>
        <w:t xml:space="preserve"> </w:t>
      </w:r>
      <w:r w:rsidRPr="00B4430B">
        <w:t>få væsentlig indvirkning på miljøet</w:t>
      </w:r>
      <w:r>
        <w:t xml:space="preserve"> (screening)</w:t>
      </w:r>
      <w:r w:rsidRPr="00B4430B">
        <w:t xml:space="preserve">, således at der skal gennemføres en miljøvurdering. </w:t>
      </w:r>
    </w:p>
    <w:p w:rsidR="00CA5B78" w:rsidRDefault="00CA5B78" w:rsidP="00CA5B78"/>
    <w:p w:rsidR="00CA5B78" w:rsidRDefault="00CA5B78" w:rsidP="00CA5B78">
      <w:r>
        <w:t>Til brug for denne vurdering (screening) skal der tages hensyn til kriterierne i miljøvurderingslovens bilag 3, det vil sige planens karakteristik og kendetegn ved indvirkning og det område, der kan blive berørt, jf. miljøvurderingslovens § 10.</w:t>
      </w:r>
    </w:p>
    <w:p w:rsidR="00CA5B78" w:rsidRDefault="00CA5B78" w:rsidP="00CA5B78"/>
    <w:p w:rsidR="00CA5B78" w:rsidRDefault="00CA5B78" w:rsidP="00CA5B78">
      <w:r>
        <w:t xml:space="preserve">I det følgende foretages en screening af forventede ændringer af bekendtgørelse 1380 af 30. november 2017 om godkendelse og tilladelse af husdyrbrug m.v. (herefter benævnt husdyrgodkendelsesbekendtgørelsen). </w:t>
      </w:r>
    </w:p>
    <w:p w:rsidR="00CA5B78" w:rsidRDefault="00CA5B78" w:rsidP="00CA5B78"/>
    <w:p w:rsidR="00CA5B78" w:rsidRDefault="00CA5B78" w:rsidP="00CA5B78">
      <w:r>
        <w:t xml:space="preserve">For en uddybning af alle ændringer og præciseringer i bekendtgørelsen henvises til udkast til ændring af husdyrgodkendelsesbekendtgørelsen og det tilhørende høringsbrev, der er offentliggjort på Høringsportalen. </w:t>
      </w:r>
    </w:p>
    <w:p w:rsidR="00CA5B78" w:rsidRDefault="00CA5B78" w:rsidP="00CA5B78"/>
    <w:p w:rsidR="00CA5B78" w:rsidRDefault="00CA5B78" w:rsidP="00CA5B78">
      <w:r>
        <w:t xml:space="preserve">Hvad angår den tidligere miljøvurdering af dele af den nu gældende husdyrgodkendelsesbekendtgørelse i forbindelse med gennemførelse af ny husdyrregulering i 2017 henvises til den sammenfattende redegørelse samt </w:t>
      </w:r>
      <w:r>
        <w:lastRenderedPageBreak/>
        <w:t xml:space="preserve">plandokument og miljørapport, der ligeledes kan ses på Høringsportalen og Miljø- og Fødevareministeriets screeningsafgørelse af 1. december 2017, der kan ses på Miljø- og Fødevareministeriets hjemmeside.  </w:t>
      </w:r>
    </w:p>
    <w:p w:rsidR="00CA5B78" w:rsidRDefault="00CA5B78" w:rsidP="00CA5B78"/>
    <w:p w:rsidR="00CA5B78" w:rsidRDefault="00CA5B78" w:rsidP="00CA5B78">
      <w:r>
        <w:t xml:space="preserve">I den gennemførte </w:t>
      </w:r>
      <w:r w:rsidRPr="00B4430B">
        <w:t>høring</w:t>
      </w:r>
      <w:r>
        <w:t xml:space="preserve"> af berørte myndigheder </w:t>
      </w:r>
      <w:r w:rsidRPr="00B4430B">
        <w:t>om afgrænsning af miljørapportens indhold,</w:t>
      </w:r>
      <w:r>
        <w:t xml:space="preserve"> fremgik det, at d</w:t>
      </w:r>
      <w:r w:rsidRPr="00C5161A">
        <w:rPr>
          <w:rFonts w:asciiTheme="minorHAnsi" w:hAnsiTheme="minorHAnsi"/>
        </w:rPr>
        <w:t xml:space="preserve">en samlede mulige påvirkning af miljøet ved et hævet BAT-krav </w:t>
      </w:r>
      <w:r>
        <w:rPr>
          <w:rFonts w:asciiTheme="minorHAnsi" w:hAnsiTheme="minorHAnsi"/>
        </w:rPr>
        <w:t xml:space="preserve">for kvæg </w:t>
      </w:r>
      <w:r w:rsidRPr="00C5161A">
        <w:rPr>
          <w:rFonts w:asciiTheme="minorHAnsi" w:hAnsiTheme="minorHAnsi"/>
        </w:rPr>
        <w:t>vil</w:t>
      </w:r>
      <w:r>
        <w:rPr>
          <w:rFonts w:asciiTheme="minorHAnsi" w:hAnsiTheme="minorHAnsi"/>
        </w:rPr>
        <w:t>le</w:t>
      </w:r>
      <w:r w:rsidRPr="00C5161A">
        <w:rPr>
          <w:rFonts w:asciiTheme="minorHAnsi" w:hAnsiTheme="minorHAnsi"/>
        </w:rPr>
        <w:t xml:space="preserve"> blive vurderet i miljørapporten. </w:t>
      </w:r>
      <w:r>
        <w:rPr>
          <w:rFonts w:asciiTheme="minorHAnsi" w:hAnsiTheme="minorHAnsi"/>
        </w:rPr>
        <w:t>Den mulige påvirkning af miljøet er blevet vurderet og på bagrund af vurderingen, som fremgår herunder, er der udarbejdet en screeningsafgørelse fremfor en miljørapport.</w:t>
      </w:r>
    </w:p>
    <w:p w:rsidR="00CA5B78" w:rsidRPr="000B7396" w:rsidRDefault="00CA5B78" w:rsidP="00CA5B78"/>
    <w:p w:rsidR="00CA5B78" w:rsidRPr="00964345" w:rsidRDefault="00CA5B78" w:rsidP="00CA5B78">
      <w:pPr>
        <w:rPr>
          <w:b/>
        </w:rPr>
      </w:pPr>
      <w:r w:rsidRPr="00964345">
        <w:rPr>
          <w:b/>
        </w:rPr>
        <w:t>Screening</w:t>
      </w:r>
      <w:r>
        <w:rPr>
          <w:b/>
        </w:rPr>
        <w:t xml:space="preserve"> </w:t>
      </w:r>
    </w:p>
    <w:p w:rsidR="00CA5B78" w:rsidRDefault="00CA5B78" w:rsidP="00CA5B78">
      <w:r>
        <w:t>I det følgende foretages en vurdering af, om de forventede ændringer af husdyrgodkendelsesbekendtgørelsen udgør en ændring, der antages at kunne få væsentlig indvirkning på miljøet, jf. kriterierne i miljøvurderingslovens bilag 3.</w:t>
      </w:r>
    </w:p>
    <w:p w:rsidR="00CA5B78" w:rsidRDefault="00CA5B78" w:rsidP="00CA5B78"/>
    <w:p w:rsidR="00CA5B78" w:rsidRDefault="00CA5B78" w:rsidP="00CA5B78">
      <w:pPr>
        <w:pStyle w:val="Listeafsnit"/>
        <w:numPr>
          <w:ilvl w:val="0"/>
          <w:numId w:val="16"/>
        </w:numPr>
        <w:spacing w:after="200" w:line="276" w:lineRule="auto"/>
        <w:ind w:left="284"/>
      </w:pPr>
      <w:r>
        <w:t xml:space="preserve">Planernes karakteristika, idet der navnlig tages hensyn til </w:t>
      </w:r>
    </w:p>
    <w:p w:rsidR="00CA5B78" w:rsidRPr="006407FC" w:rsidRDefault="00CA5B78" w:rsidP="00CA5B78">
      <w:pPr>
        <w:pStyle w:val="Listeafsnit"/>
        <w:numPr>
          <w:ilvl w:val="0"/>
          <w:numId w:val="15"/>
        </w:numPr>
        <w:spacing w:after="200" w:line="276" w:lineRule="auto"/>
        <w:ind w:left="284"/>
        <w:rPr>
          <w:i/>
        </w:rPr>
      </w:pPr>
      <w:r w:rsidRPr="006407FC">
        <w:rPr>
          <w:i/>
        </w:rPr>
        <w:t>i hvilket omfang planen eller programmet kan danne grundlag for projekter og andre aktiviteter med hensyn til beliggenhed, art, størrels</w:t>
      </w:r>
      <w:r>
        <w:rPr>
          <w:i/>
        </w:rPr>
        <w:t>e</w:t>
      </w:r>
      <w:r w:rsidR="002F2001">
        <w:rPr>
          <w:i/>
        </w:rPr>
        <w:t xml:space="preserve"> og driftsbetingelser</w:t>
      </w:r>
      <w:r>
        <w:rPr>
          <w:i/>
        </w:rPr>
        <w:t xml:space="preserve"> eller ved tildeling af midler:</w:t>
      </w:r>
      <w:r w:rsidRPr="006407FC">
        <w:rPr>
          <w:i/>
        </w:rPr>
        <w:t xml:space="preserve"> </w:t>
      </w:r>
    </w:p>
    <w:p w:rsidR="00CA5B78" w:rsidRDefault="00CA5B78" w:rsidP="00CA5B78">
      <w:r>
        <w:t xml:space="preserve">Opdatering af emissionsfaktorer, ændring af BAT-krav for kvægstalde og de øvrige forslag til ændringer af husdyrgodkendelsesbekendtgørelsen har ikke i sig selv en betydning for, </w:t>
      </w:r>
      <w:r w:rsidR="002F2001">
        <w:t xml:space="preserve">i hvilket omfang </w:t>
      </w:r>
      <w:r w:rsidR="002F2001">
        <w:t xml:space="preserve">husdyrgodkendelsesbekendtgørelsen </w:t>
      </w:r>
      <w:r w:rsidR="002F2001">
        <w:t xml:space="preserve">kan danne grundlag for </w:t>
      </w:r>
      <w:r>
        <w:t xml:space="preserve">projekter og andre aktiviteter med hensyn til beliggenhed, art størrelse </w:t>
      </w:r>
      <w:r w:rsidR="002F2001">
        <w:t xml:space="preserve">og driftsbetingelser </w:t>
      </w:r>
      <w:r>
        <w:t xml:space="preserve">eller ved tildeling af midler. </w:t>
      </w:r>
    </w:p>
    <w:p w:rsidR="00CA5B78" w:rsidRDefault="00CA5B78" w:rsidP="00CA5B78"/>
    <w:p w:rsidR="00CA5B78" w:rsidRPr="006407FC" w:rsidRDefault="00CA5B78" w:rsidP="00CA5B78">
      <w:pPr>
        <w:pStyle w:val="Listeafsnit"/>
        <w:numPr>
          <w:ilvl w:val="0"/>
          <w:numId w:val="15"/>
        </w:numPr>
        <w:spacing w:after="200" w:line="276" w:lineRule="auto"/>
        <w:ind w:left="284"/>
        <w:rPr>
          <w:i/>
        </w:rPr>
      </w:pPr>
      <w:r>
        <w:rPr>
          <w:i/>
        </w:rPr>
        <w:t>i</w:t>
      </w:r>
      <w:r w:rsidRPr="006407FC">
        <w:rPr>
          <w:i/>
        </w:rPr>
        <w:t xml:space="preserve"> hvilket omfang planen har indflydelse på andre planer, herunder også planer som indgå</w:t>
      </w:r>
      <w:r>
        <w:rPr>
          <w:i/>
        </w:rPr>
        <w:t>r</w:t>
      </w:r>
      <w:r w:rsidRPr="006407FC">
        <w:rPr>
          <w:i/>
        </w:rPr>
        <w:t xml:space="preserve"> i et h</w:t>
      </w:r>
      <w:r>
        <w:rPr>
          <w:i/>
        </w:rPr>
        <w:t>i</w:t>
      </w:r>
      <w:r w:rsidRPr="006407FC">
        <w:rPr>
          <w:i/>
        </w:rPr>
        <w:t>era</w:t>
      </w:r>
      <w:r>
        <w:rPr>
          <w:i/>
        </w:rPr>
        <w:t>r</w:t>
      </w:r>
      <w:r w:rsidRPr="006407FC">
        <w:rPr>
          <w:i/>
        </w:rPr>
        <w:t>ki</w:t>
      </w:r>
      <w:r>
        <w:rPr>
          <w:i/>
        </w:rPr>
        <w:t>:</w:t>
      </w:r>
    </w:p>
    <w:p w:rsidR="00CA5B78" w:rsidRDefault="00CA5B78" w:rsidP="00CA5B78">
      <w:r>
        <w:t xml:space="preserve">De foreslåede ændringer af husdyrgodkendelsesbekendtgørelsen forventes at træde i kraft ved udstedelse af en ny husdyrgodkendelsesbekendtgørelse. </w:t>
      </w:r>
    </w:p>
    <w:p w:rsidR="00CA5B78" w:rsidRDefault="00CA5B78" w:rsidP="00CA5B78"/>
    <w:p w:rsidR="00CA5B78" w:rsidRDefault="00CA5B78" w:rsidP="00CA5B78">
      <w:pPr>
        <w:pStyle w:val="Listeafsnit"/>
        <w:numPr>
          <w:ilvl w:val="0"/>
          <w:numId w:val="15"/>
        </w:numPr>
        <w:spacing w:after="200" w:line="276" w:lineRule="auto"/>
        <w:ind w:left="284"/>
        <w:rPr>
          <w:i/>
        </w:rPr>
      </w:pPr>
      <w:r>
        <w:rPr>
          <w:i/>
        </w:rPr>
        <w:t>p</w:t>
      </w:r>
      <w:r w:rsidRPr="000345BD">
        <w:rPr>
          <w:i/>
        </w:rPr>
        <w:t xml:space="preserve">lanen eller programmets relevans for integreringen af miljøhensyn, specielt med henblik på at fremme bæredygtig udvikling </w:t>
      </w:r>
      <w:r>
        <w:rPr>
          <w:i/>
        </w:rPr>
        <w:t xml:space="preserve"> </w:t>
      </w:r>
    </w:p>
    <w:p w:rsidR="00CA5B78" w:rsidRPr="000345BD" w:rsidRDefault="00CA5B78" w:rsidP="00CA5B78">
      <w:pPr>
        <w:spacing w:after="200" w:line="276" w:lineRule="auto"/>
      </w:pPr>
      <w:r>
        <w:t>De foreslåede ændringer, herunder BAT–krav for kvægstalde ændrer ikke på husdyrgodkendelsesbekendtgørelsens betydning for integrering af miljøhensyn, herunder med henblik på at fremme bæredygtig udvikling.</w:t>
      </w:r>
    </w:p>
    <w:p w:rsidR="00CA5B78" w:rsidRPr="00E15C06" w:rsidRDefault="00CA5B78" w:rsidP="00CA5B78">
      <w:pPr>
        <w:pStyle w:val="Listeafsnit"/>
        <w:numPr>
          <w:ilvl w:val="0"/>
          <w:numId w:val="15"/>
        </w:numPr>
        <w:spacing w:after="200" w:line="276" w:lineRule="auto"/>
        <w:ind w:left="284"/>
        <w:rPr>
          <w:i/>
        </w:rPr>
      </w:pPr>
      <w:r w:rsidRPr="00E15C06">
        <w:rPr>
          <w:i/>
        </w:rPr>
        <w:t>miljøproblemer af relevans for planen eller programmet</w:t>
      </w:r>
    </w:p>
    <w:p w:rsidR="00CA5B78" w:rsidRDefault="00CA5B78" w:rsidP="00CA5B78">
      <w:pPr>
        <w:pStyle w:val="Listeafsnit"/>
        <w:numPr>
          <w:ilvl w:val="0"/>
          <w:numId w:val="15"/>
        </w:numPr>
      </w:pPr>
      <w:r w:rsidRPr="00176AAA">
        <w:t>Som konsekvens af</w:t>
      </w:r>
      <w:r>
        <w:t>,</w:t>
      </w:r>
      <w:r w:rsidRPr="00176AAA">
        <w:t xml:space="preserve"> at emissionsfaktorerne for kvægstalde skal opdateres, bliver BAT-kravet til nye og renoverede stalde </w:t>
      </w:r>
      <w:r>
        <w:t xml:space="preserve">justeret </w:t>
      </w:r>
      <w:r w:rsidRPr="00176AAA">
        <w:t>fra det nuværende niveau for den maksimale årlige ammoniakemission på 0,67 kg NH</w:t>
      </w:r>
      <w:r w:rsidRPr="00C83339">
        <w:rPr>
          <w:vertAlign w:val="subscript"/>
        </w:rPr>
        <w:t>3</w:t>
      </w:r>
      <w:r w:rsidRPr="00176AAA">
        <w:t>-N/m</w:t>
      </w:r>
      <w:r w:rsidRPr="00C83339">
        <w:rPr>
          <w:vertAlign w:val="superscript"/>
        </w:rPr>
        <w:t>2</w:t>
      </w:r>
      <w:r w:rsidRPr="00176AAA">
        <w:t>/år</w:t>
      </w:r>
      <w:r>
        <w:t>, som svarer til emissionen fra staldsystemet ”fast drænet gulv med skraber og ajleafløb”</w:t>
      </w:r>
      <w:r w:rsidRPr="00176AAA">
        <w:t>.</w:t>
      </w:r>
      <w:r>
        <w:t xml:space="preserve"> Det nye BAT-krav fastsættes til 0,89 kg. NH</w:t>
      </w:r>
      <w:r w:rsidRPr="00E65397">
        <w:rPr>
          <w:vertAlign w:val="subscript"/>
        </w:rPr>
        <w:t>3</w:t>
      </w:r>
      <w:r>
        <w:t>-N/m</w:t>
      </w:r>
      <w:r w:rsidRPr="00E65397">
        <w:rPr>
          <w:vertAlign w:val="superscript"/>
        </w:rPr>
        <w:t>2</w:t>
      </w:r>
      <w:r>
        <w:t xml:space="preserve">/år i overensstemmelse med nyeste viden om ammoniak-emissionen fra samme staldtype. Justeringen af BAT-kravet er således en opdatering af det hidtidige BAT-krav og ligger i direkte forlængelse af opdateringen af emissionsfaktorerne. </w:t>
      </w:r>
    </w:p>
    <w:p w:rsidR="00CA5B78" w:rsidRDefault="00CA5B78" w:rsidP="00CA5B78">
      <w:pPr>
        <w:ind w:left="360"/>
      </w:pPr>
    </w:p>
    <w:p w:rsidR="00CA5B78" w:rsidRPr="00E465D2" w:rsidRDefault="00CA5B78" w:rsidP="00CA5B78">
      <w:pPr>
        <w:pStyle w:val="Listeafsnit"/>
        <w:numPr>
          <w:ilvl w:val="0"/>
          <w:numId w:val="15"/>
        </w:numPr>
      </w:pPr>
      <w:r w:rsidRPr="00E465D2">
        <w:lastRenderedPageBreak/>
        <w:t xml:space="preserve">Med opdateringen af </w:t>
      </w:r>
      <w:r>
        <w:t xml:space="preserve">emissionsfaktorer og </w:t>
      </w:r>
      <w:r w:rsidRPr="00E465D2">
        <w:t xml:space="preserve">BAT-krav </w:t>
      </w:r>
      <w:r>
        <w:t xml:space="preserve">bliver </w:t>
      </w:r>
      <w:r w:rsidRPr="00E465D2">
        <w:t>beregningerne af den samlede ammoniakemission fra kvægstalde bedre i overensstemmelse med de faktiske emissioner. Med justeringen af bekendtgørelsen sikr</w:t>
      </w:r>
      <w:r>
        <w:t>es således</w:t>
      </w:r>
      <w:r w:rsidRPr="00E465D2">
        <w:t xml:space="preserve"> bedre overensstemmelse mellem de beregnede emissioner og de faktiske emissioner. </w:t>
      </w:r>
    </w:p>
    <w:p w:rsidR="00CA5B78" w:rsidRDefault="00CA5B78" w:rsidP="00CA5B78">
      <w:pPr>
        <w:pStyle w:val="Listeafsnit"/>
      </w:pPr>
    </w:p>
    <w:p w:rsidR="00CA5B78" w:rsidRDefault="00CA5B78" w:rsidP="00CA5B78">
      <w:pPr>
        <w:pStyle w:val="Listeafsnit"/>
        <w:numPr>
          <w:ilvl w:val="0"/>
          <w:numId w:val="15"/>
        </w:numPr>
      </w:pPr>
      <w:r>
        <w:t>O</w:t>
      </w:r>
      <w:r w:rsidRPr="00E465D2">
        <w:t xml:space="preserve">pdateringen af </w:t>
      </w:r>
      <w:r>
        <w:t>emissionsfaktorer og BAT-kravet kan betyde, at der vil være en reduktion af ammoniak fra Danmark, som er op til 750 tons mindre end hidtil antaget, i 2030 set i forhold til 2005. De 750 tons tager udgangspunkt i, at den nuværende staldtypefordeling, som er anvendt til vurdering af emissionerne i 2030, fastholdes. S</w:t>
      </w:r>
      <w:r w:rsidRPr="009F1EAD">
        <w:t xml:space="preserve">taldtypefordelingen </w:t>
      </w:r>
      <w:r>
        <w:t xml:space="preserve">vil imidlertid </w:t>
      </w:r>
      <w:r w:rsidRPr="009F1EAD">
        <w:t>ændre sig over t</w:t>
      </w:r>
      <w:r>
        <w:t>id, da der ikke længere vil kunne etableres nye stalde med spaltegulve (medmindre de anvender gylleforsuring eller evt. anden ny teknologi), fordi de har en for høj emission. Dermed vil der være tale om forøgelse af ammoniakemissionen i forhold til den forventede reduktion i 2030, dvs. en formindsket reduktion og ikke en egentlig merudledning, og at der maksimalt er tale om 750 tons</w:t>
      </w:r>
      <w:r w:rsidRPr="00014EF9">
        <w:t xml:space="preserve"> </w:t>
      </w:r>
      <w:r>
        <w:t xml:space="preserve">på landsplan, men det er ikke muligt at præcisere ud fra det nuværende </w:t>
      </w:r>
      <w:proofErr w:type="spellStart"/>
      <w:r>
        <w:t>videngrundlag</w:t>
      </w:r>
      <w:proofErr w:type="spellEnd"/>
      <w:r>
        <w:t xml:space="preserve">. Stalde antages at have en levetid på ca. 30 år. </w:t>
      </w:r>
    </w:p>
    <w:p w:rsidR="00CA5B78" w:rsidRDefault="00CA5B78" w:rsidP="00CA5B78">
      <w:pPr>
        <w:pStyle w:val="Listeafsnit"/>
      </w:pPr>
    </w:p>
    <w:p w:rsidR="00CA5B78" w:rsidRDefault="00CA5B78" w:rsidP="00CA5B78">
      <w:pPr>
        <w:pStyle w:val="Listeafsnit"/>
        <w:numPr>
          <w:ilvl w:val="0"/>
          <w:numId w:val="15"/>
        </w:numPr>
      </w:pPr>
      <w:r>
        <w:t>Isoleret set vil en øget ammoniakemission øge baggrundsbelastningen. En øget baggrundsbelastning kan generelt betyde, at tålegrænsen for både habitatnaturtyper og naturtyper omfattet af naturbeskyttelseslovens § 3 vil kunne blive</w:t>
      </w:r>
      <w:r w:rsidRPr="0066336E">
        <w:t xml:space="preserve"> </w:t>
      </w:r>
      <w:r>
        <w:t xml:space="preserve">overskredet, hvor den ikke tidligere har været overskredet, eller at eksisterende overskridelser af tålegrænsen vil kunne blive øget i forhold til det nuværende niveau. Tålegrænseoverskridelser – såvel eksisterende som kommende – kan bl.a. hænge sammen med, at den eksisterende (lokale/regionale) baggrundsbelastning er høj i forhold til naturarealernes tålegrænser. Det skal her tages med i betragtning, at der er tale om en forøgelse i forhold til den forventede reduktion i 2030, dvs. en formindsket reduktion og ikke en egentlig merudledning, og </w:t>
      </w:r>
      <w:r w:rsidR="00432395">
        <w:t xml:space="preserve">at </w:t>
      </w:r>
      <w:r>
        <w:t xml:space="preserve">der maksimalt er tale om 750 tons på landsplan, at meremissionen foregår over en længere tidshorisont (mod 2030), og at der er metodiske usikkerheder knyttet til fremskrivningen, bl.a. ift. </w:t>
      </w:r>
      <w:proofErr w:type="gramStart"/>
      <w:r>
        <w:t>strukturudvikling og udvikling i husdyrproduktionen.</w:t>
      </w:r>
      <w:proofErr w:type="gramEnd"/>
      <w:r>
        <w:t xml:space="preserve">  </w:t>
      </w:r>
    </w:p>
    <w:p w:rsidR="00CA5B78" w:rsidRDefault="00CA5B78" w:rsidP="00CA5B78">
      <w:pPr>
        <w:pStyle w:val="Listeafsnit"/>
      </w:pPr>
    </w:p>
    <w:p w:rsidR="00CA5B78" w:rsidRDefault="00CA5B78" w:rsidP="00CA5B78">
      <w:pPr>
        <w:pStyle w:val="Listeafsnit"/>
        <w:numPr>
          <w:ilvl w:val="0"/>
          <w:numId w:val="15"/>
        </w:numPr>
      </w:pPr>
      <w:r>
        <w:t xml:space="preserve">Kvægbrug i nærheden af ammoniakfølsom natur vil fortsat skulle overholde gældende regler om </w:t>
      </w:r>
      <w:proofErr w:type="spellStart"/>
      <w:r>
        <w:t>totaldepositionskrav</w:t>
      </w:r>
      <w:proofErr w:type="spellEnd"/>
      <w:r>
        <w:t xml:space="preserve"> eller </w:t>
      </w:r>
      <w:proofErr w:type="spellStart"/>
      <w:r>
        <w:t>merdepositionskrav</w:t>
      </w:r>
      <w:proofErr w:type="spellEnd"/>
      <w:r>
        <w:t xml:space="preserve">, og den ny viden påvirker ikke reglerne eller beskyttelsesniveauet i forhold til det specifikke ammoniakkrav. </w:t>
      </w:r>
    </w:p>
    <w:p w:rsidR="00CA5B78" w:rsidRDefault="00CA5B78" w:rsidP="00CA5B78">
      <w:pPr>
        <w:pStyle w:val="Listeafsnit"/>
      </w:pPr>
    </w:p>
    <w:p w:rsidR="00CA5B78" w:rsidRDefault="00A349EC" w:rsidP="00A349EC">
      <w:r>
        <w:t>Det er på den baggrund Miljø- og Fødevareministeriets vurdering</w:t>
      </w:r>
      <w:r>
        <w:t xml:space="preserve">, at der </w:t>
      </w:r>
      <w:r w:rsidR="00CA5B78">
        <w:t>samlet set</w:t>
      </w:r>
      <w:r>
        <w:t xml:space="preserve"> </w:t>
      </w:r>
      <w:r w:rsidR="00CA5B78">
        <w:t xml:space="preserve">ikke er tale om en væsentlig indvirkning på miljøet, set i lyset af størrelsesordenen, tidshorisonten og den metodiske usikkerhed forbundet med fremskrivningen. </w:t>
      </w:r>
    </w:p>
    <w:p w:rsidR="00CA5B78" w:rsidRDefault="00CA5B78" w:rsidP="00CA5B78">
      <w:pPr>
        <w:pStyle w:val="Listeafsnit"/>
      </w:pPr>
    </w:p>
    <w:p w:rsidR="00CA5B78" w:rsidRPr="009F1EAD" w:rsidRDefault="00CA5B78" w:rsidP="00A349EC">
      <w:r>
        <w:t xml:space="preserve">Ændringer i emissioner fra staldsystemerne og staldtypefordelingen over tid vil, uanset størrelsesordenen, indgå i løbende fremskrivninger af ammoniakemissionen og </w:t>
      </w:r>
      <w:r w:rsidRPr="00B4430B">
        <w:t>i fo</w:t>
      </w:r>
      <w:bookmarkStart w:id="0" w:name="_GoBack"/>
      <w:bookmarkEnd w:id="0"/>
      <w:r w:rsidRPr="00B4430B">
        <w:t>rbindelse med udarbejdelsen af det nationale program for bekæmpelse af luftforurening</w:t>
      </w:r>
      <w:r>
        <w:t>.</w:t>
      </w:r>
    </w:p>
    <w:p w:rsidR="00CA5B78" w:rsidRPr="009F1EAD" w:rsidRDefault="00CA5B78" w:rsidP="00CA5B78">
      <w:pPr>
        <w:ind w:left="360"/>
      </w:pPr>
    </w:p>
    <w:p w:rsidR="00CA5B78" w:rsidRDefault="00CA5B78" w:rsidP="00CA5B78"/>
    <w:p w:rsidR="00CA5B78" w:rsidRPr="00731711" w:rsidRDefault="00CA5B78" w:rsidP="00CA5B78">
      <w:r>
        <w:t>De øvrige forslag til ændringer, der vurderes i det følgende, har meget beskedne konsekvenser.</w:t>
      </w:r>
    </w:p>
    <w:p w:rsidR="00CA5B78" w:rsidRPr="00176AAA" w:rsidRDefault="00CA5B78" w:rsidP="00CA5B78">
      <w:pPr>
        <w:ind w:left="360"/>
      </w:pPr>
    </w:p>
    <w:p w:rsidR="00CA5B78" w:rsidRDefault="00CA5B78" w:rsidP="00CA5B78">
      <w:pPr>
        <w:pStyle w:val="Listeafsnit"/>
        <w:numPr>
          <w:ilvl w:val="0"/>
          <w:numId w:val="15"/>
        </w:numPr>
        <w:spacing w:after="200" w:line="276" w:lineRule="auto"/>
        <w:ind w:left="284"/>
        <w:rPr>
          <w:i/>
        </w:rPr>
      </w:pPr>
      <w:r>
        <w:rPr>
          <w:i/>
        </w:rPr>
        <w:t>p</w:t>
      </w:r>
      <w:r w:rsidRPr="000345BD">
        <w:rPr>
          <w:i/>
        </w:rPr>
        <w:t>lanen eller programmets relevans for gennemførelsen af anden miljølovgivning (f.eks.) planer i forbindelse med affaldshåndtering eller vandbeskyttelse)</w:t>
      </w:r>
    </w:p>
    <w:p w:rsidR="00CA5B78" w:rsidRPr="006D4B5A" w:rsidRDefault="00CA5B78" w:rsidP="00CA5B78">
      <w:pPr>
        <w:spacing w:after="200" w:line="276" w:lineRule="auto"/>
        <w:ind w:left="-76"/>
        <w:rPr>
          <w:i/>
        </w:rPr>
      </w:pPr>
      <w:r>
        <w:t>De foreslåede ændringer, herunder opdatering af BAT-kravet for kvægstalde, har ikke betydning for gennemførsel af anden miljølovgivning.</w:t>
      </w:r>
    </w:p>
    <w:p w:rsidR="00CA5B78" w:rsidRDefault="00CA5B78" w:rsidP="00CA5B78">
      <w:pPr>
        <w:pStyle w:val="Listeafsnit"/>
        <w:numPr>
          <w:ilvl w:val="0"/>
          <w:numId w:val="16"/>
        </w:numPr>
        <w:spacing w:after="200" w:line="276" w:lineRule="auto"/>
        <w:ind w:left="0" w:hanging="284"/>
      </w:pPr>
      <w:r>
        <w:t>Kendetegn ved indvirkningen og det område som kan blive berørt, idet der navnlig tages hensyn til:</w:t>
      </w:r>
    </w:p>
    <w:p w:rsidR="00CA5B78" w:rsidRDefault="00CA5B78" w:rsidP="00CA5B78">
      <w:pPr>
        <w:pStyle w:val="Listeafsnit"/>
        <w:spacing w:after="200" w:line="276" w:lineRule="auto"/>
        <w:rPr>
          <w:i/>
        </w:rPr>
      </w:pPr>
    </w:p>
    <w:p w:rsidR="00CA5B78" w:rsidRDefault="00CA5B78" w:rsidP="00CA5B78">
      <w:pPr>
        <w:pStyle w:val="Listeafsnit"/>
        <w:numPr>
          <w:ilvl w:val="0"/>
          <w:numId w:val="15"/>
        </w:numPr>
        <w:spacing w:after="200" w:line="276" w:lineRule="auto"/>
        <w:ind w:left="284"/>
        <w:rPr>
          <w:i/>
        </w:rPr>
      </w:pPr>
      <w:r w:rsidRPr="000345BD">
        <w:rPr>
          <w:i/>
        </w:rPr>
        <w:t>indvirkningens sandsynlighed, varighed, hyppighed og reversib</w:t>
      </w:r>
      <w:r>
        <w:rPr>
          <w:i/>
        </w:rPr>
        <w:t>ilitet</w:t>
      </w:r>
    </w:p>
    <w:p w:rsidR="00CA5B78" w:rsidRDefault="00CA5B78" w:rsidP="00CA5B78">
      <w:r>
        <w:t>De foreslåede ændringer af husdyrgodkendelsesbekendtgørelsen omfatter</w:t>
      </w:r>
    </w:p>
    <w:p w:rsidR="00CA5B78" w:rsidRDefault="00CA5B78" w:rsidP="00CA5B78">
      <w:pPr>
        <w:pStyle w:val="Listeafsnit"/>
        <w:numPr>
          <w:ilvl w:val="0"/>
          <w:numId w:val="17"/>
        </w:numPr>
      </w:pPr>
      <w:r>
        <w:t xml:space="preserve">En opdatering af husdyrgodkendelsesbekendtgørelsens bilag 3, tabel 1, tabel 4 og 5 med nyeste emissionsfaktorer for staldgulve for kvæg og ændring af BAT kravet for kvægstalde </w:t>
      </w:r>
    </w:p>
    <w:p w:rsidR="00CA5B78" w:rsidRDefault="00CA5B78" w:rsidP="00CA5B78">
      <w:pPr>
        <w:pStyle w:val="Listeafsnit"/>
        <w:numPr>
          <w:ilvl w:val="0"/>
          <w:numId w:val="17"/>
        </w:numPr>
      </w:pPr>
      <w:r>
        <w:t xml:space="preserve">Der etableres en anmeldeordning om bortfald af vilkår om anvendelse af spalteskraber.  </w:t>
      </w:r>
    </w:p>
    <w:p w:rsidR="00CA5B78" w:rsidRDefault="00CA5B78" w:rsidP="00CA5B78">
      <w:pPr>
        <w:pStyle w:val="Listeafsnit"/>
        <w:numPr>
          <w:ilvl w:val="0"/>
          <w:numId w:val="17"/>
        </w:numPr>
      </w:pPr>
      <w:bookmarkStart w:id="1" w:name="_Toc513213604"/>
      <w:r w:rsidRPr="00B4430B">
        <w:t>Nye emissionsfaktorer for avlstyre</w:t>
      </w:r>
      <w:bookmarkEnd w:id="1"/>
    </w:p>
    <w:p w:rsidR="00CA5B78" w:rsidRDefault="00CA5B78" w:rsidP="00CA5B78">
      <w:pPr>
        <w:pStyle w:val="Listeafsnit"/>
        <w:numPr>
          <w:ilvl w:val="0"/>
          <w:numId w:val="17"/>
        </w:numPr>
      </w:pPr>
      <w:r>
        <w:t>Ophør af a</w:t>
      </w:r>
      <w:r w:rsidRPr="00B4430B">
        <w:t>nmeldeordning for emissionsorienteret produktionstilpasning</w:t>
      </w:r>
    </w:p>
    <w:p w:rsidR="00CA5B78" w:rsidRDefault="00CA5B78" w:rsidP="00CA5B78">
      <w:pPr>
        <w:pStyle w:val="Listeafsnit"/>
        <w:numPr>
          <w:ilvl w:val="0"/>
          <w:numId w:val="17"/>
        </w:numPr>
      </w:pPr>
      <w:r w:rsidRPr="00B4430B">
        <w:t>Ny anmeldeordning for gødningsopbevaringsanlæg</w:t>
      </w:r>
    </w:p>
    <w:p w:rsidR="00CA5B78" w:rsidRDefault="00CA5B78" w:rsidP="00CA5B78">
      <w:pPr>
        <w:pStyle w:val="Listeafsnit"/>
        <w:numPr>
          <w:ilvl w:val="0"/>
          <w:numId w:val="17"/>
        </w:numPr>
      </w:pPr>
      <w:r>
        <w:t xml:space="preserve">Etablering af mulighed for skift mellem tung race og Jersey efter anmeldelse. </w:t>
      </w:r>
    </w:p>
    <w:p w:rsidR="00CA5B78" w:rsidRDefault="00CA5B78" w:rsidP="00CA5B78">
      <w:pPr>
        <w:pStyle w:val="Listeafsnit"/>
        <w:numPr>
          <w:ilvl w:val="0"/>
          <w:numId w:val="17"/>
        </w:numPr>
      </w:pPr>
      <w:r>
        <w:t>Herudover er der foretaget tekniske justeringer af bekendtgørelsen, bl.a. justering af FMK-lugtgeneberegningerne i bilag 3, og den såkaldte ”50 pct.-regel” for lugt.</w:t>
      </w:r>
    </w:p>
    <w:p w:rsidR="00CA5B78" w:rsidRDefault="00CA5B78" w:rsidP="00CA5B78"/>
    <w:p w:rsidR="00CA5B78" w:rsidRDefault="00CA5B78" w:rsidP="00CA5B78">
      <w:r>
        <w:t>Ad 1. Det er Miljø- og Fødevareministeriets vurdering, at de planlagte ændringer af husdyrgodkendelsesbekendtgørelsen bilag 3, tabel 1, tabel 4 og 5 som opdateres med nyeste emissionsfaktorer for staldgulve for kvæg og BAT kravet, ikke har væsentlig indvirkning på miljøet med hensyn til sandsynlighed, varighed, hyppighed og reversibilitet, jf. beskrivelsen under ”miljøproblemer af relevans for planen eller programmet”.</w:t>
      </w:r>
    </w:p>
    <w:p w:rsidR="00CA5B78" w:rsidRDefault="00CA5B78" w:rsidP="00CA5B78"/>
    <w:p w:rsidR="00CA5B78" w:rsidRPr="00B4430B" w:rsidRDefault="00CA5B78" w:rsidP="00CA5B78">
      <w:pPr>
        <w:rPr>
          <w:rFonts w:asciiTheme="minorHAnsi" w:hAnsiTheme="minorHAnsi"/>
        </w:rPr>
      </w:pPr>
      <w:r>
        <w:t xml:space="preserve">Ad 2. </w:t>
      </w:r>
      <w:r w:rsidRPr="00B4430B">
        <w:rPr>
          <w:rFonts w:asciiTheme="minorHAnsi" w:hAnsiTheme="minorHAnsi"/>
        </w:rPr>
        <w:t xml:space="preserve">Spalteskraber som en miljøeffektiv teknologi er blevet fjernet fra Miljøstyrelsens teknologiliste, da test har dokumenteret, at den ikke har en ammoniakreducerende effekt i kvægstalde med spaltegulve som hidtil antaget. Der foreslås på den baggrund, at der etableres en anmeldeordning i bekendtgørelsen om bortfald af vilkår om anvendelse af spalteskraber. </w:t>
      </w:r>
      <w:r>
        <w:rPr>
          <w:rFonts w:asciiTheme="minorHAnsi" w:hAnsiTheme="minorHAnsi"/>
        </w:rPr>
        <w:t xml:space="preserve">I forhold til ammoniakemission vurderes anmeldeordningen </w:t>
      </w:r>
      <w:r w:rsidRPr="00B4430B">
        <w:rPr>
          <w:rFonts w:asciiTheme="minorHAnsi" w:hAnsiTheme="minorHAnsi"/>
        </w:rPr>
        <w:t>ikke at have nogen væsentlig påvirkning på miljøet, da spalteskrabere ikke har en ammoniakreducerende effekt.</w:t>
      </w:r>
      <w:r>
        <w:rPr>
          <w:rFonts w:asciiTheme="minorHAnsi" w:hAnsiTheme="minorHAnsi"/>
        </w:rPr>
        <w:t xml:space="preserve"> Det bemærkes desuden, at spalteskraberen ikke har været reguleret i husdyrgodkendelsesbekendtgørelsen og derfor ikke i sig selv er del af screeningen. </w:t>
      </w:r>
      <w:r w:rsidRPr="00B4430B">
        <w:rPr>
          <w:rFonts w:asciiTheme="minorHAnsi" w:hAnsiTheme="minorHAnsi"/>
        </w:rPr>
        <w:t xml:space="preserve"> </w:t>
      </w:r>
    </w:p>
    <w:p w:rsidR="00CA5B78" w:rsidRPr="00B4430B" w:rsidRDefault="00CA5B78" w:rsidP="00CA5B78">
      <w:pPr>
        <w:rPr>
          <w:rFonts w:asciiTheme="minorHAnsi" w:hAnsiTheme="minorHAnsi"/>
        </w:rPr>
      </w:pPr>
      <w:r w:rsidRPr="00B4430B">
        <w:rPr>
          <w:rFonts w:asciiTheme="minorHAnsi" w:hAnsiTheme="minorHAnsi"/>
        </w:rPr>
        <w:t xml:space="preserve"> </w:t>
      </w:r>
    </w:p>
    <w:p w:rsidR="00CA5B78" w:rsidRPr="00B4430B" w:rsidRDefault="00CA5B78" w:rsidP="00CA5B78">
      <w:pPr>
        <w:rPr>
          <w:rFonts w:asciiTheme="minorHAnsi" w:hAnsiTheme="minorHAnsi"/>
        </w:rPr>
      </w:pPr>
      <w:r>
        <w:lastRenderedPageBreak/>
        <w:t>Ad 3.</w:t>
      </w:r>
      <w:r w:rsidRPr="004207FB">
        <w:rPr>
          <w:rFonts w:asciiTheme="minorHAnsi" w:hAnsiTheme="minorHAnsi"/>
        </w:rPr>
        <w:t xml:space="preserve"> </w:t>
      </w:r>
      <w:r w:rsidRPr="00B4430B">
        <w:rPr>
          <w:rFonts w:asciiTheme="minorHAnsi" w:hAnsiTheme="minorHAnsi"/>
        </w:rPr>
        <w:t>De særskilte emissionsfaktorer for avlstyre forventes ikke at medføre højere emissioner, lugtgener eller lignende fra denne produktionsgren end der er i dag og forventes derfor ikke at have en væsentlig påvirkning på miljøet, da den nye emissionsfaktor er mere retvisende og kun forventes anvendt på meget få husdyrbrug.</w:t>
      </w:r>
    </w:p>
    <w:p w:rsidR="00CA5B78" w:rsidRDefault="00CA5B78" w:rsidP="00CA5B78"/>
    <w:p w:rsidR="00CA5B78" w:rsidRPr="00B4430B" w:rsidRDefault="00CA5B78" w:rsidP="00CA5B78">
      <w:pPr>
        <w:rPr>
          <w:rFonts w:asciiTheme="minorHAnsi" w:hAnsiTheme="minorHAnsi"/>
        </w:rPr>
      </w:pPr>
      <w:r>
        <w:t>Ad 4.</w:t>
      </w:r>
      <w:r w:rsidRPr="004207FB">
        <w:rPr>
          <w:rFonts w:asciiTheme="minorHAnsi" w:hAnsiTheme="minorHAnsi"/>
        </w:rPr>
        <w:t xml:space="preserve"> </w:t>
      </w:r>
      <w:r w:rsidRPr="00B4430B">
        <w:rPr>
          <w:rFonts w:asciiTheme="minorHAnsi" w:hAnsiTheme="minorHAnsi"/>
        </w:rPr>
        <w:t>Det vurderes ikke at ophævelse af anmeldeordningen vil medføre væsentlig virkning på miljøet, da der ikke er flere som forventes at bruge ordningen.</w:t>
      </w:r>
    </w:p>
    <w:p w:rsidR="00CA5B78" w:rsidRDefault="00CA5B78" w:rsidP="00CA5B78"/>
    <w:p w:rsidR="00CA5B78" w:rsidRPr="00B4430B" w:rsidRDefault="00CA5B78" w:rsidP="00CA5B78">
      <w:pPr>
        <w:rPr>
          <w:rFonts w:asciiTheme="minorHAnsi" w:hAnsiTheme="minorHAnsi"/>
        </w:rPr>
      </w:pPr>
      <w:r>
        <w:t xml:space="preserve">Ad 5. </w:t>
      </w:r>
      <w:r w:rsidRPr="00B4430B">
        <w:rPr>
          <w:rFonts w:asciiTheme="minorHAnsi" w:hAnsiTheme="minorHAnsi"/>
        </w:rPr>
        <w:t xml:space="preserve">Med betingelserne om, at det anmeldte skal være erhvervsmæssigt nødvendigt for den pågældende ejendoms drift som landbrugsejendom og beliggende i tilknytning til ejendommens hidtidige bebyggelsesarealer, begrænsningen på det samlede overfladeareal af det anmeldte, samt betingelserne om terrænændringer, højde og afskærmende beplantning, </w:t>
      </w:r>
      <w:r>
        <w:rPr>
          <w:rFonts w:asciiTheme="minorHAnsi" w:hAnsiTheme="minorHAnsi"/>
        </w:rPr>
        <w:t>er det Miljø- og Fødevareministeriets vurdering</w:t>
      </w:r>
      <w:r w:rsidRPr="00B4430B">
        <w:rPr>
          <w:rFonts w:asciiTheme="minorHAnsi" w:hAnsiTheme="minorHAnsi"/>
        </w:rPr>
        <w:t>, at anmeldeordningen ikke har en væsentlig påvirkning på miljøet som følge af landskabelig påvirkning.</w:t>
      </w:r>
    </w:p>
    <w:p w:rsidR="00CA5B78" w:rsidRPr="00B4430B" w:rsidRDefault="00CA5B78" w:rsidP="00CA5B78">
      <w:pPr>
        <w:rPr>
          <w:rFonts w:asciiTheme="minorHAnsi" w:hAnsiTheme="minorHAnsi"/>
        </w:rPr>
      </w:pPr>
    </w:p>
    <w:p w:rsidR="00CA5B78" w:rsidRPr="00B4430B" w:rsidRDefault="00CA5B78" w:rsidP="00CA5B78">
      <w:pPr>
        <w:rPr>
          <w:rFonts w:asciiTheme="minorHAnsi" w:hAnsiTheme="minorHAnsi"/>
        </w:rPr>
      </w:pPr>
      <w:r w:rsidRPr="00B4430B">
        <w:rPr>
          <w:rFonts w:asciiTheme="minorHAnsi" w:hAnsiTheme="minorHAnsi"/>
        </w:rPr>
        <w:t xml:space="preserve">Med de skærpede afstandskrav til byzoneområder, sommerhusområder, beboelser i landzone og nabobeboelser vurderes det, at anmeldeordningen ikke har en væsentlig påvirkning på miljøet som følge af lugtgener. </w:t>
      </w:r>
    </w:p>
    <w:p w:rsidR="00CA5B78" w:rsidRPr="00B4430B" w:rsidRDefault="00CA5B78" w:rsidP="00CA5B78">
      <w:pPr>
        <w:rPr>
          <w:rFonts w:asciiTheme="minorHAnsi" w:hAnsiTheme="minorHAnsi"/>
          <w:i/>
        </w:rPr>
      </w:pPr>
    </w:p>
    <w:p w:rsidR="00CA5B78" w:rsidRPr="00B4430B" w:rsidRDefault="00CA5B78" w:rsidP="00CA5B78">
      <w:pPr>
        <w:rPr>
          <w:rFonts w:asciiTheme="minorHAnsi" w:hAnsiTheme="minorHAnsi"/>
        </w:rPr>
      </w:pPr>
      <w:r w:rsidRPr="00B4430B">
        <w:rPr>
          <w:rFonts w:asciiTheme="minorHAnsi" w:hAnsiTheme="minorHAnsi"/>
        </w:rPr>
        <w:t xml:space="preserve">Med betingelserne om, at det anmeldte anlæg ikke må medføre, at </w:t>
      </w:r>
      <w:proofErr w:type="spellStart"/>
      <w:r w:rsidRPr="00B4430B">
        <w:rPr>
          <w:rFonts w:asciiTheme="minorHAnsi" w:hAnsiTheme="minorHAnsi"/>
        </w:rPr>
        <w:t>totaldepositionen</w:t>
      </w:r>
      <w:proofErr w:type="spellEnd"/>
      <w:r w:rsidRPr="00B4430B">
        <w:rPr>
          <w:rFonts w:asciiTheme="minorHAnsi" w:hAnsiTheme="minorHAnsi"/>
        </w:rPr>
        <w:t xml:space="preserve"> af ammoniak på kategori 1-, 2- og 3-natur fra husdyrbruget inklusiv det anmeldte overstiger de </w:t>
      </w:r>
      <w:proofErr w:type="spellStart"/>
      <w:r w:rsidRPr="00B4430B">
        <w:rPr>
          <w:rFonts w:asciiTheme="minorHAnsi" w:hAnsiTheme="minorHAnsi"/>
        </w:rPr>
        <w:t>depositionsgrænser</w:t>
      </w:r>
      <w:proofErr w:type="spellEnd"/>
      <w:r w:rsidRPr="00B4430B">
        <w:rPr>
          <w:rFonts w:asciiTheme="minorHAnsi" w:hAnsiTheme="minorHAnsi"/>
        </w:rPr>
        <w:t xml:space="preserve">, der er anført i bekendtgørelsens §§ 26 og 27 (ændret fra §§ 25 og 26), og betingelsen om, at den samlede </w:t>
      </w:r>
      <w:proofErr w:type="spellStart"/>
      <w:r w:rsidRPr="00B4430B">
        <w:rPr>
          <w:rFonts w:asciiTheme="minorHAnsi" w:hAnsiTheme="minorHAnsi"/>
        </w:rPr>
        <w:t>depositionen</w:t>
      </w:r>
      <w:proofErr w:type="spellEnd"/>
      <w:r w:rsidRPr="00B4430B">
        <w:rPr>
          <w:rFonts w:asciiTheme="minorHAnsi" w:hAnsiTheme="minorHAnsi"/>
        </w:rPr>
        <w:t xml:space="preserve"> til kategori 3-natur fra alle opbevaringsanlæg, der er opført efter anmeldelse inden for de seneste 8 år ikke må overstige 1,0 kg N pr. ha, vurderes det, at anmeldeordningen ikke har en væsentlig påvirkning på ammoniakfølsomme naturområder.</w:t>
      </w:r>
    </w:p>
    <w:p w:rsidR="00CA5B78" w:rsidRPr="00B4430B" w:rsidRDefault="00CA5B78" w:rsidP="00CA5B78">
      <w:pPr>
        <w:rPr>
          <w:rFonts w:asciiTheme="minorHAnsi" w:hAnsiTheme="minorHAnsi"/>
        </w:rPr>
      </w:pPr>
    </w:p>
    <w:p w:rsidR="00CA5B78" w:rsidRDefault="00CA5B78" w:rsidP="00CA5B78">
      <w:pPr>
        <w:rPr>
          <w:rFonts w:asciiTheme="minorHAnsi" w:hAnsiTheme="minorHAnsi"/>
        </w:rPr>
      </w:pPr>
      <w:r w:rsidRPr="00B4430B">
        <w:rPr>
          <w:rFonts w:asciiTheme="minorHAnsi" w:hAnsiTheme="minorHAnsi"/>
        </w:rPr>
        <w:t xml:space="preserve">Samlet </w:t>
      </w:r>
      <w:r>
        <w:rPr>
          <w:rFonts w:asciiTheme="minorHAnsi" w:hAnsiTheme="minorHAnsi"/>
        </w:rPr>
        <w:t xml:space="preserve">vurderer Miljø- og Fødevareministeriet, at der </w:t>
      </w:r>
      <w:r w:rsidRPr="00B4430B">
        <w:rPr>
          <w:rFonts w:asciiTheme="minorHAnsi" w:hAnsiTheme="minorHAnsi"/>
        </w:rPr>
        <w:t xml:space="preserve">ikke </w:t>
      </w:r>
      <w:r>
        <w:rPr>
          <w:rFonts w:asciiTheme="minorHAnsi" w:hAnsiTheme="minorHAnsi"/>
        </w:rPr>
        <w:t>vil</w:t>
      </w:r>
      <w:r w:rsidRPr="00B4430B">
        <w:rPr>
          <w:rFonts w:asciiTheme="minorHAnsi" w:hAnsiTheme="minorHAnsi"/>
        </w:rPr>
        <w:t xml:space="preserve"> være en væsentlig påvirkning på miljøet ved en anmeldeordning til etablering af gødningsopbevaringsanlæg, da der </w:t>
      </w:r>
      <w:r>
        <w:rPr>
          <w:rFonts w:asciiTheme="minorHAnsi" w:hAnsiTheme="minorHAnsi"/>
        </w:rPr>
        <w:t xml:space="preserve">i den foreslåede ordning </w:t>
      </w:r>
      <w:r w:rsidRPr="00B4430B">
        <w:rPr>
          <w:rFonts w:asciiTheme="minorHAnsi" w:hAnsiTheme="minorHAnsi"/>
        </w:rPr>
        <w:t xml:space="preserve">fuldt ud er taget højde for overholdelse af det gældende beskyttelsesniveau også i kombination med den eksisterende godkendelse/tilladelse. </w:t>
      </w:r>
    </w:p>
    <w:p w:rsidR="00CA5B78" w:rsidRDefault="00CA5B78" w:rsidP="00CA5B78"/>
    <w:p w:rsidR="00CA5B78" w:rsidRDefault="00CA5B78" w:rsidP="00CA5B78">
      <w:pPr>
        <w:rPr>
          <w:rFonts w:asciiTheme="minorHAnsi" w:hAnsiTheme="minorHAnsi"/>
        </w:rPr>
      </w:pPr>
      <w:r>
        <w:t xml:space="preserve">Ad 6. Det er Miljø- og Fødevareministeriets </w:t>
      </w:r>
      <w:r w:rsidRPr="00B4430B">
        <w:rPr>
          <w:rFonts w:asciiTheme="minorHAnsi" w:hAnsiTheme="minorHAnsi"/>
        </w:rPr>
        <w:t>vurder</w:t>
      </w:r>
      <w:r>
        <w:rPr>
          <w:rFonts w:asciiTheme="minorHAnsi" w:hAnsiTheme="minorHAnsi"/>
        </w:rPr>
        <w:t>ing, at der ikke vil</w:t>
      </w:r>
      <w:r w:rsidRPr="00B4430B">
        <w:rPr>
          <w:rFonts w:asciiTheme="minorHAnsi" w:hAnsiTheme="minorHAnsi"/>
        </w:rPr>
        <w:t xml:space="preserve"> være en væsentlig påvirkning på miljøet ved en anmeldeordning </w:t>
      </w:r>
      <w:r>
        <w:rPr>
          <w:rFonts w:asciiTheme="minorHAnsi" w:hAnsiTheme="minorHAnsi"/>
        </w:rPr>
        <w:t>om skift mellem tung race og Jersey (kvæg)</w:t>
      </w:r>
      <w:r w:rsidRPr="00B4430B">
        <w:rPr>
          <w:rFonts w:asciiTheme="minorHAnsi" w:hAnsiTheme="minorHAnsi"/>
        </w:rPr>
        <w:t xml:space="preserve">, da </w:t>
      </w:r>
      <w:r>
        <w:rPr>
          <w:rFonts w:asciiTheme="minorHAnsi" w:hAnsiTheme="minorHAnsi"/>
        </w:rPr>
        <w:t xml:space="preserve">reduktionskravene for antal dyreenheder betyder, at der ikke sker en forøget ammoniakemission og således </w:t>
      </w:r>
      <w:r w:rsidRPr="00B4430B">
        <w:rPr>
          <w:rFonts w:asciiTheme="minorHAnsi" w:hAnsiTheme="minorHAnsi"/>
        </w:rPr>
        <w:t xml:space="preserve">fuldt ud </w:t>
      </w:r>
      <w:r>
        <w:rPr>
          <w:rFonts w:asciiTheme="minorHAnsi" w:hAnsiTheme="minorHAnsi"/>
        </w:rPr>
        <w:t>tager</w:t>
      </w:r>
      <w:r w:rsidRPr="00B4430B">
        <w:rPr>
          <w:rFonts w:asciiTheme="minorHAnsi" w:hAnsiTheme="minorHAnsi"/>
        </w:rPr>
        <w:t xml:space="preserve"> højde for overholdelse af det gældende beskyttelsesniveau også i kombination med den eksisterende godkendelse/tilladelse. </w:t>
      </w:r>
    </w:p>
    <w:p w:rsidR="00CA5B78" w:rsidRDefault="00CA5B78" w:rsidP="00CA5B78"/>
    <w:p w:rsidR="00E078CB" w:rsidRPr="00E078CB" w:rsidRDefault="00E078CB" w:rsidP="00E078CB">
      <w:r>
        <w:t>Ad 7. Derudover er der foretaget justeringer af visse elementer i lugtberegningen med henblik på at forenkle og forbedre miljøvurderingen. Der er dels en fjernelse af en forældet regel, den såkaldte ”bortscreening” af ejendomme, hvorved enkelte husdyrbrug mister en lille fordel, og dels en ny afgrænsning af ejendomme som er relevante for den såkaldte ”50</w:t>
      </w:r>
      <w:r w:rsidR="00432395">
        <w:t xml:space="preserve"> </w:t>
      </w:r>
      <w:r>
        <w:t xml:space="preserve">% regel”, hvilket giver erhvervet enkelte nye muligheder i forhold til de gældende regler.  </w:t>
      </w:r>
      <w:r w:rsidRPr="00E078CB">
        <w:t xml:space="preserve">Samlet set vurderes ændringerne at være neutrale for </w:t>
      </w:r>
      <w:r>
        <w:t>miljøet</w:t>
      </w:r>
      <w:r w:rsidRPr="00E078CB">
        <w:t>, men i de konkret</w:t>
      </w:r>
      <w:r>
        <w:t>e sager kan det give forskelle.</w:t>
      </w:r>
    </w:p>
    <w:p w:rsidR="00CA5B78" w:rsidRDefault="00CA5B78" w:rsidP="00CA5B78"/>
    <w:p w:rsidR="00CA5B78" w:rsidRDefault="00CA5B78" w:rsidP="00CA5B78">
      <w:pPr>
        <w:pStyle w:val="Listeafsnit"/>
        <w:numPr>
          <w:ilvl w:val="0"/>
          <w:numId w:val="15"/>
        </w:numPr>
        <w:spacing w:after="200" w:line="276" w:lineRule="auto"/>
        <w:ind w:left="284"/>
        <w:rPr>
          <w:i/>
        </w:rPr>
      </w:pPr>
      <w:r>
        <w:rPr>
          <w:i/>
        </w:rPr>
        <w:t>i</w:t>
      </w:r>
      <w:r w:rsidRPr="000345BD">
        <w:rPr>
          <w:i/>
        </w:rPr>
        <w:t>n</w:t>
      </w:r>
      <w:r>
        <w:rPr>
          <w:i/>
        </w:rPr>
        <w:t>dvirkningens kumulative karakter</w:t>
      </w:r>
    </w:p>
    <w:p w:rsidR="00CA5B78" w:rsidRPr="00A01846" w:rsidRDefault="00CA5B78" w:rsidP="00CA5B78">
      <w:pPr>
        <w:spacing w:after="200" w:line="276" w:lineRule="auto"/>
        <w:ind w:left="-76"/>
      </w:pPr>
      <w:r>
        <w:t xml:space="preserve">De ændringer, der er beskrevet under ”indvirkningens sandsynlighed, varighed, hyppighed og reversibilitet, punkt 1 – 7, vurderes ikke at have indvirkning på miljøet med hensyn til indvirkningens kumulative karakter. </w:t>
      </w:r>
    </w:p>
    <w:p w:rsidR="00CA5B78" w:rsidRDefault="00CA5B78" w:rsidP="00CA5B78">
      <w:pPr>
        <w:pStyle w:val="Listeafsnit"/>
        <w:numPr>
          <w:ilvl w:val="0"/>
          <w:numId w:val="15"/>
        </w:numPr>
        <w:spacing w:after="200" w:line="276" w:lineRule="auto"/>
        <w:ind w:left="284"/>
        <w:rPr>
          <w:i/>
        </w:rPr>
      </w:pPr>
      <w:r>
        <w:rPr>
          <w:i/>
        </w:rPr>
        <w:t>i</w:t>
      </w:r>
      <w:r w:rsidRPr="000345BD">
        <w:rPr>
          <w:i/>
        </w:rPr>
        <w:t>ndvirkningens grænseoverskridende karakter</w:t>
      </w:r>
    </w:p>
    <w:p w:rsidR="00CA5B78" w:rsidRPr="000345BD" w:rsidRDefault="00CA5B78" w:rsidP="00CA5B78">
      <w:pPr>
        <w:spacing w:after="200" w:line="276" w:lineRule="auto"/>
        <w:ind w:left="-76"/>
      </w:pPr>
      <w:r>
        <w:t>De ændringer, der er beskrevet under ”indvirkningens sandsynlighed, varighed, hyppighed og reversibilitet, punkt 1 – 7, vurderes ikke at kunne få indvirkning på miljøet af grænseoverskridende karakter.</w:t>
      </w:r>
    </w:p>
    <w:p w:rsidR="00CA5B78" w:rsidRDefault="00CA5B78" w:rsidP="00CA5B78">
      <w:pPr>
        <w:pStyle w:val="Listeafsnit"/>
        <w:numPr>
          <w:ilvl w:val="0"/>
          <w:numId w:val="15"/>
        </w:numPr>
        <w:spacing w:after="200" w:line="276" w:lineRule="auto"/>
        <w:ind w:left="284"/>
        <w:rPr>
          <w:i/>
        </w:rPr>
      </w:pPr>
      <w:r>
        <w:rPr>
          <w:i/>
        </w:rPr>
        <w:t>f</w:t>
      </w:r>
      <w:r w:rsidRPr="000345BD">
        <w:rPr>
          <w:i/>
        </w:rPr>
        <w:t>aren for menneskers sundhed og miljøet (f.eks. på grund af ulykker)</w:t>
      </w:r>
    </w:p>
    <w:p w:rsidR="00CA5B78" w:rsidRPr="000345BD" w:rsidRDefault="00CA5B78" w:rsidP="00CA5B78">
      <w:pPr>
        <w:spacing w:after="200" w:line="276" w:lineRule="auto"/>
        <w:ind w:left="-76"/>
      </w:pPr>
      <w:r>
        <w:t>De ændringer, der er beskrevet under ”indvirkningens sandsynlighed, varighed, hyppighed og reversibilitet, punkt 1 – 7, vurderes ikke at have betydning for indvirkningen på miljøet med hensyn faren for menneskers sundhed og miljøet.</w:t>
      </w:r>
    </w:p>
    <w:p w:rsidR="00CA5B78" w:rsidRDefault="00CA5B78" w:rsidP="00CA5B78">
      <w:pPr>
        <w:pStyle w:val="Listeafsnit"/>
        <w:numPr>
          <w:ilvl w:val="0"/>
          <w:numId w:val="15"/>
        </w:numPr>
        <w:spacing w:after="200" w:line="276" w:lineRule="auto"/>
        <w:ind w:left="284"/>
        <w:rPr>
          <w:i/>
        </w:rPr>
      </w:pPr>
      <w:r>
        <w:rPr>
          <w:i/>
        </w:rPr>
        <w:t>i</w:t>
      </w:r>
      <w:r w:rsidRPr="000345BD">
        <w:rPr>
          <w:i/>
        </w:rPr>
        <w:t>ndvirkningens størrelsesorden og rumlige udstrækning (det geografiske område og størrelsen af den befolkning, som kan blive berørt)</w:t>
      </w:r>
    </w:p>
    <w:p w:rsidR="00CA5B78" w:rsidRPr="00E15C06" w:rsidRDefault="00CA5B78" w:rsidP="00CA5B78">
      <w:pPr>
        <w:spacing w:after="200" w:line="276" w:lineRule="auto"/>
        <w:ind w:left="-76"/>
      </w:pPr>
      <w:r>
        <w:t>Som det fremgår af beskrivelsen under ”indvirkningens sandsynlighed, varighed, hyppighed og reversibilitet, punkt 1 – 7, er det vurderingen at ændringerne ingen eller meget begrænsede virkninger har på miljøet.</w:t>
      </w:r>
    </w:p>
    <w:p w:rsidR="00CA5B78" w:rsidRPr="003F05AD" w:rsidRDefault="00CA5B78" w:rsidP="00CA5B78">
      <w:pPr>
        <w:pStyle w:val="Listeafsnit"/>
        <w:numPr>
          <w:ilvl w:val="0"/>
          <w:numId w:val="15"/>
        </w:numPr>
        <w:spacing w:after="200" w:line="276" w:lineRule="auto"/>
        <w:ind w:left="284"/>
        <w:rPr>
          <w:i/>
        </w:rPr>
      </w:pPr>
      <w:r w:rsidRPr="003F05AD">
        <w:rPr>
          <w:i/>
        </w:rPr>
        <w:t xml:space="preserve">værdien og sårbarheden af det område, som kan blive berørt, som følge af </w:t>
      </w:r>
    </w:p>
    <w:p w:rsidR="00CA5B78" w:rsidRPr="000345BD" w:rsidRDefault="00CA5B78" w:rsidP="00CA5B78">
      <w:pPr>
        <w:pStyle w:val="Listeafsnit"/>
        <w:numPr>
          <w:ilvl w:val="1"/>
          <w:numId w:val="15"/>
        </w:numPr>
        <w:spacing w:after="200" w:line="276" w:lineRule="auto"/>
        <w:rPr>
          <w:i/>
        </w:rPr>
      </w:pPr>
      <w:r>
        <w:rPr>
          <w:i/>
        </w:rPr>
        <w:t>s</w:t>
      </w:r>
      <w:r w:rsidRPr="000345BD">
        <w:rPr>
          <w:i/>
        </w:rPr>
        <w:t>ærlige karakteristiske naturtræk eller kulturarv</w:t>
      </w:r>
    </w:p>
    <w:p w:rsidR="00CA5B78" w:rsidRPr="000345BD" w:rsidRDefault="00CA5B78" w:rsidP="00CA5B78">
      <w:pPr>
        <w:pStyle w:val="Listeafsnit"/>
        <w:numPr>
          <w:ilvl w:val="1"/>
          <w:numId w:val="15"/>
        </w:numPr>
        <w:spacing w:after="200" w:line="276" w:lineRule="auto"/>
        <w:rPr>
          <w:i/>
        </w:rPr>
      </w:pPr>
      <w:r>
        <w:rPr>
          <w:i/>
        </w:rPr>
        <w:t>o</w:t>
      </w:r>
      <w:r w:rsidRPr="000345BD">
        <w:rPr>
          <w:i/>
        </w:rPr>
        <w:t>verskridelse af miljøkvalitetsnormer eller – grænseværdier og</w:t>
      </w:r>
    </w:p>
    <w:p w:rsidR="00CA5B78" w:rsidRDefault="00CA5B78" w:rsidP="00CA5B78">
      <w:pPr>
        <w:pStyle w:val="Listeafsnit"/>
        <w:numPr>
          <w:ilvl w:val="1"/>
          <w:numId w:val="15"/>
        </w:numPr>
        <w:spacing w:after="200" w:line="276" w:lineRule="auto"/>
        <w:rPr>
          <w:i/>
        </w:rPr>
      </w:pPr>
      <w:r>
        <w:rPr>
          <w:i/>
        </w:rPr>
        <w:t>intensiv arealudnyttelse</w:t>
      </w:r>
    </w:p>
    <w:p w:rsidR="00CA5B78" w:rsidRPr="00B4430B" w:rsidRDefault="00CA5B78" w:rsidP="00CA5B78">
      <w:pPr>
        <w:spacing w:after="200" w:line="276" w:lineRule="auto"/>
        <w:ind w:left="-76"/>
        <w:rPr>
          <w:rFonts w:asciiTheme="minorHAnsi" w:hAnsiTheme="minorHAnsi"/>
        </w:rPr>
      </w:pPr>
      <w:r>
        <w:t xml:space="preserve">Som det fremgår af beskrivelsen under ”indvirkningens sandsynlighed, varighed, hyppighed og reversibilitet, punkt 1 – 7, er det vurderingen at ændringerne ingen eller meget begrænsede virkninger har på miljøet, herunder i forhold til særlige karakteristiske naturtræk eller kulturarv. De foreslåede ændringer vurderes endvidere ikke at medføre ændring i mulighederne for at overskride miljøkvalitetsnormer- eller grænseværdier eller intensiv arealudnyttelse. </w:t>
      </w:r>
    </w:p>
    <w:p w:rsidR="00CA5B78" w:rsidRPr="000E070E" w:rsidRDefault="00CA5B78" w:rsidP="00CA5B78">
      <w:r w:rsidRPr="00B4430B">
        <w:rPr>
          <w:rFonts w:asciiTheme="minorHAnsi" w:hAnsiTheme="minorHAnsi"/>
        </w:rPr>
        <w:t xml:space="preserve"> </w:t>
      </w:r>
    </w:p>
    <w:p w:rsidR="00CA5B78" w:rsidRPr="000345BD" w:rsidRDefault="00CA5B78" w:rsidP="00CA5B78">
      <w:pPr>
        <w:pStyle w:val="Listeafsnit"/>
        <w:numPr>
          <w:ilvl w:val="0"/>
          <w:numId w:val="15"/>
        </w:numPr>
        <w:spacing w:after="200" w:line="276" w:lineRule="auto"/>
        <w:ind w:left="284"/>
        <w:rPr>
          <w:i/>
        </w:rPr>
      </w:pPr>
      <w:r w:rsidRPr="000345BD">
        <w:rPr>
          <w:i/>
        </w:rPr>
        <w:t>indvirkningen på områder som har en anerkendt beskyttelsesstatus på nationalt plan, fællesskabsplan eller internationalt plan.</w:t>
      </w:r>
    </w:p>
    <w:p w:rsidR="00CA5B78" w:rsidRDefault="00CA5B78" w:rsidP="00CA5B78">
      <w:pPr>
        <w:spacing w:after="200" w:line="276" w:lineRule="auto"/>
      </w:pPr>
      <w:r>
        <w:t xml:space="preserve">Som det fremgår af beskrivelsen under ”indvirkningens sandsynlighed, varighed, hyppighed og reversibilitet, punkt 1 – 7, er det vurderingen at ændringerne ingen eller meget begrænsede virkninger har på miljøet. </w:t>
      </w:r>
      <w:r w:rsidRPr="00B4430B">
        <w:t xml:space="preserve">De opdaterede emissionsfaktorer fra kvægstalde ændrer ikke beskyttelsesniveauerne i forhold til ammoniakfølsom natur (det specifikke ammoniakreduktionskrav, jf. husdyrgodkendelsesbekendtgørelsens §§ 25-29). </w:t>
      </w:r>
      <w:r>
        <w:t xml:space="preserve">Opdatering af emissionsfaktorer og BAT-krav for kvæggulve vurderes ikke i sig selv at have betydning for områder eller landskaber, som har en anerkendt beskyttelsesstatus på nationalt plan, fællesskabsplan eller internationalt plan. </w:t>
      </w:r>
      <w:r w:rsidRPr="00B4430B">
        <w:rPr>
          <w:rFonts w:asciiTheme="minorHAnsi" w:hAnsiTheme="minorHAnsi"/>
        </w:rPr>
        <w:t xml:space="preserve">De særskilte emissionsfaktorer for avlstyre forventes ikke at medføre højere emissioner, lugtgener eller lignende fra </w:t>
      </w:r>
      <w:r w:rsidRPr="00B4430B">
        <w:rPr>
          <w:rFonts w:asciiTheme="minorHAnsi" w:hAnsiTheme="minorHAnsi"/>
        </w:rPr>
        <w:lastRenderedPageBreak/>
        <w:t>denne produktionsgren end der er i dag og forventes derfor ikke at have en væsentlig påvirkning på miljøet, da den nye emissionsfaktor er mere retvisende og kun forventes anvendt på meget få husdyrbrug.</w:t>
      </w:r>
      <w:r>
        <w:rPr>
          <w:rFonts w:asciiTheme="minorHAnsi" w:hAnsiTheme="minorHAnsi"/>
        </w:rPr>
        <w:t xml:space="preserve"> </w:t>
      </w:r>
      <w:r w:rsidR="00494F6F">
        <w:rPr>
          <w:rFonts w:asciiTheme="minorHAnsi" w:hAnsiTheme="minorHAnsi"/>
        </w:rPr>
        <w:t>Justeringen af lugtreglerne forventes heller ikke s</w:t>
      </w:r>
      <w:r w:rsidR="00494F6F" w:rsidRPr="00E078CB">
        <w:t xml:space="preserve">amlet set </w:t>
      </w:r>
      <w:r w:rsidR="00494F6F">
        <w:t>at have væsentlig virkning på miljøet.</w:t>
      </w:r>
      <w:r w:rsidR="00A81A30">
        <w:t xml:space="preserve"> </w:t>
      </w:r>
    </w:p>
    <w:p w:rsidR="00CA5B78" w:rsidRPr="00E078CB" w:rsidRDefault="00CA5B78" w:rsidP="00CA5B78">
      <w:r>
        <w:t xml:space="preserve"> </w:t>
      </w:r>
    </w:p>
    <w:sectPr w:rsidR="00CA5B78" w:rsidRPr="00E078CB" w:rsidSect="0048667B">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4F" w:rsidRDefault="00EA5C4F">
      <w:r>
        <w:separator/>
      </w:r>
    </w:p>
  </w:endnote>
  <w:endnote w:type="continuationSeparator" w:id="0">
    <w:p w:rsidR="00EA5C4F" w:rsidRDefault="00EA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4F" w:rsidRDefault="00EA5C4F"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EA5C4F" w:rsidRDefault="00EA5C4F"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4F" w:rsidRPr="001C6975" w:rsidRDefault="00EA5C4F"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894323">
      <w:rPr>
        <w:rStyle w:val="Sidetal"/>
        <w:noProof/>
      </w:rPr>
      <w:t>13</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4F" w:rsidRPr="000F4C2E" w:rsidRDefault="00EA5C4F" w:rsidP="000F4C2E">
    <w:pPr>
      <w:pStyle w:val="Template-Address"/>
    </w:pPr>
    <w:bookmarkStart w:id="20" w:name="OFF_Institution"/>
    <w:bookmarkStart w:id="21" w:name="OFF_InstitutionHIF"/>
    <w:bookmarkStart w:id="22" w:name="XIF_MMFirstAddressLine"/>
    <w:r w:rsidRPr="000F4C2E">
      <w:t>Miljø- og Fødevareministeriet</w:t>
    </w:r>
    <w:bookmarkEnd w:id="20"/>
    <w:r w:rsidRPr="000F4C2E">
      <w:t xml:space="preserve"> </w:t>
    </w:r>
    <w:bookmarkEnd w:id="21"/>
    <w:r w:rsidRPr="000F4C2E">
      <w:t xml:space="preserve">• </w:t>
    </w:r>
    <w:bookmarkStart w:id="23" w:name="OFF_AddressA"/>
    <w:bookmarkStart w:id="24" w:name="OFF_AddressAHIF"/>
    <w:r w:rsidRPr="000F4C2E">
      <w:t>Slotsholmsgade 12</w:t>
    </w:r>
    <w:bookmarkEnd w:id="23"/>
    <w:r w:rsidRPr="000F4C2E">
      <w:t xml:space="preserve"> </w:t>
    </w:r>
    <w:bookmarkEnd w:id="24"/>
    <w:r w:rsidRPr="000F4C2E">
      <w:rPr>
        <w:vanish/>
      </w:rPr>
      <w:t xml:space="preserve">• </w:t>
    </w:r>
    <w:bookmarkStart w:id="25" w:name="OFF_AddressB"/>
    <w:bookmarkStart w:id="26" w:name="OFF_AddressBHIF"/>
    <w:bookmarkEnd w:id="25"/>
    <w:r w:rsidRPr="000F4C2E">
      <w:rPr>
        <w:vanish/>
      </w:rPr>
      <w:t xml:space="preserve"> </w:t>
    </w:r>
    <w:bookmarkEnd w:id="26"/>
    <w:r w:rsidRPr="000F4C2E">
      <w:rPr>
        <w:vanish/>
      </w:rPr>
      <w:t xml:space="preserve">• </w:t>
    </w:r>
    <w:bookmarkStart w:id="27" w:name="OFF_AddressC"/>
    <w:bookmarkStart w:id="28" w:name="OFF_AddressCHIF"/>
    <w:bookmarkEnd w:id="27"/>
    <w:r w:rsidRPr="000F4C2E">
      <w:rPr>
        <w:vanish/>
      </w:rPr>
      <w:t xml:space="preserve"> </w:t>
    </w:r>
    <w:bookmarkEnd w:id="28"/>
    <w:r w:rsidRPr="000F4C2E">
      <w:t xml:space="preserve">• </w:t>
    </w:r>
    <w:bookmarkStart w:id="29" w:name="OFF_AddressD"/>
    <w:bookmarkStart w:id="30" w:name="OFF_AddressDHIF"/>
    <w:r w:rsidRPr="000F4C2E">
      <w:t>1216</w:t>
    </w:r>
    <w:bookmarkEnd w:id="29"/>
    <w:r w:rsidRPr="000F4C2E">
      <w:t xml:space="preserve"> </w:t>
    </w:r>
    <w:bookmarkStart w:id="31" w:name="OFF_City"/>
    <w:r w:rsidRPr="000F4C2E">
      <w:t>København K</w:t>
    </w:r>
    <w:bookmarkEnd w:id="31"/>
    <w:r w:rsidRPr="000F4C2E">
      <w:t xml:space="preserve"> </w:t>
    </w:r>
    <w:bookmarkEnd w:id="30"/>
  </w:p>
  <w:p w:rsidR="00EA5C4F" w:rsidRPr="003C75BE" w:rsidRDefault="00EA5C4F" w:rsidP="000F4C2E">
    <w:pPr>
      <w:pStyle w:val="Template-Address"/>
      <w:rPr>
        <w:lang w:val="en-GB"/>
      </w:rPr>
    </w:pPr>
    <w:bookmarkStart w:id="32" w:name="LAN_Phone"/>
    <w:bookmarkStart w:id="33" w:name="OFF_PhoneHIF"/>
    <w:bookmarkStart w:id="34" w:name="XIF_MMSecondAddressLine"/>
    <w:bookmarkEnd w:id="22"/>
    <w:r w:rsidRPr="000F4C2E">
      <w:rPr>
        <w:lang w:val="en-GB"/>
      </w:rPr>
      <w:t>Tlf.</w:t>
    </w:r>
    <w:bookmarkEnd w:id="32"/>
    <w:r w:rsidRPr="000F4C2E">
      <w:rPr>
        <w:lang w:val="en-GB"/>
      </w:rPr>
      <w:t xml:space="preserve"> </w:t>
    </w:r>
    <w:bookmarkStart w:id="35" w:name="OFF_Phone"/>
    <w:r w:rsidRPr="000F4C2E">
      <w:rPr>
        <w:lang w:val="en-GB"/>
      </w:rPr>
      <w:t>38 14 21 42</w:t>
    </w:r>
    <w:bookmarkEnd w:id="35"/>
    <w:r w:rsidRPr="000F4C2E">
      <w:rPr>
        <w:lang w:val="en-GB"/>
      </w:rPr>
      <w:t xml:space="preserve"> </w:t>
    </w:r>
    <w:bookmarkEnd w:id="33"/>
    <w:r w:rsidRPr="000F4C2E">
      <w:rPr>
        <w:lang w:val="en-GB"/>
      </w:rPr>
      <w:t xml:space="preserve">• </w:t>
    </w:r>
    <w:bookmarkStart w:id="36" w:name="LAN_Fax"/>
    <w:bookmarkStart w:id="37" w:name="OFF_FaxHIF"/>
    <w:r w:rsidRPr="000F4C2E">
      <w:rPr>
        <w:lang w:val="en-GB"/>
      </w:rPr>
      <w:t>Fax</w:t>
    </w:r>
    <w:bookmarkEnd w:id="36"/>
    <w:r w:rsidRPr="000F4C2E">
      <w:rPr>
        <w:lang w:val="en-GB"/>
      </w:rPr>
      <w:t xml:space="preserve"> </w:t>
    </w:r>
    <w:bookmarkStart w:id="38" w:name="OFF_Fax"/>
    <w:r w:rsidRPr="000F4C2E">
      <w:rPr>
        <w:lang w:val="en-GB"/>
      </w:rPr>
      <w:t>33 14 50 42</w:t>
    </w:r>
    <w:bookmarkEnd w:id="38"/>
    <w:r w:rsidRPr="000F4C2E">
      <w:rPr>
        <w:lang w:val="en-GB"/>
      </w:rPr>
      <w:t xml:space="preserve"> </w:t>
    </w:r>
    <w:bookmarkEnd w:id="37"/>
    <w:r w:rsidRPr="000F4C2E">
      <w:rPr>
        <w:lang w:val="en-GB"/>
      </w:rPr>
      <w:t xml:space="preserve">• </w:t>
    </w:r>
    <w:bookmarkStart w:id="39" w:name="OFF_CVRHIF"/>
    <w:r w:rsidRPr="000F4C2E">
      <w:rPr>
        <w:lang w:val="en-GB"/>
      </w:rPr>
      <w:t xml:space="preserve">CVR </w:t>
    </w:r>
    <w:bookmarkStart w:id="40" w:name="OFF_CVR"/>
    <w:r w:rsidRPr="000F4C2E">
      <w:rPr>
        <w:lang w:val="en-GB"/>
      </w:rPr>
      <w:t>12854358</w:t>
    </w:r>
    <w:bookmarkEnd w:id="40"/>
    <w:r w:rsidRPr="000F4C2E">
      <w:rPr>
        <w:lang w:val="en-GB"/>
      </w:rPr>
      <w:t xml:space="preserve"> </w:t>
    </w:r>
    <w:bookmarkEnd w:id="39"/>
    <w:r w:rsidRPr="000F4C2E">
      <w:rPr>
        <w:lang w:val="en-GB"/>
      </w:rPr>
      <w:t xml:space="preserve">• </w:t>
    </w:r>
    <w:bookmarkStart w:id="41" w:name="OFF_EANHIF"/>
    <w:r w:rsidRPr="000F4C2E">
      <w:rPr>
        <w:lang w:val="en-GB"/>
      </w:rPr>
      <w:t xml:space="preserve">EAN </w:t>
    </w:r>
    <w:bookmarkStart w:id="42" w:name="OFF_EAN"/>
    <w:r w:rsidRPr="000F4C2E">
      <w:rPr>
        <w:lang w:val="en-GB"/>
      </w:rPr>
      <w:t>5798000862005</w:t>
    </w:r>
    <w:bookmarkEnd w:id="42"/>
    <w:r w:rsidRPr="000F4C2E">
      <w:rPr>
        <w:lang w:val="en-GB"/>
      </w:rPr>
      <w:t xml:space="preserve"> </w:t>
    </w:r>
    <w:bookmarkEnd w:id="41"/>
    <w:r w:rsidRPr="000F4C2E">
      <w:rPr>
        <w:lang w:val="en-GB"/>
      </w:rPr>
      <w:t xml:space="preserve">• </w:t>
    </w:r>
    <w:bookmarkStart w:id="43" w:name="OFF_Email"/>
    <w:bookmarkStart w:id="44" w:name="OFF_EmailHIF"/>
    <w:r w:rsidRPr="000F4C2E">
      <w:rPr>
        <w:lang w:val="en-GB"/>
      </w:rPr>
      <w:t>mfvm@mfvm.dk</w:t>
    </w:r>
    <w:bookmarkEnd w:id="43"/>
    <w:r w:rsidRPr="000F4C2E">
      <w:rPr>
        <w:lang w:val="en-GB"/>
      </w:rPr>
      <w:t xml:space="preserve"> </w:t>
    </w:r>
    <w:bookmarkEnd w:id="44"/>
    <w:r w:rsidRPr="000F4C2E">
      <w:rPr>
        <w:lang w:val="en-GB"/>
      </w:rPr>
      <w:t xml:space="preserve">• </w:t>
    </w:r>
    <w:bookmarkStart w:id="45" w:name="OFF_Web"/>
    <w:bookmarkStart w:id="46" w:name="OFF_WebHIF"/>
    <w:r w:rsidRPr="000F4C2E">
      <w:rPr>
        <w:lang w:val="en-GB"/>
      </w:rPr>
      <w:t>www.mfvm.dk</w:t>
    </w:r>
    <w:bookmarkEnd w:id="45"/>
    <w:r w:rsidRPr="000F4C2E">
      <w:rPr>
        <w:lang w:val="en-GB"/>
      </w:rPr>
      <w:t xml:space="preserve"> </w:t>
    </w:r>
    <w:bookmarkEnd w:id="34"/>
    <w:bookmarkEnd w:id="46"/>
  </w:p>
  <w:p w:rsidR="00EA5C4F" w:rsidRPr="000F4C2E" w:rsidRDefault="00EA5C4F" w:rsidP="000F4C2E">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4F" w:rsidRDefault="00EA5C4F">
      <w:r>
        <w:separator/>
      </w:r>
    </w:p>
  </w:footnote>
  <w:footnote w:type="continuationSeparator" w:id="0">
    <w:p w:rsidR="00EA5C4F" w:rsidRDefault="00EA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4F" w:rsidRDefault="00EA5C4F">
    <w:pPr>
      <w:pStyle w:val="Sidehoved"/>
    </w:pPr>
    <w:bookmarkStart w:id="2" w:name="BIT_PrimaryHeader"/>
  </w:p>
  <w:bookmarkEnd w:id="2"/>
  <w:p w:rsidR="00EA5C4F" w:rsidRDefault="00EA5C4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4F" w:rsidRPr="00B57D29" w:rsidRDefault="00EA5C4F" w:rsidP="000F4C2E">
    <w:pPr>
      <w:rPr>
        <w:lang w:val="en-GB"/>
      </w:rPr>
    </w:pPr>
    <w:bookmarkStart w:id="3" w:name="BIT_DocumentName"/>
    <w:bookmarkEnd w:id="3"/>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8896"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2480"/>
                  </a:xfrm>
                  <a:prstGeom prst="rect">
                    <a:avLst/>
                  </a:prstGeom>
                </pic:spPr>
              </pic:pic>
            </a:graphicData>
          </a:graphic>
          <wp14:sizeRelH relativeFrom="page">
            <wp14:pctWidth>0</wp14:pctWidth>
          </wp14:sizeRelH>
          <wp14:sizeRelV relativeFrom="page">
            <wp14:pctHeight>0</wp14:pctHeight>
          </wp14:sizeRelV>
        </wp:anchor>
      </w:drawing>
    </w:r>
    <w:r w:rsidRPr="00B57D29">
      <w:rPr>
        <w:noProof/>
      </w:rPr>
      <mc:AlternateContent>
        <mc:Choice Requires="wps">
          <w:drawing>
            <wp:anchor distT="0" distB="0" distL="114300" distR="114300" simplePos="0" relativeHeight="251659264" behindDoc="0" locked="1" layoutInCell="1" allowOverlap="1" wp14:anchorId="5896204C" wp14:editId="1261F55B">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A5C4F">
                            <w:trPr>
                              <w:cantSplit/>
                              <w:trHeight w:val="2778"/>
                            </w:trPr>
                            <w:tc>
                              <w:tcPr>
                                <w:tcW w:w="2755" w:type="dxa"/>
                                <w:tcMar>
                                  <w:top w:w="34" w:type="dxa"/>
                                  <w:left w:w="0" w:type="dxa"/>
                                  <w:bottom w:w="28" w:type="dxa"/>
                                  <w:right w:w="0" w:type="dxa"/>
                                </w:tcMar>
                              </w:tcPr>
                              <w:p w:rsidR="00EA5C4F" w:rsidRPr="000F4C2E" w:rsidRDefault="00EA5C4F">
                                <w:pPr>
                                  <w:pStyle w:val="Kolofontekst"/>
                                </w:pPr>
                                <w:bookmarkStart w:id="4" w:name="OFF_Department"/>
                                <w:bookmarkStart w:id="5" w:name="OFF_DepartmentHIF"/>
                                <w:r>
                                  <w:t>Erhvervsregulering</w:t>
                                </w:r>
                                <w:bookmarkEnd w:id="4"/>
                              </w:p>
                              <w:p w:rsidR="00EA5C4F" w:rsidRPr="000F4C2E" w:rsidRDefault="00EA5C4F">
                                <w:pPr>
                                  <w:pStyle w:val="Kolofontekst"/>
                                  <w:rPr>
                                    <w:vanish/>
                                  </w:rPr>
                                </w:pPr>
                                <w:bookmarkStart w:id="6" w:name="LAN_CaseNo"/>
                                <w:bookmarkStart w:id="7" w:name="sagsnrHIF"/>
                                <w:bookmarkEnd w:id="5"/>
                                <w:r w:rsidRPr="000F4C2E">
                                  <w:rPr>
                                    <w:vanish/>
                                  </w:rPr>
                                  <w:t>J.nr.</w:t>
                                </w:r>
                                <w:bookmarkEnd w:id="6"/>
                                <w:r w:rsidRPr="000F4C2E">
                                  <w:rPr>
                                    <w:vanish/>
                                  </w:rPr>
                                  <w:t xml:space="preserve"> </w:t>
                                </w:r>
                                <w:bookmarkStart w:id="8" w:name="sagsnr"/>
                                <w:bookmarkEnd w:id="8"/>
                              </w:p>
                              <w:p w:rsidR="00EA5C4F" w:rsidRPr="000F4C2E" w:rsidRDefault="00EA5C4F">
                                <w:pPr>
                                  <w:pStyle w:val="Kolofontekst"/>
                                </w:pPr>
                                <w:bookmarkStart w:id="9" w:name="LAN_Ref"/>
                                <w:bookmarkStart w:id="10" w:name="USR_InitialsHIF"/>
                                <w:bookmarkEnd w:id="7"/>
                                <w:r w:rsidRPr="000F4C2E">
                                  <w:t>Ref.</w:t>
                                </w:r>
                                <w:bookmarkEnd w:id="9"/>
                                <w:r w:rsidRPr="000F4C2E">
                                  <w:t xml:space="preserve"> </w:t>
                                </w:r>
                              </w:p>
                              <w:p w:rsidR="00EA5C4F" w:rsidRDefault="00EA5C4F" w:rsidP="0051298B">
                                <w:pPr>
                                  <w:pStyle w:val="Kolofontekst"/>
                                </w:pPr>
                                <w:bookmarkStart w:id="11" w:name="FLD_DocumentDate"/>
                                <w:bookmarkEnd w:id="10"/>
                                <w:r>
                                  <w:t xml:space="preserve">Den </w:t>
                                </w:r>
                                <w:r w:rsidR="00E0711D">
                                  <w:t>6</w:t>
                                </w:r>
                                <w:r>
                                  <w:t>. juni 2018</w:t>
                                </w:r>
                                <w:bookmarkEnd w:id="11"/>
                              </w:p>
                              <w:p w:rsidR="00EA5C4F" w:rsidRDefault="00EA5C4F" w:rsidP="0051298B">
                                <w:pPr>
                                  <w:pStyle w:val="Kolofontekst"/>
                                </w:pPr>
                                <w:r>
                                  <w:t>J.nr. 2018 - 636</w:t>
                                </w:r>
                              </w:p>
                            </w:tc>
                          </w:tr>
                        </w:tbl>
                        <w:p w:rsidR="00EA5C4F" w:rsidRDefault="00EA5C4F" w:rsidP="000F4C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A5C4F">
                      <w:trPr>
                        <w:cantSplit/>
                        <w:trHeight w:val="2778"/>
                      </w:trPr>
                      <w:tc>
                        <w:tcPr>
                          <w:tcW w:w="2755" w:type="dxa"/>
                          <w:tcMar>
                            <w:top w:w="34" w:type="dxa"/>
                            <w:left w:w="0" w:type="dxa"/>
                            <w:bottom w:w="28" w:type="dxa"/>
                            <w:right w:w="0" w:type="dxa"/>
                          </w:tcMar>
                        </w:tcPr>
                        <w:p w:rsidR="00EA5C4F" w:rsidRPr="000F4C2E" w:rsidRDefault="00EA5C4F">
                          <w:pPr>
                            <w:pStyle w:val="Kolofontekst"/>
                          </w:pPr>
                          <w:bookmarkStart w:id="12" w:name="OFF_Department"/>
                          <w:bookmarkStart w:id="13" w:name="OFF_DepartmentHIF"/>
                          <w:r>
                            <w:t>Erhvervsregulering</w:t>
                          </w:r>
                          <w:bookmarkEnd w:id="12"/>
                        </w:p>
                        <w:p w:rsidR="00EA5C4F" w:rsidRPr="000F4C2E" w:rsidRDefault="00EA5C4F">
                          <w:pPr>
                            <w:pStyle w:val="Kolofontekst"/>
                            <w:rPr>
                              <w:vanish/>
                            </w:rPr>
                          </w:pPr>
                          <w:bookmarkStart w:id="14" w:name="LAN_CaseNo"/>
                          <w:bookmarkStart w:id="15" w:name="sagsnrHIF"/>
                          <w:bookmarkEnd w:id="13"/>
                          <w:r w:rsidRPr="000F4C2E">
                            <w:rPr>
                              <w:vanish/>
                            </w:rPr>
                            <w:t>J.nr.</w:t>
                          </w:r>
                          <w:bookmarkEnd w:id="14"/>
                          <w:r w:rsidRPr="000F4C2E">
                            <w:rPr>
                              <w:vanish/>
                            </w:rPr>
                            <w:t xml:space="preserve"> </w:t>
                          </w:r>
                          <w:bookmarkStart w:id="16" w:name="sagsnr"/>
                          <w:bookmarkEnd w:id="16"/>
                        </w:p>
                        <w:p w:rsidR="00EA5C4F" w:rsidRPr="000F4C2E" w:rsidRDefault="00EA5C4F">
                          <w:pPr>
                            <w:pStyle w:val="Kolofontekst"/>
                          </w:pPr>
                          <w:bookmarkStart w:id="17" w:name="LAN_Ref"/>
                          <w:bookmarkStart w:id="18" w:name="USR_InitialsHIF"/>
                          <w:bookmarkEnd w:id="15"/>
                          <w:r w:rsidRPr="000F4C2E">
                            <w:t>Ref.</w:t>
                          </w:r>
                          <w:bookmarkEnd w:id="17"/>
                          <w:r w:rsidRPr="000F4C2E">
                            <w:t xml:space="preserve"> </w:t>
                          </w:r>
                        </w:p>
                        <w:p w:rsidR="00EA5C4F" w:rsidRDefault="00EA5C4F" w:rsidP="0051298B">
                          <w:pPr>
                            <w:pStyle w:val="Kolofontekst"/>
                          </w:pPr>
                          <w:bookmarkStart w:id="19" w:name="FLD_DocumentDate"/>
                          <w:bookmarkEnd w:id="18"/>
                          <w:r>
                            <w:t xml:space="preserve">Den </w:t>
                          </w:r>
                          <w:r w:rsidR="00E0711D">
                            <w:t>6</w:t>
                          </w:r>
                          <w:r>
                            <w:t>. juni 2018</w:t>
                          </w:r>
                          <w:bookmarkEnd w:id="19"/>
                        </w:p>
                        <w:p w:rsidR="00EA5C4F" w:rsidRDefault="00EA5C4F" w:rsidP="0051298B">
                          <w:pPr>
                            <w:pStyle w:val="Kolofontekst"/>
                          </w:pPr>
                          <w:r>
                            <w:t>J.nr. 2018 - 636</w:t>
                          </w:r>
                        </w:p>
                      </w:tc>
                    </w:tr>
                  </w:tbl>
                  <w:p w:rsidR="00EA5C4F" w:rsidRDefault="00EA5C4F" w:rsidP="000F4C2E"/>
                </w:txbxContent>
              </v:textbox>
              <w10:wrap anchorx="margin" anchory="page"/>
              <w10:anchorlock/>
            </v:shape>
          </w:pict>
        </mc:Fallback>
      </mc:AlternateContent>
    </w:r>
  </w:p>
  <w:p w:rsidR="00EA5C4F" w:rsidRDefault="00EA5C4F"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F4F6E1A"/>
    <w:multiLevelType w:val="hybridMultilevel"/>
    <w:tmpl w:val="9ED498F0"/>
    <w:lvl w:ilvl="0" w:tplc="CF28D442">
      <w:start w:val="1"/>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nsid w:val="1737474D"/>
    <w:multiLevelType w:val="hybridMultilevel"/>
    <w:tmpl w:val="89A28248"/>
    <w:lvl w:ilvl="0" w:tplc="C5643B7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nsid w:val="35DB41F6"/>
    <w:multiLevelType w:val="hybridMultilevel"/>
    <w:tmpl w:val="F752CE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6"/>
  </w:num>
  <w:num w:numId="13">
    <w:abstractNumId w:val="15"/>
  </w:num>
  <w:num w:numId="14">
    <w:abstractNumId w:val="8"/>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2E"/>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0F4C2E"/>
    <w:rsid w:val="00103018"/>
    <w:rsid w:val="00104CB1"/>
    <w:rsid w:val="001062D0"/>
    <w:rsid w:val="00113C45"/>
    <w:rsid w:val="00114DE6"/>
    <w:rsid w:val="001210A9"/>
    <w:rsid w:val="001354CC"/>
    <w:rsid w:val="0014150F"/>
    <w:rsid w:val="00144670"/>
    <w:rsid w:val="0014616C"/>
    <w:rsid w:val="00150899"/>
    <w:rsid w:val="00152CB8"/>
    <w:rsid w:val="00156908"/>
    <w:rsid w:val="00160721"/>
    <w:rsid w:val="001743E7"/>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2F2001"/>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E38CA"/>
    <w:rsid w:val="003F0D75"/>
    <w:rsid w:val="0040506D"/>
    <w:rsid w:val="00406784"/>
    <w:rsid w:val="00406AF1"/>
    <w:rsid w:val="00407A11"/>
    <w:rsid w:val="00407C2F"/>
    <w:rsid w:val="0041385B"/>
    <w:rsid w:val="00414BA2"/>
    <w:rsid w:val="00415BC0"/>
    <w:rsid w:val="004208E6"/>
    <w:rsid w:val="004232F9"/>
    <w:rsid w:val="00432395"/>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4F6F"/>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298B"/>
    <w:rsid w:val="0051781E"/>
    <w:rsid w:val="00520971"/>
    <w:rsid w:val="005267CB"/>
    <w:rsid w:val="00531869"/>
    <w:rsid w:val="00535B7D"/>
    <w:rsid w:val="0054526A"/>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853A9"/>
    <w:rsid w:val="00892B13"/>
    <w:rsid w:val="00894323"/>
    <w:rsid w:val="008A1C6B"/>
    <w:rsid w:val="008A73A4"/>
    <w:rsid w:val="008B1B83"/>
    <w:rsid w:val="008B3ADA"/>
    <w:rsid w:val="008C5F4A"/>
    <w:rsid w:val="008D1674"/>
    <w:rsid w:val="008E3990"/>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482A"/>
    <w:rsid w:val="009C6BB2"/>
    <w:rsid w:val="009E27B6"/>
    <w:rsid w:val="009E46B7"/>
    <w:rsid w:val="009E7920"/>
    <w:rsid w:val="009F368F"/>
    <w:rsid w:val="009F4367"/>
    <w:rsid w:val="009F7033"/>
    <w:rsid w:val="00A011F0"/>
    <w:rsid w:val="00A03CE6"/>
    <w:rsid w:val="00A03E48"/>
    <w:rsid w:val="00A11F5A"/>
    <w:rsid w:val="00A158CB"/>
    <w:rsid w:val="00A24A07"/>
    <w:rsid w:val="00A349EC"/>
    <w:rsid w:val="00A34B40"/>
    <w:rsid w:val="00A36292"/>
    <w:rsid w:val="00A36D64"/>
    <w:rsid w:val="00A3749F"/>
    <w:rsid w:val="00A44A6B"/>
    <w:rsid w:val="00A51DBA"/>
    <w:rsid w:val="00A5408B"/>
    <w:rsid w:val="00A556CE"/>
    <w:rsid w:val="00A67D37"/>
    <w:rsid w:val="00A72DDE"/>
    <w:rsid w:val="00A81A30"/>
    <w:rsid w:val="00A85ECD"/>
    <w:rsid w:val="00A923E2"/>
    <w:rsid w:val="00A964CE"/>
    <w:rsid w:val="00A96C60"/>
    <w:rsid w:val="00AA12DA"/>
    <w:rsid w:val="00AA4437"/>
    <w:rsid w:val="00AB363A"/>
    <w:rsid w:val="00AC35D6"/>
    <w:rsid w:val="00AD678B"/>
    <w:rsid w:val="00AE41A1"/>
    <w:rsid w:val="00AE5A17"/>
    <w:rsid w:val="00AF5AF6"/>
    <w:rsid w:val="00B13BB6"/>
    <w:rsid w:val="00B2565D"/>
    <w:rsid w:val="00B30727"/>
    <w:rsid w:val="00B33A35"/>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1383"/>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5B78"/>
    <w:rsid w:val="00CA6429"/>
    <w:rsid w:val="00CA6ADF"/>
    <w:rsid w:val="00CB5C14"/>
    <w:rsid w:val="00CC12A8"/>
    <w:rsid w:val="00CC3891"/>
    <w:rsid w:val="00CC6892"/>
    <w:rsid w:val="00CD31FE"/>
    <w:rsid w:val="00CD4F1D"/>
    <w:rsid w:val="00CE1EC6"/>
    <w:rsid w:val="00CE4F17"/>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1B0E"/>
    <w:rsid w:val="00DF2F94"/>
    <w:rsid w:val="00E0711D"/>
    <w:rsid w:val="00E078CB"/>
    <w:rsid w:val="00E1113C"/>
    <w:rsid w:val="00E11688"/>
    <w:rsid w:val="00E26EAA"/>
    <w:rsid w:val="00E27CC3"/>
    <w:rsid w:val="00E30FCA"/>
    <w:rsid w:val="00E3689B"/>
    <w:rsid w:val="00E36F97"/>
    <w:rsid w:val="00E42057"/>
    <w:rsid w:val="00E44C4F"/>
    <w:rsid w:val="00E62BEE"/>
    <w:rsid w:val="00E63075"/>
    <w:rsid w:val="00E644BF"/>
    <w:rsid w:val="00E70148"/>
    <w:rsid w:val="00E73A40"/>
    <w:rsid w:val="00E806E3"/>
    <w:rsid w:val="00E81697"/>
    <w:rsid w:val="00E87D86"/>
    <w:rsid w:val="00E928D4"/>
    <w:rsid w:val="00E94852"/>
    <w:rsid w:val="00EA4D25"/>
    <w:rsid w:val="00EA576F"/>
    <w:rsid w:val="00EA5C4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3372">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Brev.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Brev.dotx</Template>
  <TotalTime>1</TotalTime>
  <Pages>13</Pages>
  <Words>4250</Words>
  <Characters>26695</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MFVM</dc:creator>
  <cp:lastModifiedBy>Malene Linderoth</cp:lastModifiedBy>
  <cp:revision>2</cp:revision>
  <cp:lastPrinted>2018-06-01T13:14:00Z</cp:lastPrinted>
  <dcterms:created xsi:type="dcterms:W3CDTF">2018-06-06T10:48:00Z</dcterms:created>
  <dcterms:modified xsi:type="dcterms:W3CDTF">2018-06-06T10:48:00Z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43251</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notat</vt:lpwstr>
  </property>
  <property fmtid="{D5CDD505-2E9C-101B-9397-08002B2CF9AE}" pid="17" name="SD_CtlText_Generelt_CaseNo">
    <vt:lpwstr/>
  </property>
  <property fmtid="{D5CDD505-2E9C-101B-9397-08002B2CF9AE}" pid="18" name="SD_UserprofileName">
    <vt:lpwstr>notat</vt:lpwstr>
  </property>
  <property fmtid="{D5CDD505-2E9C-101B-9397-08002B2CF9AE}" pid="19" name="SD_Office_OFF_ID">
    <vt:lpwstr>26</vt:lpwstr>
  </property>
  <property fmtid="{D5CDD505-2E9C-101B-9397-08002B2CF9AE}" pid="20" name="CurrentOfficeID">
    <vt:lpwstr>26</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Landbrug</vt:lpwstr>
  </property>
  <property fmtid="{D5CDD505-2E9C-101B-9397-08002B2CF9AE}" pid="27" name="SD_Office_OFF_Department">
    <vt:lpwstr>Landbrug</vt:lpwstr>
  </property>
  <property fmtid="{D5CDD505-2E9C-101B-9397-08002B2CF9AE}" pid="28" name="SD_Office_OFF_Department_EN">
    <vt:lpwstr>Landbrug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Anne-Marie Madsen</vt:lpwstr>
  </property>
  <property fmtid="{D5CDD505-2E9C-101B-9397-08002B2CF9AE}" pid="49" name="USR_Initials">
    <vt:lpwstr>AMADS</vt:lpwstr>
  </property>
  <property fmtid="{D5CDD505-2E9C-101B-9397-08002B2CF9AE}" pid="50" name="USR_Title">
    <vt:lpwstr>Specialkonsulent</vt:lpwstr>
  </property>
  <property fmtid="{D5CDD505-2E9C-101B-9397-08002B2CF9AE}" pid="51" name="USR_DirectPhone">
    <vt:lpwstr>+45 20 61 15 40</vt:lpwstr>
  </property>
  <property fmtid="{D5CDD505-2E9C-101B-9397-08002B2CF9AE}" pid="52" name="USR_Mobile">
    <vt:lpwstr>+45 20 61 15 40</vt:lpwstr>
  </property>
  <property fmtid="{D5CDD505-2E9C-101B-9397-08002B2CF9AE}" pid="53" name="USR_Email">
    <vt:lpwstr>amads@mfvm.dk</vt:lpwstr>
  </property>
  <property fmtid="{D5CDD505-2E9C-101B-9397-08002B2CF9AE}" pid="54" name="DocumentInfoFinished">
    <vt:lpwstr>True</vt:lpwstr>
  </property>
</Properties>
</file>