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5A" w:rsidRDefault="0065605A"/>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512B26" w:rsidTr="00B35FD5">
        <w:trPr>
          <w:cantSplit/>
          <w:trHeight w:val="3159"/>
        </w:trPr>
        <w:tc>
          <w:tcPr>
            <w:tcW w:w="7144" w:type="dxa"/>
          </w:tcPr>
          <w:p w:rsidR="001E63D8" w:rsidRPr="00633FFB" w:rsidRDefault="001E63D8" w:rsidP="008D1674">
            <w:pPr>
              <w:tabs>
                <w:tab w:val="left" w:pos="6511"/>
              </w:tabs>
              <w:rPr>
                <w:rFonts w:cs="Arial"/>
                <w:b/>
                <w:szCs w:val="22"/>
              </w:rPr>
            </w:pPr>
            <w:bookmarkStart w:id="0" w:name="AdresseET"/>
            <w:bookmarkStart w:id="1" w:name="AdresseTRE"/>
            <w:bookmarkStart w:id="2" w:name="Postnr"/>
            <w:bookmarkStart w:id="3" w:name="By"/>
            <w:bookmarkStart w:id="4" w:name="Land"/>
            <w:bookmarkEnd w:id="0"/>
            <w:bookmarkEnd w:id="1"/>
            <w:bookmarkEnd w:id="2"/>
            <w:bookmarkEnd w:id="3"/>
            <w:bookmarkEnd w:id="4"/>
          </w:p>
        </w:tc>
      </w:tr>
    </w:tbl>
    <w:p w:rsidR="00A85ECD" w:rsidRPr="00356140" w:rsidRDefault="00512B26" w:rsidP="00356140">
      <w:pPr>
        <w:rPr>
          <w:b/>
        </w:rPr>
      </w:pPr>
      <w:bookmarkStart w:id="5" w:name="_Toc508893310"/>
      <w:bookmarkStart w:id="6" w:name="_Toc510619307"/>
      <w:r w:rsidRPr="00356140">
        <w:rPr>
          <w:b/>
        </w:rPr>
        <w:t xml:space="preserve">Høring af </w:t>
      </w:r>
      <w:r w:rsidR="002C6AA2" w:rsidRPr="00356140">
        <w:rPr>
          <w:b/>
        </w:rPr>
        <w:t xml:space="preserve">ny </w:t>
      </w:r>
      <w:r w:rsidR="005D1E15" w:rsidRPr="00356140">
        <w:rPr>
          <w:b/>
        </w:rPr>
        <w:t>husdyrgodkendelsesbekendtgørelse</w:t>
      </w:r>
      <w:r w:rsidR="002C6AA2" w:rsidRPr="00356140">
        <w:rPr>
          <w:b/>
        </w:rPr>
        <w:t xml:space="preserve"> (nye emissionsfakt</w:t>
      </w:r>
      <w:r w:rsidR="002C6AA2" w:rsidRPr="00356140">
        <w:rPr>
          <w:b/>
        </w:rPr>
        <w:t>o</w:t>
      </w:r>
      <w:r w:rsidR="002C6AA2" w:rsidRPr="00356140">
        <w:rPr>
          <w:b/>
        </w:rPr>
        <w:t>rer, nye anmeldeordninger m.v.)</w:t>
      </w:r>
      <w:bookmarkEnd w:id="5"/>
      <w:bookmarkEnd w:id="6"/>
      <w:r w:rsidR="005D1E15" w:rsidRPr="00356140">
        <w:rPr>
          <w:b/>
        </w:rPr>
        <w:t xml:space="preserve"> </w:t>
      </w:r>
      <w:bookmarkStart w:id="7" w:name="_GoBack"/>
      <w:bookmarkEnd w:id="7"/>
    </w:p>
    <w:p w:rsidR="004830C6" w:rsidRPr="00512B26" w:rsidRDefault="004830C6" w:rsidP="00FE7E77"/>
    <w:p w:rsidR="000E2F7B" w:rsidRDefault="000E2F7B" w:rsidP="000E2F7B">
      <w:pPr>
        <w:pStyle w:val="Default"/>
      </w:pPr>
    </w:p>
    <w:p w:rsidR="00F96E73" w:rsidRDefault="000E2F7B" w:rsidP="000E2F7B">
      <w:r>
        <w:t xml:space="preserve">Miljø- og Fødevareministeriet sender </w:t>
      </w:r>
      <w:r w:rsidR="00E201D1">
        <w:t>hermed</w:t>
      </w:r>
      <w:r w:rsidR="003A695E">
        <w:t xml:space="preserve"> </w:t>
      </w:r>
      <w:r w:rsidR="00E201D1">
        <w:t>udkast til ny husdyrgodkendelsesb</w:t>
      </w:r>
      <w:r w:rsidR="00E201D1">
        <w:t>e</w:t>
      </w:r>
      <w:r w:rsidR="00E201D1">
        <w:t xml:space="preserve">kendtgørelse </w:t>
      </w:r>
      <w:r>
        <w:t xml:space="preserve">i offentlig høring. </w:t>
      </w:r>
    </w:p>
    <w:p w:rsidR="00F96E73" w:rsidRDefault="00F96E73" w:rsidP="000E2F7B"/>
    <w:p w:rsidR="00112D66" w:rsidRDefault="000E2F7B" w:rsidP="000E2F7B">
      <w:r>
        <w:t>Høringssvar bedes senest den</w:t>
      </w:r>
      <w:r w:rsidR="00FD216B">
        <w:t xml:space="preserve"> </w:t>
      </w:r>
      <w:r w:rsidR="00FD3576">
        <w:t>27</w:t>
      </w:r>
      <w:r w:rsidR="00FD216B">
        <w:t>. juni</w:t>
      </w:r>
      <w:r>
        <w:t xml:space="preserve"> 2018, kl. 12.00, sendt pr. e-mail til</w:t>
      </w:r>
      <w:r w:rsidR="00737214">
        <w:t xml:space="preserve"> </w:t>
      </w:r>
      <w:r w:rsidR="00EF259C">
        <w:t>mfvm</w:t>
      </w:r>
      <w:r>
        <w:t>@m</w:t>
      </w:r>
      <w:r w:rsidR="00112D66">
        <w:t>fvm</w:t>
      </w:r>
      <w:r>
        <w:t>.dk med cc til amads@</w:t>
      </w:r>
      <w:r w:rsidR="00112D66">
        <w:t>mfvm</w:t>
      </w:r>
      <w:r>
        <w:t xml:space="preserve">.dk med angivelse af j.nr. </w:t>
      </w:r>
      <w:r w:rsidR="00EF259C">
        <w:t>2018-</w:t>
      </w:r>
      <w:r w:rsidR="00C466C1">
        <w:t>636.</w:t>
      </w:r>
    </w:p>
    <w:p w:rsidR="000E2F7B" w:rsidRDefault="000E2F7B" w:rsidP="000E2F7B"/>
    <w:p w:rsidR="005D1E15" w:rsidRDefault="000E2F7B" w:rsidP="000E2F7B">
      <w:r>
        <w:t>Miljø</w:t>
      </w:r>
      <w:r w:rsidR="00112D66">
        <w:t>- og Fødevareministeriet</w:t>
      </w:r>
      <w:r>
        <w:t xml:space="preserve"> gør opmærksom på, at man ved afgivelse af høring</w:t>
      </w:r>
      <w:r>
        <w:t>s</w:t>
      </w:r>
      <w:r>
        <w:t>svar giver</w:t>
      </w:r>
      <w:r w:rsidR="00F96E73">
        <w:t xml:space="preserve"> </w:t>
      </w:r>
      <w:r>
        <w:t>samtykke til, at svaret, herunder afsenders navn og mailadresse, offen</w:t>
      </w:r>
      <w:r>
        <w:t>t</w:t>
      </w:r>
      <w:r>
        <w:t>liggøres på</w:t>
      </w:r>
      <w:r w:rsidR="00F96E73">
        <w:t xml:space="preserve"> </w:t>
      </w:r>
      <w:r w:rsidR="005D1E15">
        <w:t>Høringsportalen efterfølgend</w:t>
      </w:r>
      <w:r w:rsidR="00E201D1">
        <w:t>e.</w:t>
      </w:r>
    </w:p>
    <w:p w:rsidR="00804407" w:rsidRDefault="00804407" w:rsidP="000E2F7B"/>
    <w:p w:rsidR="002C6AA2" w:rsidRDefault="002C6AA2" w:rsidP="002C6AA2">
      <w:r w:rsidRPr="000816B7">
        <w:t xml:space="preserve">Ændringerne vil blive gennemført </w:t>
      </w:r>
      <w:r>
        <w:t>med forventet ikrafttræde</w:t>
      </w:r>
      <w:r w:rsidR="00FD3576">
        <w:t>n</w:t>
      </w:r>
      <w:r>
        <w:t xml:space="preserve"> den 1. august 2018.</w:t>
      </w:r>
    </w:p>
    <w:p w:rsidR="00804407" w:rsidRDefault="00804407" w:rsidP="000E2F7B"/>
    <w:p w:rsidR="00804407" w:rsidRDefault="00804407" w:rsidP="000E2F7B">
      <w:r>
        <w:t xml:space="preserve">Der henvises endvidere til, at </w:t>
      </w:r>
      <w:r w:rsidR="007C2F24">
        <w:t xml:space="preserve">udkast til screeningsafgørelse med bilag </w:t>
      </w:r>
      <w:r>
        <w:t>over æ</w:t>
      </w:r>
      <w:r>
        <w:t>n</w:t>
      </w:r>
      <w:r>
        <w:t xml:space="preserve">dringer i husdyrgodkendelsesbekendtgørelsen, som kan have væsentlig virkning på miljøet, samtidig er sendt i offentlig høring. </w:t>
      </w:r>
      <w:r w:rsidR="007C2F24">
        <w:t>Screeningsafgørelsen</w:t>
      </w:r>
      <w:r>
        <w:t xml:space="preserve"> er udarbejdet i henhold til lovbekendtgørelse nr. </w:t>
      </w:r>
      <w:r w:rsidRPr="00804407">
        <w:t>448 af 10</w:t>
      </w:r>
      <w:r>
        <w:t xml:space="preserve">. maj </w:t>
      </w:r>
      <w:r w:rsidRPr="00804407">
        <w:t>2017 af lov om miljøvurdering af planer og programmer og af konkrete projekter (VVM)</w:t>
      </w:r>
      <w:r>
        <w:t xml:space="preserve"> efter en indledende a</w:t>
      </w:r>
      <w:r>
        <w:t>f</w:t>
      </w:r>
      <w:r>
        <w:t>græ</w:t>
      </w:r>
      <w:r w:rsidR="0014661C">
        <w:t>n</w:t>
      </w:r>
      <w:r>
        <w:t xml:space="preserve">sningshøring af berørte myndigheder. </w:t>
      </w:r>
      <w:r w:rsidR="007C2F24">
        <w:t>Screeningsafg</w:t>
      </w:r>
      <w:r w:rsidR="007C2F24">
        <w:t>ø</w:t>
      </w:r>
      <w:r w:rsidR="007C2F24">
        <w:t>relsen med bilag</w:t>
      </w:r>
      <w:r>
        <w:t xml:space="preserve"> er tilgængelig på høringsportalen.</w:t>
      </w:r>
    </w:p>
    <w:p w:rsidR="005D1E15" w:rsidRDefault="005D1E15" w:rsidP="000E2F7B"/>
    <w:p w:rsidR="005D7C45" w:rsidRDefault="00E201D1" w:rsidP="00F96E73">
      <w:r>
        <w:t>Ændringerne i husdyrgodkendelsesbekendtgørelsen omfatter navnlig</w:t>
      </w:r>
      <w:r w:rsidR="005D7C45">
        <w:t>:</w:t>
      </w:r>
    </w:p>
    <w:p w:rsidR="005D7C45" w:rsidRDefault="005D7C45" w:rsidP="005D7C45">
      <w:pPr>
        <w:pStyle w:val="Listeafsnit"/>
        <w:numPr>
          <w:ilvl w:val="0"/>
          <w:numId w:val="17"/>
        </w:numPr>
      </w:pPr>
      <w:r>
        <w:t>O</w:t>
      </w:r>
      <w:r w:rsidR="00E201D1">
        <w:t>pdaterede emissionsfaktorer</w:t>
      </w:r>
      <w:r>
        <w:t xml:space="preserve"> for kvæg, opdaterede BAT-krav for kvæg i nye staldafsnit og opdaterede BAT-krav for kvæg i eksisterende staldafsnit samt mulighed for at anmelde bortfald af vilkår om spalteskrabere i eks</w:t>
      </w:r>
      <w:r>
        <w:t>i</w:t>
      </w:r>
      <w:r>
        <w:t>sterende godkendelser og tilladelser i konsekvens af, at spalteskrabere er udgået af Miljøstyrelsens teknologiliste</w:t>
      </w:r>
    </w:p>
    <w:p w:rsidR="00FD216B" w:rsidRDefault="00F94596" w:rsidP="00FD216B">
      <w:pPr>
        <w:pStyle w:val="Listeafsnit"/>
        <w:numPr>
          <w:ilvl w:val="0"/>
          <w:numId w:val="17"/>
        </w:numPr>
      </w:pPr>
      <w:r>
        <w:t xml:space="preserve">Indførelse af en </w:t>
      </w:r>
      <w:r w:rsidR="00E201D1">
        <w:t>anmeldeordning for gødningsopbevaringsanlæg</w:t>
      </w:r>
      <w:r w:rsidR="005D7C45">
        <w:t xml:space="preserve"> </w:t>
      </w:r>
      <w:r w:rsidR="00FD216B">
        <w:t>der</w:t>
      </w:r>
      <w:r w:rsidR="00FD216B" w:rsidRPr="00FD216B">
        <w:t xml:space="preserve"> </w:t>
      </w:r>
      <w:r w:rsidR="00FD216B">
        <w:t>pa</w:t>
      </w:r>
      <w:r w:rsidR="00FD216B">
        <w:t>s</w:t>
      </w:r>
      <w:r w:rsidR="00FD216B">
        <w:t>ser til den nye emissions</w:t>
      </w:r>
      <w:r w:rsidR="00FD3576">
        <w:t xml:space="preserve">orienterede </w:t>
      </w:r>
      <w:r w:rsidR="00FD216B">
        <w:t xml:space="preserve">husdyrregulering </w:t>
      </w:r>
    </w:p>
    <w:p w:rsidR="0014661C" w:rsidRDefault="0014661C" w:rsidP="00FD216B">
      <w:pPr>
        <w:pStyle w:val="Listeafsnit"/>
        <w:numPr>
          <w:ilvl w:val="0"/>
          <w:numId w:val="17"/>
        </w:numPr>
      </w:pPr>
      <w:r>
        <w:t>Indførelse af mulighed for skift mellem tung race og Jersey i anmeldeor</w:t>
      </w:r>
      <w:r>
        <w:t>d</w:t>
      </w:r>
      <w:r>
        <w:t>ningerne for skift mellem dyretyper</w:t>
      </w:r>
    </w:p>
    <w:p w:rsidR="005D7C45" w:rsidRDefault="005D7C45" w:rsidP="00FD216B">
      <w:pPr>
        <w:pStyle w:val="Listeafsnit"/>
        <w:numPr>
          <w:ilvl w:val="0"/>
          <w:numId w:val="17"/>
        </w:numPr>
      </w:pPr>
      <w:r>
        <w:t xml:space="preserve">Ophævelse af </w:t>
      </w:r>
      <w:r w:rsidR="00737214">
        <w:t>anmeldeordningen for emissionsorienteret produktionsti</w:t>
      </w:r>
      <w:r w:rsidR="00737214">
        <w:t>l</w:t>
      </w:r>
      <w:r w:rsidR="00737214">
        <w:t xml:space="preserve">pasning for slagtesvin </w:t>
      </w:r>
    </w:p>
    <w:p w:rsidR="00B12CA0" w:rsidRDefault="00C66392" w:rsidP="00FD216B">
      <w:pPr>
        <w:pStyle w:val="Listeafsnit"/>
        <w:numPr>
          <w:ilvl w:val="0"/>
          <w:numId w:val="17"/>
        </w:numPr>
      </w:pPr>
      <w:r>
        <w:t>E</w:t>
      </w:r>
      <w:r w:rsidR="00B12CA0">
        <w:t>missionsfaktorer for avlstyre</w:t>
      </w:r>
    </w:p>
    <w:p w:rsidR="0014661C" w:rsidRDefault="0014661C" w:rsidP="00FD216B">
      <w:pPr>
        <w:pStyle w:val="Listeafsnit"/>
        <w:numPr>
          <w:ilvl w:val="0"/>
          <w:numId w:val="17"/>
        </w:numPr>
      </w:pPr>
      <w:r>
        <w:lastRenderedPageBreak/>
        <w:t>Justering af beregning af geneafstande for lugt efter FMK-modellen</w:t>
      </w:r>
    </w:p>
    <w:p w:rsidR="000D55BC" w:rsidRDefault="000B6592" w:rsidP="00FD216B">
      <w:pPr>
        <w:pStyle w:val="Listeafsnit"/>
        <w:numPr>
          <w:ilvl w:val="0"/>
          <w:numId w:val="17"/>
        </w:numPr>
      </w:pPr>
      <w:r>
        <w:t>Mindre ændringer</w:t>
      </w:r>
      <w:r w:rsidR="000D55BC">
        <w:t xml:space="preserve"> af </w:t>
      </w:r>
      <w:r>
        <w:t>lugt</w:t>
      </w:r>
      <w:r w:rsidR="000D55BC">
        <w:t>regl</w:t>
      </w:r>
      <w:r>
        <w:t>er, herunder navnlig ophævelse af "120</w:t>
      </w:r>
      <w:proofErr w:type="gramStart"/>
      <w:r>
        <w:t xml:space="preserve"> %-reglen</w:t>
      </w:r>
      <w:proofErr w:type="gramEnd"/>
      <w:r w:rsidR="00250DA4">
        <w:t>"</w:t>
      </w:r>
      <w:r>
        <w:t xml:space="preserve"> og justering af </w:t>
      </w:r>
      <w:r w:rsidR="000D55BC">
        <w:t>"50 %-reglen"</w:t>
      </w:r>
    </w:p>
    <w:p w:rsidR="00804407" w:rsidRDefault="00804407" w:rsidP="005D7C45"/>
    <w:p w:rsidR="00804407" w:rsidRDefault="00804407" w:rsidP="005D7C45">
      <w:r>
        <w:t>Som følge af at anmeldeordningen for opbevaringsanlæg til husdyrgødning indpl</w:t>
      </w:r>
      <w:r>
        <w:t>a</w:t>
      </w:r>
      <w:r>
        <w:t>ceres som ny § 12 i kapitel 6, der gælder for alle husdyrbrug, rykker de efterfølge</w:t>
      </w:r>
      <w:r>
        <w:t>n</w:t>
      </w:r>
      <w:r>
        <w:t>de bestemmelser et nummer. Den hidtil gældende § 12 bliver således § 13 og så fremdeles.</w:t>
      </w:r>
    </w:p>
    <w:p w:rsidR="005D7C45" w:rsidRDefault="005D7C45" w:rsidP="005D7C45"/>
    <w:p w:rsidR="002C6AA2" w:rsidRDefault="002C6AA2" w:rsidP="002C6AA2">
      <w:r>
        <w:t>De foreslåede ændringer beskrives nærmere nedenfor. Rettelser, der har karakter af ren korrektur og lignende, omtales ikke.</w:t>
      </w:r>
    </w:p>
    <w:p w:rsidR="002C6AA2" w:rsidRDefault="002C6AA2" w:rsidP="002C6AA2"/>
    <w:p w:rsidR="002C6AA2" w:rsidRDefault="002C6AA2" w:rsidP="002C6AA2"/>
    <w:p w:rsidR="002C6AA2" w:rsidRDefault="002C6AA2" w:rsidP="002C6AA2">
      <w:pPr>
        <w:rPr>
          <w:i/>
        </w:rPr>
      </w:pPr>
      <w:r>
        <w:rPr>
          <w:i/>
        </w:rPr>
        <w:t>Eventuelle spørgsmål til bekendtgørelsesudkastet kan rettes til</w:t>
      </w:r>
    </w:p>
    <w:p w:rsidR="002C6AA2" w:rsidRDefault="00FD3576" w:rsidP="002C6AA2">
      <w:r>
        <w:t xml:space="preserve">Malene Linderoth, </w:t>
      </w:r>
      <w:hyperlink r:id="rId9" w:history="1">
        <w:r w:rsidRPr="005E4641">
          <w:rPr>
            <w:rStyle w:val="Hyperlink"/>
          </w:rPr>
          <w:t>mlind@mfvm.dk</w:t>
        </w:r>
      </w:hyperlink>
      <w:r>
        <w:t xml:space="preserve">, eller Anne-Marie Madsen, </w:t>
      </w:r>
      <w:hyperlink r:id="rId10" w:history="1">
        <w:r w:rsidRPr="005E4641">
          <w:rPr>
            <w:rStyle w:val="Hyperlink"/>
          </w:rPr>
          <w:t>amads@mfvm.dk</w:t>
        </w:r>
      </w:hyperlink>
    </w:p>
    <w:p w:rsidR="00FD3576" w:rsidRDefault="00FD3576" w:rsidP="002C6AA2"/>
    <w:p w:rsidR="002C6AA2" w:rsidRDefault="002C6AA2" w:rsidP="002C6AA2"/>
    <w:p w:rsidR="002C6AA2" w:rsidRDefault="002C6AA2" w:rsidP="002C6AA2"/>
    <w:p w:rsidR="002C6AA2" w:rsidRDefault="002C6AA2" w:rsidP="002C6AA2">
      <w:r>
        <w:t>Med venlig hilsen</w:t>
      </w:r>
    </w:p>
    <w:p w:rsidR="00FD3576" w:rsidRDefault="00FD3576" w:rsidP="002C6AA2"/>
    <w:p w:rsidR="002C6AA2" w:rsidRDefault="00FD3576" w:rsidP="002C6AA2">
      <w:r>
        <w:t>Anne-Marie Madsen</w:t>
      </w:r>
    </w:p>
    <w:p w:rsidR="002C6AA2" w:rsidRDefault="002C6AA2">
      <w:r>
        <w:br w:type="page"/>
      </w:r>
    </w:p>
    <w:p w:rsidR="003864F5" w:rsidRDefault="003864F5" w:rsidP="00356140">
      <w:pPr>
        <w:rPr>
          <w:rFonts w:eastAsiaTheme="minorHAnsi"/>
          <w:lang w:eastAsia="en-US"/>
        </w:rPr>
      </w:pPr>
    </w:p>
    <w:sdt>
      <w:sdtPr>
        <w:rPr>
          <w:rFonts w:eastAsia="Times New Roman" w:cs="Times New Roman"/>
          <w:sz w:val="20"/>
          <w:szCs w:val="20"/>
          <w:lang w:eastAsia="da-DK"/>
        </w:rPr>
        <w:id w:val="-312565057"/>
        <w:docPartObj>
          <w:docPartGallery w:val="Table of Contents"/>
          <w:docPartUnique/>
        </w:docPartObj>
      </w:sdtPr>
      <w:sdtEndPr>
        <w:rPr>
          <w:b/>
          <w:bCs/>
        </w:rPr>
      </w:sdtEndPr>
      <w:sdtContent>
        <w:p w:rsidR="00356140" w:rsidRDefault="00356140">
          <w:pPr>
            <w:pStyle w:val="Overskrift"/>
          </w:pPr>
          <w:r>
            <w:t>Indhold</w:t>
          </w:r>
        </w:p>
        <w:p w:rsidR="002C7A6C" w:rsidRDefault="00356140">
          <w:pPr>
            <w:pStyle w:val="Indholdsfortegnelse1"/>
            <w:tabs>
              <w:tab w:val="left" w:pos="851"/>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514857920" w:history="1">
            <w:r w:rsidR="002C7A6C" w:rsidRPr="002808B3">
              <w:rPr>
                <w:rStyle w:val="Hyperlink"/>
                <w:noProof/>
              </w:rPr>
              <w:t>1</w:t>
            </w:r>
            <w:r w:rsidR="002C7A6C">
              <w:rPr>
                <w:rFonts w:asciiTheme="minorHAnsi" w:eastAsiaTheme="minorEastAsia" w:hAnsiTheme="minorHAnsi"/>
                <w:b w:val="0"/>
                <w:noProof/>
                <w:sz w:val="22"/>
                <w:szCs w:val="22"/>
                <w:lang w:eastAsia="da-DK"/>
              </w:rPr>
              <w:tab/>
            </w:r>
            <w:r w:rsidR="002C7A6C" w:rsidRPr="002808B3">
              <w:rPr>
                <w:rStyle w:val="Hyperlink"/>
                <w:noProof/>
              </w:rPr>
              <w:t>Indholdet af de foreslåede ændringer af husdyrgodkendelsesbekendtgørelsen</w:t>
            </w:r>
            <w:r w:rsidR="002C7A6C">
              <w:rPr>
                <w:noProof/>
                <w:webHidden/>
              </w:rPr>
              <w:tab/>
            </w:r>
            <w:r w:rsidR="002C7A6C">
              <w:rPr>
                <w:noProof/>
                <w:webHidden/>
              </w:rPr>
              <w:fldChar w:fldCharType="begin"/>
            </w:r>
            <w:r w:rsidR="002C7A6C">
              <w:rPr>
                <w:noProof/>
                <w:webHidden/>
              </w:rPr>
              <w:instrText xml:space="preserve"> PAGEREF _Toc514857920 \h </w:instrText>
            </w:r>
            <w:r w:rsidR="002C7A6C">
              <w:rPr>
                <w:noProof/>
                <w:webHidden/>
              </w:rPr>
            </w:r>
            <w:r w:rsidR="002C7A6C">
              <w:rPr>
                <w:noProof/>
                <w:webHidden/>
              </w:rPr>
              <w:fldChar w:fldCharType="separate"/>
            </w:r>
            <w:r w:rsidR="004F2941">
              <w:rPr>
                <w:noProof/>
                <w:webHidden/>
              </w:rPr>
              <w:t>4</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1" w:history="1">
            <w:r w:rsidR="002C7A6C" w:rsidRPr="002808B3">
              <w:rPr>
                <w:rStyle w:val="Hyperlink"/>
                <w:noProof/>
              </w:rPr>
              <w:t>1.1</w:t>
            </w:r>
            <w:r w:rsidR="002C7A6C">
              <w:rPr>
                <w:rFonts w:asciiTheme="minorHAnsi" w:eastAsiaTheme="minorEastAsia" w:hAnsiTheme="minorHAnsi"/>
                <w:noProof/>
                <w:sz w:val="22"/>
                <w:szCs w:val="22"/>
                <w:lang w:eastAsia="da-DK"/>
              </w:rPr>
              <w:tab/>
            </w:r>
            <w:r w:rsidR="002C7A6C" w:rsidRPr="002808B3">
              <w:rPr>
                <w:rStyle w:val="Hyperlink"/>
                <w:noProof/>
              </w:rPr>
              <w:t>Husdyrbruglovens og bekendtgørelsens anvendelsesområde</w:t>
            </w:r>
            <w:r w:rsidR="002C7A6C">
              <w:rPr>
                <w:noProof/>
                <w:webHidden/>
              </w:rPr>
              <w:tab/>
            </w:r>
            <w:r w:rsidR="002C7A6C">
              <w:rPr>
                <w:noProof/>
                <w:webHidden/>
              </w:rPr>
              <w:fldChar w:fldCharType="begin"/>
            </w:r>
            <w:r w:rsidR="002C7A6C">
              <w:rPr>
                <w:noProof/>
                <w:webHidden/>
              </w:rPr>
              <w:instrText xml:space="preserve"> PAGEREF _Toc514857921 \h </w:instrText>
            </w:r>
            <w:r w:rsidR="002C7A6C">
              <w:rPr>
                <w:noProof/>
                <w:webHidden/>
              </w:rPr>
            </w:r>
            <w:r w:rsidR="002C7A6C">
              <w:rPr>
                <w:noProof/>
                <w:webHidden/>
              </w:rPr>
              <w:fldChar w:fldCharType="separate"/>
            </w:r>
            <w:r w:rsidR="004F2941">
              <w:rPr>
                <w:noProof/>
                <w:webHidden/>
              </w:rPr>
              <w:t>4</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2" w:history="1">
            <w:r w:rsidR="002C7A6C" w:rsidRPr="002808B3">
              <w:rPr>
                <w:rStyle w:val="Hyperlink"/>
                <w:noProof/>
              </w:rPr>
              <w:t>1.2</w:t>
            </w:r>
            <w:r w:rsidR="002C7A6C">
              <w:rPr>
                <w:rFonts w:asciiTheme="minorHAnsi" w:eastAsiaTheme="minorEastAsia" w:hAnsiTheme="minorHAnsi"/>
                <w:noProof/>
                <w:sz w:val="22"/>
                <w:szCs w:val="22"/>
                <w:lang w:eastAsia="da-DK"/>
              </w:rPr>
              <w:tab/>
            </w:r>
            <w:r w:rsidR="002C7A6C" w:rsidRPr="002808B3">
              <w:rPr>
                <w:rStyle w:val="Hyperlink"/>
                <w:noProof/>
              </w:rPr>
              <w:t>Ændring af anmeldeordning for ensilageopbevaringsanlæg</w:t>
            </w:r>
            <w:r w:rsidR="002C7A6C">
              <w:rPr>
                <w:noProof/>
                <w:webHidden/>
              </w:rPr>
              <w:tab/>
            </w:r>
            <w:r w:rsidR="002C7A6C">
              <w:rPr>
                <w:noProof/>
                <w:webHidden/>
              </w:rPr>
              <w:fldChar w:fldCharType="begin"/>
            </w:r>
            <w:r w:rsidR="002C7A6C">
              <w:rPr>
                <w:noProof/>
                <w:webHidden/>
              </w:rPr>
              <w:instrText xml:space="preserve"> PAGEREF _Toc514857922 \h </w:instrText>
            </w:r>
            <w:r w:rsidR="002C7A6C">
              <w:rPr>
                <w:noProof/>
                <w:webHidden/>
              </w:rPr>
            </w:r>
            <w:r w:rsidR="002C7A6C">
              <w:rPr>
                <w:noProof/>
                <w:webHidden/>
              </w:rPr>
              <w:fldChar w:fldCharType="separate"/>
            </w:r>
            <w:r w:rsidR="004F2941">
              <w:rPr>
                <w:noProof/>
                <w:webHidden/>
              </w:rPr>
              <w:t>4</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3" w:history="1">
            <w:r w:rsidR="002C7A6C" w:rsidRPr="002808B3">
              <w:rPr>
                <w:rStyle w:val="Hyperlink"/>
                <w:noProof/>
              </w:rPr>
              <w:t>1.3</w:t>
            </w:r>
            <w:r w:rsidR="002C7A6C">
              <w:rPr>
                <w:rFonts w:asciiTheme="minorHAnsi" w:eastAsiaTheme="minorEastAsia" w:hAnsiTheme="minorHAnsi"/>
                <w:noProof/>
                <w:sz w:val="22"/>
                <w:szCs w:val="22"/>
                <w:lang w:eastAsia="da-DK"/>
              </w:rPr>
              <w:tab/>
            </w:r>
            <w:r w:rsidR="002C7A6C" w:rsidRPr="002808B3">
              <w:rPr>
                <w:rStyle w:val="Hyperlink"/>
                <w:noProof/>
              </w:rPr>
              <w:t>Ny anmeldeordning for gødningsopbevaringsanlæg</w:t>
            </w:r>
            <w:r w:rsidR="002C7A6C">
              <w:rPr>
                <w:noProof/>
                <w:webHidden/>
              </w:rPr>
              <w:tab/>
            </w:r>
            <w:r w:rsidR="002C7A6C">
              <w:rPr>
                <w:noProof/>
                <w:webHidden/>
              </w:rPr>
              <w:fldChar w:fldCharType="begin"/>
            </w:r>
            <w:r w:rsidR="002C7A6C">
              <w:rPr>
                <w:noProof/>
                <w:webHidden/>
              </w:rPr>
              <w:instrText xml:space="preserve"> PAGEREF _Toc514857923 \h </w:instrText>
            </w:r>
            <w:r w:rsidR="002C7A6C">
              <w:rPr>
                <w:noProof/>
                <w:webHidden/>
              </w:rPr>
            </w:r>
            <w:r w:rsidR="002C7A6C">
              <w:rPr>
                <w:noProof/>
                <w:webHidden/>
              </w:rPr>
              <w:fldChar w:fldCharType="separate"/>
            </w:r>
            <w:r w:rsidR="004F2941">
              <w:rPr>
                <w:noProof/>
                <w:webHidden/>
              </w:rPr>
              <w:t>4</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4" w:history="1">
            <w:r w:rsidR="002C7A6C" w:rsidRPr="002808B3">
              <w:rPr>
                <w:rStyle w:val="Hyperlink"/>
                <w:noProof/>
              </w:rPr>
              <w:t>1.4</w:t>
            </w:r>
            <w:r w:rsidR="002C7A6C">
              <w:rPr>
                <w:rFonts w:asciiTheme="minorHAnsi" w:eastAsiaTheme="minorEastAsia" w:hAnsiTheme="minorHAnsi"/>
                <w:noProof/>
                <w:sz w:val="22"/>
                <w:szCs w:val="22"/>
                <w:lang w:eastAsia="da-DK"/>
              </w:rPr>
              <w:tab/>
            </w:r>
            <w:r w:rsidR="002C7A6C" w:rsidRPr="002808B3">
              <w:rPr>
                <w:rStyle w:val="Hyperlink"/>
                <w:noProof/>
              </w:rPr>
              <w:t>Anmeldelse af skift mellem tung race og Jersey</w:t>
            </w:r>
            <w:r w:rsidR="002C7A6C">
              <w:rPr>
                <w:noProof/>
                <w:webHidden/>
              </w:rPr>
              <w:tab/>
            </w:r>
            <w:r w:rsidR="002C7A6C">
              <w:rPr>
                <w:noProof/>
                <w:webHidden/>
              </w:rPr>
              <w:fldChar w:fldCharType="begin"/>
            </w:r>
            <w:r w:rsidR="002C7A6C">
              <w:rPr>
                <w:noProof/>
                <w:webHidden/>
              </w:rPr>
              <w:instrText xml:space="preserve"> PAGEREF _Toc514857924 \h </w:instrText>
            </w:r>
            <w:r w:rsidR="002C7A6C">
              <w:rPr>
                <w:noProof/>
                <w:webHidden/>
              </w:rPr>
            </w:r>
            <w:r w:rsidR="002C7A6C">
              <w:rPr>
                <w:noProof/>
                <w:webHidden/>
              </w:rPr>
              <w:fldChar w:fldCharType="separate"/>
            </w:r>
            <w:r w:rsidR="004F2941">
              <w:rPr>
                <w:noProof/>
                <w:webHidden/>
              </w:rPr>
              <w:t>8</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5" w:history="1">
            <w:r w:rsidR="002C7A6C" w:rsidRPr="002808B3">
              <w:rPr>
                <w:rStyle w:val="Hyperlink"/>
                <w:noProof/>
              </w:rPr>
              <w:t>1.5</w:t>
            </w:r>
            <w:r w:rsidR="002C7A6C">
              <w:rPr>
                <w:rFonts w:asciiTheme="minorHAnsi" w:eastAsiaTheme="minorEastAsia" w:hAnsiTheme="minorHAnsi"/>
                <w:noProof/>
                <w:sz w:val="22"/>
                <w:szCs w:val="22"/>
                <w:lang w:eastAsia="da-DK"/>
              </w:rPr>
              <w:tab/>
            </w:r>
            <w:r w:rsidR="002C7A6C" w:rsidRPr="002808B3">
              <w:rPr>
                <w:rStyle w:val="Hyperlink"/>
                <w:noProof/>
              </w:rPr>
              <w:t>Ny anmeldeordning om bortfald af vilkår for spalteskraber (kvægbrug)</w:t>
            </w:r>
            <w:r w:rsidR="002C7A6C">
              <w:rPr>
                <w:noProof/>
                <w:webHidden/>
              </w:rPr>
              <w:tab/>
            </w:r>
            <w:r w:rsidR="002C7A6C">
              <w:rPr>
                <w:noProof/>
                <w:webHidden/>
              </w:rPr>
              <w:fldChar w:fldCharType="begin"/>
            </w:r>
            <w:r w:rsidR="002C7A6C">
              <w:rPr>
                <w:noProof/>
                <w:webHidden/>
              </w:rPr>
              <w:instrText xml:space="preserve"> PAGEREF _Toc514857925 \h </w:instrText>
            </w:r>
            <w:r w:rsidR="002C7A6C">
              <w:rPr>
                <w:noProof/>
                <w:webHidden/>
              </w:rPr>
            </w:r>
            <w:r w:rsidR="002C7A6C">
              <w:rPr>
                <w:noProof/>
                <w:webHidden/>
              </w:rPr>
              <w:fldChar w:fldCharType="separate"/>
            </w:r>
            <w:r w:rsidR="004F2941">
              <w:rPr>
                <w:noProof/>
                <w:webHidden/>
              </w:rPr>
              <w:t>8</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6" w:history="1">
            <w:r w:rsidR="002C7A6C" w:rsidRPr="002808B3">
              <w:rPr>
                <w:rStyle w:val="Hyperlink"/>
                <w:noProof/>
              </w:rPr>
              <w:t>1.6</w:t>
            </w:r>
            <w:r w:rsidR="002C7A6C">
              <w:rPr>
                <w:rFonts w:asciiTheme="minorHAnsi" w:eastAsiaTheme="minorEastAsia" w:hAnsiTheme="minorHAnsi"/>
                <w:noProof/>
                <w:sz w:val="22"/>
                <w:szCs w:val="22"/>
                <w:lang w:eastAsia="da-DK"/>
              </w:rPr>
              <w:tab/>
            </w:r>
            <w:r w:rsidR="002C7A6C" w:rsidRPr="002808B3">
              <w:rPr>
                <w:rStyle w:val="Hyperlink"/>
                <w:noProof/>
              </w:rPr>
              <w:t>Afprøvning af miljøeffektive teknologier eller teknikker</w:t>
            </w:r>
            <w:r w:rsidR="002C7A6C">
              <w:rPr>
                <w:noProof/>
                <w:webHidden/>
              </w:rPr>
              <w:tab/>
            </w:r>
            <w:r w:rsidR="002C7A6C">
              <w:rPr>
                <w:noProof/>
                <w:webHidden/>
              </w:rPr>
              <w:fldChar w:fldCharType="begin"/>
            </w:r>
            <w:r w:rsidR="002C7A6C">
              <w:rPr>
                <w:noProof/>
                <w:webHidden/>
              </w:rPr>
              <w:instrText xml:space="preserve"> PAGEREF _Toc514857926 \h </w:instrText>
            </w:r>
            <w:r w:rsidR="002C7A6C">
              <w:rPr>
                <w:noProof/>
                <w:webHidden/>
              </w:rPr>
            </w:r>
            <w:r w:rsidR="002C7A6C">
              <w:rPr>
                <w:noProof/>
                <w:webHidden/>
              </w:rPr>
              <w:fldChar w:fldCharType="separate"/>
            </w:r>
            <w:r w:rsidR="004F2941">
              <w:rPr>
                <w:noProof/>
                <w:webHidden/>
              </w:rPr>
              <w:t>9</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7" w:history="1">
            <w:r w:rsidR="002C7A6C" w:rsidRPr="002808B3">
              <w:rPr>
                <w:rStyle w:val="Hyperlink"/>
                <w:noProof/>
              </w:rPr>
              <w:t>1.7</w:t>
            </w:r>
            <w:r w:rsidR="002C7A6C">
              <w:rPr>
                <w:rFonts w:asciiTheme="minorHAnsi" w:eastAsiaTheme="minorEastAsia" w:hAnsiTheme="minorHAnsi"/>
                <w:noProof/>
                <w:sz w:val="22"/>
                <w:szCs w:val="22"/>
                <w:lang w:eastAsia="da-DK"/>
              </w:rPr>
              <w:tab/>
            </w:r>
            <w:r w:rsidR="002C7A6C" w:rsidRPr="002808B3">
              <w:rPr>
                <w:rStyle w:val="Hyperlink"/>
                <w:noProof/>
              </w:rPr>
              <w:t>Ophør af anmeldeordning for emissionsorienteret produktionstilpasning</w:t>
            </w:r>
            <w:r w:rsidR="002C7A6C">
              <w:rPr>
                <w:noProof/>
                <w:webHidden/>
              </w:rPr>
              <w:tab/>
            </w:r>
            <w:r w:rsidR="002C7A6C">
              <w:rPr>
                <w:noProof/>
                <w:webHidden/>
              </w:rPr>
              <w:fldChar w:fldCharType="begin"/>
            </w:r>
            <w:r w:rsidR="002C7A6C">
              <w:rPr>
                <w:noProof/>
                <w:webHidden/>
              </w:rPr>
              <w:instrText xml:space="preserve"> PAGEREF _Toc514857927 \h </w:instrText>
            </w:r>
            <w:r w:rsidR="002C7A6C">
              <w:rPr>
                <w:noProof/>
                <w:webHidden/>
              </w:rPr>
            </w:r>
            <w:r w:rsidR="002C7A6C">
              <w:rPr>
                <w:noProof/>
                <w:webHidden/>
              </w:rPr>
              <w:fldChar w:fldCharType="separate"/>
            </w:r>
            <w:r w:rsidR="004F2941">
              <w:rPr>
                <w:noProof/>
                <w:webHidden/>
              </w:rPr>
              <w:t>9</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8" w:history="1">
            <w:r w:rsidR="002C7A6C" w:rsidRPr="002808B3">
              <w:rPr>
                <w:rStyle w:val="Hyperlink"/>
                <w:noProof/>
              </w:rPr>
              <w:t>1.8</w:t>
            </w:r>
            <w:r w:rsidR="002C7A6C">
              <w:rPr>
                <w:rFonts w:asciiTheme="minorHAnsi" w:eastAsiaTheme="minorEastAsia" w:hAnsiTheme="minorHAnsi"/>
                <w:noProof/>
                <w:sz w:val="22"/>
                <w:szCs w:val="22"/>
                <w:lang w:eastAsia="da-DK"/>
              </w:rPr>
              <w:tab/>
            </w:r>
            <w:r w:rsidR="002C7A6C" w:rsidRPr="002808B3">
              <w:rPr>
                <w:rStyle w:val="Hyperlink"/>
                <w:noProof/>
              </w:rPr>
              <w:t>Helt eller delvist bortfald af afgørelser</w:t>
            </w:r>
            <w:r w:rsidR="002C7A6C">
              <w:rPr>
                <w:noProof/>
                <w:webHidden/>
              </w:rPr>
              <w:tab/>
            </w:r>
            <w:r w:rsidR="002C7A6C">
              <w:rPr>
                <w:noProof/>
                <w:webHidden/>
              </w:rPr>
              <w:fldChar w:fldCharType="begin"/>
            </w:r>
            <w:r w:rsidR="002C7A6C">
              <w:rPr>
                <w:noProof/>
                <w:webHidden/>
              </w:rPr>
              <w:instrText xml:space="preserve"> PAGEREF _Toc514857928 \h </w:instrText>
            </w:r>
            <w:r w:rsidR="002C7A6C">
              <w:rPr>
                <w:noProof/>
                <w:webHidden/>
              </w:rPr>
            </w:r>
            <w:r w:rsidR="002C7A6C">
              <w:rPr>
                <w:noProof/>
                <w:webHidden/>
              </w:rPr>
              <w:fldChar w:fldCharType="separate"/>
            </w:r>
            <w:r w:rsidR="004F2941">
              <w:rPr>
                <w:noProof/>
                <w:webHidden/>
              </w:rPr>
              <w:t>10</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29" w:history="1">
            <w:r w:rsidR="002C7A6C" w:rsidRPr="002808B3">
              <w:rPr>
                <w:rStyle w:val="Hyperlink"/>
                <w:noProof/>
              </w:rPr>
              <w:t>1.9</w:t>
            </w:r>
            <w:r w:rsidR="002C7A6C">
              <w:rPr>
                <w:rFonts w:asciiTheme="minorHAnsi" w:eastAsiaTheme="minorEastAsia" w:hAnsiTheme="minorHAnsi"/>
                <w:noProof/>
                <w:sz w:val="22"/>
                <w:szCs w:val="22"/>
                <w:lang w:eastAsia="da-DK"/>
              </w:rPr>
              <w:tab/>
            </w:r>
            <w:r w:rsidR="002C7A6C" w:rsidRPr="002808B3">
              <w:rPr>
                <w:rStyle w:val="Hyperlink"/>
                <w:noProof/>
              </w:rPr>
              <w:t>Præcisering af digital offentliggørelse</w:t>
            </w:r>
            <w:r w:rsidR="002C7A6C">
              <w:rPr>
                <w:noProof/>
                <w:webHidden/>
              </w:rPr>
              <w:tab/>
            </w:r>
            <w:r w:rsidR="002C7A6C">
              <w:rPr>
                <w:noProof/>
                <w:webHidden/>
              </w:rPr>
              <w:fldChar w:fldCharType="begin"/>
            </w:r>
            <w:r w:rsidR="002C7A6C">
              <w:rPr>
                <w:noProof/>
                <w:webHidden/>
              </w:rPr>
              <w:instrText xml:space="preserve"> PAGEREF _Toc514857929 \h </w:instrText>
            </w:r>
            <w:r w:rsidR="002C7A6C">
              <w:rPr>
                <w:noProof/>
                <w:webHidden/>
              </w:rPr>
            </w:r>
            <w:r w:rsidR="002C7A6C">
              <w:rPr>
                <w:noProof/>
                <w:webHidden/>
              </w:rPr>
              <w:fldChar w:fldCharType="separate"/>
            </w:r>
            <w:r w:rsidR="004F2941">
              <w:rPr>
                <w:noProof/>
                <w:webHidden/>
              </w:rPr>
              <w:t>10</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30" w:history="1">
            <w:r w:rsidR="002C7A6C" w:rsidRPr="002808B3">
              <w:rPr>
                <w:rStyle w:val="Hyperlink"/>
                <w:noProof/>
              </w:rPr>
              <w:t>1.10</w:t>
            </w:r>
            <w:r w:rsidR="002C7A6C">
              <w:rPr>
                <w:rFonts w:asciiTheme="minorHAnsi" w:eastAsiaTheme="minorEastAsia" w:hAnsiTheme="minorHAnsi"/>
                <w:noProof/>
                <w:sz w:val="22"/>
                <w:szCs w:val="22"/>
                <w:lang w:eastAsia="da-DK"/>
              </w:rPr>
              <w:tab/>
            </w:r>
            <w:r w:rsidR="002C7A6C" w:rsidRPr="002808B3">
              <w:rPr>
                <w:rStyle w:val="Hyperlink"/>
                <w:noProof/>
              </w:rPr>
              <w:t>Justering af lugtregler</w:t>
            </w:r>
            <w:r w:rsidR="002C7A6C">
              <w:rPr>
                <w:noProof/>
                <w:webHidden/>
              </w:rPr>
              <w:tab/>
            </w:r>
            <w:r w:rsidR="002C7A6C">
              <w:rPr>
                <w:noProof/>
                <w:webHidden/>
              </w:rPr>
              <w:fldChar w:fldCharType="begin"/>
            </w:r>
            <w:r w:rsidR="002C7A6C">
              <w:rPr>
                <w:noProof/>
                <w:webHidden/>
              </w:rPr>
              <w:instrText xml:space="preserve"> PAGEREF _Toc514857930 \h </w:instrText>
            </w:r>
            <w:r w:rsidR="002C7A6C">
              <w:rPr>
                <w:noProof/>
                <w:webHidden/>
              </w:rPr>
            </w:r>
            <w:r w:rsidR="002C7A6C">
              <w:rPr>
                <w:noProof/>
                <w:webHidden/>
              </w:rPr>
              <w:fldChar w:fldCharType="separate"/>
            </w:r>
            <w:r w:rsidR="004F2941">
              <w:rPr>
                <w:noProof/>
                <w:webHidden/>
              </w:rPr>
              <w:t>10</w:t>
            </w:r>
            <w:r w:rsidR="002C7A6C">
              <w:rPr>
                <w:noProof/>
                <w:webHidden/>
              </w:rPr>
              <w:fldChar w:fldCharType="end"/>
            </w:r>
          </w:hyperlink>
        </w:p>
        <w:p w:rsidR="002C7A6C" w:rsidRDefault="0065537E">
          <w:pPr>
            <w:pStyle w:val="Indholdsfortegnelse3"/>
            <w:tabs>
              <w:tab w:val="left" w:pos="1559"/>
            </w:tabs>
            <w:rPr>
              <w:rFonts w:asciiTheme="minorHAnsi" w:eastAsiaTheme="minorEastAsia" w:hAnsiTheme="minorHAnsi"/>
              <w:noProof/>
              <w:sz w:val="22"/>
              <w:szCs w:val="22"/>
              <w:lang w:eastAsia="da-DK"/>
            </w:rPr>
          </w:pPr>
          <w:hyperlink w:anchor="_Toc514857931" w:history="1">
            <w:r w:rsidR="002C7A6C" w:rsidRPr="002808B3">
              <w:rPr>
                <w:rStyle w:val="Hyperlink"/>
                <w:noProof/>
              </w:rPr>
              <w:t>1.10.1</w:t>
            </w:r>
            <w:r w:rsidR="002C7A6C">
              <w:rPr>
                <w:rFonts w:asciiTheme="minorHAnsi" w:eastAsiaTheme="minorEastAsia" w:hAnsiTheme="minorHAnsi"/>
                <w:noProof/>
                <w:sz w:val="22"/>
                <w:szCs w:val="22"/>
                <w:lang w:eastAsia="da-DK"/>
              </w:rPr>
              <w:tab/>
            </w:r>
            <w:r w:rsidR="002C7A6C" w:rsidRPr="002808B3">
              <w:rPr>
                <w:rStyle w:val="Hyperlink"/>
                <w:noProof/>
              </w:rPr>
              <w:t>Justering af "50 %-reglen"</w:t>
            </w:r>
            <w:r w:rsidR="002C7A6C">
              <w:rPr>
                <w:noProof/>
                <w:webHidden/>
              </w:rPr>
              <w:tab/>
            </w:r>
            <w:r w:rsidR="002C7A6C">
              <w:rPr>
                <w:noProof/>
                <w:webHidden/>
              </w:rPr>
              <w:fldChar w:fldCharType="begin"/>
            </w:r>
            <w:r w:rsidR="002C7A6C">
              <w:rPr>
                <w:noProof/>
                <w:webHidden/>
              </w:rPr>
              <w:instrText xml:space="preserve"> PAGEREF _Toc514857931 \h </w:instrText>
            </w:r>
            <w:r w:rsidR="002C7A6C">
              <w:rPr>
                <w:noProof/>
                <w:webHidden/>
              </w:rPr>
            </w:r>
            <w:r w:rsidR="002C7A6C">
              <w:rPr>
                <w:noProof/>
                <w:webHidden/>
              </w:rPr>
              <w:fldChar w:fldCharType="separate"/>
            </w:r>
            <w:r w:rsidR="004F2941">
              <w:rPr>
                <w:noProof/>
                <w:webHidden/>
              </w:rPr>
              <w:t>10</w:t>
            </w:r>
            <w:r w:rsidR="002C7A6C">
              <w:rPr>
                <w:noProof/>
                <w:webHidden/>
              </w:rPr>
              <w:fldChar w:fldCharType="end"/>
            </w:r>
          </w:hyperlink>
        </w:p>
        <w:p w:rsidR="002C7A6C" w:rsidRDefault="007C2F24">
          <w:pPr>
            <w:pStyle w:val="Indholdsfortegnelse2"/>
            <w:tabs>
              <w:tab w:val="left" w:pos="851"/>
            </w:tabs>
            <w:rPr>
              <w:rFonts w:asciiTheme="minorHAnsi" w:eastAsiaTheme="minorEastAsia" w:hAnsiTheme="minorHAnsi"/>
              <w:noProof/>
              <w:sz w:val="22"/>
              <w:szCs w:val="22"/>
              <w:lang w:eastAsia="da-DK"/>
            </w:rPr>
          </w:pPr>
          <w:hyperlink w:anchor="_Toc514857932" w:history="1">
            <w:r w:rsidR="002C7A6C" w:rsidRPr="002808B3">
              <w:rPr>
                <w:rStyle w:val="Hyperlink"/>
                <w:noProof/>
              </w:rPr>
              <w:t>1.11</w:t>
            </w:r>
            <w:r w:rsidR="002C7A6C">
              <w:rPr>
                <w:rFonts w:asciiTheme="minorHAnsi" w:eastAsiaTheme="minorEastAsia" w:hAnsiTheme="minorHAnsi"/>
                <w:noProof/>
                <w:sz w:val="22"/>
                <w:szCs w:val="22"/>
                <w:lang w:eastAsia="da-DK"/>
              </w:rPr>
              <w:tab/>
            </w:r>
            <w:r w:rsidR="002C7A6C" w:rsidRPr="002808B3">
              <w:rPr>
                <w:rStyle w:val="Hyperlink"/>
                <w:noProof/>
              </w:rPr>
              <w:t>Ændring af emissionsfaktorer og BAT-krav</w:t>
            </w:r>
            <w:r w:rsidR="002C7A6C">
              <w:rPr>
                <w:noProof/>
                <w:webHidden/>
              </w:rPr>
              <w:tab/>
            </w:r>
            <w:r w:rsidR="002C7A6C">
              <w:rPr>
                <w:noProof/>
                <w:webHidden/>
              </w:rPr>
              <w:fldChar w:fldCharType="begin"/>
            </w:r>
            <w:r w:rsidR="002C7A6C">
              <w:rPr>
                <w:noProof/>
                <w:webHidden/>
              </w:rPr>
              <w:instrText xml:space="preserve"> PAGEREF _Toc514857932 \h </w:instrText>
            </w:r>
            <w:r w:rsidR="002C7A6C">
              <w:rPr>
                <w:noProof/>
                <w:webHidden/>
              </w:rPr>
            </w:r>
            <w:r w:rsidR="002C7A6C">
              <w:rPr>
                <w:noProof/>
                <w:webHidden/>
              </w:rPr>
              <w:fldChar w:fldCharType="separate"/>
            </w:r>
            <w:r w:rsidR="004F2941">
              <w:rPr>
                <w:noProof/>
                <w:webHidden/>
              </w:rPr>
              <w:t>12</w:t>
            </w:r>
            <w:r w:rsidR="002C7A6C">
              <w:rPr>
                <w:noProof/>
                <w:webHidden/>
              </w:rPr>
              <w:fldChar w:fldCharType="end"/>
            </w:r>
          </w:hyperlink>
        </w:p>
        <w:p w:rsidR="002C7A6C" w:rsidRDefault="0065537E">
          <w:pPr>
            <w:pStyle w:val="Indholdsfortegnelse3"/>
            <w:tabs>
              <w:tab w:val="left" w:pos="1523"/>
            </w:tabs>
            <w:rPr>
              <w:rFonts w:asciiTheme="minorHAnsi" w:eastAsiaTheme="minorEastAsia" w:hAnsiTheme="minorHAnsi"/>
              <w:noProof/>
              <w:sz w:val="22"/>
              <w:szCs w:val="22"/>
              <w:lang w:eastAsia="da-DK"/>
            </w:rPr>
          </w:pPr>
          <w:hyperlink w:anchor="_Toc514857933" w:history="1">
            <w:r w:rsidR="002C7A6C" w:rsidRPr="002808B3">
              <w:rPr>
                <w:rStyle w:val="Hyperlink"/>
                <w:noProof/>
              </w:rPr>
              <w:t>1.11.1</w:t>
            </w:r>
            <w:r w:rsidR="002C7A6C">
              <w:rPr>
                <w:rFonts w:asciiTheme="minorHAnsi" w:eastAsiaTheme="minorEastAsia" w:hAnsiTheme="minorHAnsi"/>
                <w:noProof/>
                <w:sz w:val="22"/>
                <w:szCs w:val="22"/>
                <w:lang w:eastAsia="da-DK"/>
              </w:rPr>
              <w:tab/>
            </w:r>
            <w:r w:rsidR="002C7A6C" w:rsidRPr="002808B3">
              <w:rPr>
                <w:rStyle w:val="Hyperlink"/>
                <w:noProof/>
              </w:rPr>
              <w:t>Forslag til nye emissionsfaktorer, bilag 3, tabel 1</w:t>
            </w:r>
            <w:r w:rsidR="002C7A6C">
              <w:rPr>
                <w:noProof/>
                <w:webHidden/>
              </w:rPr>
              <w:tab/>
            </w:r>
            <w:r w:rsidR="002C7A6C">
              <w:rPr>
                <w:noProof/>
                <w:webHidden/>
              </w:rPr>
              <w:fldChar w:fldCharType="begin"/>
            </w:r>
            <w:r w:rsidR="002C7A6C">
              <w:rPr>
                <w:noProof/>
                <w:webHidden/>
              </w:rPr>
              <w:instrText xml:space="preserve"> PAGEREF _Toc514857933 \h </w:instrText>
            </w:r>
            <w:r w:rsidR="002C7A6C">
              <w:rPr>
                <w:noProof/>
                <w:webHidden/>
              </w:rPr>
            </w:r>
            <w:r w:rsidR="002C7A6C">
              <w:rPr>
                <w:noProof/>
                <w:webHidden/>
              </w:rPr>
              <w:fldChar w:fldCharType="separate"/>
            </w:r>
            <w:r w:rsidR="004F2941">
              <w:rPr>
                <w:noProof/>
                <w:webHidden/>
              </w:rPr>
              <w:t>13</w:t>
            </w:r>
            <w:r w:rsidR="002C7A6C">
              <w:rPr>
                <w:noProof/>
                <w:webHidden/>
              </w:rPr>
              <w:fldChar w:fldCharType="end"/>
            </w:r>
          </w:hyperlink>
        </w:p>
        <w:p w:rsidR="002C7A6C" w:rsidRDefault="0065537E">
          <w:pPr>
            <w:pStyle w:val="Indholdsfortegnelse3"/>
            <w:tabs>
              <w:tab w:val="left" w:pos="1548"/>
            </w:tabs>
            <w:rPr>
              <w:rFonts w:asciiTheme="minorHAnsi" w:eastAsiaTheme="minorEastAsia" w:hAnsiTheme="minorHAnsi"/>
              <w:noProof/>
              <w:sz w:val="22"/>
              <w:szCs w:val="22"/>
              <w:lang w:eastAsia="da-DK"/>
            </w:rPr>
          </w:pPr>
          <w:hyperlink w:anchor="_Toc514857934" w:history="1">
            <w:r w:rsidR="002C7A6C" w:rsidRPr="002808B3">
              <w:rPr>
                <w:rStyle w:val="Hyperlink"/>
                <w:noProof/>
              </w:rPr>
              <w:t>1.11.2</w:t>
            </w:r>
            <w:r w:rsidR="002C7A6C">
              <w:rPr>
                <w:rFonts w:asciiTheme="minorHAnsi" w:eastAsiaTheme="minorEastAsia" w:hAnsiTheme="minorHAnsi"/>
                <w:noProof/>
                <w:sz w:val="22"/>
                <w:szCs w:val="22"/>
                <w:lang w:eastAsia="da-DK"/>
              </w:rPr>
              <w:tab/>
            </w:r>
            <w:r w:rsidR="002C7A6C" w:rsidRPr="002808B3">
              <w:rPr>
                <w:rStyle w:val="Hyperlink"/>
                <w:noProof/>
              </w:rPr>
              <w:t>Forslag til BAT-krav til nye og renoverede stalde</w:t>
            </w:r>
            <w:r w:rsidR="002C7A6C">
              <w:rPr>
                <w:noProof/>
                <w:webHidden/>
              </w:rPr>
              <w:tab/>
            </w:r>
            <w:r w:rsidR="002C7A6C">
              <w:rPr>
                <w:noProof/>
                <w:webHidden/>
              </w:rPr>
              <w:fldChar w:fldCharType="begin"/>
            </w:r>
            <w:r w:rsidR="002C7A6C">
              <w:rPr>
                <w:noProof/>
                <w:webHidden/>
              </w:rPr>
              <w:instrText xml:space="preserve"> PAGEREF _Toc514857934 \h </w:instrText>
            </w:r>
            <w:r w:rsidR="002C7A6C">
              <w:rPr>
                <w:noProof/>
                <w:webHidden/>
              </w:rPr>
            </w:r>
            <w:r w:rsidR="002C7A6C">
              <w:rPr>
                <w:noProof/>
                <w:webHidden/>
              </w:rPr>
              <w:fldChar w:fldCharType="separate"/>
            </w:r>
            <w:r w:rsidR="004F2941">
              <w:rPr>
                <w:noProof/>
                <w:webHidden/>
              </w:rPr>
              <w:t>14</w:t>
            </w:r>
            <w:r w:rsidR="002C7A6C">
              <w:rPr>
                <w:noProof/>
                <w:webHidden/>
              </w:rPr>
              <w:fldChar w:fldCharType="end"/>
            </w:r>
          </w:hyperlink>
        </w:p>
        <w:p w:rsidR="002C7A6C" w:rsidRDefault="0065537E">
          <w:pPr>
            <w:pStyle w:val="Indholdsfortegnelse3"/>
            <w:tabs>
              <w:tab w:val="left" w:pos="1547"/>
            </w:tabs>
            <w:rPr>
              <w:rFonts w:asciiTheme="minorHAnsi" w:eastAsiaTheme="minorEastAsia" w:hAnsiTheme="minorHAnsi"/>
              <w:noProof/>
              <w:sz w:val="22"/>
              <w:szCs w:val="22"/>
              <w:lang w:eastAsia="da-DK"/>
            </w:rPr>
          </w:pPr>
          <w:hyperlink w:anchor="_Toc514857935" w:history="1">
            <w:r w:rsidR="002C7A6C" w:rsidRPr="002808B3">
              <w:rPr>
                <w:rStyle w:val="Hyperlink"/>
                <w:noProof/>
              </w:rPr>
              <w:t>1.11.3</w:t>
            </w:r>
            <w:r w:rsidR="002C7A6C">
              <w:rPr>
                <w:rFonts w:asciiTheme="minorHAnsi" w:eastAsiaTheme="minorEastAsia" w:hAnsiTheme="minorHAnsi"/>
                <w:noProof/>
                <w:sz w:val="22"/>
                <w:szCs w:val="22"/>
                <w:lang w:eastAsia="da-DK"/>
              </w:rPr>
              <w:tab/>
            </w:r>
            <w:r w:rsidR="002C7A6C" w:rsidRPr="002808B3">
              <w:rPr>
                <w:rStyle w:val="Hyperlink"/>
                <w:noProof/>
              </w:rPr>
              <w:t>Forslag til ændringer vedr. BAT-Krav (bilag 3 tekstdel)</w:t>
            </w:r>
            <w:r w:rsidR="002C7A6C">
              <w:rPr>
                <w:noProof/>
                <w:webHidden/>
              </w:rPr>
              <w:tab/>
            </w:r>
            <w:r w:rsidR="002C7A6C">
              <w:rPr>
                <w:noProof/>
                <w:webHidden/>
              </w:rPr>
              <w:fldChar w:fldCharType="begin"/>
            </w:r>
            <w:r w:rsidR="002C7A6C">
              <w:rPr>
                <w:noProof/>
                <w:webHidden/>
              </w:rPr>
              <w:instrText xml:space="preserve"> PAGEREF _Toc514857935 \h </w:instrText>
            </w:r>
            <w:r w:rsidR="002C7A6C">
              <w:rPr>
                <w:noProof/>
                <w:webHidden/>
              </w:rPr>
            </w:r>
            <w:r w:rsidR="002C7A6C">
              <w:rPr>
                <w:noProof/>
                <w:webHidden/>
              </w:rPr>
              <w:fldChar w:fldCharType="separate"/>
            </w:r>
            <w:r w:rsidR="004F2941">
              <w:rPr>
                <w:noProof/>
                <w:webHidden/>
              </w:rPr>
              <w:t>15</w:t>
            </w:r>
            <w:r w:rsidR="002C7A6C">
              <w:rPr>
                <w:noProof/>
                <w:webHidden/>
              </w:rPr>
              <w:fldChar w:fldCharType="end"/>
            </w:r>
          </w:hyperlink>
        </w:p>
        <w:p w:rsidR="002C7A6C" w:rsidRDefault="0065537E">
          <w:pPr>
            <w:pStyle w:val="Indholdsfortegnelse3"/>
            <w:tabs>
              <w:tab w:val="left" w:pos="1550"/>
            </w:tabs>
            <w:rPr>
              <w:rFonts w:asciiTheme="minorHAnsi" w:eastAsiaTheme="minorEastAsia" w:hAnsiTheme="minorHAnsi"/>
              <w:noProof/>
              <w:sz w:val="22"/>
              <w:szCs w:val="22"/>
              <w:lang w:eastAsia="da-DK"/>
            </w:rPr>
          </w:pPr>
          <w:hyperlink w:anchor="_Toc514857936" w:history="1">
            <w:r w:rsidR="002C7A6C" w:rsidRPr="002808B3">
              <w:rPr>
                <w:rStyle w:val="Hyperlink"/>
                <w:noProof/>
              </w:rPr>
              <w:t>1.11.4</w:t>
            </w:r>
            <w:r w:rsidR="002C7A6C">
              <w:rPr>
                <w:rFonts w:asciiTheme="minorHAnsi" w:eastAsiaTheme="minorEastAsia" w:hAnsiTheme="minorHAnsi"/>
                <w:noProof/>
                <w:sz w:val="22"/>
                <w:szCs w:val="22"/>
                <w:lang w:eastAsia="da-DK"/>
              </w:rPr>
              <w:tab/>
            </w:r>
            <w:r w:rsidR="002C7A6C" w:rsidRPr="002808B3">
              <w:rPr>
                <w:rStyle w:val="Hyperlink"/>
                <w:iCs/>
                <w:noProof/>
              </w:rPr>
              <w:t>Forslag til nye e</w:t>
            </w:r>
            <w:r w:rsidR="002C7A6C" w:rsidRPr="002808B3">
              <w:rPr>
                <w:rStyle w:val="Hyperlink"/>
                <w:noProof/>
              </w:rPr>
              <w:t>missionsgrænseværdier (BAT-krav) for nye kvægstalde, bilag 3, tabel 4</w:t>
            </w:r>
            <w:r w:rsidR="002C7A6C">
              <w:rPr>
                <w:noProof/>
                <w:webHidden/>
              </w:rPr>
              <w:tab/>
            </w:r>
            <w:r w:rsidR="002C7A6C">
              <w:rPr>
                <w:noProof/>
                <w:webHidden/>
              </w:rPr>
              <w:fldChar w:fldCharType="begin"/>
            </w:r>
            <w:r w:rsidR="002C7A6C">
              <w:rPr>
                <w:noProof/>
                <w:webHidden/>
              </w:rPr>
              <w:instrText xml:space="preserve"> PAGEREF _Toc514857936 \h </w:instrText>
            </w:r>
            <w:r w:rsidR="002C7A6C">
              <w:rPr>
                <w:noProof/>
                <w:webHidden/>
              </w:rPr>
            </w:r>
            <w:r w:rsidR="002C7A6C">
              <w:rPr>
                <w:noProof/>
                <w:webHidden/>
              </w:rPr>
              <w:fldChar w:fldCharType="separate"/>
            </w:r>
            <w:r w:rsidR="004F2941">
              <w:rPr>
                <w:noProof/>
                <w:webHidden/>
              </w:rPr>
              <w:t>15</w:t>
            </w:r>
            <w:r w:rsidR="002C7A6C">
              <w:rPr>
                <w:noProof/>
                <w:webHidden/>
              </w:rPr>
              <w:fldChar w:fldCharType="end"/>
            </w:r>
          </w:hyperlink>
        </w:p>
        <w:p w:rsidR="002C7A6C" w:rsidRDefault="0065537E">
          <w:pPr>
            <w:pStyle w:val="Indholdsfortegnelse3"/>
            <w:tabs>
              <w:tab w:val="left" w:pos="1542"/>
            </w:tabs>
            <w:rPr>
              <w:rFonts w:asciiTheme="minorHAnsi" w:eastAsiaTheme="minorEastAsia" w:hAnsiTheme="minorHAnsi"/>
              <w:noProof/>
              <w:sz w:val="22"/>
              <w:szCs w:val="22"/>
              <w:lang w:eastAsia="da-DK"/>
            </w:rPr>
          </w:pPr>
          <w:hyperlink w:anchor="_Toc514857937" w:history="1">
            <w:r w:rsidR="002C7A6C" w:rsidRPr="002808B3">
              <w:rPr>
                <w:rStyle w:val="Hyperlink"/>
                <w:noProof/>
              </w:rPr>
              <w:t>1.11.5</w:t>
            </w:r>
            <w:r w:rsidR="002C7A6C">
              <w:rPr>
                <w:rFonts w:asciiTheme="minorHAnsi" w:eastAsiaTheme="minorEastAsia" w:hAnsiTheme="minorHAnsi"/>
                <w:noProof/>
                <w:sz w:val="22"/>
                <w:szCs w:val="22"/>
                <w:lang w:eastAsia="da-DK"/>
              </w:rPr>
              <w:tab/>
            </w:r>
            <w:r w:rsidR="002C7A6C" w:rsidRPr="002808B3">
              <w:rPr>
                <w:rStyle w:val="Hyperlink"/>
                <w:noProof/>
              </w:rPr>
              <w:t>Forslag til nye emissionsgrænseværdier (BAT-krav) for eksisterende kvægstalde, bilag 3, tabel 5</w:t>
            </w:r>
            <w:r w:rsidR="002C7A6C">
              <w:rPr>
                <w:noProof/>
                <w:webHidden/>
              </w:rPr>
              <w:tab/>
            </w:r>
            <w:r w:rsidR="002C7A6C">
              <w:rPr>
                <w:noProof/>
                <w:webHidden/>
              </w:rPr>
              <w:fldChar w:fldCharType="begin"/>
            </w:r>
            <w:r w:rsidR="002C7A6C">
              <w:rPr>
                <w:noProof/>
                <w:webHidden/>
              </w:rPr>
              <w:instrText xml:space="preserve"> PAGEREF _Toc514857937 \h </w:instrText>
            </w:r>
            <w:r w:rsidR="002C7A6C">
              <w:rPr>
                <w:noProof/>
                <w:webHidden/>
              </w:rPr>
            </w:r>
            <w:r w:rsidR="002C7A6C">
              <w:rPr>
                <w:noProof/>
                <w:webHidden/>
              </w:rPr>
              <w:fldChar w:fldCharType="separate"/>
            </w:r>
            <w:r w:rsidR="004F2941">
              <w:rPr>
                <w:noProof/>
                <w:webHidden/>
              </w:rPr>
              <w:t>16</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38" w:history="1">
            <w:r w:rsidR="002C7A6C" w:rsidRPr="002808B3">
              <w:rPr>
                <w:rStyle w:val="Hyperlink"/>
                <w:noProof/>
              </w:rPr>
              <w:t>1.12</w:t>
            </w:r>
            <w:r w:rsidR="002C7A6C">
              <w:rPr>
                <w:rFonts w:asciiTheme="minorHAnsi" w:eastAsiaTheme="minorEastAsia" w:hAnsiTheme="minorHAnsi"/>
                <w:noProof/>
                <w:sz w:val="22"/>
                <w:szCs w:val="22"/>
                <w:lang w:eastAsia="da-DK"/>
              </w:rPr>
              <w:tab/>
            </w:r>
            <w:r w:rsidR="002C7A6C" w:rsidRPr="002808B3">
              <w:rPr>
                <w:rStyle w:val="Hyperlink"/>
                <w:noProof/>
              </w:rPr>
              <w:t>Nye emissionsfaktorer for husdyrbrug med avlstyre</w:t>
            </w:r>
            <w:r w:rsidR="002C7A6C">
              <w:rPr>
                <w:noProof/>
                <w:webHidden/>
              </w:rPr>
              <w:tab/>
            </w:r>
            <w:r w:rsidR="002C7A6C">
              <w:rPr>
                <w:noProof/>
                <w:webHidden/>
              </w:rPr>
              <w:fldChar w:fldCharType="begin"/>
            </w:r>
            <w:r w:rsidR="002C7A6C">
              <w:rPr>
                <w:noProof/>
                <w:webHidden/>
              </w:rPr>
              <w:instrText xml:space="preserve"> PAGEREF _Toc514857938 \h </w:instrText>
            </w:r>
            <w:r w:rsidR="002C7A6C">
              <w:rPr>
                <w:noProof/>
                <w:webHidden/>
              </w:rPr>
            </w:r>
            <w:r w:rsidR="002C7A6C">
              <w:rPr>
                <w:noProof/>
                <w:webHidden/>
              </w:rPr>
              <w:fldChar w:fldCharType="separate"/>
            </w:r>
            <w:r w:rsidR="004F2941">
              <w:rPr>
                <w:noProof/>
                <w:webHidden/>
              </w:rPr>
              <w:t>17</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39" w:history="1">
            <w:r w:rsidR="002C7A6C" w:rsidRPr="002808B3">
              <w:rPr>
                <w:rStyle w:val="Hyperlink"/>
                <w:noProof/>
              </w:rPr>
              <w:t>1.13</w:t>
            </w:r>
            <w:r w:rsidR="002C7A6C">
              <w:rPr>
                <w:rFonts w:asciiTheme="minorHAnsi" w:eastAsiaTheme="minorEastAsia" w:hAnsiTheme="minorHAnsi"/>
                <w:noProof/>
                <w:sz w:val="22"/>
                <w:szCs w:val="22"/>
                <w:lang w:eastAsia="da-DK"/>
              </w:rPr>
              <w:tab/>
            </w:r>
            <w:r w:rsidR="002C7A6C" w:rsidRPr="002808B3">
              <w:rPr>
                <w:rStyle w:val="Hyperlink"/>
                <w:noProof/>
              </w:rPr>
              <w:t>Justering af lugtberegning efter FMK-modellen</w:t>
            </w:r>
            <w:r w:rsidR="002C7A6C">
              <w:rPr>
                <w:noProof/>
                <w:webHidden/>
              </w:rPr>
              <w:tab/>
            </w:r>
            <w:r w:rsidR="002C7A6C">
              <w:rPr>
                <w:noProof/>
                <w:webHidden/>
              </w:rPr>
              <w:fldChar w:fldCharType="begin"/>
            </w:r>
            <w:r w:rsidR="002C7A6C">
              <w:rPr>
                <w:noProof/>
                <w:webHidden/>
              </w:rPr>
              <w:instrText xml:space="preserve"> PAGEREF _Toc514857939 \h </w:instrText>
            </w:r>
            <w:r w:rsidR="002C7A6C">
              <w:rPr>
                <w:noProof/>
                <w:webHidden/>
              </w:rPr>
            </w:r>
            <w:r w:rsidR="002C7A6C">
              <w:rPr>
                <w:noProof/>
                <w:webHidden/>
              </w:rPr>
              <w:fldChar w:fldCharType="separate"/>
            </w:r>
            <w:r w:rsidR="004F2941">
              <w:rPr>
                <w:noProof/>
                <w:webHidden/>
              </w:rPr>
              <w:t>18</w:t>
            </w:r>
            <w:r w:rsidR="002C7A6C">
              <w:rPr>
                <w:noProof/>
                <w:webHidden/>
              </w:rPr>
              <w:fldChar w:fldCharType="end"/>
            </w:r>
          </w:hyperlink>
        </w:p>
        <w:p w:rsidR="002C7A6C" w:rsidRDefault="0065537E">
          <w:pPr>
            <w:pStyle w:val="Indholdsfortegnelse1"/>
            <w:tabs>
              <w:tab w:val="left" w:pos="851"/>
            </w:tabs>
            <w:rPr>
              <w:rFonts w:asciiTheme="minorHAnsi" w:eastAsiaTheme="minorEastAsia" w:hAnsiTheme="minorHAnsi"/>
              <w:b w:val="0"/>
              <w:noProof/>
              <w:sz w:val="22"/>
              <w:szCs w:val="22"/>
              <w:lang w:eastAsia="da-DK"/>
            </w:rPr>
          </w:pPr>
          <w:hyperlink w:anchor="_Toc514857940" w:history="1">
            <w:r w:rsidR="002C7A6C" w:rsidRPr="002808B3">
              <w:rPr>
                <w:rStyle w:val="Hyperlink"/>
                <w:noProof/>
              </w:rPr>
              <w:t>2</w:t>
            </w:r>
            <w:r w:rsidR="002C7A6C">
              <w:rPr>
                <w:rFonts w:asciiTheme="minorHAnsi" w:eastAsiaTheme="minorEastAsia" w:hAnsiTheme="minorHAnsi"/>
                <w:b w:val="0"/>
                <w:noProof/>
                <w:sz w:val="22"/>
                <w:szCs w:val="22"/>
                <w:lang w:eastAsia="da-DK"/>
              </w:rPr>
              <w:tab/>
            </w:r>
            <w:r w:rsidR="002C7A6C" w:rsidRPr="002808B3">
              <w:rPr>
                <w:rStyle w:val="Hyperlink"/>
                <w:noProof/>
              </w:rPr>
              <w:t>Miljøvurdering (SMV) af de planlagte ændringer</w:t>
            </w:r>
            <w:r w:rsidR="002C7A6C">
              <w:rPr>
                <w:noProof/>
                <w:webHidden/>
              </w:rPr>
              <w:tab/>
            </w:r>
            <w:r w:rsidR="002C7A6C">
              <w:rPr>
                <w:noProof/>
                <w:webHidden/>
              </w:rPr>
              <w:fldChar w:fldCharType="begin"/>
            </w:r>
            <w:r w:rsidR="002C7A6C">
              <w:rPr>
                <w:noProof/>
                <w:webHidden/>
              </w:rPr>
              <w:instrText xml:space="preserve"> PAGEREF _Toc514857940 \h </w:instrText>
            </w:r>
            <w:r w:rsidR="002C7A6C">
              <w:rPr>
                <w:noProof/>
                <w:webHidden/>
              </w:rPr>
            </w:r>
            <w:r w:rsidR="002C7A6C">
              <w:rPr>
                <w:noProof/>
                <w:webHidden/>
              </w:rPr>
              <w:fldChar w:fldCharType="separate"/>
            </w:r>
            <w:r w:rsidR="004F2941">
              <w:rPr>
                <w:noProof/>
                <w:webHidden/>
              </w:rPr>
              <w:t>18</w:t>
            </w:r>
            <w:r w:rsidR="002C7A6C">
              <w:rPr>
                <w:noProof/>
                <w:webHidden/>
              </w:rPr>
              <w:fldChar w:fldCharType="end"/>
            </w:r>
          </w:hyperlink>
        </w:p>
        <w:p w:rsidR="002C7A6C" w:rsidRDefault="0065537E">
          <w:pPr>
            <w:pStyle w:val="Indholdsfortegnelse1"/>
            <w:tabs>
              <w:tab w:val="left" w:pos="851"/>
            </w:tabs>
            <w:rPr>
              <w:rFonts w:asciiTheme="minorHAnsi" w:eastAsiaTheme="minorEastAsia" w:hAnsiTheme="minorHAnsi"/>
              <w:b w:val="0"/>
              <w:noProof/>
              <w:sz w:val="22"/>
              <w:szCs w:val="22"/>
              <w:lang w:eastAsia="da-DK"/>
            </w:rPr>
          </w:pPr>
          <w:hyperlink w:anchor="_Toc514857941" w:history="1">
            <w:r w:rsidR="002C7A6C" w:rsidRPr="002808B3">
              <w:rPr>
                <w:rStyle w:val="Hyperlink"/>
                <w:noProof/>
              </w:rPr>
              <w:t>3</w:t>
            </w:r>
            <w:r w:rsidR="002C7A6C">
              <w:rPr>
                <w:rFonts w:asciiTheme="minorHAnsi" w:eastAsiaTheme="minorEastAsia" w:hAnsiTheme="minorHAnsi"/>
                <w:b w:val="0"/>
                <w:noProof/>
                <w:sz w:val="22"/>
                <w:szCs w:val="22"/>
                <w:lang w:eastAsia="da-DK"/>
              </w:rPr>
              <w:tab/>
            </w:r>
            <w:r w:rsidR="002C7A6C" w:rsidRPr="002808B3">
              <w:rPr>
                <w:rStyle w:val="Hyperlink"/>
                <w:noProof/>
              </w:rPr>
              <w:t>Administrative og erhvervsøkonomiske konsekvenser</w:t>
            </w:r>
            <w:r w:rsidR="002C7A6C">
              <w:rPr>
                <w:noProof/>
                <w:webHidden/>
              </w:rPr>
              <w:tab/>
            </w:r>
            <w:r w:rsidR="002C7A6C">
              <w:rPr>
                <w:noProof/>
                <w:webHidden/>
              </w:rPr>
              <w:fldChar w:fldCharType="begin"/>
            </w:r>
            <w:r w:rsidR="002C7A6C">
              <w:rPr>
                <w:noProof/>
                <w:webHidden/>
              </w:rPr>
              <w:instrText xml:space="preserve"> PAGEREF _Toc514857941 \h </w:instrText>
            </w:r>
            <w:r w:rsidR="002C7A6C">
              <w:rPr>
                <w:noProof/>
                <w:webHidden/>
              </w:rPr>
            </w:r>
            <w:r w:rsidR="002C7A6C">
              <w:rPr>
                <w:noProof/>
                <w:webHidden/>
              </w:rPr>
              <w:fldChar w:fldCharType="separate"/>
            </w:r>
            <w:r w:rsidR="004F2941">
              <w:rPr>
                <w:noProof/>
                <w:webHidden/>
              </w:rPr>
              <w:t>19</w:t>
            </w:r>
            <w:r w:rsidR="002C7A6C">
              <w:rPr>
                <w:noProof/>
                <w:webHidden/>
              </w:rPr>
              <w:fldChar w:fldCharType="end"/>
            </w:r>
          </w:hyperlink>
        </w:p>
        <w:p w:rsidR="002C7A6C" w:rsidRDefault="0065537E">
          <w:pPr>
            <w:pStyle w:val="Indholdsfortegnelse1"/>
            <w:tabs>
              <w:tab w:val="left" w:pos="851"/>
            </w:tabs>
            <w:rPr>
              <w:rFonts w:asciiTheme="minorHAnsi" w:eastAsiaTheme="minorEastAsia" w:hAnsiTheme="minorHAnsi"/>
              <w:b w:val="0"/>
              <w:noProof/>
              <w:sz w:val="22"/>
              <w:szCs w:val="22"/>
              <w:lang w:eastAsia="da-DK"/>
            </w:rPr>
          </w:pPr>
          <w:hyperlink w:anchor="_Toc514857942" w:history="1">
            <w:r w:rsidR="002C7A6C" w:rsidRPr="002808B3">
              <w:rPr>
                <w:rStyle w:val="Hyperlink"/>
                <w:noProof/>
              </w:rPr>
              <w:t>4</w:t>
            </w:r>
            <w:r w:rsidR="002C7A6C">
              <w:rPr>
                <w:rFonts w:asciiTheme="minorHAnsi" w:eastAsiaTheme="minorEastAsia" w:hAnsiTheme="minorHAnsi"/>
                <w:b w:val="0"/>
                <w:noProof/>
                <w:sz w:val="22"/>
                <w:szCs w:val="22"/>
                <w:lang w:eastAsia="da-DK"/>
              </w:rPr>
              <w:tab/>
            </w:r>
            <w:r w:rsidR="002C7A6C" w:rsidRPr="002808B3">
              <w:rPr>
                <w:rStyle w:val="Hyperlink"/>
                <w:noProof/>
              </w:rPr>
              <w:t>Forholdet til EU-retten</w:t>
            </w:r>
            <w:r w:rsidR="002C7A6C">
              <w:rPr>
                <w:noProof/>
                <w:webHidden/>
              </w:rPr>
              <w:tab/>
            </w:r>
            <w:r w:rsidR="002C7A6C">
              <w:rPr>
                <w:noProof/>
                <w:webHidden/>
              </w:rPr>
              <w:fldChar w:fldCharType="begin"/>
            </w:r>
            <w:r w:rsidR="002C7A6C">
              <w:rPr>
                <w:noProof/>
                <w:webHidden/>
              </w:rPr>
              <w:instrText xml:space="preserve"> PAGEREF _Toc514857942 \h </w:instrText>
            </w:r>
            <w:r w:rsidR="002C7A6C">
              <w:rPr>
                <w:noProof/>
                <w:webHidden/>
              </w:rPr>
            </w:r>
            <w:r w:rsidR="002C7A6C">
              <w:rPr>
                <w:noProof/>
                <w:webHidden/>
              </w:rPr>
              <w:fldChar w:fldCharType="separate"/>
            </w:r>
            <w:r w:rsidR="004F2941">
              <w:rPr>
                <w:noProof/>
                <w:webHidden/>
              </w:rPr>
              <w:t>19</w:t>
            </w:r>
            <w:r w:rsidR="002C7A6C">
              <w:rPr>
                <w:noProof/>
                <w:webHidden/>
              </w:rPr>
              <w:fldChar w:fldCharType="end"/>
            </w:r>
          </w:hyperlink>
        </w:p>
        <w:p w:rsidR="002C7A6C" w:rsidRDefault="0065537E">
          <w:pPr>
            <w:pStyle w:val="Indholdsfortegnelse2"/>
            <w:tabs>
              <w:tab w:val="left" w:pos="851"/>
            </w:tabs>
            <w:rPr>
              <w:rFonts w:asciiTheme="minorHAnsi" w:eastAsiaTheme="minorEastAsia" w:hAnsiTheme="minorHAnsi"/>
              <w:noProof/>
              <w:sz w:val="22"/>
              <w:szCs w:val="22"/>
              <w:lang w:eastAsia="da-DK"/>
            </w:rPr>
          </w:pPr>
          <w:hyperlink w:anchor="_Toc514857943" w:history="1">
            <w:r w:rsidR="002C7A6C" w:rsidRPr="002808B3">
              <w:rPr>
                <w:rStyle w:val="Hyperlink"/>
                <w:noProof/>
              </w:rPr>
              <w:t>4.1</w:t>
            </w:r>
            <w:r w:rsidR="002C7A6C">
              <w:rPr>
                <w:rFonts w:asciiTheme="minorHAnsi" w:eastAsiaTheme="minorEastAsia" w:hAnsiTheme="minorHAnsi"/>
                <w:noProof/>
                <w:sz w:val="22"/>
                <w:szCs w:val="22"/>
                <w:lang w:eastAsia="da-DK"/>
              </w:rPr>
              <w:tab/>
            </w:r>
            <w:r w:rsidR="002C7A6C" w:rsidRPr="002808B3">
              <w:rPr>
                <w:rStyle w:val="Hyperlink"/>
                <w:noProof/>
              </w:rPr>
              <w:t>Overholdelse af regeringens fem faste principper for implementering af EU-regulering</w:t>
            </w:r>
            <w:r w:rsidR="002C7A6C">
              <w:rPr>
                <w:noProof/>
                <w:webHidden/>
              </w:rPr>
              <w:tab/>
            </w:r>
            <w:r w:rsidR="002C7A6C">
              <w:rPr>
                <w:noProof/>
                <w:webHidden/>
              </w:rPr>
              <w:fldChar w:fldCharType="begin"/>
            </w:r>
            <w:r w:rsidR="002C7A6C">
              <w:rPr>
                <w:noProof/>
                <w:webHidden/>
              </w:rPr>
              <w:instrText xml:space="preserve"> PAGEREF _Toc514857943 \h </w:instrText>
            </w:r>
            <w:r w:rsidR="002C7A6C">
              <w:rPr>
                <w:noProof/>
                <w:webHidden/>
              </w:rPr>
            </w:r>
            <w:r w:rsidR="002C7A6C">
              <w:rPr>
                <w:noProof/>
                <w:webHidden/>
              </w:rPr>
              <w:fldChar w:fldCharType="separate"/>
            </w:r>
            <w:r w:rsidR="004F2941">
              <w:rPr>
                <w:noProof/>
                <w:webHidden/>
              </w:rPr>
              <w:t>19</w:t>
            </w:r>
            <w:r w:rsidR="002C7A6C">
              <w:rPr>
                <w:noProof/>
                <w:webHidden/>
              </w:rPr>
              <w:fldChar w:fldCharType="end"/>
            </w:r>
          </w:hyperlink>
        </w:p>
        <w:p w:rsidR="00356140" w:rsidRDefault="00356140">
          <w:r>
            <w:rPr>
              <w:b/>
              <w:bCs/>
            </w:rPr>
            <w:fldChar w:fldCharType="end"/>
          </w:r>
        </w:p>
      </w:sdtContent>
    </w:sdt>
    <w:p w:rsidR="00356140" w:rsidRDefault="00356140">
      <w:pPr>
        <w:rPr>
          <w:rFonts w:eastAsiaTheme="minorHAnsi"/>
          <w:lang w:eastAsia="en-US"/>
        </w:rPr>
      </w:pPr>
      <w:r>
        <w:rPr>
          <w:rFonts w:eastAsiaTheme="minorHAnsi"/>
          <w:lang w:eastAsia="en-US"/>
        </w:rPr>
        <w:br w:type="page"/>
      </w:r>
    </w:p>
    <w:p w:rsidR="003864F5" w:rsidRPr="003864F5" w:rsidRDefault="003864F5" w:rsidP="00356140">
      <w:pPr>
        <w:pStyle w:val="Overskrift1"/>
        <w:rPr>
          <w:rFonts w:eastAsiaTheme="minorHAnsi"/>
          <w:lang w:eastAsia="en-US"/>
        </w:rPr>
      </w:pPr>
      <w:bookmarkStart w:id="8" w:name="_Toc510619927"/>
      <w:bookmarkStart w:id="9" w:name="_Toc514857920"/>
      <w:r>
        <w:rPr>
          <w:rFonts w:eastAsiaTheme="minorHAnsi"/>
          <w:lang w:eastAsia="en-US"/>
        </w:rPr>
        <w:lastRenderedPageBreak/>
        <w:t>Indholdet af de foreslåede ændringer af husdyrgodkende</w:t>
      </w:r>
      <w:r>
        <w:rPr>
          <w:rFonts w:eastAsiaTheme="minorHAnsi"/>
          <w:lang w:eastAsia="en-US"/>
        </w:rPr>
        <w:t>l</w:t>
      </w:r>
      <w:r>
        <w:rPr>
          <w:rFonts w:eastAsiaTheme="minorHAnsi"/>
          <w:lang w:eastAsia="en-US"/>
        </w:rPr>
        <w:t>sesbekendtgørelsen</w:t>
      </w:r>
      <w:bookmarkEnd w:id="8"/>
      <w:bookmarkEnd w:id="9"/>
    </w:p>
    <w:p w:rsidR="002C6AA2" w:rsidRDefault="002C6AA2" w:rsidP="002C6AA2">
      <w:pPr>
        <w:rPr>
          <w:rFonts w:eastAsiaTheme="minorHAnsi" w:cstheme="minorBidi"/>
          <w:b/>
          <w:szCs w:val="18"/>
          <w:lang w:eastAsia="en-US"/>
        </w:rPr>
      </w:pPr>
    </w:p>
    <w:p w:rsidR="00DB7F4B" w:rsidRDefault="00B35FD5" w:rsidP="00356140">
      <w:pPr>
        <w:pStyle w:val="Overskrift2"/>
      </w:pPr>
      <w:bookmarkStart w:id="10" w:name="_Toc510619928"/>
      <w:bookmarkStart w:id="11" w:name="_Toc514857921"/>
      <w:proofErr w:type="spellStart"/>
      <w:r w:rsidRPr="00B35FD5">
        <w:t>H</w:t>
      </w:r>
      <w:r w:rsidR="003B6419" w:rsidRPr="00B35FD5">
        <w:t>usdyrbruglovens</w:t>
      </w:r>
      <w:proofErr w:type="spellEnd"/>
      <w:r w:rsidR="003B6419" w:rsidRPr="00B35FD5">
        <w:t xml:space="preserve"> </w:t>
      </w:r>
      <w:r w:rsidR="00C200BF">
        <w:t xml:space="preserve">og bekendtgørelsens </w:t>
      </w:r>
      <w:r w:rsidR="003B6419" w:rsidRPr="00B35FD5">
        <w:t>anvendelsesområde</w:t>
      </w:r>
      <w:bookmarkEnd w:id="10"/>
      <w:bookmarkEnd w:id="11"/>
    </w:p>
    <w:p w:rsidR="003B6419" w:rsidRDefault="00B35FD5" w:rsidP="003B6419">
      <w:proofErr w:type="spellStart"/>
      <w:r>
        <w:t>H</w:t>
      </w:r>
      <w:r w:rsidR="00DB7F4B">
        <w:t>usdyrbruglovens</w:t>
      </w:r>
      <w:proofErr w:type="spellEnd"/>
      <w:r w:rsidR="00DB7F4B">
        <w:t xml:space="preserve"> anvendelsesområde</w:t>
      </w:r>
      <w:r w:rsidR="003B6419">
        <w:t xml:space="preserve"> fremgår i dag primært af husdyrgødning</w:t>
      </w:r>
      <w:r w:rsidR="003B6419">
        <w:t>s</w:t>
      </w:r>
      <w:r w:rsidR="003B6419">
        <w:t xml:space="preserve">bekendtgørelsens § 1, men suppleres af husdyrgodkendelsesbekendtgørelsens § 1, stk. 2-5. I det udkast til husdyrgødningsbekendtgørelse, der er sendt i offentlig høring den </w:t>
      </w:r>
      <w:r>
        <w:t>19. marts</w:t>
      </w:r>
      <w:r w:rsidR="003B6419">
        <w:t xml:space="preserve"> 2018, er det foreslået, at regler om afgrænsning af </w:t>
      </w:r>
      <w:proofErr w:type="spellStart"/>
      <w:r w:rsidR="003B6419">
        <w:t>husdy</w:t>
      </w:r>
      <w:r w:rsidR="003B6419">
        <w:t>r</w:t>
      </w:r>
      <w:r w:rsidR="003B6419">
        <w:t>bruglovens</w:t>
      </w:r>
      <w:proofErr w:type="spellEnd"/>
      <w:r w:rsidR="003B6419">
        <w:t xml:space="preserve"> anvendelsesområde samles i husdyrgødningsbekendtgørelsen. I ko</w:t>
      </w:r>
      <w:r w:rsidR="003B6419">
        <w:t>n</w:t>
      </w:r>
      <w:r w:rsidR="003B6419">
        <w:t xml:space="preserve">sekvens heraf foreslås det, at henvisningerne til </w:t>
      </w:r>
      <w:proofErr w:type="spellStart"/>
      <w:r w:rsidR="003B6419">
        <w:t>husdyrbrugloven</w:t>
      </w:r>
      <w:proofErr w:type="spellEnd"/>
      <w:r w:rsidR="003B6419">
        <w:t xml:space="preserve"> udgår af husdy</w:t>
      </w:r>
      <w:r w:rsidR="003B6419">
        <w:t>r</w:t>
      </w:r>
      <w:r w:rsidR="003B6419">
        <w:t xml:space="preserve">godkendelsesbekendtgørelsens § 1, stk. 2-5, således at § </w:t>
      </w:r>
      <w:r>
        <w:t>1</w:t>
      </w:r>
      <w:r w:rsidR="003B6419">
        <w:t xml:space="preserve"> alene fastlægger husdy</w:t>
      </w:r>
      <w:r w:rsidR="003B6419">
        <w:t>r</w:t>
      </w:r>
      <w:r w:rsidR="003B6419">
        <w:t xml:space="preserve">godkendelsesbekendtgørelsens anvendelsesområde. </w:t>
      </w:r>
    </w:p>
    <w:p w:rsidR="003B6419" w:rsidRPr="00B35FD5" w:rsidRDefault="003B6419" w:rsidP="003B6419">
      <w:pPr>
        <w:rPr>
          <w:i/>
        </w:rPr>
      </w:pPr>
    </w:p>
    <w:p w:rsidR="003B6419" w:rsidRDefault="003B6419" w:rsidP="003B6419">
      <w:r>
        <w:t xml:space="preserve">Ændringen er udelukkende af lovteknisk og ordensmæssig karakter. </w:t>
      </w:r>
    </w:p>
    <w:p w:rsidR="003B6419" w:rsidRDefault="003B6419" w:rsidP="005D7C45"/>
    <w:p w:rsidR="00C200BF" w:rsidRPr="003864F5" w:rsidRDefault="00C200BF" w:rsidP="00356140">
      <w:pPr>
        <w:pStyle w:val="Overskrift2"/>
      </w:pPr>
      <w:bookmarkStart w:id="12" w:name="_Toc510619929"/>
      <w:bookmarkStart w:id="13" w:name="_Toc514857922"/>
      <w:r>
        <w:t xml:space="preserve">Ændring af anmeldeordning for </w:t>
      </w:r>
      <w:r w:rsidRPr="003864F5">
        <w:t>ensilageopbevaringsanlæg</w:t>
      </w:r>
      <w:bookmarkEnd w:id="12"/>
      <w:bookmarkEnd w:id="13"/>
      <w:r w:rsidRPr="003864F5">
        <w:t xml:space="preserve"> </w:t>
      </w:r>
    </w:p>
    <w:p w:rsidR="00C200BF" w:rsidRDefault="00C200BF" w:rsidP="00C200BF">
      <w:pPr>
        <w:rPr>
          <w:rFonts w:asciiTheme="minorHAnsi" w:hAnsiTheme="minorHAnsi"/>
        </w:rPr>
      </w:pPr>
      <w:r>
        <w:rPr>
          <w:rFonts w:asciiTheme="minorHAnsi" w:hAnsiTheme="minorHAnsi"/>
        </w:rPr>
        <w:t xml:space="preserve">Det foreslås, at bestemmelsen om opbevaringsanlæg til restvand og ensilagesaft i den gældende anmeldeordning for ensilageopbevaringsanlæg m.v. flyttes til den foreslåede nye anmeldeordning for gødningsopbevaringsanlæg i udkastets nye § 12. Derved samles anmeldeordningen for forskellige gødningsopbevaringsanlæg, mens den gældende § 11 alene regulerer opbevaringsanlæg til </w:t>
      </w:r>
      <w:r w:rsidR="00D546E0">
        <w:rPr>
          <w:rFonts w:asciiTheme="minorHAnsi" w:hAnsiTheme="minorHAnsi"/>
        </w:rPr>
        <w:t xml:space="preserve">fodertypen </w:t>
      </w:r>
      <w:r>
        <w:rPr>
          <w:rFonts w:asciiTheme="minorHAnsi" w:hAnsiTheme="minorHAnsi"/>
        </w:rPr>
        <w:t>ensilage.</w:t>
      </w:r>
    </w:p>
    <w:p w:rsidR="00C200BF" w:rsidRDefault="00C200BF" w:rsidP="00C200BF">
      <w:pPr>
        <w:rPr>
          <w:rFonts w:asciiTheme="minorHAnsi" w:hAnsiTheme="minorHAnsi"/>
        </w:rPr>
      </w:pPr>
      <w:r>
        <w:rPr>
          <w:rFonts w:asciiTheme="minorHAnsi" w:hAnsiTheme="minorHAnsi"/>
        </w:rPr>
        <w:t xml:space="preserve">  </w:t>
      </w:r>
    </w:p>
    <w:p w:rsidR="00E201D1" w:rsidRPr="0029238E" w:rsidRDefault="00E201D1" w:rsidP="00356140">
      <w:pPr>
        <w:pStyle w:val="Overskrift2"/>
      </w:pPr>
      <w:bookmarkStart w:id="14" w:name="_Toc510619930"/>
      <w:bookmarkStart w:id="15" w:name="_Toc514857923"/>
      <w:r w:rsidRPr="0029238E">
        <w:t>Ny anmeldeordning for gødningsopbevaringsanlæg</w:t>
      </w:r>
      <w:bookmarkEnd w:id="14"/>
      <w:bookmarkEnd w:id="15"/>
    </w:p>
    <w:p w:rsidR="000D55BC" w:rsidRDefault="000D55BC" w:rsidP="000D55BC">
      <w:r>
        <w:t xml:space="preserve">Det foreslås som en ny bestemmelse i bekendtgørelsens afsnit IV, at et </w:t>
      </w:r>
      <w:r w:rsidRPr="005D7C45">
        <w:t xml:space="preserve">husdyrbrug efter anmeldelse kan </w:t>
      </w:r>
      <w:r>
        <w:t>etablere, udvide eller ændre opbevaringsanlæg til husdy</w:t>
      </w:r>
      <w:r>
        <w:t>r</w:t>
      </w:r>
      <w:r>
        <w:t xml:space="preserve">gødning, </w:t>
      </w:r>
      <w:r w:rsidRPr="005D7C45">
        <w:t>hvis husdyrbruget overholder de betingelser, som er knyttet til anmeld</w:t>
      </w:r>
      <w:r w:rsidRPr="005D7C45">
        <w:t>e</w:t>
      </w:r>
      <w:r w:rsidRPr="005D7C45">
        <w:t>ordning</w:t>
      </w:r>
      <w:r>
        <w:t>en</w:t>
      </w:r>
      <w:r w:rsidRPr="005D7C45">
        <w:t xml:space="preserve">. </w:t>
      </w:r>
      <w:r>
        <w:t>Med forslaget indføres dels en anmeldeordning for gyllebeholdere, møddingpladser m.v., dels flyttes den gældende anmeldeordning for opbevaring</w:t>
      </w:r>
      <w:r>
        <w:t>s</w:t>
      </w:r>
      <w:r>
        <w:t xml:space="preserve">anlæg til restvand eller ensilagesaft fra § 11, i den gældende bekendtgørelse til § 12, jf. beskrivelsen under pkt. 1.2. </w:t>
      </w:r>
    </w:p>
    <w:p w:rsidR="000D55BC" w:rsidRDefault="000D55BC" w:rsidP="000D55BC"/>
    <w:p w:rsidR="000D55BC" w:rsidRDefault="000D55BC" w:rsidP="000D55BC">
      <w:r>
        <w:t>Hvad der forstås ved restvand, ensilagesaft og husdyrgødning fremgår af definiti</w:t>
      </w:r>
      <w:r>
        <w:t>o</w:t>
      </w:r>
      <w:r>
        <w:t>nerne i husdyrgødningsbekendtgørelsen. Husdyrgødningsbekendtgørelsen ind</w:t>
      </w:r>
      <w:r>
        <w:t>e</w:t>
      </w:r>
      <w:r>
        <w:t>holder desuden generelle regler for, hvordan restvand, ensilagesaft og husdyrgø</w:t>
      </w:r>
      <w:r>
        <w:t>d</w:t>
      </w:r>
      <w:r>
        <w:t>ning skal opbevares og udbringes m.v., som skal overholdes ved siden af reglerne i husdyrgodkendelsesbekendtgørelsen.</w:t>
      </w:r>
    </w:p>
    <w:p w:rsidR="000D55BC" w:rsidRDefault="000D55BC" w:rsidP="000D55BC"/>
    <w:p w:rsidR="000D55BC" w:rsidRDefault="000D55BC" w:rsidP="000D55BC">
      <w:r>
        <w:rPr>
          <w:szCs w:val="22"/>
        </w:rPr>
        <w:t>Anmeldeordningen for gødningsopbevaringsanlæg vil kunne anvendes af alle hu</w:t>
      </w:r>
      <w:r>
        <w:rPr>
          <w:szCs w:val="22"/>
        </w:rPr>
        <w:t>s</w:t>
      </w:r>
      <w:r>
        <w:rPr>
          <w:szCs w:val="22"/>
        </w:rPr>
        <w:t>dyrbrug, der er omfattet af krav om godkendelse eller tilladelse, uanset hvad deres hidtidige retsgrundlag er, men enkelte af betingelserne for anvendelse af ordni</w:t>
      </w:r>
      <w:r>
        <w:rPr>
          <w:szCs w:val="22"/>
        </w:rPr>
        <w:t>n</w:t>
      </w:r>
      <w:r>
        <w:rPr>
          <w:szCs w:val="22"/>
        </w:rPr>
        <w:t>gen afhænger dog af, om husdyrbruget er godkendt eller tilladt efter lovens §§ 16 a eller 16 b m.v.</w:t>
      </w:r>
    </w:p>
    <w:p w:rsidR="000D55BC" w:rsidRDefault="000D55BC" w:rsidP="000D55BC"/>
    <w:p w:rsidR="000D55BC" w:rsidRDefault="000D55BC" w:rsidP="000D55BC">
      <w:pPr>
        <w:rPr>
          <w:szCs w:val="22"/>
        </w:rPr>
      </w:pPr>
      <w:r>
        <w:t xml:space="preserve">Formålet med anmeldeordningen er en administrativ forenkling for kommuner og </w:t>
      </w:r>
    </w:p>
    <w:p w:rsidR="000D55BC" w:rsidRDefault="000D55BC" w:rsidP="000D55BC">
      <w:r>
        <w:t>husdyrbrug, idet ordningen skal gøre det muligt at opføre og foretage visse etabl</w:t>
      </w:r>
      <w:r>
        <w:t>e</w:t>
      </w:r>
      <w:r>
        <w:t xml:space="preserve">ringer, udvidelser eller ændringer af gødningsopbevaringsanlæg uden forudgående godkendelse eller tilladelse efter </w:t>
      </w:r>
      <w:proofErr w:type="spellStart"/>
      <w:r>
        <w:t>husdyrbruglovens</w:t>
      </w:r>
      <w:proofErr w:type="spellEnd"/>
      <w:r>
        <w:t xml:space="preserve"> §§ 16 a eller 16 b, hvis en række </w:t>
      </w:r>
      <w:r>
        <w:lastRenderedPageBreak/>
        <w:t>nærmere fastsatte betingelser er opfyldt. Hvis betingelserne ikke er opfyldt, må der i stedet indgives en ansøgning om godkendelse eller tilladelse, hvor kommunalb</w:t>
      </w:r>
      <w:r>
        <w:t>e</w:t>
      </w:r>
      <w:r>
        <w:t>styrelsen i modsætning til anmeldelser kan stille vilkår på baggrund af en nærmere konkret vurdering.</w:t>
      </w:r>
    </w:p>
    <w:p w:rsidR="000D55BC" w:rsidRDefault="000D55BC" w:rsidP="000D55BC">
      <w:r>
        <w:t xml:space="preserve"> </w:t>
      </w:r>
    </w:p>
    <w:p w:rsidR="000D55BC" w:rsidRDefault="000D55BC" w:rsidP="000D55BC">
      <w:pPr>
        <w:rPr>
          <w:szCs w:val="22"/>
        </w:rPr>
      </w:pPr>
      <w:r>
        <w:rPr>
          <w:szCs w:val="22"/>
        </w:rPr>
        <w:t>Betingelserne i udkastets § 12, stk. 3-7, gælder som udgangspunkt for såvel opb</w:t>
      </w:r>
      <w:r>
        <w:rPr>
          <w:szCs w:val="22"/>
        </w:rPr>
        <w:t>e</w:t>
      </w:r>
      <w:r>
        <w:rPr>
          <w:szCs w:val="22"/>
        </w:rPr>
        <w:t>varingsanlæg til restvand og ensilagesaft som for opbevaringsanlæg til husdyrgø</w:t>
      </w:r>
      <w:r>
        <w:rPr>
          <w:szCs w:val="22"/>
        </w:rPr>
        <w:t>d</w:t>
      </w:r>
      <w:r>
        <w:rPr>
          <w:szCs w:val="22"/>
        </w:rPr>
        <w:t xml:space="preserve">ning og svarer i vidt omfang til de betingelser, der gælder i dag for anmeldelse af opbevaringsanlæg til restvand og ensilagesaft. </w:t>
      </w:r>
    </w:p>
    <w:p w:rsidR="000D55BC" w:rsidRDefault="000D55BC" w:rsidP="000D55BC">
      <w:pPr>
        <w:rPr>
          <w:szCs w:val="22"/>
        </w:rPr>
      </w:pPr>
    </w:p>
    <w:p w:rsidR="000D55BC" w:rsidRDefault="000D55BC" w:rsidP="000D55BC">
      <w:pPr>
        <w:rPr>
          <w:szCs w:val="22"/>
        </w:rPr>
      </w:pPr>
      <w:r>
        <w:rPr>
          <w:szCs w:val="22"/>
        </w:rPr>
        <w:t xml:space="preserve">Opbevaringsanlæg </w:t>
      </w:r>
      <w:r w:rsidR="00FD3576">
        <w:rPr>
          <w:szCs w:val="22"/>
        </w:rPr>
        <w:t xml:space="preserve">til husdyrgødning </w:t>
      </w:r>
      <w:r w:rsidR="003D1D00">
        <w:rPr>
          <w:szCs w:val="22"/>
        </w:rPr>
        <w:t xml:space="preserve">skal </w:t>
      </w:r>
      <w:r>
        <w:rPr>
          <w:szCs w:val="22"/>
        </w:rPr>
        <w:t>være erhvervsmæssigt nødvendige og beliggende i tilknytning de hidtidige bebyggelsesarealer, jf. stk. 3. Tilsvarende b</w:t>
      </w:r>
      <w:r>
        <w:rPr>
          <w:szCs w:val="22"/>
        </w:rPr>
        <w:t>e</w:t>
      </w:r>
      <w:r>
        <w:rPr>
          <w:szCs w:val="22"/>
        </w:rPr>
        <w:t xml:space="preserve">tingelser findes i de øvrige anmeldeordninger i bekendtgørelsens kapitel 6, som er beskrevet i Miljøstyrelsens vejledning til bekendtgørelsen. </w:t>
      </w:r>
    </w:p>
    <w:p w:rsidR="000D55BC" w:rsidRDefault="000D55BC" w:rsidP="000D55BC">
      <w:pPr>
        <w:rPr>
          <w:szCs w:val="22"/>
        </w:rPr>
      </w:pPr>
    </w:p>
    <w:p w:rsidR="00B07F70" w:rsidRDefault="000D55BC" w:rsidP="000D55BC">
      <w:pPr>
        <w:rPr>
          <w:szCs w:val="22"/>
        </w:rPr>
      </w:pPr>
      <w:r>
        <w:rPr>
          <w:szCs w:val="22"/>
        </w:rPr>
        <w:t>Det samlede areal af gødningsopbevaringsanlæg, der ikke er omfattet af en go</w:t>
      </w:r>
      <w:r>
        <w:rPr>
          <w:szCs w:val="22"/>
        </w:rPr>
        <w:t>d</w:t>
      </w:r>
      <w:r>
        <w:rPr>
          <w:szCs w:val="22"/>
        </w:rPr>
        <w:t>kendelse eller tilladelse, på husdyrbruget må ikke overskride 3.000 m</w:t>
      </w:r>
      <w:r w:rsidRPr="00FD216B">
        <w:rPr>
          <w:szCs w:val="22"/>
          <w:vertAlign w:val="superscript"/>
        </w:rPr>
        <w:t>2</w:t>
      </w:r>
      <w:r>
        <w:rPr>
          <w:szCs w:val="22"/>
        </w:rPr>
        <w:t xml:space="preserve">, jf. stk. 4.  Det betyder, at der maksimalt kan </w:t>
      </w:r>
      <w:r w:rsidR="00B07F70">
        <w:rPr>
          <w:szCs w:val="22"/>
        </w:rPr>
        <w:t>anmeldes</w:t>
      </w:r>
      <w:r>
        <w:rPr>
          <w:szCs w:val="22"/>
        </w:rPr>
        <w:t xml:space="preserve"> 3.000 m</w:t>
      </w:r>
      <w:r>
        <w:rPr>
          <w:szCs w:val="22"/>
          <w:vertAlign w:val="superscript"/>
        </w:rPr>
        <w:t>2</w:t>
      </w:r>
      <w:r>
        <w:rPr>
          <w:szCs w:val="22"/>
        </w:rPr>
        <w:t xml:space="preserve"> anlæg </w:t>
      </w:r>
      <w:r w:rsidR="00B07F70">
        <w:rPr>
          <w:szCs w:val="22"/>
        </w:rPr>
        <w:t xml:space="preserve">i alt </w:t>
      </w:r>
      <w:r>
        <w:rPr>
          <w:szCs w:val="22"/>
        </w:rPr>
        <w:t>til opbevaring af fast</w:t>
      </w:r>
      <w:r w:rsidR="00B07F70">
        <w:rPr>
          <w:szCs w:val="22"/>
        </w:rPr>
        <w:t xml:space="preserve"> og flydende husdyrgødning</w:t>
      </w:r>
      <w:r w:rsidR="00983129">
        <w:rPr>
          <w:szCs w:val="22"/>
        </w:rPr>
        <w:t>,</w:t>
      </w:r>
      <w:r w:rsidR="00B07F70">
        <w:rPr>
          <w:szCs w:val="22"/>
        </w:rPr>
        <w:t xml:space="preserve"> restvand</w:t>
      </w:r>
      <w:r w:rsidR="00983129">
        <w:rPr>
          <w:szCs w:val="22"/>
        </w:rPr>
        <w:t xml:space="preserve"> og ensilagesaft</w:t>
      </w:r>
      <w:r w:rsidR="00B07F70">
        <w:rPr>
          <w:szCs w:val="22"/>
        </w:rPr>
        <w:t>. Begrænsningen omfatter kun anlæg der opføres efter anmeldelse. Når og hvis de pågældende anlæg omfa</w:t>
      </w:r>
      <w:r w:rsidR="00B07F70">
        <w:rPr>
          <w:szCs w:val="22"/>
        </w:rPr>
        <w:t>t</w:t>
      </w:r>
      <w:r w:rsidR="00B07F70">
        <w:rPr>
          <w:szCs w:val="22"/>
        </w:rPr>
        <w:t>tes af en godkendelse eller tilladelse, vil der på ny kunne anmeldes op til 3.000 m</w:t>
      </w:r>
      <w:r w:rsidR="00B07F70">
        <w:rPr>
          <w:szCs w:val="22"/>
          <w:vertAlign w:val="superscript"/>
        </w:rPr>
        <w:t>2</w:t>
      </w:r>
      <w:r w:rsidR="00B07F70">
        <w:rPr>
          <w:szCs w:val="22"/>
        </w:rPr>
        <w:t>.</w:t>
      </w:r>
    </w:p>
    <w:p w:rsidR="00B07F70" w:rsidRDefault="00B07F70" w:rsidP="000D55BC">
      <w:pPr>
        <w:rPr>
          <w:szCs w:val="22"/>
        </w:rPr>
      </w:pPr>
    </w:p>
    <w:p w:rsidR="000D55BC" w:rsidRPr="00E33E12" w:rsidRDefault="00B07F70" w:rsidP="000D55BC">
      <w:pPr>
        <w:rPr>
          <w:szCs w:val="22"/>
        </w:rPr>
      </w:pPr>
      <w:r>
        <w:rPr>
          <w:szCs w:val="22"/>
        </w:rPr>
        <w:t>Det er arealet af anlægget, der er afgørende, dvs. enten grundplanen af et anlæg til fast husdyrgødning eller overflade</w:t>
      </w:r>
      <w:r w:rsidR="00617469">
        <w:rPr>
          <w:szCs w:val="22"/>
        </w:rPr>
        <w:t>a</w:t>
      </w:r>
      <w:r>
        <w:rPr>
          <w:szCs w:val="22"/>
        </w:rPr>
        <w:t>realet af en beholder til flydende husdyrgø</w:t>
      </w:r>
      <w:r>
        <w:rPr>
          <w:szCs w:val="22"/>
        </w:rPr>
        <w:t>d</w:t>
      </w:r>
      <w:r>
        <w:rPr>
          <w:szCs w:val="22"/>
        </w:rPr>
        <w:t>ning eller restvand. De</w:t>
      </w:r>
      <w:r w:rsidR="00FD3576">
        <w:rPr>
          <w:szCs w:val="22"/>
        </w:rPr>
        <w:t>t</w:t>
      </w:r>
      <w:r>
        <w:rPr>
          <w:szCs w:val="22"/>
        </w:rPr>
        <w:t xml:space="preserve"> har derimod ikke i relation til størrelsesbegrænsningen på 3.000 m</w:t>
      </w:r>
      <w:r>
        <w:rPr>
          <w:szCs w:val="22"/>
          <w:vertAlign w:val="superscript"/>
        </w:rPr>
        <w:t>2</w:t>
      </w:r>
      <w:r>
        <w:rPr>
          <w:szCs w:val="22"/>
        </w:rPr>
        <w:t xml:space="preserve"> betydning, hvor stor en kapacitet, det pågældende anlæg har.    </w:t>
      </w:r>
    </w:p>
    <w:p w:rsidR="000D55BC" w:rsidRDefault="000D55BC" w:rsidP="000D55BC">
      <w:pPr>
        <w:rPr>
          <w:szCs w:val="22"/>
        </w:rPr>
      </w:pPr>
    </w:p>
    <w:p w:rsidR="00EC4579" w:rsidRDefault="00B07F70" w:rsidP="00EC4579">
      <w:pPr>
        <w:rPr>
          <w:szCs w:val="22"/>
        </w:rPr>
      </w:pPr>
      <w:r>
        <w:rPr>
          <w:szCs w:val="22"/>
        </w:rPr>
        <w:t xml:space="preserve">Efter stk. 5 </w:t>
      </w:r>
      <w:r w:rsidR="000D55BC">
        <w:rPr>
          <w:szCs w:val="22"/>
        </w:rPr>
        <w:t xml:space="preserve">skal en række afstandskrav være overholdt. </w:t>
      </w:r>
      <w:r w:rsidR="00983129">
        <w:rPr>
          <w:szCs w:val="22"/>
        </w:rPr>
        <w:t xml:space="preserve">Der skal være </w:t>
      </w:r>
      <w:r w:rsidR="00EC4579">
        <w:rPr>
          <w:szCs w:val="22"/>
        </w:rPr>
        <w:t xml:space="preserve">mindst </w:t>
      </w:r>
      <w:r w:rsidR="00EC4579" w:rsidRPr="00EC4579">
        <w:rPr>
          <w:szCs w:val="22"/>
        </w:rPr>
        <w:t>300</w:t>
      </w:r>
      <w:r w:rsidR="00EC4579">
        <w:rPr>
          <w:szCs w:val="22"/>
        </w:rPr>
        <w:t xml:space="preserve"> m/150</w:t>
      </w:r>
      <w:r w:rsidR="00EC4579" w:rsidRPr="00EC4579">
        <w:rPr>
          <w:szCs w:val="22"/>
        </w:rPr>
        <w:t xml:space="preserve"> m</w:t>
      </w:r>
      <w:r w:rsidR="00EC4579">
        <w:rPr>
          <w:szCs w:val="22"/>
        </w:rPr>
        <w:t xml:space="preserve"> til byzoner, sommerhusområder, lokalplanlagte boligområder i landzone m.v. Der skal desuden være mindst 100 m til nabobeboelser uden landbrugspligt, som ikke ejes af den ansvarlige for husdyrbruget. Endelig skal der være mindst 50 m til søer over 100 </w:t>
      </w:r>
      <w:r w:rsidR="00EC4579" w:rsidRPr="00E33E12">
        <w:rPr>
          <w:szCs w:val="22"/>
        </w:rPr>
        <w:t>m</w:t>
      </w:r>
      <w:r w:rsidR="00EC4579" w:rsidRPr="00E804B9">
        <w:rPr>
          <w:szCs w:val="22"/>
          <w:vertAlign w:val="superscript"/>
        </w:rPr>
        <w:t>2</w:t>
      </w:r>
      <w:r w:rsidR="00EC4579">
        <w:rPr>
          <w:szCs w:val="22"/>
        </w:rPr>
        <w:t xml:space="preserve"> </w:t>
      </w:r>
      <w:r w:rsidR="00EC4579" w:rsidRPr="00E33E12">
        <w:rPr>
          <w:szCs w:val="22"/>
        </w:rPr>
        <w:t>og</w:t>
      </w:r>
      <w:r w:rsidR="00EC4579">
        <w:rPr>
          <w:szCs w:val="22"/>
        </w:rPr>
        <w:t xml:space="preserve"> åbne vandløb</w:t>
      </w:r>
      <w:r w:rsidR="00EC4579" w:rsidRPr="00EC4579">
        <w:rPr>
          <w:szCs w:val="22"/>
        </w:rPr>
        <w:t xml:space="preserve"> for så vidt angår opbevaringsanlæg til res</w:t>
      </w:r>
      <w:r w:rsidR="00EC4579" w:rsidRPr="00EC4579">
        <w:rPr>
          <w:szCs w:val="22"/>
        </w:rPr>
        <w:t>t</w:t>
      </w:r>
      <w:r w:rsidR="00EC4579" w:rsidRPr="00EC4579">
        <w:rPr>
          <w:szCs w:val="22"/>
        </w:rPr>
        <w:t>vand, ensilagesaft eller fast husdyrgød</w:t>
      </w:r>
      <w:r w:rsidR="003D4294">
        <w:rPr>
          <w:szCs w:val="22"/>
        </w:rPr>
        <w:t>ning. I relation til sidstnævnte krav bemæ</w:t>
      </w:r>
      <w:r w:rsidR="003D4294">
        <w:rPr>
          <w:szCs w:val="22"/>
        </w:rPr>
        <w:t>r</w:t>
      </w:r>
      <w:r w:rsidR="003D4294">
        <w:rPr>
          <w:szCs w:val="22"/>
        </w:rPr>
        <w:t xml:space="preserve">kes det, at der efter </w:t>
      </w:r>
      <w:proofErr w:type="spellStart"/>
      <w:r w:rsidR="003D4294">
        <w:rPr>
          <w:szCs w:val="22"/>
        </w:rPr>
        <w:t>husdyrbruglovens</w:t>
      </w:r>
      <w:proofErr w:type="spellEnd"/>
      <w:r w:rsidR="003D4294">
        <w:rPr>
          <w:szCs w:val="22"/>
        </w:rPr>
        <w:t xml:space="preserve"> § 8, stk. 2, gælder krav om mindst 100 m, hvis der er tale om opbevaringsanlæg til flydende husdyrgødning. </w:t>
      </w:r>
    </w:p>
    <w:p w:rsidR="003D4294" w:rsidRPr="00EC4579" w:rsidRDefault="003D4294" w:rsidP="00EC4579">
      <w:pPr>
        <w:rPr>
          <w:szCs w:val="22"/>
        </w:rPr>
      </w:pPr>
    </w:p>
    <w:p w:rsidR="00983129" w:rsidRDefault="000D55BC" w:rsidP="00E33E12">
      <w:pPr>
        <w:rPr>
          <w:szCs w:val="22"/>
        </w:rPr>
      </w:pPr>
      <w:r>
        <w:rPr>
          <w:szCs w:val="22"/>
        </w:rPr>
        <w:t>D</w:t>
      </w:r>
      <w:r w:rsidR="00B07F70">
        <w:rPr>
          <w:szCs w:val="22"/>
        </w:rPr>
        <w:t>iss</w:t>
      </w:r>
      <w:r>
        <w:rPr>
          <w:szCs w:val="22"/>
        </w:rPr>
        <w:t>e skærpede afstandskrav</w:t>
      </w:r>
      <w:r w:rsidR="00B07F70">
        <w:rPr>
          <w:szCs w:val="22"/>
        </w:rPr>
        <w:t xml:space="preserve">, der supplerer de almindelige forbud og afstandskrav i </w:t>
      </w:r>
      <w:proofErr w:type="spellStart"/>
      <w:r w:rsidR="00B07F70">
        <w:rPr>
          <w:szCs w:val="22"/>
        </w:rPr>
        <w:t>husdyrbruglovens</w:t>
      </w:r>
      <w:proofErr w:type="spellEnd"/>
      <w:r w:rsidR="00B07F70">
        <w:rPr>
          <w:szCs w:val="22"/>
        </w:rPr>
        <w:t xml:space="preserve"> §§ 6-8</w:t>
      </w:r>
      <w:r w:rsidR="003D4294">
        <w:rPr>
          <w:szCs w:val="22"/>
        </w:rPr>
        <w:t>,</w:t>
      </w:r>
      <w:r>
        <w:rPr>
          <w:szCs w:val="22"/>
        </w:rPr>
        <w:t xml:space="preserve"> svarer i vidt omfang til </w:t>
      </w:r>
      <w:r w:rsidR="00983129">
        <w:rPr>
          <w:szCs w:val="22"/>
        </w:rPr>
        <w:t xml:space="preserve">de </w:t>
      </w:r>
      <w:r>
        <w:rPr>
          <w:szCs w:val="22"/>
        </w:rPr>
        <w:t>afstandskrav</w:t>
      </w:r>
      <w:r w:rsidR="00983129">
        <w:rPr>
          <w:szCs w:val="22"/>
        </w:rPr>
        <w:t>, der gjaldt</w:t>
      </w:r>
      <w:r>
        <w:rPr>
          <w:szCs w:val="22"/>
        </w:rPr>
        <w:t xml:space="preserve"> for </w:t>
      </w:r>
      <w:r w:rsidR="00983129">
        <w:rPr>
          <w:szCs w:val="22"/>
        </w:rPr>
        <w:t xml:space="preserve">anmeldelse af </w:t>
      </w:r>
      <w:r>
        <w:rPr>
          <w:szCs w:val="22"/>
        </w:rPr>
        <w:t>gødningsopbevaringsanlæg i</w:t>
      </w:r>
      <w:r w:rsidR="00983129">
        <w:rPr>
          <w:szCs w:val="22"/>
        </w:rPr>
        <w:t xml:space="preserve"> </w:t>
      </w:r>
      <w:r>
        <w:rPr>
          <w:szCs w:val="22"/>
        </w:rPr>
        <w:t>§ 27 i</w:t>
      </w:r>
      <w:r w:rsidR="00983129" w:rsidRPr="00983129">
        <w:rPr>
          <w:szCs w:val="22"/>
        </w:rPr>
        <w:t xml:space="preserve"> </w:t>
      </w:r>
      <w:r w:rsidR="00983129">
        <w:rPr>
          <w:szCs w:val="22"/>
        </w:rPr>
        <w:t>den nu ophævede</w:t>
      </w:r>
      <w:r>
        <w:rPr>
          <w:szCs w:val="22"/>
        </w:rPr>
        <w:t xml:space="preserve"> b</w:t>
      </w:r>
      <w:r w:rsidRPr="00E93438">
        <w:rPr>
          <w:szCs w:val="22"/>
        </w:rPr>
        <w:t xml:space="preserve">ekendtgørelse </w:t>
      </w:r>
      <w:r>
        <w:rPr>
          <w:szCs w:val="22"/>
        </w:rPr>
        <w:t xml:space="preserve">nr. </w:t>
      </w:r>
      <w:r w:rsidRPr="00E93438">
        <w:rPr>
          <w:szCs w:val="22"/>
        </w:rPr>
        <w:t>211 af 28</w:t>
      </w:r>
      <w:r>
        <w:rPr>
          <w:szCs w:val="22"/>
        </w:rPr>
        <w:t>. februar 2</w:t>
      </w:r>
      <w:r w:rsidRPr="00E93438">
        <w:rPr>
          <w:szCs w:val="22"/>
        </w:rPr>
        <w:t>017 om tilladelse og godkendelse m.v. af husdyrbrug</w:t>
      </w:r>
      <w:r w:rsidR="00983129">
        <w:rPr>
          <w:szCs w:val="22"/>
        </w:rPr>
        <w:t xml:space="preserve"> og i § 11, stk. 5, i den gældende bekendtgørelse</w:t>
      </w:r>
      <w:r w:rsidR="00983129" w:rsidRPr="000F0775">
        <w:rPr>
          <w:szCs w:val="22"/>
        </w:rPr>
        <w:t xml:space="preserve"> nr</w:t>
      </w:r>
      <w:r w:rsidR="00983129">
        <w:rPr>
          <w:szCs w:val="22"/>
        </w:rPr>
        <w:t>.</w:t>
      </w:r>
      <w:r w:rsidR="00983129" w:rsidRPr="000F0775">
        <w:rPr>
          <w:szCs w:val="22"/>
        </w:rPr>
        <w:t xml:space="preserve"> 1380 af 30</w:t>
      </w:r>
      <w:r w:rsidR="00983129">
        <w:rPr>
          <w:szCs w:val="22"/>
        </w:rPr>
        <w:t xml:space="preserve">. november </w:t>
      </w:r>
      <w:r w:rsidR="00983129" w:rsidRPr="000F0775">
        <w:rPr>
          <w:szCs w:val="22"/>
        </w:rPr>
        <w:t>2017</w:t>
      </w:r>
      <w:r w:rsidR="00983129">
        <w:rPr>
          <w:szCs w:val="22"/>
        </w:rPr>
        <w:t>, der dog alene gælder for opbevaringsanlæg til restvand og ensilagesaft.</w:t>
      </w:r>
    </w:p>
    <w:p w:rsidR="00983129" w:rsidRDefault="00983129" w:rsidP="000D55BC">
      <w:pPr>
        <w:rPr>
          <w:szCs w:val="22"/>
        </w:rPr>
      </w:pPr>
    </w:p>
    <w:p w:rsidR="000D55BC" w:rsidRDefault="000D55BC" w:rsidP="000D55BC">
      <w:pPr>
        <w:rPr>
          <w:szCs w:val="22"/>
        </w:rPr>
      </w:pPr>
      <w:r>
        <w:rPr>
          <w:szCs w:val="22"/>
        </w:rPr>
        <w:t xml:space="preserve">Det anmeldte må </w:t>
      </w:r>
      <w:r w:rsidR="003D4294">
        <w:rPr>
          <w:szCs w:val="22"/>
        </w:rPr>
        <w:t>efter udkastets stk. 6</w:t>
      </w:r>
      <w:r>
        <w:rPr>
          <w:szCs w:val="22"/>
        </w:rPr>
        <w:t xml:space="preserve"> ikke medføre terrænændringer på mere end +/- 1 m, og der skal som udgangspunkt etableres beplantning. Som noget nyt – i forhold til de gældende betingelser for opbevaringsanlæg til restvand og ensilag</w:t>
      </w:r>
      <w:r>
        <w:rPr>
          <w:szCs w:val="22"/>
        </w:rPr>
        <w:t>e</w:t>
      </w:r>
      <w:r>
        <w:rPr>
          <w:szCs w:val="22"/>
        </w:rPr>
        <w:t xml:space="preserve">saft </w:t>
      </w:r>
      <w:r w:rsidR="003D4294">
        <w:rPr>
          <w:szCs w:val="22"/>
        </w:rPr>
        <w:t>–</w:t>
      </w:r>
      <w:r>
        <w:rPr>
          <w:szCs w:val="22"/>
        </w:rPr>
        <w:t xml:space="preserve"> foreslås det, at betingelsen om en maksimal højde på 3 m ændres således, at det er siden, der maksimalt må være 3 m, mens højden kan være op til 8 m inkl</w:t>
      </w:r>
      <w:r>
        <w:rPr>
          <w:szCs w:val="22"/>
        </w:rPr>
        <w:t>u</w:t>
      </w:r>
      <w:r>
        <w:rPr>
          <w:szCs w:val="22"/>
        </w:rPr>
        <w:t>siv overdækning. Dette er navnlig relevant i forhold til gyllebeholdere med tel</w:t>
      </w:r>
      <w:r>
        <w:rPr>
          <w:szCs w:val="22"/>
        </w:rPr>
        <w:t>t</w:t>
      </w:r>
      <w:r>
        <w:rPr>
          <w:szCs w:val="22"/>
        </w:rPr>
        <w:t>overdækning.</w:t>
      </w:r>
    </w:p>
    <w:p w:rsidR="007C2F24" w:rsidRDefault="007C2F24" w:rsidP="005D6234">
      <w:pPr>
        <w:rPr>
          <w:szCs w:val="22"/>
        </w:rPr>
      </w:pPr>
      <w:r>
        <w:rPr>
          <w:szCs w:val="22"/>
        </w:rPr>
        <w:lastRenderedPageBreak/>
        <w:t>§ 12, stk. 7, indeholder krav om, at der senest 31. december året efter etableringen, udvidelsen eller ændringen af opbevaringsanlægget, skal være etableret en b</w:t>
      </w:r>
      <w:r>
        <w:rPr>
          <w:szCs w:val="22"/>
        </w:rPr>
        <w:t>e</w:t>
      </w:r>
      <w:r>
        <w:rPr>
          <w:szCs w:val="22"/>
        </w:rPr>
        <w:t>plantning til afskærmning, og at beplantningen skal vedligeholdes i nødvendigt omfang. Der er dog mulighed for, at kommunalbestyrelsen kan fravige kravet helt eller delvist på grundlag af en vurdering af de landskabelige forhold, jf. § 20, stk. 5, i udkast til bekendtgørelse.</w:t>
      </w:r>
    </w:p>
    <w:p w:rsidR="00E24CD0" w:rsidRDefault="003D4294" w:rsidP="005D6234">
      <w:pPr>
        <w:rPr>
          <w:szCs w:val="22"/>
        </w:rPr>
      </w:pPr>
      <w:r>
        <w:rPr>
          <w:szCs w:val="22"/>
        </w:rPr>
        <w:t>§ 12, stk. 8-1</w:t>
      </w:r>
      <w:r w:rsidR="00D907FC">
        <w:rPr>
          <w:szCs w:val="22"/>
        </w:rPr>
        <w:t>4</w:t>
      </w:r>
      <w:r>
        <w:rPr>
          <w:szCs w:val="22"/>
        </w:rPr>
        <w:t xml:space="preserve">, indeholder krav til og regler om beregning af ammoniakemission for opbevaringsanlæg til husdyrgødning. </w:t>
      </w:r>
    </w:p>
    <w:p w:rsidR="00E24CD0" w:rsidRDefault="00E24CD0" w:rsidP="005D6234">
      <w:pPr>
        <w:rPr>
          <w:szCs w:val="22"/>
        </w:rPr>
      </w:pPr>
    </w:p>
    <w:p w:rsidR="00A50B3C" w:rsidRDefault="00E24CD0" w:rsidP="005D6234">
      <w:pPr>
        <w:rPr>
          <w:szCs w:val="22"/>
        </w:rPr>
      </w:pPr>
      <w:r>
        <w:rPr>
          <w:szCs w:val="22"/>
        </w:rPr>
        <w:t xml:space="preserve">§ 12, stk. 8 og 9, handler om den maksimale </w:t>
      </w:r>
      <w:proofErr w:type="spellStart"/>
      <w:r>
        <w:rPr>
          <w:szCs w:val="22"/>
        </w:rPr>
        <w:t>deposition</w:t>
      </w:r>
      <w:proofErr w:type="spellEnd"/>
      <w:r>
        <w:rPr>
          <w:szCs w:val="22"/>
        </w:rPr>
        <w:t xml:space="preserve"> af ammoniak til kategori 1-3-natur. Udgangspunktet i stk. 8 er, at </w:t>
      </w:r>
      <w:r w:rsidR="00A50B3C">
        <w:rPr>
          <w:szCs w:val="22"/>
        </w:rPr>
        <w:t xml:space="preserve">den maksimale </w:t>
      </w:r>
      <w:proofErr w:type="spellStart"/>
      <w:r w:rsidR="00A50B3C" w:rsidRPr="00E551EC">
        <w:rPr>
          <w:i/>
          <w:szCs w:val="22"/>
        </w:rPr>
        <w:t>total</w:t>
      </w:r>
      <w:r w:rsidR="00A50B3C">
        <w:rPr>
          <w:szCs w:val="22"/>
        </w:rPr>
        <w:t>deposition</w:t>
      </w:r>
      <w:proofErr w:type="spellEnd"/>
      <w:r w:rsidR="00A50B3C">
        <w:rPr>
          <w:szCs w:val="22"/>
        </w:rPr>
        <w:t xml:space="preserve"> fra husdy</w:t>
      </w:r>
      <w:r w:rsidR="00A50B3C">
        <w:rPr>
          <w:szCs w:val="22"/>
        </w:rPr>
        <w:t>r</w:t>
      </w:r>
      <w:r w:rsidR="00A50B3C">
        <w:rPr>
          <w:szCs w:val="22"/>
        </w:rPr>
        <w:t>bruget</w:t>
      </w:r>
      <w:r w:rsidR="00FD3576">
        <w:rPr>
          <w:szCs w:val="22"/>
        </w:rPr>
        <w:t>,</w:t>
      </w:r>
      <w:r w:rsidR="00A50B3C">
        <w:rPr>
          <w:szCs w:val="22"/>
        </w:rPr>
        <w:t xml:space="preserve"> inklusiv det anmeldte opbevaringsanlæg</w:t>
      </w:r>
      <w:r w:rsidR="00FD3576">
        <w:rPr>
          <w:szCs w:val="22"/>
        </w:rPr>
        <w:t>,</w:t>
      </w:r>
      <w:r w:rsidR="00A50B3C">
        <w:rPr>
          <w:szCs w:val="22"/>
        </w:rPr>
        <w:t xml:space="preserve"> til kategori 1-3-natur ikke </w:t>
      </w:r>
      <w:r>
        <w:rPr>
          <w:szCs w:val="22"/>
        </w:rPr>
        <w:t xml:space="preserve">må </w:t>
      </w:r>
      <w:r w:rsidR="00A50B3C">
        <w:rPr>
          <w:szCs w:val="22"/>
        </w:rPr>
        <w:t>overstige følgende niveauer:</w:t>
      </w:r>
    </w:p>
    <w:p w:rsidR="00A50B3C" w:rsidRDefault="00A50B3C" w:rsidP="005D6234">
      <w:pPr>
        <w:rPr>
          <w:szCs w:val="22"/>
        </w:rPr>
      </w:pPr>
    </w:p>
    <w:p w:rsidR="00A50B3C" w:rsidRDefault="00A50B3C" w:rsidP="005D6234">
      <w:pPr>
        <w:rPr>
          <w:szCs w:val="22"/>
        </w:rPr>
      </w:pPr>
      <w:r>
        <w:rPr>
          <w:szCs w:val="22"/>
        </w:rPr>
        <w:t xml:space="preserve">Kategori 1-natur: </w:t>
      </w:r>
    </w:p>
    <w:p w:rsidR="00402F13" w:rsidRDefault="00C374EB" w:rsidP="00986CF5">
      <w:pPr>
        <w:pStyle w:val="Listeafsnit"/>
        <w:numPr>
          <w:ilvl w:val="0"/>
          <w:numId w:val="16"/>
        </w:numPr>
        <w:rPr>
          <w:szCs w:val="22"/>
        </w:rPr>
      </w:pPr>
      <w:r w:rsidRPr="00986CF5">
        <w:rPr>
          <w:szCs w:val="22"/>
        </w:rPr>
        <w:t xml:space="preserve">0,2 </w:t>
      </w:r>
      <w:r w:rsidR="00A50B3C" w:rsidRPr="00986CF5">
        <w:rPr>
          <w:szCs w:val="22"/>
        </w:rPr>
        <w:t>kg N pr. ha pr. år</w:t>
      </w:r>
      <w:r w:rsidR="00425BE3" w:rsidRPr="00986CF5">
        <w:rPr>
          <w:szCs w:val="22"/>
        </w:rPr>
        <w:t xml:space="preserve">, hvis der </w:t>
      </w:r>
      <w:r w:rsidR="00986CF5" w:rsidRPr="00986CF5">
        <w:rPr>
          <w:szCs w:val="22"/>
        </w:rPr>
        <w:t xml:space="preserve">er flere end 1 husdyrbrug i nærheden </w:t>
      </w:r>
    </w:p>
    <w:p w:rsidR="00A50B3C" w:rsidRPr="00986CF5" w:rsidRDefault="00A50B3C" w:rsidP="00986CF5">
      <w:pPr>
        <w:pStyle w:val="Listeafsnit"/>
        <w:numPr>
          <w:ilvl w:val="0"/>
          <w:numId w:val="16"/>
        </w:numPr>
        <w:rPr>
          <w:szCs w:val="22"/>
        </w:rPr>
      </w:pPr>
      <w:r w:rsidRPr="00986CF5">
        <w:rPr>
          <w:szCs w:val="22"/>
        </w:rPr>
        <w:t>0,4 kg N pr. ha pr. år</w:t>
      </w:r>
      <w:r w:rsidR="00425BE3" w:rsidRPr="00986CF5">
        <w:rPr>
          <w:szCs w:val="22"/>
        </w:rPr>
        <w:t>, hvis der er 1 husdyrbrug i nærheden</w:t>
      </w:r>
    </w:p>
    <w:p w:rsidR="00986CF5" w:rsidRPr="006711A5" w:rsidRDefault="00C374EB" w:rsidP="00986CF5">
      <w:pPr>
        <w:pStyle w:val="Listeafsnit"/>
        <w:numPr>
          <w:ilvl w:val="0"/>
          <w:numId w:val="16"/>
        </w:numPr>
        <w:rPr>
          <w:szCs w:val="22"/>
        </w:rPr>
      </w:pPr>
      <w:r w:rsidRPr="006711A5">
        <w:rPr>
          <w:szCs w:val="22"/>
        </w:rPr>
        <w:t xml:space="preserve">0,7 kg N </w:t>
      </w:r>
      <w:r w:rsidR="00425BE3" w:rsidRPr="006711A5">
        <w:rPr>
          <w:szCs w:val="22"/>
        </w:rPr>
        <w:t xml:space="preserve">pr. ha pr. år, hvis der </w:t>
      </w:r>
      <w:r w:rsidR="00986CF5" w:rsidRPr="006711A5">
        <w:rPr>
          <w:szCs w:val="22"/>
        </w:rPr>
        <w:t>ikke er husdyrbrug i nærheden</w:t>
      </w:r>
    </w:p>
    <w:p w:rsidR="006711A5" w:rsidRDefault="006711A5" w:rsidP="005D6234">
      <w:pPr>
        <w:rPr>
          <w:szCs w:val="22"/>
        </w:rPr>
      </w:pPr>
    </w:p>
    <w:p w:rsidR="00A50B3C" w:rsidRDefault="00A50B3C" w:rsidP="005D6234">
      <w:pPr>
        <w:rPr>
          <w:szCs w:val="22"/>
        </w:rPr>
      </w:pPr>
      <w:r>
        <w:rPr>
          <w:szCs w:val="22"/>
        </w:rPr>
        <w:t>Kategori 2-natur:</w:t>
      </w:r>
    </w:p>
    <w:p w:rsidR="004C00A5" w:rsidRDefault="006711A5" w:rsidP="004C00A5">
      <w:pPr>
        <w:pStyle w:val="Listeafsnit"/>
        <w:numPr>
          <w:ilvl w:val="0"/>
          <w:numId w:val="16"/>
        </w:numPr>
        <w:rPr>
          <w:szCs w:val="22"/>
        </w:rPr>
      </w:pPr>
      <w:r>
        <w:rPr>
          <w:szCs w:val="22"/>
        </w:rPr>
        <w:t>1</w:t>
      </w:r>
      <w:r w:rsidR="00A04B09">
        <w:rPr>
          <w:szCs w:val="22"/>
        </w:rPr>
        <w:t>,0</w:t>
      </w:r>
      <w:r>
        <w:rPr>
          <w:szCs w:val="22"/>
        </w:rPr>
        <w:t xml:space="preserve"> kg </w:t>
      </w:r>
      <w:r w:rsidRPr="006711A5">
        <w:rPr>
          <w:szCs w:val="22"/>
        </w:rPr>
        <w:t>N pr. ha pr. år</w:t>
      </w:r>
    </w:p>
    <w:p w:rsidR="00A50B3C" w:rsidRDefault="00A50B3C" w:rsidP="005D6234">
      <w:pPr>
        <w:rPr>
          <w:szCs w:val="22"/>
        </w:rPr>
      </w:pPr>
    </w:p>
    <w:p w:rsidR="00402F13" w:rsidRDefault="00402F13" w:rsidP="005D6234">
      <w:pPr>
        <w:rPr>
          <w:szCs w:val="22"/>
        </w:rPr>
      </w:pPr>
      <w:r>
        <w:rPr>
          <w:szCs w:val="22"/>
        </w:rPr>
        <w:t>Kategori 3-natur:</w:t>
      </w:r>
    </w:p>
    <w:p w:rsidR="00402F13" w:rsidRPr="00402F13" w:rsidRDefault="00402F13" w:rsidP="00FD216B">
      <w:pPr>
        <w:pStyle w:val="Listeafsnit"/>
        <w:numPr>
          <w:ilvl w:val="0"/>
          <w:numId w:val="16"/>
        </w:numPr>
        <w:rPr>
          <w:szCs w:val="22"/>
        </w:rPr>
      </w:pPr>
      <w:r w:rsidRPr="00402F13">
        <w:rPr>
          <w:szCs w:val="22"/>
        </w:rPr>
        <w:t>1,0 kg N pr. ha pr. år</w:t>
      </w:r>
    </w:p>
    <w:p w:rsidR="006406C1" w:rsidRDefault="006406C1" w:rsidP="005D6234">
      <w:pPr>
        <w:rPr>
          <w:i/>
          <w:szCs w:val="22"/>
        </w:rPr>
      </w:pPr>
    </w:p>
    <w:p w:rsidR="00E24CD0" w:rsidRDefault="00E24CD0" w:rsidP="00E24CD0">
      <w:pPr>
        <w:rPr>
          <w:szCs w:val="22"/>
        </w:rPr>
      </w:pPr>
      <w:r>
        <w:rPr>
          <w:szCs w:val="22"/>
        </w:rPr>
        <w:t xml:space="preserve">Kravene for så vidt angår kategori 1- og 2-natur svarer til </w:t>
      </w:r>
      <w:proofErr w:type="spellStart"/>
      <w:r>
        <w:rPr>
          <w:szCs w:val="22"/>
        </w:rPr>
        <w:t>totaldepositionskravene</w:t>
      </w:r>
      <w:proofErr w:type="spellEnd"/>
      <w:r>
        <w:rPr>
          <w:szCs w:val="22"/>
        </w:rPr>
        <w:t>, som gælder for godkendelser og tilladelser, jf. §§ 25 og 26 i den gældende bekend</w:t>
      </w:r>
      <w:r>
        <w:rPr>
          <w:szCs w:val="22"/>
        </w:rPr>
        <w:t>t</w:t>
      </w:r>
      <w:r>
        <w:rPr>
          <w:szCs w:val="22"/>
        </w:rPr>
        <w:t>gørelse (bekendtgørelsesudkastets §§ 26 og 27).</w:t>
      </w:r>
    </w:p>
    <w:p w:rsidR="00E24CD0" w:rsidRPr="00FD3576" w:rsidRDefault="00E24CD0" w:rsidP="005D6234">
      <w:pPr>
        <w:rPr>
          <w:szCs w:val="22"/>
        </w:rPr>
      </w:pPr>
    </w:p>
    <w:p w:rsidR="00A55AF0" w:rsidRDefault="00402F13" w:rsidP="005D6234">
      <w:pPr>
        <w:rPr>
          <w:szCs w:val="22"/>
        </w:rPr>
      </w:pPr>
      <w:proofErr w:type="spellStart"/>
      <w:r w:rsidRPr="00C468F8">
        <w:rPr>
          <w:szCs w:val="22"/>
        </w:rPr>
        <w:t>T</w:t>
      </w:r>
      <w:r w:rsidR="006711A5" w:rsidRPr="00C468F8">
        <w:rPr>
          <w:szCs w:val="22"/>
        </w:rPr>
        <w:t>otal</w:t>
      </w:r>
      <w:r w:rsidR="006711A5" w:rsidRPr="00406DD2">
        <w:rPr>
          <w:szCs w:val="22"/>
        </w:rPr>
        <w:t>d</w:t>
      </w:r>
      <w:r w:rsidR="006711A5">
        <w:rPr>
          <w:szCs w:val="22"/>
        </w:rPr>
        <w:t>epositionskravet</w:t>
      </w:r>
      <w:proofErr w:type="spellEnd"/>
      <w:r w:rsidR="006711A5">
        <w:rPr>
          <w:szCs w:val="22"/>
        </w:rPr>
        <w:t xml:space="preserve"> for så vidt angår kategori 3-natur er skrappere end </w:t>
      </w:r>
      <w:r w:rsidR="00E551EC">
        <w:rPr>
          <w:szCs w:val="22"/>
        </w:rPr>
        <w:t xml:space="preserve">kravet </w:t>
      </w:r>
      <w:r w:rsidR="00A55AF0">
        <w:rPr>
          <w:szCs w:val="22"/>
        </w:rPr>
        <w:t xml:space="preserve">ved </w:t>
      </w:r>
      <w:r w:rsidR="006711A5">
        <w:rPr>
          <w:szCs w:val="22"/>
        </w:rPr>
        <w:t>godkendelser og tilladelser</w:t>
      </w:r>
      <w:r w:rsidR="00FD3576">
        <w:rPr>
          <w:szCs w:val="22"/>
        </w:rPr>
        <w:t xml:space="preserve"> med henblik på at undgå en væsentlig virkning på miljøet, idet der ved an</w:t>
      </w:r>
      <w:r w:rsidR="007C2F24">
        <w:rPr>
          <w:szCs w:val="22"/>
        </w:rPr>
        <w:t>meldelser</w:t>
      </w:r>
      <w:r w:rsidR="00FD3576">
        <w:rPr>
          <w:szCs w:val="22"/>
        </w:rPr>
        <w:t xml:space="preserve"> ikke er mulighed for at stille vilkår som i en go</w:t>
      </w:r>
      <w:r w:rsidR="00FD3576">
        <w:rPr>
          <w:szCs w:val="22"/>
        </w:rPr>
        <w:t>d</w:t>
      </w:r>
      <w:r w:rsidR="00FD3576">
        <w:rPr>
          <w:szCs w:val="22"/>
        </w:rPr>
        <w:t>kendelse eller tilladelse</w:t>
      </w:r>
      <w:r w:rsidR="00406DD2">
        <w:rPr>
          <w:szCs w:val="22"/>
        </w:rPr>
        <w:t xml:space="preserve">. Efter udkastets stk. 9 gælder betingelsen dog ikke, hvis der ikke er givet godkendelse eller tilladelse til husdyrbruget </w:t>
      </w:r>
      <w:r w:rsidR="00396DA5">
        <w:rPr>
          <w:szCs w:val="22"/>
        </w:rPr>
        <w:t xml:space="preserve">de seneste 8 år, </w:t>
      </w:r>
      <w:r w:rsidR="00406DD2">
        <w:rPr>
          <w:szCs w:val="22"/>
        </w:rPr>
        <w:t xml:space="preserve">og hvis den årlige </w:t>
      </w:r>
      <w:proofErr w:type="spellStart"/>
      <w:r w:rsidR="00406DD2">
        <w:rPr>
          <w:szCs w:val="22"/>
        </w:rPr>
        <w:t>deposition</w:t>
      </w:r>
      <w:proofErr w:type="spellEnd"/>
      <w:r w:rsidR="00406DD2">
        <w:rPr>
          <w:szCs w:val="22"/>
        </w:rPr>
        <w:t xml:space="preserve"> fra alle gødningsopbevaringsanlæg på husdyrbruget, der er anmeldt de seneste 8 år samlet set ikke </w:t>
      </w:r>
      <w:r w:rsidR="00BE76E2">
        <w:rPr>
          <w:szCs w:val="22"/>
        </w:rPr>
        <w:t>overstiger</w:t>
      </w:r>
      <w:r w:rsidR="00654289">
        <w:rPr>
          <w:szCs w:val="22"/>
        </w:rPr>
        <w:t xml:space="preserve"> 1,0 kg N</w:t>
      </w:r>
      <w:r w:rsidR="00BE76E2">
        <w:rPr>
          <w:szCs w:val="22"/>
        </w:rPr>
        <w:t xml:space="preserve"> pr. </w:t>
      </w:r>
      <w:proofErr w:type="gramStart"/>
      <w:r w:rsidR="00406DD2">
        <w:rPr>
          <w:szCs w:val="22"/>
        </w:rPr>
        <w:t>ha</w:t>
      </w:r>
      <w:r w:rsidR="00BE76E2">
        <w:rPr>
          <w:szCs w:val="22"/>
        </w:rPr>
        <w:t xml:space="preserve"> </w:t>
      </w:r>
      <w:r w:rsidR="00A55AF0">
        <w:rPr>
          <w:szCs w:val="22"/>
        </w:rPr>
        <w:t>.</w:t>
      </w:r>
      <w:proofErr w:type="gramEnd"/>
    </w:p>
    <w:p w:rsidR="00C468F8" w:rsidRDefault="0014661C" w:rsidP="00FD3576">
      <w:pPr>
        <w:tabs>
          <w:tab w:val="left" w:pos="4740"/>
        </w:tabs>
        <w:rPr>
          <w:szCs w:val="22"/>
        </w:rPr>
      </w:pPr>
      <w:r>
        <w:rPr>
          <w:szCs w:val="22"/>
        </w:rPr>
        <w:tab/>
      </w:r>
    </w:p>
    <w:p w:rsidR="00D907FC" w:rsidRDefault="00044D59" w:rsidP="00A55AF0">
      <w:pPr>
        <w:rPr>
          <w:szCs w:val="22"/>
        </w:rPr>
      </w:pPr>
      <w:r>
        <w:rPr>
          <w:szCs w:val="22"/>
        </w:rPr>
        <w:t xml:space="preserve">For at vurdere, om kravene til maksimal </w:t>
      </w:r>
      <w:proofErr w:type="spellStart"/>
      <w:r>
        <w:rPr>
          <w:szCs w:val="22"/>
        </w:rPr>
        <w:t>totaldeposition</w:t>
      </w:r>
      <w:proofErr w:type="spellEnd"/>
      <w:r>
        <w:rPr>
          <w:szCs w:val="22"/>
        </w:rPr>
        <w:t xml:space="preserve"> er overholdt, er det nø</w:t>
      </w:r>
      <w:r>
        <w:rPr>
          <w:szCs w:val="22"/>
        </w:rPr>
        <w:t>d</w:t>
      </w:r>
      <w:r>
        <w:rPr>
          <w:szCs w:val="22"/>
        </w:rPr>
        <w:t xml:space="preserve">vendigt </w:t>
      </w:r>
      <w:r w:rsidR="00FD3576">
        <w:rPr>
          <w:szCs w:val="22"/>
        </w:rPr>
        <w:t xml:space="preserve">at </w:t>
      </w:r>
      <w:r>
        <w:rPr>
          <w:szCs w:val="22"/>
        </w:rPr>
        <w:t>beregne husdyrbruget</w:t>
      </w:r>
      <w:r w:rsidR="00FC2C4E">
        <w:rPr>
          <w:szCs w:val="22"/>
        </w:rPr>
        <w:t>s</w:t>
      </w:r>
      <w:r>
        <w:rPr>
          <w:szCs w:val="22"/>
        </w:rPr>
        <w:t xml:space="preserve"> maksimale totalemission af ammoniak inklusiv det anmeldte. </w:t>
      </w:r>
      <w:r w:rsidR="00406DD2">
        <w:rPr>
          <w:szCs w:val="22"/>
        </w:rPr>
        <w:t>Stk. 10</w:t>
      </w:r>
      <w:r w:rsidR="00A55AF0">
        <w:rPr>
          <w:szCs w:val="22"/>
        </w:rPr>
        <w:t>-1</w:t>
      </w:r>
      <w:r w:rsidR="00D907FC">
        <w:rPr>
          <w:szCs w:val="22"/>
        </w:rPr>
        <w:t>3</w:t>
      </w:r>
      <w:r w:rsidR="00406DD2">
        <w:rPr>
          <w:szCs w:val="22"/>
        </w:rPr>
        <w:t xml:space="preserve"> indeholder regler om beregningen. </w:t>
      </w:r>
      <w:r w:rsidR="00D907FC">
        <w:rPr>
          <w:szCs w:val="22"/>
        </w:rPr>
        <w:t>E</w:t>
      </w:r>
      <w:r w:rsidR="00D4501E" w:rsidRPr="00D4501E">
        <w:rPr>
          <w:szCs w:val="22"/>
        </w:rPr>
        <w:t xml:space="preserve">missionen </w:t>
      </w:r>
      <w:r w:rsidR="00D907FC">
        <w:rPr>
          <w:szCs w:val="22"/>
        </w:rPr>
        <w:t xml:space="preserve">skal </w:t>
      </w:r>
      <w:r w:rsidR="00406DD2">
        <w:rPr>
          <w:szCs w:val="22"/>
        </w:rPr>
        <w:t xml:space="preserve">som udgangspunkt </w:t>
      </w:r>
      <w:r w:rsidR="00A55AF0" w:rsidRPr="00D4501E">
        <w:rPr>
          <w:szCs w:val="22"/>
        </w:rPr>
        <w:t xml:space="preserve">beregnes </w:t>
      </w:r>
      <w:r w:rsidR="00D4501E" w:rsidRPr="00D4501E">
        <w:rPr>
          <w:szCs w:val="22"/>
        </w:rPr>
        <w:t xml:space="preserve">efter de metoder, der er anført i </w:t>
      </w:r>
      <w:r w:rsidR="00572804">
        <w:rPr>
          <w:szCs w:val="22"/>
        </w:rPr>
        <w:t xml:space="preserve">bekendtgørelsens </w:t>
      </w:r>
      <w:r w:rsidR="00D4501E" w:rsidRPr="00D4501E">
        <w:rPr>
          <w:szCs w:val="22"/>
        </w:rPr>
        <w:t>§ 2</w:t>
      </w:r>
      <w:r w:rsidR="00402F13">
        <w:rPr>
          <w:szCs w:val="22"/>
        </w:rPr>
        <w:t>1, stk. 2</w:t>
      </w:r>
      <w:r w:rsidR="00C370E4">
        <w:rPr>
          <w:szCs w:val="22"/>
        </w:rPr>
        <w:t xml:space="preserve"> og 4</w:t>
      </w:r>
      <w:r w:rsidR="00572804">
        <w:rPr>
          <w:szCs w:val="22"/>
        </w:rPr>
        <w:t xml:space="preserve">, svarende til beregningsmetoden for godkendelser og tilladelser. </w:t>
      </w:r>
    </w:p>
    <w:p w:rsidR="00D907FC" w:rsidRDefault="00D907FC" w:rsidP="00A55AF0">
      <w:pPr>
        <w:rPr>
          <w:szCs w:val="22"/>
        </w:rPr>
      </w:pPr>
    </w:p>
    <w:p w:rsidR="00D314A6" w:rsidRDefault="00D907FC" w:rsidP="00A55AF0">
      <w:pPr>
        <w:rPr>
          <w:szCs w:val="22"/>
        </w:rPr>
      </w:pPr>
      <w:r>
        <w:rPr>
          <w:szCs w:val="22"/>
        </w:rPr>
        <w:t xml:space="preserve">Det følger af sammenhængen med </w:t>
      </w:r>
      <w:r w:rsidR="007C2F24">
        <w:rPr>
          <w:szCs w:val="22"/>
        </w:rPr>
        <w:t xml:space="preserve">udkastets </w:t>
      </w:r>
      <w:r>
        <w:rPr>
          <w:szCs w:val="22"/>
        </w:rPr>
        <w:t>§ 21, stk. 2, at a</w:t>
      </w:r>
      <w:r w:rsidR="00A55AF0" w:rsidRPr="00A55AF0">
        <w:rPr>
          <w:szCs w:val="22"/>
        </w:rPr>
        <w:t>mmoniakemissionen fra staldafsnit beregnes for hvert staldafsnit for sig ud fra produktionsarealets størrelse i m² og emissionsfaktoren for den pågældende dyretype og staldsystem</w:t>
      </w:r>
      <w:r w:rsidR="00A55AF0">
        <w:rPr>
          <w:szCs w:val="22"/>
        </w:rPr>
        <w:t xml:space="preserve"> i bilag 3, pkt. A</w:t>
      </w:r>
      <w:r w:rsidR="00D314A6">
        <w:rPr>
          <w:szCs w:val="22"/>
        </w:rPr>
        <w:t xml:space="preserve">. Der skal dog ikke fastlægges produktionsareal i en anmeldelse, idet det er det produktionsareal, der er fastlagt i en godkendelse eller tilladelse, der skal lægges til grund for beregningen. </w:t>
      </w:r>
      <w:r w:rsidR="00A55AF0">
        <w:rPr>
          <w:szCs w:val="22"/>
        </w:rPr>
        <w:t xml:space="preserve"> </w:t>
      </w:r>
    </w:p>
    <w:p w:rsidR="00D314A6" w:rsidRDefault="00D314A6" w:rsidP="00A55AF0">
      <w:pPr>
        <w:rPr>
          <w:szCs w:val="22"/>
        </w:rPr>
      </w:pPr>
    </w:p>
    <w:p w:rsidR="00D915D6" w:rsidRDefault="004F1FB2" w:rsidP="00A55AF0">
      <w:pPr>
        <w:rPr>
          <w:szCs w:val="22"/>
        </w:rPr>
      </w:pPr>
      <w:r>
        <w:rPr>
          <w:szCs w:val="22"/>
        </w:rPr>
        <w:lastRenderedPageBreak/>
        <w:t xml:space="preserve">Hvis anmeldelsen vedrører et </w:t>
      </w:r>
      <w:r w:rsidRPr="00D4501E">
        <w:rPr>
          <w:szCs w:val="22"/>
        </w:rPr>
        <w:t xml:space="preserve">husdyrbrug, der er godkendt eller tilladt efter </w:t>
      </w:r>
      <w:proofErr w:type="spellStart"/>
      <w:r>
        <w:rPr>
          <w:szCs w:val="22"/>
        </w:rPr>
        <w:t>hu</w:t>
      </w:r>
      <w:r>
        <w:rPr>
          <w:szCs w:val="22"/>
        </w:rPr>
        <w:t>s</w:t>
      </w:r>
      <w:r>
        <w:rPr>
          <w:szCs w:val="22"/>
        </w:rPr>
        <w:t>dyrbruglovens</w:t>
      </w:r>
      <w:proofErr w:type="spellEnd"/>
      <w:r>
        <w:rPr>
          <w:szCs w:val="22"/>
        </w:rPr>
        <w:t xml:space="preserve"> </w:t>
      </w:r>
      <w:r w:rsidRPr="00D4501E">
        <w:rPr>
          <w:szCs w:val="22"/>
        </w:rPr>
        <w:t>§§ 16 a og 16 b</w:t>
      </w:r>
      <w:r>
        <w:rPr>
          <w:szCs w:val="22"/>
        </w:rPr>
        <w:t>, er det eksisterende lovlige produktionsareal fastlagt i godkendelsen eller tilladelsen og evt. i senere anmeldelser</w:t>
      </w:r>
      <w:r w:rsidR="00F67C6A">
        <w:rPr>
          <w:szCs w:val="22"/>
        </w:rPr>
        <w:t>, hvorfor det fastlagte produktionsareal skal anvendes ved beregningen</w:t>
      </w:r>
      <w:r w:rsidR="00D314A6">
        <w:rPr>
          <w:szCs w:val="22"/>
        </w:rPr>
        <w:t>, jf. udkastets § 12, stk. 12</w:t>
      </w:r>
      <w:r>
        <w:rPr>
          <w:szCs w:val="22"/>
        </w:rPr>
        <w:t xml:space="preserve">. </w:t>
      </w:r>
    </w:p>
    <w:p w:rsidR="00D915D6" w:rsidRDefault="0014661C" w:rsidP="00FD3576">
      <w:pPr>
        <w:tabs>
          <w:tab w:val="left" w:pos="4992"/>
        </w:tabs>
        <w:rPr>
          <w:szCs w:val="22"/>
        </w:rPr>
      </w:pPr>
      <w:r>
        <w:rPr>
          <w:szCs w:val="22"/>
        </w:rPr>
        <w:tab/>
      </w:r>
    </w:p>
    <w:p w:rsidR="009C66D6" w:rsidRDefault="00402F13" w:rsidP="004F1FB2">
      <w:pPr>
        <w:rPr>
          <w:szCs w:val="22"/>
        </w:rPr>
      </w:pPr>
      <w:r>
        <w:rPr>
          <w:szCs w:val="22"/>
        </w:rPr>
        <w:t>For husdyrbrug</w:t>
      </w:r>
      <w:r w:rsidR="00C370E4">
        <w:rPr>
          <w:szCs w:val="22"/>
        </w:rPr>
        <w:t xml:space="preserve">, der ikke er godkendt eller tilladt efter §§ 16 a eller 16 b i </w:t>
      </w:r>
      <w:proofErr w:type="spellStart"/>
      <w:r w:rsidR="00C370E4">
        <w:rPr>
          <w:szCs w:val="22"/>
        </w:rPr>
        <w:t>husdy</w:t>
      </w:r>
      <w:r w:rsidR="00C370E4">
        <w:rPr>
          <w:szCs w:val="22"/>
        </w:rPr>
        <w:t>r</w:t>
      </w:r>
      <w:r w:rsidR="00C370E4">
        <w:rPr>
          <w:szCs w:val="22"/>
        </w:rPr>
        <w:t>brugloven</w:t>
      </w:r>
      <w:proofErr w:type="spellEnd"/>
      <w:r w:rsidR="00C370E4">
        <w:rPr>
          <w:szCs w:val="22"/>
        </w:rPr>
        <w:t xml:space="preserve">, </w:t>
      </w:r>
      <w:r w:rsidR="00D314A6">
        <w:rPr>
          <w:szCs w:val="22"/>
        </w:rPr>
        <w:t xml:space="preserve">er der ikke fastlagt et produktionsareal. Derfor </w:t>
      </w:r>
      <w:r w:rsidR="00C370E4">
        <w:rPr>
          <w:szCs w:val="22"/>
        </w:rPr>
        <w:t>beregnes ammonia</w:t>
      </w:r>
      <w:r w:rsidR="00C370E4">
        <w:rPr>
          <w:szCs w:val="22"/>
        </w:rPr>
        <w:t>k</w:t>
      </w:r>
      <w:r w:rsidR="00C370E4">
        <w:rPr>
          <w:szCs w:val="22"/>
        </w:rPr>
        <w:t xml:space="preserve">emissionen </w:t>
      </w:r>
      <w:r w:rsidR="00D314A6">
        <w:rPr>
          <w:szCs w:val="22"/>
        </w:rPr>
        <w:t xml:space="preserve">i stedet for </w:t>
      </w:r>
      <w:r w:rsidR="00C370E4">
        <w:rPr>
          <w:szCs w:val="22"/>
        </w:rPr>
        <w:t>på grundlag af bygnings</w:t>
      </w:r>
      <w:r>
        <w:rPr>
          <w:szCs w:val="22"/>
        </w:rPr>
        <w:t xml:space="preserve">arealet for alle staldafsnit </w:t>
      </w:r>
      <w:r w:rsidR="00C370E4">
        <w:rPr>
          <w:szCs w:val="22"/>
        </w:rPr>
        <w:t>(brutt</w:t>
      </w:r>
      <w:r w:rsidR="00C370E4">
        <w:rPr>
          <w:szCs w:val="22"/>
        </w:rPr>
        <w:t>o</w:t>
      </w:r>
      <w:r w:rsidR="00C370E4">
        <w:rPr>
          <w:szCs w:val="22"/>
        </w:rPr>
        <w:t xml:space="preserve">arealet). </w:t>
      </w:r>
      <w:r w:rsidR="00D314A6">
        <w:rPr>
          <w:szCs w:val="22"/>
        </w:rPr>
        <w:t xml:space="preserve">Det følger af udkastets § 12, stk. 13. </w:t>
      </w:r>
      <w:r w:rsidR="00F67C6A">
        <w:rPr>
          <w:szCs w:val="22"/>
        </w:rPr>
        <w:t xml:space="preserve">Ved beregning af emissionen fra </w:t>
      </w:r>
      <w:r w:rsidR="00D907FC">
        <w:rPr>
          <w:szCs w:val="22"/>
        </w:rPr>
        <w:t xml:space="preserve">hvert enkelt </w:t>
      </w:r>
      <w:r w:rsidR="00F67C6A">
        <w:rPr>
          <w:szCs w:val="22"/>
        </w:rPr>
        <w:t xml:space="preserve">staldafsnit anvendes emissionsfaktoren for den dyreart eller </w:t>
      </w:r>
      <w:r w:rsidR="00D314A6">
        <w:rPr>
          <w:szCs w:val="22"/>
        </w:rPr>
        <w:t>-</w:t>
      </w:r>
      <w:r w:rsidR="00F67C6A">
        <w:rPr>
          <w:szCs w:val="22"/>
        </w:rPr>
        <w:t>type i den eksisterende lovlige produktion, der aktuelt har den højeste emissionsfaktor i b</w:t>
      </w:r>
      <w:r w:rsidR="00F67C6A">
        <w:rPr>
          <w:szCs w:val="22"/>
        </w:rPr>
        <w:t>e</w:t>
      </w:r>
      <w:r w:rsidR="00F67C6A">
        <w:rPr>
          <w:szCs w:val="22"/>
        </w:rPr>
        <w:t>kendtgørelsens bilag 3, pkt. A, tabel 1.</w:t>
      </w:r>
      <w:r w:rsidR="00D314A6">
        <w:rPr>
          <w:szCs w:val="22"/>
        </w:rPr>
        <w:t xml:space="preserve"> Der er alene tale om et beregningsgrundlag. Der fastlægges ikke produktionsareal, og beregningsgrundlaget er ikke bindende for fastlæggelsen af produktionsareal i senere godkendelser og tilladelser.</w:t>
      </w:r>
    </w:p>
    <w:p w:rsidR="004F1FB2" w:rsidRDefault="00F67C6A" w:rsidP="004F1FB2">
      <w:pPr>
        <w:rPr>
          <w:szCs w:val="22"/>
        </w:rPr>
      </w:pPr>
      <w:r>
        <w:rPr>
          <w:szCs w:val="22"/>
        </w:rPr>
        <w:t xml:space="preserve"> </w:t>
      </w:r>
    </w:p>
    <w:p w:rsidR="00DF10B5" w:rsidRDefault="00D907FC" w:rsidP="00D4501E">
      <w:pPr>
        <w:rPr>
          <w:szCs w:val="22"/>
        </w:rPr>
      </w:pPr>
      <w:r>
        <w:rPr>
          <w:szCs w:val="22"/>
        </w:rPr>
        <w:t xml:space="preserve">Ved beregning af emissionen fra opbevaringsanlæg til husdyrgødning følger det af sammenhængen med § 21, stk. 4, at </w:t>
      </w:r>
      <w:r w:rsidR="00A1775E">
        <w:rPr>
          <w:szCs w:val="22"/>
        </w:rPr>
        <w:t>a</w:t>
      </w:r>
      <w:r w:rsidR="00A1775E" w:rsidRPr="00A1775E">
        <w:rPr>
          <w:szCs w:val="22"/>
        </w:rPr>
        <w:t xml:space="preserve">mmoniakemissionen </w:t>
      </w:r>
      <w:r w:rsidR="00A1775E">
        <w:rPr>
          <w:szCs w:val="22"/>
        </w:rPr>
        <w:t xml:space="preserve">beregnes </w:t>
      </w:r>
      <w:r w:rsidR="00A1775E" w:rsidRPr="00A1775E">
        <w:rPr>
          <w:szCs w:val="22"/>
        </w:rPr>
        <w:t>ud fra anlæ</w:t>
      </w:r>
      <w:r w:rsidR="00A1775E" w:rsidRPr="00A1775E">
        <w:rPr>
          <w:szCs w:val="22"/>
        </w:rPr>
        <w:t>g</w:t>
      </w:r>
      <w:r w:rsidR="00A1775E" w:rsidRPr="00A1775E">
        <w:rPr>
          <w:szCs w:val="22"/>
        </w:rPr>
        <w:t>genes overfladeareal</w:t>
      </w:r>
      <w:r w:rsidR="00A1775E">
        <w:rPr>
          <w:szCs w:val="22"/>
        </w:rPr>
        <w:t xml:space="preserve"> henholdsvis grundplan</w:t>
      </w:r>
      <w:r w:rsidR="00A1775E" w:rsidRPr="00A1775E">
        <w:rPr>
          <w:szCs w:val="22"/>
        </w:rPr>
        <w:t xml:space="preserve"> i m²</w:t>
      </w:r>
      <w:r w:rsidR="00A1775E">
        <w:rPr>
          <w:szCs w:val="22"/>
        </w:rPr>
        <w:t>. For opbevaringsanlæg til fl</w:t>
      </w:r>
      <w:r w:rsidR="00A1775E">
        <w:rPr>
          <w:szCs w:val="22"/>
        </w:rPr>
        <w:t>y</w:t>
      </w:r>
      <w:r w:rsidR="00A1775E">
        <w:rPr>
          <w:szCs w:val="22"/>
        </w:rPr>
        <w:t xml:space="preserve">dende husdyrgødning anvendes </w:t>
      </w:r>
      <w:r w:rsidR="00A1775E" w:rsidRPr="00A1775E">
        <w:rPr>
          <w:szCs w:val="22"/>
        </w:rPr>
        <w:t>emissionsfaktoren</w:t>
      </w:r>
      <w:r w:rsidR="00A1775E">
        <w:rPr>
          <w:szCs w:val="22"/>
        </w:rPr>
        <w:t xml:space="preserve"> i tab</w:t>
      </w:r>
      <w:r w:rsidR="00617469">
        <w:rPr>
          <w:szCs w:val="22"/>
        </w:rPr>
        <w:t>e</w:t>
      </w:r>
      <w:r w:rsidR="00A1775E">
        <w:rPr>
          <w:szCs w:val="22"/>
        </w:rPr>
        <w:t xml:space="preserve">l 2 i bekendtgørelsens bilag 3, pkt. A. </w:t>
      </w:r>
    </w:p>
    <w:p w:rsidR="00DF10B5" w:rsidRDefault="00DF10B5" w:rsidP="00D4501E">
      <w:pPr>
        <w:rPr>
          <w:szCs w:val="22"/>
        </w:rPr>
      </w:pPr>
    </w:p>
    <w:p w:rsidR="00D314A6" w:rsidRDefault="00D314A6" w:rsidP="00D4501E">
      <w:pPr>
        <w:rPr>
          <w:szCs w:val="22"/>
        </w:rPr>
      </w:pPr>
      <w:r w:rsidRPr="00D314A6">
        <w:rPr>
          <w:szCs w:val="22"/>
        </w:rPr>
        <w:t xml:space="preserve">Ved beregning af emissionen fra opbevaringsanlæg til fast husdyrgødning </w:t>
      </w:r>
      <w:r w:rsidR="00A1775E">
        <w:rPr>
          <w:szCs w:val="22"/>
        </w:rPr>
        <w:t xml:space="preserve">følger af § 12, stk. 11, at </w:t>
      </w:r>
      <w:r w:rsidRPr="00D314A6">
        <w:rPr>
          <w:szCs w:val="22"/>
        </w:rPr>
        <w:t xml:space="preserve">der </w:t>
      </w:r>
      <w:r w:rsidR="00A1775E">
        <w:rPr>
          <w:szCs w:val="22"/>
        </w:rPr>
        <w:t xml:space="preserve">skal </w:t>
      </w:r>
      <w:r w:rsidRPr="00D314A6">
        <w:rPr>
          <w:szCs w:val="22"/>
        </w:rPr>
        <w:t>anvendes den emissionsfaktor for hele anlægget, som gæ</w:t>
      </w:r>
      <w:r w:rsidRPr="00D314A6">
        <w:rPr>
          <w:szCs w:val="22"/>
        </w:rPr>
        <w:t>l</w:t>
      </w:r>
      <w:r w:rsidRPr="00D314A6">
        <w:rPr>
          <w:szCs w:val="22"/>
        </w:rPr>
        <w:t>der for den gødningstype med den højeste emissionsfaktor, som ifølge anmelde</w:t>
      </w:r>
      <w:r w:rsidRPr="00D314A6">
        <w:rPr>
          <w:szCs w:val="22"/>
        </w:rPr>
        <w:t>l</w:t>
      </w:r>
      <w:r w:rsidRPr="00D314A6">
        <w:rPr>
          <w:szCs w:val="22"/>
        </w:rPr>
        <w:t xml:space="preserve">sen skal opbevares i anlægget, eller som ifølge en eksisterende godkendelse eller tilladelse må opbevares på anlæg, der ikke er omfattet af anmeldelsen. </w:t>
      </w:r>
    </w:p>
    <w:p w:rsidR="00A1775E" w:rsidRDefault="00A1775E" w:rsidP="00D4501E">
      <w:pPr>
        <w:rPr>
          <w:szCs w:val="22"/>
        </w:rPr>
      </w:pPr>
    </w:p>
    <w:p w:rsidR="00A1775E" w:rsidRDefault="00DF10B5" w:rsidP="00A1775E">
      <w:pPr>
        <w:rPr>
          <w:szCs w:val="22"/>
        </w:rPr>
      </w:pPr>
      <w:r>
        <w:rPr>
          <w:szCs w:val="22"/>
        </w:rPr>
        <w:t xml:space="preserve">Derfor skal det </w:t>
      </w:r>
      <w:r w:rsidR="00A1775E" w:rsidRPr="00A1775E">
        <w:rPr>
          <w:szCs w:val="22"/>
        </w:rPr>
        <w:t>af anmeldelsen fremgå, hvilke typer af fast husdyrgødning der skal opbevares på det anmeldte anlæg. Emissionen fra andre/eksisterende opbev</w:t>
      </w:r>
      <w:r w:rsidR="00A1775E" w:rsidRPr="00A1775E">
        <w:rPr>
          <w:szCs w:val="22"/>
        </w:rPr>
        <w:t>a</w:t>
      </w:r>
      <w:r w:rsidR="00A1775E" w:rsidRPr="00A1775E">
        <w:rPr>
          <w:szCs w:val="22"/>
        </w:rPr>
        <w:t xml:space="preserve">ringsanlæg skal også beregnes som led i anmeldelsen, selvom anmeldelsen ikke vedrører disse. Beregningen skal bruges til konstatering af, at </w:t>
      </w:r>
      <w:proofErr w:type="spellStart"/>
      <w:r w:rsidR="00A1775E" w:rsidRPr="00A1775E">
        <w:rPr>
          <w:szCs w:val="22"/>
        </w:rPr>
        <w:t>depositionskravene</w:t>
      </w:r>
      <w:proofErr w:type="spellEnd"/>
      <w:r w:rsidR="00A1775E" w:rsidRPr="00A1775E">
        <w:rPr>
          <w:szCs w:val="22"/>
        </w:rPr>
        <w:t xml:space="preserve"> kan overholdes. For disse gælder </w:t>
      </w:r>
      <w:r w:rsidR="00FD3576">
        <w:rPr>
          <w:szCs w:val="22"/>
        </w:rPr>
        <w:t>også princippet</w:t>
      </w:r>
      <w:r w:rsidR="00A1775E" w:rsidRPr="00A1775E">
        <w:rPr>
          <w:szCs w:val="22"/>
        </w:rPr>
        <w:t xml:space="preserve"> om anvendelse af emissionsfa</w:t>
      </w:r>
      <w:r w:rsidR="00A1775E" w:rsidRPr="00A1775E">
        <w:rPr>
          <w:szCs w:val="22"/>
        </w:rPr>
        <w:t>k</w:t>
      </w:r>
      <w:r w:rsidR="00A1775E" w:rsidRPr="00A1775E">
        <w:rPr>
          <w:szCs w:val="22"/>
        </w:rPr>
        <w:t>toren for den ”gødningstype”, der har den højeste faktor. Hvis der ikke er en go</w:t>
      </w:r>
      <w:r w:rsidR="00A1775E" w:rsidRPr="00A1775E">
        <w:rPr>
          <w:szCs w:val="22"/>
        </w:rPr>
        <w:t>d</w:t>
      </w:r>
      <w:r w:rsidR="00A1775E" w:rsidRPr="00A1775E">
        <w:rPr>
          <w:szCs w:val="22"/>
        </w:rPr>
        <w:t xml:space="preserve">kendelse eller tilladelse, som ”låser” anvendelsen af </w:t>
      </w:r>
      <w:r w:rsidR="00E33E12">
        <w:rPr>
          <w:szCs w:val="22"/>
        </w:rPr>
        <w:t xml:space="preserve">en eksisterende </w:t>
      </w:r>
      <w:r w:rsidR="00A1775E" w:rsidRPr="00A1775E">
        <w:rPr>
          <w:szCs w:val="22"/>
        </w:rPr>
        <w:t>møddingplads</w:t>
      </w:r>
      <w:r>
        <w:rPr>
          <w:szCs w:val="22"/>
        </w:rPr>
        <w:t xml:space="preserve"> til bestemte ”gødningstyper”, dvs. hvis </w:t>
      </w:r>
      <w:r w:rsidR="00A1775E" w:rsidRPr="00A1775E">
        <w:rPr>
          <w:szCs w:val="22"/>
        </w:rPr>
        <w:t xml:space="preserve">det er lovligt at opbevare al </w:t>
      </w:r>
      <w:r>
        <w:rPr>
          <w:szCs w:val="22"/>
        </w:rPr>
        <w:t xml:space="preserve">slags </w:t>
      </w:r>
      <w:r w:rsidR="00A1775E" w:rsidRPr="00A1775E">
        <w:rPr>
          <w:szCs w:val="22"/>
        </w:rPr>
        <w:t>fast hu</w:t>
      </w:r>
      <w:r w:rsidR="00A1775E" w:rsidRPr="00A1775E">
        <w:rPr>
          <w:szCs w:val="22"/>
        </w:rPr>
        <w:t>s</w:t>
      </w:r>
      <w:r w:rsidR="00A1775E" w:rsidRPr="00A1775E">
        <w:rPr>
          <w:szCs w:val="22"/>
        </w:rPr>
        <w:t>dyrgødning</w:t>
      </w:r>
      <w:r>
        <w:rPr>
          <w:szCs w:val="22"/>
        </w:rPr>
        <w:t xml:space="preserve">, </w:t>
      </w:r>
      <w:r w:rsidR="00A1775E" w:rsidRPr="00A1775E">
        <w:rPr>
          <w:szCs w:val="22"/>
        </w:rPr>
        <w:t>må den højeste faktor (pt. 5,0) anvendes for hele anlægget</w:t>
      </w:r>
      <w:r w:rsidR="00E33E12">
        <w:rPr>
          <w:szCs w:val="22"/>
        </w:rPr>
        <w:t>, som grundlag for beregning</w:t>
      </w:r>
      <w:r w:rsidR="00A1775E" w:rsidRPr="00A1775E">
        <w:rPr>
          <w:szCs w:val="22"/>
        </w:rPr>
        <w:t>.</w:t>
      </w:r>
    </w:p>
    <w:p w:rsidR="00A1775E" w:rsidRDefault="00A1775E" w:rsidP="00D4501E">
      <w:pPr>
        <w:rPr>
          <w:szCs w:val="22"/>
        </w:rPr>
      </w:pPr>
    </w:p>
    <w:p w:rsidR="00C370E4" w:rsidRDefault="00C370E4" w:rsidP="006F30D9">
      <w:pPr>
        <w:rPr>
          <w:szCs w:val="22"/>
        </w:rPr>
      </w:pPr>
      <w:r>
        <w:rPr>
          <w:szCs w:val="22"/>
        </w:rPr>
        <w:t>Det foreslås</w:t>
      </w:r>
      <w:r w:rsidR="00F67C6A">
        <w:rPr>
          <w:szCs w:val="22"/>
        </w:rPr>
        <w:t xml:space="preserve"> i</w:t>
      </w:r>
      <w:r>
        <w:rPr>
          <w:szCs w:val="22"/>
        </w:rPr>
        <w:t xml:space="preserve"> § 12, stk. </w:t>
      </w:r>
      <w:r w:rsidR="00A1775E">
        <w:rPr>
          <w:szCs w:val="22"/>
        </w:rPr>
        <w:t>14</w:t>
      </w:r>
      <w:r>
        <w:rPr>
          <w:szCs w:val="22"/>
        </w:rPr>
        <w:t xml:space="preserve">, at </w:t>
      </w:r>
      <w:r w:rsidR="00897E70">
        <w:rPr>
          <w:szCs w:val="22"/>
        </w:rPr>
        <w:t xml:space="preserve">for husdyrbrug, som er tilladt efter § 16 b i </w:t>
      </w:r>
      <w:proofErr w:type="spellStart"/>
      <w:r w:rsidR="00897E70">
        <w:rPr>
          <w:szCs w:val="22"/>
        </w:rPr>
        <w:t>husdy</w:t>
      </w:r>
      <w:r w:rsidR="00897E70">
        <w:rPr>
          <w:szCs w:val="22"/>
        </w:rPr>
        <w:t>r</w:t>
      </w:r>
      <w:r w:rsidR="00897E70">
        <w:rPr>
          <w:szCs w:val="22"/>
        </w:rPr>
        <w:t>brugloven</w:t>
      </w:r>
      <w:proofErr w:type="spellEnd"/>
      <w:r w:rsidR="00897E70">
        <w:rPr>
          <w:szCs w:val="22"/>
        </w:rPr>
        <w:t xml:space="preserve">, må </w:t>
      </w:r>
      <w:r>
        <w:rPr>
          <w:szCs w:val="22"/>
        </w:rPr>
        <w:t xml:space="preserve">det anmeldte ikke medføre, at husdyrbrugets emission inklusiv emissionen fra det anmeldte overskrider </w:t>
      </w:r>
      <w:r w:rsidR="00897E70">
        <w:rPr>
          <w:szCs w:val="22"/>
        </w:rPr>
        <w:t xml:space="preserve">grænsen på </w:t>
      </w:r>
      <w:r>
        <w:rPr>
          <w:szCs w:val="22"/>
        </w:rPr>
        <w:t>3.500 kg NH</w:t>
      </w:r>
      <w:r w:rsidRPr="00C468F8">
        <w:rPr>
          <w:szCs w:val="22"/>
          <w:vertAlign w:val="subscript"/>
        </w:rPr>
        <w:t>3</w:t>
      </w:r>
      <w:r>
        <w:rPr>
          <w:szCs w:val="22"/>
        </w:rPr>
        <w:t>-N pr. år</w:t>
      </w:r>
      <w:r w:rsidR="00897E70">
        <w:rPr>
          <w:szCs w:val="22"/>
        </w:rPr>
        <w:t xml:space="preserve"> i § 16 a, stk. 1, i </w:t>
      </w:r>
      <w:proofErr w:type="spellStart"/>
      <w:r w:rsidR="00897E70">
        <w:rPr>
          <w:szCs w:val="22"/>
        </w:rPr>
        <w:t>husdyrbrugloven</w:t>
      </w:r>
      <w:proofErr w:type="spellEnd"/>
      <w:r w:rsidR="00897E70">
        <w:rPr>
          <w:szCs w:val="22"/>
        </w:rPr>
        <w:t xml:space="preserve">, eller grænsen på </w:t>
      </w:r>
      <w:r w:rsidR="004162F6">
        <w:rPr>
          <w:szCs w:val="22"/>
        </w:rPr>
        <w:t>750 kg NH</w:t>
      </w:r>
      <w:r w:rsidR="004162F6" w:rsidRPr="00CC794D">
        <w:rPr>
          <w:szCs w:val="22"/>
          <w:vertAlign w:val="subscript"/>
        </w:rPr>
        <w:t>3</w:t>
      </w:r>
      <w:r w:rsidR="004162F6">
        <w:rPr>
          <w:szCs w:val="22"/>
        </w:rPr>
        <w:t xml:space="preserve">-N pr. år, </w:t>
      </w:r>
      <w:r w:rsidR="00897E70">
        <w:rPr>
          <w:szCs w:val="22"/>
        </w:rPr>
        <w:t xml:space="preserve">jf. </w:t>
      </w:r>
      <w:r w:rsidR="004162F6">
        <w:rPr>
          <w:szCs w:val="22"/>
        </w:rPr>
        <w:t xml:space="preserve">§ 27, stk. 2, i </w:t>
      </w:r>
      <w:proofErr w:type="spellStart"/>
      <w:r w:rsidR="004162F6">
        <w:rPr>
          <w:szCs w:val="22"/>
        </w:rPr>
        <w:t>husdyrbrugloven</w:t>
      </w:r>
      <w:proofErr w:type="spellEnd"/>
      <w:r w:rsidR="00897E70">
        <w:rPr>
          <w:szCs w:val="22"/>
        </w:rPr>
        <w:t>. Overskridelse af disse grænser</w:t>
      </w:r>
      <w:r w:rsidR="004162F6">
        <w:rPr>
          <w:szCs w:val="22"/>
        </w:rPr>
        <w:t xml:space="preserve"> forudsætter, at kommunalbest</w:t>
      </w:r>
      <w:r w:rsidR="004162F6">
        <w:rPr>
          <w:szCs w:val="22"/>
        </w:rPr>
        <w:t>y</w:t>
      </w:r>
      <w:r w:rsidR="004162F6">
        <w:rPr>
          <w:szCs w:val="22"/>
        </w:rPr>
        <w:t xml:space="preserve">relsen skal fastsætte vilkår, som sikrer reduktion af ammoniakemissionen. </w:t>
      </w:r>
      <w:r w:rsidR="00897E70">
        <w:rPr>
          <w:szCs w:val="22"/>
        </w:rPr>
        <w:t>H</w:t>
      </w:r>
      <w:r w:rsidR="004162F6">
        <w:rPr>
          <w:szCs w:val="22"/>
        </w:rPr>
        <w:t>u</w:t>
      </w:r>
      <w:r w:rsidR="004162F6">
        <w:rPr>
          <w:szCs w:val="22"/>
        </w:rPr>
        <w:t>s</w:t>
      </w:r>
      <w:r w:rsidR="004162F6">
        <w:rPr>
          <w:szCs w:val="22"/>
        </w:rPr>
        <w:t>dyrbrug, der allerede har en godkendelse eller tilladelse, der tillader en ammon</w:t>
      </w:r>
      <w:r w:rsidR="004162F6">
        <w:rPr>
          <w:szCs w:val="22"/>
        </w:rPr>
        <w:t>i</w:t>
      </w:r>
      <w:r w:rsidR="004162F6">
        <w:rPr>
          <w:szCs w:val="22"/>
        </w:rPr>
        <w:t>akemission over henholdsvis 3.500 kg NH</w:t>
      </w:r>
      <w:r w:rsidR="004162F6" w:rsidRPr="00CC794D">
        <w:rPr>
          <w:szCs w:val="22"/>
          <w:vertAlign w:val="subscript"/>
        </w:rPr>
        <w:t>3</w:t>
      </w:r>
      <w:r w:rsidR="004162F6">
        <w:rPr>
          <w:szCs w:val="22"/>
        </w:rPr>
        <w:t>-N pr. år eller 750 kg NH</w:t>
      </w:r>
      <w:r w:rsidR="004162F6" w:rsidRPr="00CC794D">
        <w:rPr>
          <w:szCs w:val="22"/>
          <w:vertAlign w:val="subscript"/>
        </w:rPr>
        <w:t>3</w:t>
      </w:r>
      <w:r w:rsidR="004162F6">
        <w:rPr>
          <w:szCs w:val="22"/>
        </w:rPr>
        <w:t xml:space="preserve">-N pr. år, </w:t>
      </w:r>
      <w:r w:rsidR="00897E70">
        <w:rPr>
          <w:szCs w:val="22"/>
        </w:rPr>
        <w:t xml:space="preserve">er </w:t>
      </w:r>
      <w:r w:rsidR="004162F6">
        <w:rPr>
          <w:szCs w:val="22"/>
        </w:rPr>
        <w:t>ikke forhindre</w:t>
      </w:r>
      <w:r w:rsidR="00897E70">
        <w:rPr>
          <w:szCs w:val="22"/>
        </w:rPr>
        <w:t>t</w:t>
      </w:r>
      <w:r w:rsidR="004162F6">
        <w:rPr>
          <w:szCs w:val="22"/>
        </w:rPr>
        <w:t xml:space="preserve"> i at anvende anmeldeordningen. </w:t>
      </w:r>
      <w:r w:rsidR="00897E70">
        <w:rPr>
          <w:szCs w:val="22"/>
        </w:rPr>
        <w:t>Husdyrbrug, der er etableret efter tidligere gældende regler</w:t>
      </w:r>
      <w:r w:rsidR="004F2941">
        <w:rPr>
          <w:szCs w:val="22"/>
        </w:rPr>
        <w:t>,</w:t>
      </w:r>
      <w:r w:rsidR="00A1775E">
        <w:rPr>
          <w:szCs w:val="22"/>
        </w:rPr>
        <w:t xml:space="preserve"> er heller ikke omfattet af udkastets § 12, stk. 14</w:t>
      </w:r>
      <w:r w:rsidR="00897E70">
        <w:rPr>
          <w:szCs w:val="22"/>
        </w:rPr>
        <w:t>.</w:t>
      </w:r>
    </w:p>
    <w:p w:rsidR="00C370E4" w:rsidRDefault="00C370E4" w:rsidP="006F30D9">
      <w:pPr>
        <w:rPr>
          <w:szCs w:val="22"/>
        </w:rPr>
      </w:pPr>
    </w:p>
    <w:p w:rsidR="0029238E" w:rsidRDefault="0029238E" w:rsidP="0029238E">
      <w:pPr>
        <w:rPr>
          <w:szCs w:val="22"/>
        </w:rPr>
      </w:pPr>
      <w:r>
        <w:rPr>
          <w:szCs w:val="22"/>
        </w:rPr>
        <w:lastRenderedPageBreak/>
        <w:t>Anmeldelsen indgives til kommunen gennem www.husdyrgodkendelse.dk. A</w:t>
      </w:r>
      <w:r>
        <w:rPr>
          <w:szCs w:val="22"/>
        </w:rPr>
        <w:t>n</w:t>
      </w:r>
      <w:r>
        <w:rPr>
          <w:szCs w:val="22"/>
        </w:rPr>
        <w:t xml:space="preserve">meldelsen skal indeholde de basisoplysninger, der er angivet </w:t>
      </w:r>
      <w:r w:rsidR="00FD3576">
        <w:rPr>
          <w:szCs w:val="22"/>
        </w:rPr>
        <w:t xml:space="preserve">i </w:t>
      </w:r>
      <w:r>
        <w:rPr>
          <w:szCs w:val="22"/>
        </w:rPr>
        <w:t>bekendtgørelsens bilag 1, pkt. A. Herudover er der i konsekvens af den foreslåede ordning indsat et nyt pkt.</w:t>
      </w:r>
      <w:r w:rsidRPr="0033210E">
        <w:rPr>
          <w:szCs w:val="22"/>
        </w:rPr>
        <w:t xml:space="preserve"> </w:t>
      </w:r>
      <w:r w:rsidR="004C4F89">
        <w:rPr>
          <w:szCs w:val="22"/>
        </w:rPr>
        <w:t>C</w:t>
      </w:r>
      <w:r>
        <w:rPr>
          <w:szCs w:val="22"/>
        </w:rPr>
        <w:t>, i bilag 2, pkt. A, som fastlægger nærmere krav til oplysninger i anme</w:t>
      </w:r>
      <w:r>
        <w:rPr>
          <w:szCs w:val="22"/>
        </w:rPr>
        <w:t>l</w:t>
      </w:r>
      <w:r>
        <w:rPr>
          <w:szCs w:val="22"/>
        </w:rPr>
        <w:t xml:space="preserve">delsen. I </w:t>
      </w:r>
      <w:hyperlink r:id="rId11" w:history="1">
        <w:r w:rsidRPr="008B123D">
          <w:rPr>
            <w:rStyle w:val="Hyperlink"/>
            <w:szCs w:val="22"/>
          </w:rPr>
          <w:t>www.husdyrgodkendelse.dk</w:t>
        </w:r>
      </w:hyperlink>
      <w:r>
        <w:rPr>
          <w:szCs w:val="22"/>
        </w:rPr>
        <w:t xml:space="preserve"> kan anmelderen genanvende oplysninger fra tidligere godkendelser og tilladelser og indtegne det gødningsopbevaringsanlæg, der anmeldes. Hvis der ikke er registreret oplysninger om husdyrbrugets anlæg i </w:t>
      </w:r>
      <w:hyperlink r:id="rId12" w:history="1">
        <w:r w:rsidRPr="008B123D">
          <w:rPr>
            <w:rStyle w:val="Hyperlink"/>
            <w:szCs w:val="22"/>
          </w:rPr>
          <w:t>www.husdyrgodkendelse.dk</w:t>
        </w:r>
      </w:hyperlink>
      <w:r>
        <w:rPr>
          <w:szCs w:val="22"/>
        </w:rPr>
        <w:t>, skal anmelderen indtegne disse anlæg samt det a</w:t>
      </w:r>
      <w:r>
        <w:rPr>
          <w:szCs w:val="22"/>
        </w:rPr>
        <w:t>n</w:t>
      </w:r>
      <w:r>
        <w:rPr>
          <w:szCs w:val="22"/>
        </w:rPr>
        <w:t xml:space="preserve">meldte gødningsopbevaringsanlæg til brug for beregning af totalemissionen. Det skal bemærkes, at anmelderens indtegning/estimering af </w:t>
      </w:r>
      <w:r w:rsidR="00F67C6A">
        <w:rPr>
          <w:szCs w:val="22"/>
        </w:rPr>
        <w:t>bruttoarealet (”</w:t>
      </w:r>
      <w:r>
        <w:rPr>
          <w:szCs w:val="22"/>
        </w:rPr>
        <w:t>produkt</w:t>
      </w:r>
      <w:r>
        <w:rPr>
          <w:szCs w:val="22"/>
        </w:rPr>
        <w:t>i</w:t>
      </w:r>
      <w:r>
        <w:rPr>
          <w:szCs w:val="22"/>
        </w:rPr>
        <w:t>onsarealet</w:t>
      </w:r>
      <w:r w:rsidR="00F67C6A">
        <w:rPr>
          <w:szCs w:val="22"/>
        </w:rPr>
        <w:t>”)</w:t>
      </w:r>
      <w:r>
        <w:rPr>
          <w:szCs w:val="22"/>
        </w:rPr>
        <w:t xml:space="preserve"> </w:t>
      </w:r>
      <w:r w:rsidR="00F67C6A">
        <w:rPr>
          <w:szCs w:val="22"/>
        </w:rPr>
        <w:t xml:space="preserve">alene danner grundlag for </w:t>
      </w:r>
      <w:r w:rsidR="00F67C6A" w:rsidRPr="00C468F8">
        <w:rPr>
          <w:i/>
          <w:szCs w:val="22"/>
        </w:rPr>
        <w:t>beregningen</w:t>
      </w:r>
      <w:r w:rsidR="00F67C6A">
        <w:rPr>
          <w:szCs w:val="22"/>
        </w:rPr>
        <w:t xml:space="preserve"> i anmeldelsen. Et egentligt produktionsareal i </w:t>
      </w:r>
      <w:proofErr w:type="spellStart"/>
      <w:r w:rsidR="00F67C6A">
        <w:rPr>
          <w:szCs w:val="22"/>
        </w:rPr>
        <w:t>husdyrbruglovens</w:t>
      </w:r>
      <w:proofErr w:type="spellEnd"/>
      <w:r w:rsidR="00F67C6A">
        <w:rPr>
          <w:szCs w:val="22"/>
        </w:rPr>
        <w:t xml:space="preserve"> og bekendtgørelsens forstand fastlægges først</w:t>
      </w:r>
      <w:r w:rsidR="00FD3576">
        <w:rPr>
          <w:szCs w:val="22"/>
        </w:rPr>
        <w:t>,</w:t>
      </w:r>
      <w:r w:rsidR="00F67C6A">
        <w:rPr>
          <w:szCs w:val="22"/>
        </w:rPr>
        <w:t xml:space="preserve"> når og hvis der meddeles godkendelse eller </w:t>
      </w:r>
      <w:r>
        <w:rPr>
          <w:szCs w:val="22"/>
        </w:rPr>
        <w:t xml:space="preserve">efter §§ 16 a eller 16 b i </w:t>
      </w:r>
      <w:proofErr w:type="spellStart"/>
      <w:r>
        <w:rPr>
          <w:szCs w:val="22"/>
        </w:rPr>
        <w:t>husdy</w:t>
      </w:r>
      <w:r>
        <w:rPr>
          <w:szCs w:val="22"/>
        </w:rPr>
        <w:t>r</w:t>
      </w:r>
      <w:r>
        <w:rPr>
          <w:szCs w:val="22"/>
        </w:rPr>
        <w:t>brugloven</w:t>
      </w:r>
      <w:proofErr w:type="spellEnd"/>
      <w:r>
        <w:rPr>
          <w:szCs w:val="22"/>
        </w:rPr>
        <w:t xml:space="preserve">. </w:t>
      </w:r>
    </w:p>
    <w:p w:rsidR="0029238E" w:rsidRDefault="0029238E" w:rsidP="0029238E">
      <w:pPr>
        <w:rPr>
          <w:szCs w:val="22"/>
        </w:rPr>
      </w:pPr>
    </w:p>
    <w:p w:rsidR="0029238E" w:rsidRDefault="0029238E" w:rsidP="0029238E">
      <w:pPr>
        <w:rPr>
          <w:szCs w:val="22"/>
        </w:rPr>
      </w:pPr>
      <w:r>
        <w:rPr>
          <w:szCs w:val="22"/>
        </w:rPr>
        <w:t xml:space="preserve">Ved behandling af anmeldelsen skal kommunalbestyrelsen påse, at det anmeldte opfylder betingelserne for at anvende anmeldeordningen i den foreslåede </w:t>
      </w:r>
      <w:r w:rsidR="00E93438">
        <w:rPr>
          <w:szCs w:val="22"/>
        </w:rPr>
        <w:t xml:space="preserve">nye </w:t>
      </w:r>
      <w:r>
        <w:rPr>
          <w:szCs w:val="22"/>
        </w:rPr>
        <w:t xml:space="preserve">§ </w:t>
      </w:r>
      <w:r w:rsidR="00E93438">
        <w:rPr>
          <w:szCs w:val="22"/>
        </w:rPr>
        <w:t>12</w:t>
      </w:r>
      <w:r w:rsidRPr="006A4B8E">
        <w:rPr>
          <w:szCs w:val="22"/>
        </w:rPr>
        <w:t xml:space="preserve"> </w:t>
      </w:r>
      <w:r>
        <w:rPr>
          <w:szCs w:val="22"/>
        </w:rPr>
        <w:t xml:space="preserve">på grundlag af oplysningerne i </w:t>
      </w:r>
      <w:r w:rsidR="00E93438">
        <w:rPr>
          <w:szCs w:val="22"/>
        </w:rPr>
        <w:t xml:space="preserve">udkast til det nye pkt. C i </w:t>
      </w:r>
      <w:r>
        <w:rPr>
          <w:szCs w:val="22"/>
        </w:rPr>
        <w:t>bilag 2, og kommunens øvrige oplysninger om husdyrbruget, herunder dets beliggenhed.</w:t>
      </w:r>
    </w:p>
    <w:p w:rsidR="0029238E" w:rsidRDefault="0029238E" w:rsidP="0029238E">
      <w:pPr>
        <w:rPr>
          <w:szCs w:val="22"/>
        </w:rPr>
      </w:pPr>
    </w:p>
    <w:p w:rsidR="0029238E" w:rsidRDefault="0029238E" w:rsidP="0029238E">
      <w:pPr>
        <w:rPr>
          <w:szCs w:val="22"/>
        </w:rPr>
      </w:pPr>
      <w:r>
        <w:rPr>
          <w:szCs w:val="22"/>
        </w:rPr>
        <w:t>Ved en vurdering af en eventuel efterfølgende ansøgning om godkendelse eller tilladelse indgår alle etableringer, udvidelser og ændringer af husdyrbruget, der godkendt, tilladt eller afgjort efter anmeldelse inden for de seneste 8 år før ko</w:t>
      </w:r>
      <w:r>
        <w:rPr>
          <w:szCs w:val="22"/>
        </w:rPr>
        <w:t>m</w:t>
      </w:r>
      <w:r>
        <w:rPr>
          <w:szCs w:val="22"/>
        </w:rPr>
        <w:t>munalbestyrelsens afgørelse, jf. § 3</w:t>
      </w:r>
      <w:r w:rsidR="00E93438">
        <w:rPr>
          <w:szCs w:val="22"/>
        </w:rPr>
        <w:t>3</w:t>
      </w:r>
      <w:r>
        <w:rPr>
          <w:szCs w:val="22"/>
        </w:rPr>
        <w:t xml:space="preserve">, stk. 2, i </w:t>
      </w:r>
      <w:r w:rsidR="00E93438">
        <w:rPr>
          <w:szCs w:val="22"/>
        </w:rPr>
        <w:t>den gældende bekendtgørelse (§ 34, stk. 2, i udkastet)</w:t>
      </w:r>
      <w:r>
        <w:rPr>
          <w:szCs w:val="22"/>
        </w:rPr>
        <w:t>.</w:t>
      </w:r>
    </w:p>
    <w:p w:rsidR="0014661C" w:rsidRDefault="0014661C" w:rsidP="0029238E">
      <w:pPr>
        <w:rPr>
          <w:szCs w:val="22"/>
        </w:rPr>
      </w:pPr>
    </w:p>
    <w:p w:rsidR="0014661C" w:rsidRDefault="0014661C" w:rsidP="00C82C31">
      <w:pPr>
        <w:pStyle w:val="Overskrift2"/>
      </w:pPr>
      <w:bookmarkStart w:id="16" w:name="_Toc514857924"/>
      <w:r>
        <w:t>Anmeldelse af skift mellem tung race og Jersey</w:t>
      </w:r>
      <w:bookmarkEnd w:id="16"/>
    </w:p>
    <w:p w:rsidR="00656393" w:rsidRDefault="00C82C31" w:rsidP="00C82C31">
      <w:r>
        <w:t>Det foreslås, at anmeldeordninger</w:t>
      </w:r>
      <w:r w:rsidR="00E33E12">
        <w:t>ne</w:t>
      </w:r>
      <w:r>
        <w:t xml:space="preserve"> for skift mellem dyretyper i § 15 (§ 14</w:t>
      </w:r>
      <w:r w:rsidR="00AA7965">
        <w:t xml:space="preserve"> </w:t>
      </w:r>
      <w:r>
        <w:t>i den gældende bekendtgørelse) suppleres, sådan at der også</w:t>
      </w:r>
      <w:r w:rsidR="00FD3576">
        <w:t xml:space="preserve"> kan skiftes fra tung race til Jersey, og fra J</w:t>
      </w:r>
      <w:r>
        <w:t>ersey til tung race. For at sikre, at produktionsarealet ikke forøges som følge af skiftet og under overholdelse af dyrevelfærdsreglerne, er det en beti</w:t>
      </w:r>
      <w:r>
        <w:t>n</w:t>
      </w:r>
      <w:r>
        <w:t xml:space="preserve">gelse, at der sker en reduktion af </w:t>
      </w:r>
      <w:r w:rsidR="00656393">
        <w:t xml:space="preserve">antal </w:t>
      </w:r>
      <w:r w:rsidR="00E33E12">
        <w:t xml:space="preserve">dyreenheder </w:t>
      </w:r>
      <w:r>
        <w:t xml:space="preserve">på </w:t>
      </w:r>
      <w:r w:rsidR="00656393">
        <w:t xml:space="preserve">5 </w:t>
      </w:r>
      <w:r w:rsidR="007C2F24">
        <w:t>pct.</w:t>
      </w:r>
      <w:r w:rsidR="00656393">
        <w:t xml:space="preserve"> ved skift fra Jersey til tung race for malkekøer og </w:t>
      </w:r>
      <w:r>
        <w:t xml:space="preserve">15 </w:t>
      </w:r>
      <w:r w:rsidR="007C2F24">
        <w:t xml:space="preserve">pct. </w:t>
      </w:r>
      <w:r>
        <w:t xml:space="preserve">ved skift fra tung race til Jersey </w:t>
      </w:r>
      <w:r w:rsidR="00656393">
        <w:t>for andet kvæg end malkekøer</w:t>
      </w:r>
      <w:r w:rsidR="00FD3576">
        <w:t>.</w:t>
      </w:r>
      <w:r>
        <w:t xml:space="preserve"> </w:t>
      </w:r>
      <w:r w:rsidR="00656393">
        <w:t>Ved andre skift mellem tung race og Jersey, end nævnt ove</w:t>
      </w:r>
      <w:r w:rsidR="00656393">
        <w:t>n</w:t>
      </w:r>
      <w:r w:rsidR="00656393">
        <w:t xml:space="preserve">for, må antallet af dyreenheder ikke øges. </w:t>
      </w:r>
    </w:p>
    <w:p w:rsidR="00656393" w:rsidRDefault="00656393" w:rsidP="00C82C31"/>
    <w:p w:rsidR="00656393" w:rsidRPr="003A52EE" w:rsidRDefault="00656393" w:rsidP="00FC07B5">
      <w:pPr>
        <w:rPr>
          <w:rFonts w:ascii="Tahoma" w:hAnsi="Tahoma" w:cs="Tahoma"/>
          <w:color w:val="000000"/>
          <w:sz w:val="17"/>
          <w:szCs w:val="17"/>
        </w:rPr>
      </w:pPr>
      <w:r>
        <w:t xml:space="preserve">Ved </w:t>
      </w:r>
      <w:r w:rsidR="005D1A6E">
        <w:t>s</w:t>
      </w:r>
      <w:r w:rsidR="005D1A6E" w:rsidRPr="00FC07B5">
        <w:t>kift fra malkekøer til kvier og stude</w:t>
      </w:r>
      <w:r w:rsidR="005D1A6E">
        <w:t xml:space="preserve">, hvor der </w:t>
      </w:r>
      <w:r w:rsidR="007C2F24">
        <w:t xml:space="preserve">efter stk. 4 </w:t>
      </w:r>
      <w:r w:rsidR="005D1A6E">
        <w:t>gælder et redukt</w:t>
      </w:r>
      <w:r w:rsidR="005D1A6E">
        <w:t>i</w:t>
      </w:r>
      <w:r w:rsidR="005D1A6E">
        <w:t>onskrav på 30 pct., gælder der efter det foreslåede stk. 7 et yderligere reduktion</w:t>
      </w:r>
      <w:r w:rsidR="005D1A6E">
        <w:t>s</w:t>
      </w:r>
      <w:r w:rsidR="005D1A6E">
        <w:t>krav på 5 pct., hvis der samtidig skiftes fra Jersey til tung race. Det yderligere r</w:t>
      </w:r>
      <w:r w:rsidR="005D1A6E">
        <w:t>e</w:t>
      </w:r>
      <w:r w:rsidR="005D1A6E">
        <w:t>duktionskrav beregnes som supplerende reduktion efter reduktionen på 30 pct.</w:t>
      </w:r>
      <w:r w:rsidR="005D1A6E">
        <w:rPr>
          <w:rFonts w:ascii="Tahoma" w:hAnsi="Tahoma" w:cs="Tahoma"/>
          <w:color w:val="000000"/>
          <w:sz w:val="17"/>
          <w:szCs w:val="17"/>
        </w:rPr>
        <w:t xml:space="preserve"> </w:t>
      </w:r>
      <w:r w:rsidR="005D1A6E">
        <w:t>Ved s</w:t>
      </w:r>
      <w:r w:rsidR="005D1A6E" w:rsidRPr="005D1A6E">
        <w:t>kift fra slagtekalve til kvier</w:t>
      </w:r>
      <w:r w:rsidR="005D1A6E">
        <w:t xml:space="preserve">, </w:t>
      </w:r>
      <w:proofErr w:type="gramStart"/>
      <w:r w:rsidR="005D1A6E">
        <w:t>jf.  stk</w:t>
      </w:r>
      <w:proofErr w:type="gramEnd"/>
      <w:r w:rsidR="005D1A6E">
        <w:t xml:space="preserve">. 5, nr. 2, gælder der efter det foreslåede stk. 7, et reduktionskrav på mindst 15 pct., hvis der samtidig skiftes fra tung race til Jersey. </w:t>
      </w:r>
    </w:p>
    <w:p w:rsidR="00656393" w:rsidRDefault="00656393" w:rsidP="00C82C31"/>
    <w:p w:rsidR="002F435A" w:rsidRPr="002F435A" w:rsidRDefault="002F435A" w:rsidP="00356140">
      <w:pPr>
        <w:pStyle w:val="Overskrift2"/>
      </w:pPr>
      <w:bookmarkStart w:id="17" w:name="_Toc510619931"/>
      <w:bookmarkStart w:id="18" w:name="_Toc514857925"/>
      <w:r>
        <w:t xml:space="preserve">Ny anmeldeordning om bortfald </w:t>
      </w:r>
      <w:r w:rsidR="00D15074">
        <w:t xml:space="preserve">af vilkår </w:t>
      </w:r>
      <w:r>
        <w:t>for spalteskraber (kvægbrug)</w:t>
      </w:r>
      <w:bookmarkEnd w:id="17"/>
      <w:bookmarkEnd w:id="18"/>
    </w:p>
    <w:p w:rsidR="00970BFD" w:rsidRDefault="002F435A" w:rsidP="00970BFD">
      <w:r>
        <w:t>Spalteskraber som en effektiv miljøteknologi er fjernet fra Miljøstyrelsens teknol</w:t>
      </w:r>
      <w:r>
        <w:t>o</w:t>
      </w:r>
      <w:r>
        <w:t>giliste</w:t>
      </w:r>
      <w:r w:rsidR="00FD3576">
        <w:t>,</w:t>
      </w:r>
      <w:r>
        <w:t xml:space="preserve"> da test har dokumenteret</w:t>
      </w:r>
      <w:r w:rsidR="005A0E55">
        <w:t>,</w:t>
      </w:r>
      <w:r>
        <w:t xml:space="preserve"> at den ikke </w:t>
      </w:r>
      <w:r w:rsidR="005A0E55">
        <w:t xml:space="preserve">som hidtil antaget </w:t>
      </w:r>
      <w:r>
        <w:t>har en ammonia</w:t>
      </w:r>
      <w:r>
        <w:t>k</w:t>
      </w:r>
      <w:r>
        <w:lastRenderedPageBreak/>
        <w:t>reducerende effekt i kvægstalde med spaltegulve.</w:t>
      </w:r>
      <w:r w:rsidR="00FD3576">
        <w:t xml:space="preserve"> </w:t>
      </w:r>
      <w:r w:rsidR="00970BFD">
        <w:t>S</w:t>
      </w:r>
      <w:r w:rsidR="00970BFD" w:rsidRPr="00970BFD">
        <w:t>palteskraberen</w:t>
      </w:r>
      <w:r w:rsidR="00970BFD">
        <w:t xml:space="preserve"> har dog</w:t>
      </w:r>
      <w:r w:rsidR="00970BFD" w:rsidRPr="00970BFD">
        <w:t xml:space="preserve">, udover den tidligere antagne </w:t>
      </w:r>
      <w:r w:rsidR="00970BFD">
        <w:t xml:space="preserve">effekt på ammoniak, </w:t>
      </w:r>
      <w:r w:rsidR="00970BFD" w:rsidRPr="00970BFD">
        <w:t>en drift</w:t>
      </w:r>
      <w:r w:rsidR="00970BFD">
        <w:t>s</w:t>
      </w:r>
      <w:r w:rsidR="00970BFD" w:rsidRPr="00970BFD">
        <w:t>mæssig effekt i stalden med at holde spaltegulvet fri for gødning. Hvis kvægbruget lader vilkåret bortfalde</w:t>
      </w:r>
      <w:r w:rsidR="00932EE6">
        <w:t>,</w:t>
      </w:r>
      <w:r w:rsidR="00970BFD" w:rsidRPr="00970BFD">
        <w:t xml:space="preserve"> skal der findes en anden metode til at holde gulvet fri for gødning</w:t>
      </w:r>
      <w:r w:rsidR="00970BFD">
        <w:t xml:space="preserve">. </w:t>
      </w:r>
    </w:p>
    <w:p w:rsidR="002F435A" w:rsidRDefault="002F435A" w:rsidP="002F435A"/>
    <w:p w:rsidR="005A0E55" w:rsidRDefault="002F435A" w:rsidP="002F435A">
      <w:r>
        <w:t>Der foreslås på den baggrund etableret en anmeldeordning om bortfald af vilkår om anvendelse af spalteskraber</w:t>
      </w:r>
      <w:r w:rsidR="002A2A5D">
        <w:t xml:space="preserve"> i tilladelser og godkendelser</w:t>
      </w:r>
      <w:r w:rsidR="000B7949">
        <w:t xml:space="preserve">.  </w:t>
      </w:r>
      <w:r w:rsidR="0014661C">
        <w:t xml:space="preserve">Anmeldeordningen tilføjes som stk. </w:t>
      </w:r>
      <w:r w:rsidR="00226244">
        <w:t>2</w:t>
      </w:r>
      <w:r w:rsidR="0014661C">
        <w:t xml:space="preserve"> i § 16 (§ 15 </w:t>
      </w:r>
      <w:r w:rsidR="00C82C31">
        <w:t>i den gældende bekendtgørelse</w:t>
      </w:r>
      <w:r w:rsidR="0014661C">
        <w:t>)</w:t>
      </w:r>
      <w:r w:rsidR="00226244">
        <w:t>, og det gældende stk. 2 bliver herefter stk. 3</w:t>
      </w:r>
      <w:r w:rsidR="0014661C">
        <w:t xml:space="preserve">. </w:t>
      </w:r>
    </w:p>
    <w:p w:rsidR="00970BFD" w:rsidRDefault="00970BFD" w:rsidP="002F435A"/>
    <w:p w:rsidR="0052791E" w:rsidRDefault="005A0E55" w:rsidP="005A0E55">
      <w:r>
        <w:t xml:space="preserve">Anmeldeordningen </w:t>
      </w:r>
      <w:r w:rsidR="0052791E">
        <w:t xml:space="preserve">kan </w:t>
      </w:r>
      <w:r>
        <w:t xml:space="preserve">bruges af husdyrbrug, </w:t>
      </w:r>
      <w:r w:rsidR="002F435A">
        <w:t xml:space="preserve">der i deres godkendelse </w:t>
      </w:r>
      <w:r>
        <w:t>eller till</w:t>
      </w:r>
      <w:r>
        <w:t>a</w:t>
      </w:r>
      <w:r>
        <w:t xml:space="preserve">delse </w:t>
      </w:r>
      <w:r w:rsidR="002F435A">
        <w:t>har vilkår om anvendelse af spalteskraber til reduktion af ammoniakemiss</w:t>
      </w:r>
      <w:r w:rsidR="002F435A">
        <w:t>i</w:t>
      </w:r>
      <w:r w:rsidR="002F435A">
        <w:t>on</w:t>
      </w:r>
      <w:r>
        <w:t xml:space="preserve">, </w:t>
      </w:r>
      <w:r w:rsidR="0052791E">
        <w:t xml:space="preserve">og som </w:t>
      </w:r>
      <w:r>
        <w:t>f.eks. endnu ikke har udnyttet godkendelsen eller tilladelsen</w:t>
      </w:r>
      <w:r w:rsidR="00915C06">
        <w:t>,</w:t>
      </w:r>
      <w:r w:rsidR="0052791E">
        <w:t xml:space="preserve"> eller som ønsker at fjerne husdyrgødningen på anden vis, selv om de har etableret en spalt</w:t>
      </w:r>
      <w:r w:rsidR="0052791E">
        <w:t>e</w:t>
      </w:r>
      <w:r w:rsidR="0052791E">
        <w:t>skraber. Miljø- og Fødevareministeriet vurderer, at det i mange tilfælde er unø</w:t>
      </w:r>
      <w:r w:rsidR="0052791E">
        <w:t>d</w:t>
      </w:r>
      <w:r w:rsidR="0052791E">
        <w:t xml:space="preserve">vendigt at anmelde bortfald af vilkår om spalteskrabere, </w:t>
      </w:r>
      <w:r w:rsidR="000B7949">
        <w:t xml:space="preserve">men </w:t>
      </w:r>
      <w:r w:rsidR="003D1D00">
        <w:t xml:space="preserve">det kan </w:t>
      </w:r>
      <w:r w:rsidR="00970BFD">
        <w:t xml:space="preserve">evt. </w:t>
      </w:r>
      <w:r w:rsidR="000B7949">
        <w:t>tage</w:t>
      </w:r>
      <w:r w:rsidR="003D1D00">
        <w:t>s</w:t>
      </w:r>
      <w:r w:rsidR="00970BFD">
        <w:t xml:space="preserve"> </w:t>
      </w:r>
      <w:r w:rsidR="000B7949">
        <w:t>op i forbindelse med tilsynet</w:t>
      </w:r>
      <w:r w:rsidR="00970BFD">
        <w:t>, om der er behov for ændringer</w:t>
      </w:r>
      <w:r w:rsidR="000B7949">
        <w:t xml:space="preserve">. </w:t>
      </w:r>
      <w:r w:rsidR="00970BFD">
        <w:t>Det må</w:t>
      </w:r>
      <w:r w:rsidR="000B7949">
        <w:t xml:space="preserve"> </w:t>
      </w:r>
      <w:r w:rsidR="0052791E">
        <w:t>anses for at være af underordnet betydning i forhold til ammoniakemission</w:t>
      </w:r>
      <w:r w:rsidR="003D1D00">
        <w:t>en</w:t>
      </w:r>
      <w:r w:rsidR="0052791E">
        <w:t>, hvor ofte spa</w:t>
      </w:r>
      <w:r w:rsidR="0052791E">
        <w:t>l</w:t>
      </w:r>
      <w:r w:rsidR="0052791E">
        <w:t xml:space="preserve">teskraberen anvendes. </w:t>
      </w:r>
    </w:p>
    <w:p w:rsidR="00DB7F4B" w:rsidRDefault="00DB7F4B" w:rsidP="00356140">
      <w:pPr>
        <w:pStyle w:val="Overskrift2"/>
      </w:pPr>
      <w:bookmarkStart w:id="19" w:name="_Toc510619932"/>
      <w:bookmarkStart w:id="20" w:name="_Toc514857926"/>
      <w:r w:rsidRPr="00DB7F4B">
        <w:t>Afprøvning af miljøeffektive teknologier eller teknikker</w:t>
      </w:r>
      <w:bookmarkEnd w:id="19"/>
      <w:bookmarkEnd w:id="20"/>
    </w:p>
    <w:p w:rsidR="00CA078B" w:rsidRDefault="00DB7F4B" w:rsidP="00CA078B">
      <w:r w:rsidRPr="00CA078B">
        <w:t>Efter den gældende anmeldeordning for miljøeffektive teknologier eller teknikker, jf. den gældende § 16, stk. 8, skal afprøvningen være afsluttet senest 3 år efter, at kommunalbestyrelsen har truffet afgørelse</w:t>
      </w:r>
      <w:r w:rsidR="004C4F89" w:rsidRPr="00CA078B">
        <w:t>. Der er endvidere mulighed for forlæ</w:t>
      </w:r>
      <w:r w:rsidR="004C4F89" w:rsidRPr="00CA078B">
        <w:t>n</w:t>
      </w:r>
      <w:r w:rsidR="004C4F89" w:rsidRPr="00CA078B">
        <w:t>gelse med op til et år, jf. § 19, stk. 8, i den gældende bekendtgørelse</w:t>
      </w:r>
      <w:r w:rsidRPr="00CA078B">
        <w:t xml:space="preserve">. </w:t>
      </w:r>
      <w:r w:rsidR="004C4F89" w:rsidRPr="00CA078B">
        <w:t>Det for</w:t>
      </w:r>
      <w:r w:rsidR="004C4F89" w:rsidRPr="00CA078B">
        <w:t>e</w:t>
      </w:r>
      <w:r w:rsidR="004C4F89" w:rsidRPr="00CA078B">
        <w:t>slås, at bestemmelsen om forlængelse af afprøvningsperioden med 1 år flyttes ind som et nyt punktum i § 17, stk. 8, i bekendtgørelsesudkastet, og at det samtidig præc</w:t>
      </w:r>
      <w:r w:rsidR="004C4F89" w:rsidRPr="00CA078B">
        <w:t>i</w:t>
      </w:r>
      <w:r w:rsidR="004C4F89" w:rsidRPr="00CA078B">
        <w:t xml:space="preserve">seres, at kommunalbestyrelsens afgørelse om at </w:t>
      </w:r>
      <w:r w:rsidRPr="00CA078B">
        <w:t>forlænge afprøvningsperi</w:t>
      </w:r>
      <w:r w:rsidRPr="00CA078B">
        <w:t>o</w:t>
      </w:r>
      <w:r w:rsidRPr="00CA078B">
        <w:t>den</w:t>
      </w:r>
      <w:r w:rsidR="004C4F89" w:rsidRPr="00CA078B">
        <w:t xml:space="preserve"> skal træffes inden udløbet af afprøvningsper</w:t>
      </w:r>
      <w:r w:rsidR="004C4F89" w:rsidRPr="00CA078B">
        <w:t>i</w:t>
      </w:r>
      <w:r w:rsidR="004C4F89" w:rsidRPr="00CA078B">
        <w:t>ode</w:t>
      </w:r>
      <w:r w:rsidR="00226244">
        <w:t>n</w:t>
      </w:r>
      <w:r w:rsidR="004C4F89" w:rsidRPr="00CA078B">
        <w:t xml:space="preserve"> på op til 3 år</w:t>
      </w:r>
      <w:r w:rsidR="00226244">
        <w:t>, der er fastsat efter anmeldelsen</w:t>
      </w:r>
      <w:r w:rsidR="004C4F89" w:rsidRPr="00CA078B">
        <w:t xml:space="preserve">. </w:t>
      </w:r>
      <w:bookmarkStart w:id="21" w:name="_Toc510619933"/>
    </w:p>
    <w:p w:rsidR="00CA078B" w:rsidRDefault="00CA078B" w:rsidP="00CA078B">
      <w:pPr>
        <w:pStyle w:val="Overskrift2"/>
        <w:numPr>
          <w:ilvl w:val="0"/>
          <w:numId w:val="0"/>
        </w:numPr>
        <w:ind w:left="576"/>
      </w:pPr>
    </w:p>
    <w:p w:rsidR="00680972" w:rsidRPr="0029238E" w:rsidRDefault="009724CA" w:rsidP="00356140">
      <w:pPr>
        <w:pStyle w:val="Overskrift2"/>
      </w:pPr>
      <w:bookmarkStart w:id="22" w:name="_Toc514857927"/>
      <w:r>
        <w:rPr>
          <w:szCs w:val="22"/>
        </w:rPr>
        <w:t>Ophør af a</w:t>
      </w:r>
      <w:r w:rsidR="00680972" w:rsidRPr="00DB7F4B">
        <w:rPr>
          <w:szCs w:val="22"/>
        </w:rPr>
        <w:t>nmeldeordning</w:t>
      </w:r>
      <w:r w:rsidR="00680972" w:rsidRPr="0029238E">
        <w:t xml:space="preserve"> for emissionsorienteret produktion</w:t>
      </w:r>
      <w:r w:rsidR="00680972" w:rsidRPr="0029238E">
        <w:t>s</w:t>
      </w:r>
      <w:r w:rsidR="00680972" w:rsidRPr="0029238E">
        <w:t>tilpasning</w:t>
      </w:r>
      <w:bookmarkEnd w:id="21"/>
      <w:bookmarkEnd w:id="22"/>
    </w:p>
    <w:p w:rsidR="00680972" w:rsidRDefault="00680972" w:rsidP="00680972">
      <w:pPr>
        <w:rPr>
          <w:szCs w:val="22"/>
        </w:rPr>
      </w:pPr>
      <w:r>
        <w:rPr>
          <w:szCs w:val="22"/>
        </w:rPr>
        <w:t>Det foreslås, at anmeldeordningen for emissionsorienteret produktionstilpasning for slagtesv</w:t>
      </w:r>
      <w:r w:rsidR="00B329C7">
        <w:rPr>
          <w:szCs w:val="22"/>
        </w:rPr>
        <w:t xml:space="preserve">in i </w:t>
      </w:r>
      <w:r w:rsidR="00B329C7" w:rsidRPr="00D133BE">
        <w:rPr>
          <w:szCs w:val="22"/>
        </w:rPr>
        <w:t xml:space="preserve">§ 17 </w:t>
      </w:r>
      <w:r w:rsidR="00B329C7">
        <w:rPr>
          <w:szCs w:val="22"/>
        </w:rPr>
        <w:t>i den gældende bekendtgørelse</w:t>
      </w:r>
      <w:r>
        <w:rPr>
          <w:szCs w:val="22"/>
        </w:rPr>
        <w:t xml:space="preserve"> ophæves. Ordningen har i en overgangsperiode fra ikrafttræde</w:t>
      </w:r>
      <w:r w:rsidR="00915C06">
        <w:rPr>
          <w:szCs w:val="22"/>
        </w:rPr>
        <w:t>n</w:t>
      </w:r>
      <w:r>
        <w:rPr>
          <w:szCs w:val="22"/>
        </w:rPr>
        <w:t xml:space="preserve"> af ændringen af </w:t>
      </w:r>
      <w:proofErr w:type="spellStart"/>
      <w:r>
        <w:rPr>
          <w:szCs w:val="22"/>
        </w:rPr>
        <w:t>husdyrbrugloven</w:t>
      </w:r>
      <w:proofErr w:type="spellEnd"/>
      <w:r>
        <w:rPr>
          <w:szCs w:val="22"/>
        </w:rPr>
        <w:t xml:space="preserve"> givet muli</w:t>
      </w:r>
      <w:r>
        <w:rPr>
          <w:szCs w:val="22"/>
        </w:rPr>
        <w:t>g</w:t>
      </w:r>
      <w:r>
        <w:rPr>
          <w:szCs w:val="22"/>
        </w:rPr>
        <w:t xml:space="preserve">hed for, at der </w:t>
      </w:r>
      <w:r w:rsidR="0078686B">
        <w:rPr>
          <w:szCs w:val="22"/>
        </w:rPr>
        <w:t xml:space="preserve">efter anmeldelse </w:t>
      </w:r>
      <w:r>
        <w:rPr>
          <w:szCs w:val="22"/>
        </w:rPr>
        <w:t>kunne foretages visse udvidelser af produktionen af slagtesvin i eksisterende stalde. Det var forudsat, at denne anmeldeordning al</w:t>
      </w:r>
      <w:r>
        <w:rPr>
          <w:szCs w:val="22"/>
        </w:rPr>
        <w:t>e</w:t>
      </w:r>
      <w:r>
        <w:rPr>
          <w:szCs w:val="22"/>
        </w:rPr>
        <w:t xml:space="preserve">ne skulle gælde i en overgangsperiode frem til sommeren 2018, hvor alle, der har ønsket at bruge ordningen, har haft mulighed for det. </w:t>
      </w:r>
    </w:p>
    <w:p w:rsidR="00680972" w:rsidRDefault="00680972" w:rsidP="00680972">
      <w:pPr>
        <w:rPr>
          <w:szCs w:val="22"/>
        </w:rPr>
      </w:pPr>
    </w:p>
    <w:p w:rsidR="00EA28EA" w:rsidRDefault="00836000" w:rsidP="00680972">
      <w:pPr>
        <w:rPr>
          <w:szCs w:val="22"/>
        </w:rPr>
      </w:pPr>
      <w:r>
        <w:rPr>
          <w:szCs w:val="22"/>
        </w:rPr>
        <w:t>Anmeldeordningen</w:t>
      </w:r>
      <w:r w:rsidR="00680972">
        <w:rPr>
          <w:szCs w:val="22"/>
        </w:rPr>
        <w:t xml:space="preserve"> for at anmelde en u</w:t>
      </w:r>
      <w:r w:rsidR="00680972" w:rsidRPr="00D133BE">
        <w:rPr>
          <w:szCs w:val="22"/>
        </w:rPr>
        <w:t>dvidelse af mælkeyd</w:t>
      </w:r>
      <w:r w:rsidR="00680972">
        <w:rPr>
          <w:szCs w:val="22"/>
        </w:rPr>
        <w:t xml:space="preserve">elsen pr. malkeko i forhold </w:t>
      </w:r>
      <w:r w:rsidR="00680972" w:rsidRPr="00D133BE">
        <w:rPr>
          <w:szCs w:val="22"/>
        </w:rPr>
        <w:t>et godkendt eller tilladt maksimum for den producerede mængde mælk på husdyrbruget</w:t>
      </w:r>
      <w:r w:rsidR="00B329C7">
        <w:rPr>
          <w:szCs w:val="22"/>
        </w:rPr>
        <w:t xml:space="preserve"> i § 17 i den gældende bekendtgørelse</w:t>
      </w:r>
      <w:r w:rsidR="0078686B">
        <w:rPr>
          <w:szCs w:val="22"/>
        </w:rPr>
        <w:t>, der</w:t>
      </w:r>
      <w:r w:rsidR="00680972">
        <w:rPr>
          <w:szCs w:val="22"/>
        </w:rPr>
        <w:t xml:space="preserve"> blev tilføjet ved den sen</w:t>
      </w:r>
      <w:r w:rsidR="00680972">
        <w:rPr>
          <w:szCs w:val="22"/>
        </w:rPr>
        <w:t>e</w:t>
      </w:r>
      <w:r w:rsidR="00680972">
        <w:rPr>
          <w:szCs w:val="22"/>
        </w:rPr>
        <w:t>ste ændring af bekendtgørelsen</w:t>
      </w:r>
      <w:r w:rsidR="0078686B">
        <w:rPr>
          <w:szCs w:val="22"/>
        </w:rPr>
        <w:t xml:space="preserve">, </w:t>
      </w:r>
      <w:r>
        <w:rPr>
          <w:szCs w:val="22"/>
        </w:rPr>
        <w:t xml:space="preserve">foreslås ikke </w:t>
      </w:r>
      <w:r w:rsidR="00680972">
        <w:rPr>
          <w:szCs w:val="22"/>
        </w:rPr>
        <w:t>ophæve</w:t>
      </w:r>
      <w:r>
        <w:rPr>
          <w:szCs w:val="22"/>
        </w:rPr>
        <w:t>t</w:t>
      </w:r>
      <w:r w:rsidR="0078686B">
        <w:rPr>
          <w:szCs w:val="22"/>
        </w:rPr>
        <w:t>, da vilkår om mælkeydelse indgår i en række tilladelser og godkendelser efter §§ 10-12 i den tidligere gælde</w:t>
      </w:r>
      <w:r w:rsidR="0078686B">
        <w:rPr>
          <w:szCs w:val="22"/>
        </w:rPr>
        <w:t>n</w:t>
      </w:r>
      <w:r w:rsidR="0078686B">
        <w:rPr>
          <w:szCs w:val="22"/>
        </w:rPr>
        <w:t xml:space="preserve">de </w:t>
      </w:r>
      <w:proofErr w:type="spellStart"/>
      <w:r w:rsidR="0078686B">
        <w:rPr>
          <w:szCs w:val="22"/>
        </w:rPr>
        <w:t>husdyrbruglov</w:t>
      </w:r>
      <w:proofErr w:type="spellEnd"/>
      <w:r w:rsidR="00680972">
        <w:rPr>
          <w:szCs w:val="22"/>
        </w:rPr>
        <w:t>.</w:t>
      </w:r>
    </w:p>
    <w:p w:rsidR="008F65B3" w:rsidRDefault="008F65B3" w:rsidP="00680972">
      <w:pPr>
        <w:rPr>
          <w:szCs w:val="22"/>
        </w:rPr>
      </w:pPr>
    </w:p>
    <w:p w:rsidR="008F65B3" w:rsidRDefault="008F65B3" w:rsidP="0045715C">
      <w:pPr>
        <w:pStyle w:val="Overskrift2"/>
      </w:pPr>
      <w:bookmarkStart w:id="23" w:name="_Toc514857928"/>
      <w:r>
        <w:lastRenderedPageBreak/>
        <w:t>Helt eller delvist bortfald af afgørelser</w:t>
      </w:r>
      <w:bookmarkEnd w:id="23"/>
    </w:p>
    <w:p w:rsidR="00915C06" w:rsidRDefault="008F65B3" w:rsidP="00915C06">
      <w:r>
        <w:t xml:space="preserve">I § 48, stk. </w:t>
      </w:r>
      <w:r w:rsidR="00C448EF">
        <w:t>3</w:t>
      </w:r>
      <w:r>
        <w:t xml:space="preserve">, (§ 47 i den gældende bekendtgørelse) </w:t>
      </w:r>
      <w:r w:rsidR="00C448EF">
        <w:t>præciseres, at</w:t>
      </w:r>
      <w:r>
        <w:t xml:space="preserve"> </w:t>
      </w:r>
      <w:r w:rsidR="00C448EF">
        <w:t xml:space="preserve">reglerne om bortfald også gælder for </w:t>
      </w:r>
      <w:r w:rsidR="0045715C">
        <w:t xml:space="preserve">afgørelser efter </w:t>
      </w:r>
      <w:r>
        <w:t>anmeldereglerne i bekendtgørelse nr. 916 af 23. juni 2017 om godkendelse og tilladelse m.v. af husdyrbrug</w:t>
      </w:r>
      <w:r w:rsidR="00C448EF">
        <w:t xml:space="preserve"> og senere b</w:t>
      </w:r>
      <w:r w:rsidR="00C448EF">
        <w:t>e</w:t>
      </w:r>
      <w:r w:rsidR="00C448EF">
        <w:t>kendtgørelser</w:t>
      </w:r>
      <w:r>
        <w:t>. Reglen svarer til § 49, stk. 3, (§ 48, stk. 3, i den gældende bekend</w:t>
      </w:r>
      <w:r>
        <w:t>t</w:t>
      </w:r>
      <w:r>
        <w:t xml:space="preserve">gørelse). </w:t>
      </w:r>
      <w:bookmarkStart w:id="24" w:name="_Toc514857929"/>
    </w:p>
    <w:p w:rsidR="00F569C7" w:rsidRDefault="00F569C7" w:rsidP="00915C06">
      <w:pPr>
        <w:pStyle w:val="Overskrift2"/>
      </w:pPr>
      <w:r>
        <w:t xml:space="preserve">Præcisering af </w:t>
      </w:r>
      <w:r w:rsidR="007C26A5">
        <w:t xml:space="preserve">digital </w:t>
      </w:r>
      <w:r>
        <w:t>offentliggørelse</w:t>
      </w:r>
      <w:bookmarkEnd w:id="24"/>
    </w:p>
    <w:p w:rsidR="008F3DDD" w:rsidRDefault="00F569C7" w:rsidP="00C374EB">
      <w:pPr>
        <w:rPr>
          <w:szCs w:val="22"/>
        </w:rPr>
      </w:pPr>
      <w:r>
        <w:rPr>
          <w:szCs w:val="22"/>
        </w:rPr>
        <w:t>Det foreslås præciseret i udkastets § 57 (§</w:t>
      </w:r>
      <w:r w:rsidR="00540AC9">
        <w:rPr>
          <w:szCs w:val="22"/>
        </w:rPr>
        <w:t xml:space="preserve"> </w:t>
      </w:r>
      <w:r>
        <w:rPr>
          <w:szCs w:val="22"/>
        </w:rPr>
        <w:t>56 i den gældende bekendtgørelse), at kommunalbestyrelsen skal foretage digital annoncering af information og afgøre</w:t>
      </w:r>
      <w:r>
        <w:rPr>
          <w:szCs w:val="22"/>
        </w:rPr>
        <w:t>l</w:t>
      </w:r>
      <w:r>
        <w:rPr>
          <w:szCs w:val="22"/>
        </w:rPr>
        <w:t>ser</w:t>
      </w:r>
      <w:r w:rsidR="0014521C">
        <w:rPr>
          <w:szCs w:val="22"/>
        </w:rPr>
        <w:t>. D</w:t>
      </w:r>
      <w:r>
        <w:rPr>
          <w:szCs w:val="22"/>
        </w:rPr>
        <w:t xml:space="preserve">et kan ske på kommunens hjemmeside, eller ved </w:t>
      </w:r>
      <w:r w:rsidR="007C26A5">
        <w:rPr>
          <w:szCs w:val="22"/>
        </w:rPr>
        <w:t xml:space="preserve">link eller </w:t>
      </w:r>
      <w:r>
        <w:rPr>
          <w:szCs w:val="22"/>
        </w:rPr>
        <w:t>anvisning på kommunens hjemmeside om, hvor og hvordan den pågældende information er tilgængelig</w:t>
      </w:r>
      <w:r w:rsidR="007C26A5">
        <w:rPr>
          <w:szCs w:val="22"/>
        </w:rPr>
        <w:t>. Formålet med bestemmelsen er, at der skal være digital tilgængelig information til offentligheden om de forhold, der er nævnt i § 57. Bestemmelsen ændrer ikke på, at der kan være krav om offentliggørelse af afgørelser og andre oplysninger efter regler i f.eks. godkendelsesbekendtgørelsen eller tilsynsbekend</w:t>
      </w:r>
      <w:r w:rsidR="007C26A5">
        <w:rPr>
          <w:szCs w:val="22"/>
        </w:rPr>
        <w:t>t</w:t>
      </w:r>
      <w:r w:rsidR="007C26A5">
        <w:rPr>
          <w:szCs w:val="22"/>
        </w:rPr>
        <w:t xml:space="preserve">gørelsen, f.eks. om offentliggørelse af nærmere bestemte oplysninger og afgørelser i </w:t>
      </w:r>
      <w:r>
        <w:rPr>
          <w:szCs w:val="22"/>
        </w:rPr>
        <w:t xml:space="preserve">DMA. Der foreslås </w:t>
      </w:r>
      <w:r w:rsidR="007C26A5">
        <w:rPr>
          <w:szCs w:val="22"/>
        </w:rPr>
        <w:t xml:space="preserve">således ikke </w:t>
      </w:r>
      <w:r>
        <w:rPr>
          <w:szCs w:val="22"/>
        </w:rPr>
        <w:t>ændret på, hvilke informationer og afgørelser, der skal være tilgængelig</w:t>
      </w:r>
      <w:r w:rsidR="0014521C">
        <w:rPr>
          <w:szCs w:val="22"/>
        </w:rPr>
        <w:t>e</w:t>
      </w:r>
      <w:r w:rsidR="007C26A5">
        <w:rPr>
          <w:szCs w:val="22"/>
        </w:rPr>
        <w:t xml:space="preserve"> og på hvilke digitale platforme</w:t>
      </w:r>
      <w:r>
        <w:rPr>
          <w:szCs w:val="22"/>
        </w:rPr>
        <w:t>.</w:t>
      </w:r>
      <w:r w:rsidR="00540AC9">
        <w:rPr>
          <w:szCs w:val="22"/>
        </w:rPr>
        <w:t xml:space="preserve">                                              </w:t>
      </w:r>
      <w:r w:rsidR="00BE1BFC">
        <w:rPr>
          <w:szCs w:val="22"/>
        </w:rPr>
        <w:t xml:space="preserve"> </w:t>
      </w:r>
    </w:p>
    <w:p w:rsidR="00E33E12" w:rsidRDefault="00E33E12" w:rsidP="00C374EB">
      <w:pPr>
        <w:rPr>
          <w:szCs w:val="22"/>
        </w:rPr>
      </w:pPr>
    </w:p>
    <w:p w:rsidR="00E33E12" w:rsidRDefault="00E33E12" w:rsidP="008E46C8">
      <w:pPr>
        <w:pStyle w:val="Overskrift2"/>
      </w:pPr>
      <w:bookmarkStart w:id="25" w:name="_Toc514857930"/>
      <w:r>
        <w:t xml:space="preserve">Justering af </w:t>
      </w:r>
      <w:r w:rsidR="000B6592">
        <w:t>lugtregler</w:t>
      </w:r>
      <w:bookmarkEnd w:id="25"/>
    </w:p>
    <w:p w:rsidR="00F37E7B" w:rsidRDefault="00F37E7B" w:rsidP="00F37E7B">
      <w:bookmarkStart w:id="26" w:name="_Toc514857931"/>
      <w:r>
        <w:t>Det generelle beskyttelsesniveau for lugt og beregningsgrundlaget for vurderingen af overholdelsen heraf er centrale elementer i godkendelser og tilladelser. Reglerne herom findes i den gældende bekendtgørelse navnlig i §§ 21, 30-32 (udkastets §§ 22, 31-33), jf. bilag 3, pkt. B. De foreslåede justeringer indebærer ikke væsentlige indholdsmæssige ændringer i lugtreglerne.</w:t>
      </w:r>
    </w:p>
    <w:p w:rsidR="00F37E7B" w:rsidRDefault="00F37E7B" w:rsidP="00F37E7B">
      <w:pPr>
        <w:tabs>
          <w:tab w:val="left" w:pos="2317"/>
        </w:tabs>
      </w:pPr>
    </w:p>
    <w:p w:rsidR="00F37E7B" w:rsidRDefault="00F37E7B" w:rsidP="00787701">
      <w:pPr>
        <w:pStyle w:val="Overskrift3"/>
      </w:pPr>
      <w:r>
        <w:t>Ophævelse af "120</w:t>
      </w:r>
      <w:r w:rsidR="00226244">
        <w:t xml:space="preserve"> </w:t>
      </w:r>
      <w:proofErr w:type="spellStart"/>
      <w:r w:rsidR="00226244">
        <w:t>pct</w:t>
      </w:r>
      <w:proofErr w:type="spellEnd"/>
      <w:r>
        <w:t>-reg</w:t>
      </w:r>
      <w:r w:rsidR="00787701">
        <w:t>len</w:t>
      </w:r>
      <w:r>
        <w:t>"</w:t>
      </w:r>
    </w:p>
    <w:p w:rsidR="009546E4" w:rsidRPr="00352F9B" w:rsidRDefault="009546E4" w:rsidP="009546E4">
      <w:r w:rsidRPr="00352F9B">
        <w:t>Det foreslås, at der fremover ikke skal ske bortscreening af staldafsnit, der er pl</w:t>
      </w:r>
      <w:r w:rsidRPr="00352F9B">
        <w:t>a</w:t>
      </w:r>
      <w:r w:rsidRPr="00352F9B">
        <w:t xml:space="preserve">ceret længere væk end 120 </w:t>
      </w:r>
      <w:r w:rsidR="00226244">
        <w:t>pct.</w:t>
      </w:r>
      <w:r w:rsidRPr="00352F9B">
        <w:t xml:space="preserve"> af den </w:t>
      </w:r>
      <w:proofErr w:type="spellStart"/>
      <w:r w:rsidRPr="00352F9B">
        <w:t>ukorrigerede</w:t>
      </w:r>
      <w:proofErr w:type="spellEnd"/>
      <w:r w:rsidRPr="00352F9B">
        <w:t xml:space="preserve"> geneafstand, beregnet på ba</w:t>
      </w:r>
      <w:r w:rsidRPr="00352F9B">
        <w:t>g</w:t>
      </w:r>
      <w:r w:rsidRPr="00352F9B">
        <w:t xml:space="preserve">grund af alle staldafsnit på husdyrbruget, i lugtberegningen. Dette er derfor udgået af teksten i bilag 3, pkt. B, i bekendtgørelsesudkastet. </w:t>
      </w:r>
    </w:p>
    <w:p w:rsidR="009546E4" w:rsidRPr="00352F9B" w:rsidRDefault="009546E4" w:rsidP="009546E4"/>
    <w:p w:rsidR="009546E4" w:rsidRPr="00352F9B" w:rsidRDefault="009546E4" w:rsidP="009546E4">
      <w:r w:rsidRPr="00352F9B">
        <w:t>Bortscreeningen er en rest fra en tidligere beregningsmetode, hvor der kun blev lavet én samlet beregning for alle staldafsnit. Formålet med bortscreeningen var at hindre åbenlyst uhensigtsmæssige situationer, hvor en overskridelse af genea</w:t>
      </w:r>
      <w:r w:rsidRPr="00352F9B">
        <w:t>f</w:t>
      </w:r>
      <w:r w:rsidRPr="00352F9B">
        <w:t xml:space="preserve">standen fra eksisterende staldafsnit til boliger m.v. omfattet af genekategorierne, kunne </w:t>
      </w:r>
      <w:r>
        <w:t>løs</w:t>
      </w:r>
      <w:r w:rsidRPr="00352F9B">
        <w:t>es ved at bygge en ny stald længere væk. Denne helt simple bortscreening var dog ikke tilstrækkelig</w:t>
      </w:r>
      <w:r>
        <w:t>,</w:t>
      </w:r>
      <w:r w:rsidRPr="00352F9B">
        <w:t xml:space="preserve"> og i dag skal alle kombinationer af staldafsnit vurderes selvstændigt, hvilket fremgår af husdyrgodkendelsesbekendtgørelsen og er inda</w:t>
      </w:r>
      <w:r w:rsidRPr="00352F9B">
        <w:t>r</w:t>
      </w:r>
      <w:r w:rsidRPr="00352F9B">
        <w:t xml:space="preserve">bejdet i husdyrgodkendelse.dk. </w:t>
      </w:r>
    </w:p>
    <w:p w:rsidR="009546E4" w:rsidRPr="00352F9B" w:rsidRDefault="009546E4" w:rsidP="009546E4"/>
    <w:p w:rsidR="009546E4" w:rsidRDefault="009546E4" w:rsidP="009546E4">
      <w:r w:rsidRPr="00352F9B">
        <w:t>Derfor er der ikke længere behov for bortscreening. Bortscreeningen giver dog nogle husdyrbrug en fordel. Når bortscreeningen fjernes, kan der derfor være e</w:t>
      </w:r>
      <w:r w:rsidRPr="00352F9B">
        <w:t>n</w:t>
      </w:r>
      <w:r w:rsidRPr="00352F9B">
        <w:t>kelte husdyrbrug, som ud fra den standardiserede beregning i husdyrgodkende</w:t>
      </w:r>
      <w:r w:rsidRPr="00352F9B">
        <w:t>l</w:t>
      </w:r>
      <w:r w:rsidRPr="00352F9B">
        <w:t xml:space="preserve">se.dk umiddelbart vil få sværere ved at leve op til lugtkravene, men ansøgere kan som hidtil erstatte de standardiserede beregninger med en konkret OML-beregning, der er mere nøjagtig. </w:t>
      </w:r>
    </w:p>
    <w:p w:rsidR="009546E4" w:rsidRPr="00352F9B" w:rsidRDefault="009546E4" w:rsidP="009546E4"/>
    <w:p w:rsidR="000B6592" w:rsidRPr="000B6592" w:rsidRDefault="000B6592" w:rsidP="008E46C8">
      <w:pPr>
        <w:pStyle w:val="Overskrift3"/>
      </w:pPr>
      <w:r>
        <w:t xml:space="preserve">Justering af </w:t>
      </w:r>
      <w:r w:rsidR="005456C3">
        <w:t>"</w:t>
      </w:r>
      <w:r>
        <w:t xml:space="preserve">50 </w:t>
      </w:r>
      <w:proofErr w:type="spellStart"/>
      <w:r w:rsidR="00226244">
        <w:t>pct</w:t>
      </w:r>
      <w:proofErr w:type="spellEnd"/>
      <w:r>
        <w:t>-reglen</w:t>
      </w:r>
      <w:r w:rsidR="005456C3">
        <w:t>"</w:t>
      </w:r>
      <w:bookmarkEnd w:id="26"/>
    </w:p>
    <w:p w:rsidR="009546E4" w:rsidRPr="00352F9B" w:rsidRDefault="009546E4" w:rsidP="009546E4">
      <w:r w:rsidRPr="00352F9B">
        <w:t xml:space="preserve">Efter den gældende § 32, stk. 1, kan kommunen fravige geneniveauerne for lugt i en konkret sag, hvis afstanden til byzone, boliger m.v. er mere end 50 pct. </w:t>
      </w:r>
      <w:r w:rsidR="00226244">
        <w:t xml:space="preserve">af </w:t>
      </w:r>
      <w:r w:rsidRPr="00352F9B">
        <w:t>gen</w:t>
      </w:r>
      <w:r w:rsidRPr="00352F9B">
        <w:t>e</w:t>
      </w:r>
      <w:r w:rsidRPr="00352F9B">
        <w:t>afstanden, og hvis husdyrbrugets lugtemission hverken forøges samlet set, eller forøges i staldafsnit, der ligger nærmere byzone, boliger m.v., end de staldafsnit, hvor ændringen eller udvidelsen sker. Bestemmelsen indebærer, at kommunen kan dispensere fra genenive</w:t>
      </w:r>
      <w:r w:rsidR="00915C06">
        <w:t>a</w:t>
      </w:r>
      <w:r w:rsidRPr="00352F9B">
        <w:t>uerne, hvis betingelserne er opfyldt. Hvorvidt ko</w:t>
      </w:r>
      <w:r w:rsidRPr="00352F9B">
        <w:t>m</w:t>
      </w:r>
      <w:r w:rsidRPr="00352F9B">
        <w:t xml:space="preserve">munen vil dispensere i en konkret sag er – inden for de forvaltningsretlige rammer for skønsmæssige afgørelser - op til kommunen. </w:t>
      </w:r>
    </w:p>
    <w:p w:rsidR="009546E4" w:rsidRPr="00352F9B" w:rsidRDefault="009546E4" w:rsidP="009546E4"/>
    <w:p w:rsidR="009546E4" w:rsidRPr="00352F9B" w:rsidRDefault="009546E4" w:rsidP="009546E4">
      <w:r w:rsidRPr="00352F9B">
        <w:t xml:space="preserve">Bestemmelsen har i </w:t>
      </w:r>
      <w:r w:rsidR="00226244">
        <w:t xml:space="preserve">den </w:t>
      </w:r>
      <w:r w:rsidRPr="00352F9B">
        <w:t>nuværende udformning givet anledning til tvivl, og det generelt formulerede kriterium om, at den samlede lugtemission ikke må forøges</w:t>
      </w:r>
      <w:r w:rsidR="00226244">
        <w:t>,</w:t>
      </w:r>
      <w:r w:rsidRPr="00352F9B">
        <w:t xml:space="preserve"> er ikke nødvendigvis hensigt</w:t>
      </w:r>
      <w:r w:rsidR="00915C06">
        <w:t>s</w:t>
      </w:r>
      <w:r w:rsidRPr="00352F9B">
        <w:t>mæssigt i alle tilfælde.</w:t>
      </w:r>
    </w:p>
    <w:p w:rsidR="009546E4" w:rsidRPr="00352F9B" w:rsidRDefault="009546E4" w:rsidP="009546E4"/>
    <w:p w:rsidR="009546E4" w:rsidRPr="00352F9B" w:rsidRDefault="009546E4" w:rsidP="009546E4">
      <w:r w:rsidRPr="00352F9B">
        <w:t xml:space="preserve">Det foreslås derfor, at bestemmelsen justeres, således at kommunen overordnet set kan dispensere fra lugtbeskyttelsesniveauet, </w:t>
      </w:r>
      <w:r w:rsidRPr="00352F9B">
        <w:rPr>
          <w:i/>
        </w:rPr>
        <w:t>hvis</w:t>
      </w:r>
      <w:r w:rsidRPr="00352F9B">
        <w:t xml:space="preserve"> den vægtede gennemsnitsa</w:t>
      </w:r>
      <w:r w:rsidRPr="00352F9B">
        <w:t>f</w:t>
      </w:r>
      <w:r w:rsidRPr="00352F9B">
        <w:t xml:space="preserve">stand er mere end halvdelen af geneafstanden for alle kombinationer af staldafsnit på husdyrbruget, jf. udkastets § 33, stk. 1, nr. 1, og </w:t>
      </w:r>
      <w:r w:rsidRPr="00352F9B">
        <w:rPr>
          <w:i/>
        </w:rPr>
        <w:t xml:space="preserve">hvis </w:t>
      </w:r>
      <w:r w:rsidRPr="00352F9B">
        <w:t>lugtemissionen i de enkelte staldafsnit ikke forøges, jf. udkastets § 33, stk. 1, nr. 2. Sidstnævnte betingelse gæ</w:t>
      </w:r>
      <w:r w:rsidRPr="00352F9B">
        <w:t>l</w:t>
      </w:r>
      <w:r w:rsidRPr="00352F9B">
        <w:t>der dog ikke i alle tilfælde, jf. udkastets § 33, stk. 1, nr. 2, litra a og b.</w:t>
      </w:r>
    </w:p>
    <w:p w:rsidR="009546E4" w:rsidRPr="00352F9B" w:rsidRDefault="009546E4" w:rsidP="009546E4"/>
    <w:p w:rsidR="009546E4" w:rsidRPr="00352F9B" w:rsidRDefault="009546E4" w:rsidP="009546E4">
      <w:r w:rsidRPr="00352F9B">
        <w:t>For at vurdere om det første kriterium er opfyldt, skal den vægtede gennemsnitsa</w:t>
      </w:r>
      <w:r w:rsidRPr="00352F9B">
        <w:t>f</w:t>
      </w:r>
      <w:r w:rsidRPr="00352F9B">
        <w:t>stand sammenholdes med geneafstanden for det aktuelle staldafsnit. Det fremgår af bilag 3, pkt. B, i bekendtgørelsen, at den vægtede gennemsnitsafstand er ge</w:t>
      </w:r>
      <w:r w:rsidRPr="00352F9B">
        <w:t>n</w:t>
      </w:r>
      <w:r w:rsidRPr="00352F9B">
        <w:t>nemsnitsafstanden mellem centrum af staldafsnittene og nærmeste punkt på b</w:t>
      </w:r>
      <w:r w:rsidRPr="00352F9B">
        <w:t>y</w:t>
      </w:r>
      <w:r w:rsidRPr="00352F9B">
        <w:t>zone, nabobeboelse m.v. vægtet i forhold til lugtemissionen fra de enkelte stalda</w:t>
      </w:r>
      <w:r w:rsidRPr="00352F9B">
        <w:t>f</w:t>
      </w:r>
      <w:r w:rsidRPr="00352F9B">
        <w:t>snit. Det fremgår også, at der ved geneafstanden forstås den korrigerede genea</w:t>
      </w:r>
      <w:r w:rsidRPr="00352F9B">
        <w:t>f</w:t>
      </w:r>
      <w:r w:rsidRPr="00352F9B">
        <w:t xml:space="preserve">stand. 50 </w:t>
      </w:r>
      <w:proofErr w:type="spellStart"/>
      <w:r w:rsidR="00226244">
        <w:t>pct</w:t>
      </w:r>
      <w:proofErr w:type="spellEnd"/>
      <w:r w:rsidRPr="00352F9B">
        <w:t>-kravet skal være opfyldt efter både FMK-modellen og Miljøstyre</w:t>
      </w:r>
      <w:r w:rsidRPr="00352F9B">
        <w:t>l</w:t>
      </w:r>
      <w:r w:rsidRPr="00352F9B">
        <w:t xml:space="preserve">sens lugtmodel. </w:t>
      </w:r>
    </w:p>
    <w:p w:rsidR="009546E4" w:rsidRPr="00352F9B" w:rsidRDefault="009546E4" w:rsidP="009546E4">
      <w:r w:rsidRPr="00352F9B">
        <w:t xml:space="preserve"> </w:t>
      </w:r>
    </w:p>
    <w:p w:rsidR="009546E4" w:rsidRPr="00352F9B" w:rsidRDefault="009546E4" w:rsidP="009546E4">
      <w:r w:rsidRPr="00352F9B">
        <w:t xml:space="preserve">Ifølge det andet kriterium må lugtemissionen i de enkelte staldafsnit kun forøges i de to tilfælde, der er nævnt i litra a og b. </w:t>
      </w:r>
    </w:p>
    <w:p w:rsidR="009546E4" w:rsidRPr="00352F9B" w:rsidRDefault="009546E4" w:rsidP="009546E4"/>
    <w:p w:rsidR="009546E4" w:rsidRPr="00352F9B" w:rsidRDefault="009546E4" w:rsidP="009546E4">
      <w:r w:rsidRPr="00352F9B">
        <w:t>Lugtemissionen i et eller flere staldafsnit kan altså forøges, hvis emissionen samt</w:t>
      </w:r>
      <w:r w:rsidRPr="00352F9B">
        <w:t>i</w:t>
      </w:r>
      <w:r w:rsidRPr="00352F9B">
        <w:t>dig reduceres tilsvarende eller mere i staldafsnit, som ligger nærmere byzone, bol</w:t>
      </w:r>
      <w:r w:rsidRPr="00352F9B">
        <w:t>i</w:t>
      </w:r>
      <w:r w:rsidRPr="00352F9B">
        <w:t>ger m.v. end det staldafsnit, hvor forøgelsen sker, jf. udkastets § 33, stk. 1, nr. 2, litra a. Det skal fremhæves, at det afgørende her er lugtemissionen og ikke lugtg</w:t>
      </w:r>
      <w:r w:rsidRPr="00352F9B">
        <w:t>e</w:t>
      </w:r>
      <w:r w:rsidRPr="00352F9B">
        <w:t>nerne, dvs. lugtemissionen kan forøges i et staldafsnit, hvis lugtemissionen samt</w:t>
      </w:r>
      <w:r w:rsidRPr="00352F9B">
        <w:t>i</w:t>
      </w:r>
      <w:r w:rsidRPr="00352F9B">
        <w:t>dig reduceres med mindst det samme i staldafsnit, der ligger tættere på byzone, boliger m.v. Dermed vil lugtgenerne reelt blive mindre for de omboende.</w:t>
      </w:r>
    </w:p>
    <w:p w:rsidR="009546E4" w:rsidRPr="00352F9B" w:rsidRDefault="009546E4" w:rsidP="009546E4"/>
    <w:p w:rsidR="009546E4" w:rsidRDefault="009546E4" w:rsidP="009546E4">
      <w:r w:rsidRPr="00352F9B">
        <w:t xml:space="preserve">Herudover kan emissionen forøges i staldafsnit, hvor afstanden til byzone, boliger m.v., er mindst det dobbelte af den </w:t>
      </w:r>
      <w:proofErr w:type="spellStart"/>
      <w:r w:rsidRPr="00352F9B">
        <w:t>ukorrigerede</w:t>
      </w:r>
      <w:proofErr w:type="spellEnd"/>
      <w:r w:rsidRPr="00352F9B">
        <w:t xml:space="preserve"> geneafstand beregnet på ba</w:t>
      </w:r>
      <w:r w:rsidRPr="00352F9B">
        <w:t>g</w:t>
      </w:r>
      <w:r w:rsidRPr="00352F9B">
        <w:t xml:space="preserve">grund af alle staldafsnit på husdyrbruget, jf. udkastets § 33, stk. 1, nr. 2, litra b. Det er herved muligt at udvide i staldafsnit, der ligger langt fra omboende, og hvor en øget lugtemission derfor ikke vil have betydning for disse, uden at der er krav om reduktion i andre staldafsnit. Kravet om mindst 200 </w:t>
      </w:r>
      <w:r w:rsidR="00226244">
        <w:t>pct.</w:t>
      </w:r>
      <w:r w:rsidRPr="00352F9B">
        <w:t xml:space="preserve"> af den </w:t>
      </w:r>
      <w:proofErr w:type="spellStart"/>
      <w:r w:rsidRPr="00352F9B">
        <w:t>ukorrigerede</w:t>
      </w:r>
      <w:proofErr w:type="spellEnd"/>
      <w:r w:rsidRPr="00352F9B">
        <w:t xml:space="preserve"> g</w:t>
      </w:r>
      <w:r w:rsidRPr="00352F9B">
        <w:t>e</w:t>
      </w:r>
      <w:r w:rsidRPr="00352F9B">
        <w:t xml:space="preserve">neafstand svarer til kravet i anmeldeordningen for skift mellem dyretyper m.v., jf. </w:t>
      </w:r>
      <w:r w:rsidRPr="00352F9B">
        <w:lastRenderedPageBreak/>
        <w:t xml:space="preserve">udkastets § 19, stk. 5, nr. 2. Hvad der nærmere forstås ved </w:t>
      </w:r>
      <w:proofErr w:type="spellStart"/>
      <w:r w:rsidRPr="00352F9B">
        <w:t>ukorrigeret</w:t>
      </w:r>
      <w:proofErr w:type="spellEnd"/>
      <w:r w:rsidRPr="00352F9B">
        <w:t xml:space="preserve"> genea</w:t>
      </w:r>
      <w:r w:rsidRPr="00352F9B">
        <w:t>f</w:t>
      </w:r>
      <w:r w:rsidRPr="00352F9B">
        <w:t xml:space="preserve">stand fremgår af bekendtgørelsens bilag 3, pkt. B, herunder at den skal beregnes efter både FMK-modellen og Miljøstyrelsens Lugtmodel. Den </w:t>
      </w:r>
      <w:proofErr w:type="spellStart"/>
      <w:r w:rsidRPr="00352F9B">
        <w:t>ukorrigerede</w:t>
      </w:r>
      <w:proofErr w:type="spellEnd"/>
      <w:r w:rsidRPr="00352F9B">
        <w:t xml:space="preserve"> genea</w:t>
      </w:r>
      <w:r w:rsidRPr="00352F9B">
        <w:t>f</w:t>
      </w:r>
      <w:r w:rsidRPr="00352F9B">
        <w:t xml:space="preserve">stand skal således være mindst 200 </w:t>
      </w:r>
      <w:r w:rsidR="00226244">
        <w:t>pct.</w:t>
      </w:r>
      <w:r w:rsidRPr="00352F9B">
        <w:t xml:space="preserve"> efter begge modeller, for at lugtemissi</w:t>
      </w:r>
      <w:r w:rsidRPr="00352F9B">
        <w:t>o</w:t>
      </w:r>
      <w:r w:rsidRPr="00352F9B">
        <w:t xml:space="preserve">nen kan forøges i et staldafsnit i disse tilfælde. </w:t>
      </w:r>
    </w:p>
    <w:p w:rsidR="0067189A" w:rsidRPr="00352F9B" w:rsidRDefault="0067189A" w:rsidP="009546E4"/>
    <w:p w:rsidR="009546E4" w:rsidRPr="00352F9B" w:rsidRDefault="009546E4" w:rsidP="009546E4">
      <w:r w:rsidRPr="00352F9B">
        <w:t>Medfører en ansøgning forøgelse af lugtemissionen på anden måde end de to nævnte, er det ikke muligt for kommunen at dispensere.</w:t>
      </w:r>
    </w:p>
    <w:p w:rsidR="009546E4" w:rsidRPr="00352F9B" w:rsidRDefault="009546E4" w:rsidP="009546E4"/>
    <w:p w:rsidR="009546E4" w:rsidRDefault="009546E4" w:rsidP="009546E4">
      <w:r w:rsidRPr="00352F9B">
        <w:t xml:space="preserve">Sammenfattende er udgangspunktet fortsat, at beskyttelsesniveauet for lugt skal overholdes. Med de foreslåede justeringer af 50 </w:t>
      </w:r>
      <w:proofErr w:type="spellStart"/>
      <w:r w:rsidR="00226244">
        <w:t>pct</w:t>
      </w:r>
      <w:proofErr w:type="spellEnd"/>
      <w:r w:rsidRPr="00352F9B">
        <w:t>-reglen vil der som hidtil kun være tale om en begrænset fravigelsesmulighed, som i alle tilfælde forudsætter, at afstanden til byzone, boliger m.v. er mindst halvdelen af geneafstanden. Hensyn</w:t>
      </w:r>
      <w:r w:rsidRPr="00352F9B">
        <w:t>e</w:t>
      </w:r>
      <w:r w:rsidRPr="00352F9B">
        <w:t xml:space="preserve">ne bag fravigelsesmuligheden er, at der er tale om eksisterende lovlig drift, og at det kan være hensigtsmæssigt for såvel husdyrbrug som </w:t>
      </w:r>
      <w:r w:rsidR="00226244">
        <w:t xml:space="preserve">for </w:t>
      </w:r>
      <w:r w:rsidRPr="00352F9B">
        <w:t>naboer, at der i et vist omfang kan foretages udvidelser og ændringer af eksisterende husdyrbrug, som nedbringer – eller i hvert fald ikke forøger – lugtgenerne. De foreslåede justeringer skal ses i det lys, idet bestemmelsen overordnet set er udformet sådan, at lugt</w:t>
      </w:r>
      <w:r w:rsidRPr="00352F9B">
        <w:t>e</w:t>
      </w:r>
      <w:r w:rsidRPr="00352F9B">
        <w:t xml:space="preserve">missionen fra et staldafsnit kun kan øges, hvis lugtgenerne for naboer m.v. de facto formindskes. </w:t>
      </w:r>
    </w:p>
    <w:p w:rsidR="009546E4" w:rsidRDefault="009546E4" w:rsidP="009546E4"/>
    <w:p w:rsidR="009546E4" w:rsidRDefault="009546E4" w:rsidP="009546E4">
      <w:r>
        <w:t>Stk. 2 er justeret på baggrund af de foretagne ændringer af stk. 1. Ved beregningen af, om der sker en forøgelse eller en reduktion af lugtemissionen i de enkelte stal</w:t>
      </w:r>
      <w:r>
        <w:t>d</w:t>
      </w:r>
      <w:r>
        <w:t xml:space="preserve">afsnit skal, </w:t>
      </w:r>
      <w:proofErr w:type="spellStart"/>
      <w:r>
        <w:t>nudrift</w:t>
      </w:r>
      <w:proofErr w:type="spellEnd"/>
      <w:r>
        <w:t xml:space="preserve"> og ansøgt drift som hidtil beregnes ud fra de emissionsfaktorer, der er gældende på afgørelsestidspunktet.</w:t>
      </w:r>
    </w:p>
    <w:p w:rsidR="00FA7445" w:rsidRDefault="00FA7445" w:rsidP="00FA7445">
      <w:pPr>
        <w:pStyle w:val="Overskrift3"/>
      </w:pPr>
      <w:r>
        <w:t>Tilretning af § 19, stk. 5, nr. 2</w:t>
      </w:r>
    </w:p>
    <w:p w:rsidR="009546E4" w:rsidRPr="00352F9B" w:rsidRDefault="009546E4" w:rsidP="009546E4">
      <w:bookmarkStart w:id="27" w:name="_Toc510619934"/>
      <w:bookmarkStart w:id="28" w:name="_Toc514857932"/>
      <w:r w:rsidRPr="00352F9B">
        <w:t>Af hensyn til ensartethed i formuleringerne i bekendtgørelsen foreslås det i øvrigt, at den gældende bekendtgørelses § 18, stk. 5, nr. 2 (udkastets § 19, stk. 5, nr. 2,) om anmeldelse af skift i dyretype m.v., formuleres på samme måde som den li</w:t>
      </w:r>
      <w:r w:rsidRPr="00352F9B">
        <w:t>g</w:t>
      </w:r>
      <w:r w:rsidRPr="00352F9B">
        <w:t>nende bestemmelse i udkastets § 33, stk. 1, nr. 2, litra b. Ændringen af er af spro</w:t>
      </w:r>
      <w:r w:rsidRPr="00352F9B">
        <w:t>g</w:t>
      </w:r>
      <w:r w:rsidRPr="00352F9B">
        <w:t xml:space="preserve">lig karakter og indebærer ikke indholdsmæssige ændringer. </w:t>
      </w:r>
    </w:p>
    <w:p w:rsidR="009546E4" w:rsidRDefault="009546E4" w:rsidP="009546E4"/>
    <w:p w:rsidR="00DB7F4B" w:rsidRPr="00DB7F4B" w:rsidRDefault="00DB7F4B" w:rsidP="00E37A8E">
      <w:pPr>
        <w:pStyle w:val="Overskrift2"/>
      </w:pPr>
      <w:r>
        <w:t>Ændring af emissionsfaktorer og BAT-krav</w:t>
      </w:r>
      <w:bookmarkEnd w:id="27"/>
      <w:bookmarkEnd w:id="28"/>
      <w:r>
        <w:t xml:space="preserve"> </w:t>
      </w:r>
    </w:p>
    <w:p w:rsidR="007A6E55" w:rsidRDefault="007A6E55" w:rsidP="007A6E55">
      <w:r>
        <w:t>Aarhus Universitet (AU), SEGES og Teknologisk Institut har gennemført målinger i otte kvægstalde med henblik på at fastlægge ammoniakemissioner for kvægstalde samt dokumentere miljøeffekten af spalteskrabere, der er den mest udbredte a</w:t>
      </w:r>
      <w:r>
        <w:t>m</w:t>
      </w:r>
      <w:r>
        <w:t>moniakreducerende miljøteknologi til kvægstalde.</w:t>
      </w:r>
    </w:p>
    <w:p w:rsidR="007A6E55" w:rsidRDefault="007A6E55" w:rsidP="007A6E55"/>
    <w:p w:rsidR="007A6E55" w:rsidRPr="00BF4998" w:rsidRDefault="007A6E55" w:rsidP="007A6E55">
      <w:r>
        <w:t>Målingerne har vist</w:t>
      </w:r>
      <w:r w:rsidR="003D1D00">
        <w:t>,</w:t>
      </w:r>
      <w:r>
        <w:t xml:space="preserve"> at s</w:t>
      </w:r>
      <w:r w:rsidRPr="00762532">
        <w:t xml:space="preserve">taldsystemet ”Sengestald, fast drænet gulv med skraber og </w:t>
      </w:r>
      <w:proofErr w:type="gramStart"/>
      <w:r w:rsidRPr="00762532">
        <w:t xml:space="preserve">ajleafløb” </w:t>
      </w:r>
      <w:r>
        <w:t xml:space="preserve"> </w:t>
      </w:r>
      <w:r w:rsidRPr="00762532">
        <w:t>har</w:t>
      </w:r>
      <w:proofErr w:type="gramEnd"/>
      <w:r w:rsidRPr="00762532">
        <w:t xml:space="preserve"> en højere ammoniakemission end hidtil a</w:t>
      </w:r>
      <w:r w:rsidRPr="00762532">
        <w:t>n</w:t>
      </w:r>
      <w:r w:rsidRPr="00762532">
        <w:t xml:space="preserve">taget, mens </w:t>
      </w:r>
      <w:r>
        <w:t xml:space="preserve">det mere udbredte </w:t>
      </w:r>
      <w:r w:rsidRPr="00762532">
        <w:t>staldsystem ”Sengestalde med spalter (kanal, bagskyl eller ringkanal)”</w:t>
      </w:r>
      <w:r>
        <w:t xml:space="preserve"> (hidtil kaldet ”referencestalden”)</w:t>
      </w:r>
      <w:r w:rsidRPr="00762532">
        <w:t xml:space="preserve"> har en lavere ammon</w:t>
      </w:r>
      <w:r w:rsidRPr="00762532">
        <w:t>i</w:t>
      </w:r>
      <w:r w:rsidRPr="00762532">
        <w:t>akemission.</w:t>
      </w:r>
      <w:r>
        <w:t xml:space="preserve"> Derudover kunne der ikke dokumenteres en ammoniakreducerende effekt ved anvendelse af spalteskraber på spaltegulve</w:t>
      </w:r>
      <w:r w:rsidR="00226244">
        <w:t>,</w:t>
      </w:r>
      <w:r>
        <w:t xml:space="preserve"> som hidtil antaget. </w:t>
      </w:r>
      <w:proofErr w:type="spellStart"/>
      <w:r w:rsidRPr="00E30B39">
        <w:rPr>
          <w:lang w:val="en-US"/>
        </w:rPr>
        <w:t>R</w:t>
      </w:r>
      <w:r w:rsidRPr="00E30B39">
        <w:rPr>
          <w:lang w:val="en-US"/>
        </w:rPr>
        <w:t>e</w:t>
      </w:r>
      <w:r w:rsidRPr="00E30B39">
        <w:rPr>
          <w:lang w:val="en-US"/>
        </w:rPr>
        <w:t>sultaterne</w:t>
      </w:r>
      <w:proofErr w:type="spellEnd"/>
      <w:r w:rsidRPr="00E30B39">
        <w:rPr>
          <w:lang w:val="en-US"/>
        </w:rPr>
        <w:t xml:space="preserve"> </w:t>
      </w:r>
      <w:proofErr w:type="spellStart"/>
      <w:r w:rsidRPr="00E30B39">
        <w:rPr>
          <w:lang w:val="en-US"/>
        </w:rPr>
        <w:t>er</w:t>
      </w:r>
      <w:proofErr w:type="spellEnd"/>
      <w:r w:rsidRPr="00E30B39">
        <w:rPr>
          <w:lang w:val="en-US"/>
        </w:rPr>
        <w:t xml:space="preserve"> </w:t>
      </w:r>
      <w:proofErr w:type="spellStart"/>
      <w:r w:rsidRPr="00E30B39">
        <w:rPr>
          <w:lang w:val="en-US"/>
        </w:rPr>
        <w:t>p</w:t>
      </w:r>
      <w:r>
        <w:rPr>
          <w:lang w:val="en-US"/>
        </w:rPr>
        <w:t>ubliceret</w:t>
      </w:r>
      <w:proofErr w:type="spellEnd"/>
      <w:r>
        <w:rPr>
          <w:lang w:val="en-US"/>
        </w:rPr>
        <w:t xml:space="preserve"> </w:t>
      </w:r>
      <w:proofErr w:type="spellStart"/>
      <w:r>
        <w:rPr>
          <w:lang w:val="en-US"/>
        </w:rPr>
        <w:t>i</w:t>
      </w:r>
      <w:proofErr w:type="spellEnd"/>
      <w:r>
        <w:rPr>
          <w:lang w:val="en-US"/>
        </w:rPr>
        <w:t xml:space="preserve"> DCA rapport no. </w:t>
      </w:r>
      <w:proofErr w:type="gramStart"/>
      <w:r>
        <w:rPr>
          <w:lang w:val="en-US"/>
        </w:rPr>
        <w:t>110</w:t>
      </w:r>
      <w:r w:rsidRPr="00E30B39">
        <w:rPr>
          <w:lang w:val="en-US"/>
        </w:rPr>
        <w:t xml:space="preserve"> </w:t>
      </w:r>
      <w:r w:rsidRPr="0087723C">
        <w:rPr>
          <w:lang w:val="en-US"/>
        </w:rPr>
        <w:t>”</w:t>
      </w:r>
      <w:proofErr w:type="gramEnd"/>
      <w:r w:rsidRPr="0087723C">
        <w:rPr>
          <w:i/>
          <w:lang w:val="en-US"/>
        </w:rPr>
        <w:t xml:space="preserve">Ammonia emission from Danish cubicle barns for dairy cows. </w:t>
      </w:r>
      <w:proofErr w:type="spellStart"/>
      <w:r w:rsidRPr="00BF4998">
        <w:rPr>
          <w:i/>
        </w:rPr>
        <w:t>Effect</w:t>
      </w:r>
      <w:proofErr w:type="spellEnd"/>
      <w:r w:rsidRPr="00BF4998">
        <w:rPr>
          <w:i/>
        </w:rPr>
        <w:t xml:space="preserve"> of </w:t>
      </w:r>
      <w:proofErr w:type="spellStart"/>
      <w:r w:rsidRPr="00BF4998">
        <w:rPr>
          <w:i/>
        </w:rPr>
        <w:t>floor</w:t>
      </w:r>
      <w:proofErr w:type="spellEnd"/>
      <w:r w:rsidRPr="00BF4998">
        <w:rPr>
          <w:i/>
        </w:rPr>
        <w:t xml:space="preserve"> type and </w:t>
      </w:r>
      <w:proofErr w:type="spellStart"/>
      <w:r w:rsidRPr="00BF4998">
        <w:rPr>
          <w:i/>
        </w:rPr>
        <w:t>manure</w:t>
      </w:r>
      <w:proofErr w:type="spellEnd"/>
      <w:r w:rsidRPr="00BF4998">
        <w:rPr>
          <w:i/>
        </w:rPr>
        <w:t xml:space="preserve"> </w:t>
      </w:r>
      <w:proofErr w:type="spellStart"/>
      <w:r w:rsidRPr="00BF4998">
        <w:rPr>
          <w:i/>
        </w:rPr>
        <w:t>scraping</w:t>
      </w:r>
      <w:proofErr w:type="spellEnd"/>
      <w:r w:rsidRPr="00BF4998">
        <w:rPr>
          <w:i/>
        </w:rPr>
        <w:t>”</w:t>
      </w:r>
      <w:r w:rsidRPr="00BF4998">
        <w:t xml:space="preserve">. </w:t>
      </w:r>
    </w:p>
    <w:p w:rsidR="007A6E55" w:rsidRDefault="007A6E55" w:rsidP="007A6E55"/>
    <w:p w:rsidR="007A6E55" w:rsidRDefault="007A6E55" w:rsidP="007A6E55">
      <w:r>
        <w:lastRenderedPageBreak/>
        <w:t>Tilvejebringelse af denne nye viden har betydet</w:t>
      </w:r>
      <w:r w:rsidR="003D1D00">
        <w:t>,</w:t>
      </w:r>
      <w:r>
        <w:t xml:space="preserve"> at</w:t>
      </w:r>
      <w:r w:rsidRPr="00BF4998">
        <w:t xml:space="preserve"> </w:t>
      </w:r>
      <w:r>
        <w:t>spalteskraber er blevet fjernet fra Miljøstyrelsens teknologiliste.</w:t>
      </w:r>
    </w:p>
    <w:p w:rsidR="007A6E55" w:rsidRDefault="007A6E55" w:rsidP="007A6E55"/>
    <w:p w:rsidR="007A6E55" w:rsidRDefault="007A6E55" w:rsidP="007A6E55">
      <w:r>
        <w:t>Herudover betyder den nye viden</w:t>
      </w:r>
      <w:r w:rsidR="003D1D00">
        <w:t>,</w:t>
      </w:r>
      <w:r>
        <w:t xml:space="preserve"> at emissionsgrænseværdierne (BAT krav) i hu</w:t>
      </w:r>
      <w:r>
        <w:t>s</w:t>
      </w:r>
      <w:r>
        <w:t xml:space="preserve">dyrgodkendelsesbekendtgørelsens </w:t>
      </w:r>
      <w:r w:rsidRPr="00040716">
        <w:t>bilag 3, tabel</w:t>
      </w:r>
      <w:r>
        <w:t xml:space="preserve"> </w:t>
      </w:r>
      <w:r w:rsidRPr="00040716">
        <w:t>4 og 5 skal</w:t>
      </w:r>
      <w:r>
        <w:t xml:space="preserve"> opdateres. </w:t>
      </w:r>
    </w:p>
    <w:p w:rsidR="007A6E55" w:rsidRDefault="007A6E55" w:rsidP="007A6E55"/>
    <w:p w:rsidR="007A6E55" w:rsidRDefault="007A6E55" w:rsidP="007A6E55">
      <w:r w:rsidRPr="00125E35">
        <w:t xml:space="preserve">Miljøstyrelsen har </w:t>
      </w:r>
      <w:r>
        <w:t>fået udarbejdet en faglig udredning fra Institut for Ingeniørv</w:t>
      </w:r>
      <w:r>
        <w:t>i</w:t>
      </w:r>
      <w:r>
        <w:t>denskab ved Aarhus Universitet til fastsættelse af ammoniakemissionsfaktorer og BAT-krav for kvægstalde med henblik på implementering af den nye viden i hu</w:t>
      </w:r>
      <w:r>
        <w:t>s</w:t>
      </w:r>
      <w:r>
        <w:t xml:space="preserve">dyrgodkendelsesbekendtgørelsen, </w:t>
      </w:r>
      <w:r w:rsidRPr="00F645CD">
        <w:t>”Faglig vurdering af BAT-krav til sengestalde efter fremkomst af ny viden” fra 26. januar 2018</w:t>
      </w:r>
      <w:r>
        <w:t xml:space="preserve">. </w:t>
      </w:r>
    </w:p>
    <w:p w:rsidR="00D15074" w:rsidRDefault="00D15074" w:rsidP="007A6E55">
      <w:pPr>
        <w:rPr>
          <w:highlight w:val="yellow"/>
        </w:rPr>
      </w:pPr>
    </w:p>
    <w:p w:rsidR="007A6E55" w:rsidRDefault="007A6E55" w:rsidP="00D15074">
      <w:pPr>
        <w:pStyle w:val="Overskrift3"/>
      </w:pPr>
      <w:bookmarkStart w:id="29" w:name="_Toc514857933"/>
      <w:r w:rsidRPr="00F27726">
        <w:t>Forslag til nye emissionsfaktorer</w:t>
      </w:r>
      <w:r>
        <w:t>,</w:t>
      </w:r>
      <w:r w:rsidRPr="00F27726">
        <w:t xml:space="preserve"> </w:t>
      </w:r>
      <w:r w:rsidRPr="00B820BB">
        <w:t>bilag 3, tabel 1</w:t>
      </w:r>
      <w:bookmarkEnd w:id="29"/>
    </w:p>
    <w:p w:rsidR="007A6E55" w:rsidRDefault="007A6E55" w:rsidP="007A6E55">
      <w:pPr>
        <w:rPr>
          <w:iCs/>
        </w:rPr>
      </w:pPr>
      <w:r w:rsidRPr="008C6A1E">
        <w:rPr>
          <w:iCs/>
        </w:rPr>
        <w:t xml:space="preserve">Emissionsfaktorer for kvæg opdateres på baggrund af nyeste viden om lavere emissioner fra ”sengestalde med spalter (kanal, bagskyl eller ringkanal)” og højere emission fra ”sengestalde med fast drænet gulv med skraber og ajleafløb”. </w:t>
      </w:r>
    </w:p>
    <w:p w:rsidR="007A6E55" w:rsidRDefault="007A6E55" w:rsidP="007A6E55">
      <w:pPr>
        <w:rPr>
          <w:iCs/>
        </w:rPr>
      </w:pPr>
    </w:p>
    <w:p w:rsidR="007A6E55" w:rsidRDefault="007A6E55" w:rsidP="007A6E55">
      <w:pPr>
        <w:rPr>
          <w:iCs/>
        </w:rPr>
      </w:pPr>
      <w:r w:rsidRPr="008C6A1E">
        <w:rPr>
          <w:iCs/>
        </w:rPr>
        <w:t>Endvidere fastsættes emissionsfaktorerne fra ”sengestalde med spalter (kanal, linespil)” til samme som for ”sengestalde med spalter (kanal, bagskyl eller ringk</w:t>
      </w:r>
      <w:r w:rsidRPr="008C6A1E">
        <w:rPr>
          <w:iCs/>
        </w:rPr>
        <w:t>a</w:t>
      </w:r>
      <w:r w:rsidRPr="008C6A1E">
        <w:rPr>
          <w:iCs/>
        </w:rPr>
        <w:t xml:space="preserve">nal)”, da der ikke er fagligt belæg for at differentiere mellem de to staldsystemer. </w:t>
      </w:r>
      <w:r w:rsidRPr="00B21C71">
        <w:t xml:space="preserve">Emissionsfaktorer for </w:t>
      </w:r>
      <w:r w:rsidRPr="008C6A1E">
        <w:rPr>
          <w:iCs/>
        </w:rPr>
        <w:t>dybstrøelsesstalde justeres tillige som følge af den nye v</w:t>
      </w:r>
      <w:r w:rsidRPr="008C6A1E">
        <w:rPr>
          <w:iCs/>
        </w:rPr>
        <w:t>i</w:t>
      </w:r>
      <w:r w:rsidRPr="008C6A1E">
        <w:rPr>
          <w:iCs/>
        </w:rPr>
        <w:t xml:space="preserve">den. </w:t>
      </w:r>
    </w:p>
    <w:p w:rsidR="007A6E55" w:rsidRPr="008C6A1E" w:rsidRDefault="007A6E55" w:rsidP="007A6E55">
      <w:pPr>
        <w:rPr>
          <w:iCs/>
        </w:rPr>
      </w:pPr>
      <w:r w:rsidRPr="008C6A1E">
        <w:rPr>
          <w:iCs/>
        </w:rPr>
        <w:t xml:space="preserve"> </w:t>
      </w:r>
    </w:p>
    <w:p w:rsidR="007A6E55" w:rsidRDefault="007A6E55" w:rsidP="007A6E55">
      <w:pPr>
        <w:rPr>
          <w:iCs/>
        </w:rPr>
      </w:pPr>
      <w:r w:rsidRPr="008C6A1E">
        <w:rPr>
          <w:iCs/>
        </w:rPr>
        <w:t>Emissionsfaktoren for ”Får og geder. Dybstrøelse” justeres af praktiske årsager, så den fortsat følger ” Malkekøer, kvier og stude. Dybstrøelse”.</w:t>
      </w:r>
    </w:p>
    <w:p w:rsidR="007A6E55" w:rsidRPr="008C6A1E" w:rsidRDefault="007A6E55" w:rsidP="007A6E55">
      <w:pPr>
        <w:rPr>
          <w:iCs/>
        </w:rPr>
      </w:pPr>
    </w:p>
    <w:p w:rsidR="007A6E55" w:rsidRPr="00200B8B" w:rsidRDefault="007A6E55" w:rsidP="007A6E55">
      <w:pPr>
        <w:spacing w:before="100" w:beforeAutospacing="1" w:after="100" w:afterAutospacing="1" w:line="240" w:lineRule="auto"/>
        <w:rPr>
          <w:rFonts w:asciiTheme="minorHAnsi" w:hAnsiTheme="minorHAnsi" w:cs="Tahoma"/>
          <w:i/>
          <w:iCs/>
          <w:color w:val="000000"/>
          <w:sz w:val="18"/>
          <w:szCs w:val="18"/>
        </w:rPr>
      </w:pPr>
      <w:r w:rsidRPr="00DA0772">
        <w:t xml:space="preserve"> </w:t>
      </w:r>
      <w:r w:rsidRPr="00012CD9">
        <w:rPr>
          <w:rFonts w:asciiTheme="minorHAnsi" w:hAnsiTheme="minorHAnsi" w:cs="Tahoma"/>
          <w:i/>
          <w:iCs/>
          <w:color w:val="000000"/>
          <w:sz w:val="18"/>
          <w:szCs w:val="18"/>
        </w:rPr>
        <w:t xml:space="preserve">Tabel 1: Emissionsfaktorer </w:t>
      </w:r>
      <w:r>
        <w:rPr>
          <w:rFonts w:asciiTheme="minorHAnsi" w:hAnsiTheme="minorHAnsi" w:cs="Tahoma"/>
          <w:i/>
          <w:iCs/>
          <w:color w:val="000000"/>
          <w:sz w:val="18"/>
          <w:szCs w:val="18"/>
        </w:rPr>
        <w:t xml:space="preserve">for kvægstalde </w:t>
      </w:r>
      <w:r w:rsidRPr="00012CD9">
        <w:rPr>
          <w:rFonts w:asciiTheme="minorHAnsi" w:hAnsiTheme="minorHAnsi" w:cs="Tahoma"/>
          <w:i/>
          <w:iCs/>
          <w:color w:val="000000"/>
          <w:sz w:val="18"/>
          <w:szCs w:val="18"/>
        </w:rPr>
        <w:t>angivet i kg NH</w:t>
      </w:r>
      <w:r w:rsidRPr="00CC753D">
        <w:rPr>
          <w:rFonts w:asciiTheme="minorHAnsi" w:hAnsiTheme="minorHAnsi" w:cs="Tahoma"/>
          <w:i/>
          <w:iCs/>
          <w:color w:val="000000"/>
          <w:sz w:val="18"/>
          <w:szCs w:val="18"/>
          <w:vertAlign w:val="subscript"/>
        </w:rPr>
        <w:t>3</w:t>
      </w:r>
      <w:r w:rsidRPr="00012CD9">
        <w:rPr>
          <w:rFonts w:asciiTheme="minorHAnsi" w:hAnsiTheme="minorHAnsi" w:cs="Tahoma"/>
          <w:color w:val="000000"/>
          <w:sz w:val="18"/>
          <w:szCs w:val="18"/>
        </w:rPr>
        <w:t xml:space="preserve"> </w:t>
      </w:r>
      <w:r w:rsidRPr="00012CD9">
        <w:rPr>
          <w:rFonts w:asciiTheme="minorHAnsi" w:hAnsiTheme="minorHAnsi" w:cs="Tahoma"/>
          <w:i/>
          <w:iCs/>
          <w:color w:val="000000"/>
          <w:sz w:val="18"/>
          <w:szCs w:val="18"/>
        </w:rPr>
        <w:t>-N pr. m</w:t>
      </w:r>
      <w:r w:rsidRPr="00CC753D">
        <w:rPr>
          <w:rFonts w:asciiTheme="minorHAnsi" w:hAnsiTheme="minorHAnsi" w:cs="Tahoma"/>
          <w:i/>
          <w:iCs/>
          <w:color w:val="000000"/>
          <w:sz w:val="18"/>
          <w:szCs w:val="18"/>
          <w:vertAlign w:val="superscript"/>
        </w:rPr>
        <w:t>2</w:t>
      </w:r>
      <w:r w:rsidRPr="00200B8B">
        <w:rPr>
          <w:rFonts w:asciiTheme="minorHAnsi" w:hAnsiTheme="minorHAnsi" w:cs="Tahoma"/>
          <w:i/>
          <w:iCs/>
          <w:color w:val="000000"/>
          <w:sz w:val="18"/>
          <w:szCs w:val="18"/>
        </w:rPr>
        <w:t xml:space="preserve"> </w:t>
      </w:r>
      <w:r w:rsidRPr="00012CD9">
        <w:rPr>
          <w:rFonts w:asciiTheme="minorHAnsi" w:hAnsiTheme="minorHAnsi" w:cs="Tahoma"/>
          <w:i/>
          <w:iCs/>
          <w:color w:val="000000"/>
          <w:sz w:val="18"/>
          <w:szCs w:val="18"/>
        </w:rPr>
        <w:t>produktionsareal pr. år</w:t>
      </w:r>
      <w:r w:rsidRPr="00200B8B">
        <w:rPr>
          <w:rFonts w:asciiTheme="minorHAnsi" w:hAnsiTheme="minorHAnsi" w:cs="Tahoma"/>
          <w:i/>
          <w:iCs/>
          <w:color w:val="000000"/>
          <w:sz w:val="18"/>
          <w:szCs w:val="18"/>
        </w:rPr>
        <w:t xml:space="preserve"> </w:t>
      </w:r>
    </w:p>
    <w:tbl>
      <w:tblPr>
        <w:tblW w:w="0" w:type="auto"/>
        <w:tblLayout w:type="fixed"/>
        <w:tblCellMar>
          <w:left w:w="0" w:type="dxa"/>
          <w:right w:w="0" w:type="dxa"/>
        </w:tblCellMar>
        <w:tblLook w:val="04A0" w:firstRow="1" w:lastRow="0" w:firstColumn="1" w:lastColumn="0" w:noHBand="0" w:noVBand="1"/>
      </w:tblPr>
      <w:tblGrid>
        <w:gridCol w:w="8192"/>
      </w:tblGrid>
      <w:tr w:rsidR="007A6E55" w:rsidRPr="00012CD9" w:rsidTr="00D15074">
        <w:tc>
          <w:tcPr>
            <w:tcW w:w="8192" w:type="dxa"/>
            <w:hideMark/>
          </w:tcPr>
          <w:tbl>
            <w:tblPr>
              <w:tblW w:w="8172" w:type="dxa"/>
              <w:tblLayout w:type="fixed"/>
              <w:tblLook w:val="04A0" w:firstRow="1" w:lastRow="0" w:firstColumn="1" w:lastColumn="0" w:noHBand="0" w:noVBand="1"/>
            </w:tblPr>
            <w:tblGrid>
              <w:gridCol w:w="4668"/>
              <w:gridCol w:w="992"/>
              <w:gridCol w:w="1418"/>
              <w:gridCol w:w="1094"/>
            </w:tblGrid>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b/>
                      <w:bCs/>
                      <w:color w:val="000000"/>
                      <w:sz w:val="18"/>
                      <w:szCs w:val="18"/>
                    </w:rPr>
                    <w:t>Dyretype og staldsystem</w:t>
                  </w:r>
                  <w:r w:rsidRPr="00012CD9">
                    <w:rPr>
                      <w:rFonts w:asciiTheme="minorHAnsi" w:hAnsiTheme="minorHAnsi" w:cs="Tahoma"/>
                      <w:color w:val="000000"/>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b/>
                      <w:bCs/>
                      <w:color w:val="000000"/>
                      <w:sz w:val="18"/>
                      <w:szCs w:val="18"/>
                    </w:rPr>
                    <w:t>Gældende</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Kommende</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Relativ ændring</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Bindestald med grebning</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1,99</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Bindestald med riste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1,19</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fast gulv</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1,68</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linespil)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1,0</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1,16</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+16 %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bagskyl eller ringkanal)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1,34</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1,16</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Fast drænet gulv med skraber og ajleafløb</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0,88</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 xml:space="preserve">Kvier, stude, </w:t>
                  </w: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Bind</w:t>
                  </w:r>
                  <w:r w:rsidRPr="00012CD9">
                    <w:rPr>
                      <w:rFonts w:asciiTheme="minorHAnsi" w:hAnsiTheme="minorHAnsi" w:cs="Tahoma"/>
                      <w:color w:val="000000"/>
                      <w:sz w:val="18"/>
                      <w:szCs w:val="18"/>
                    </w:rPr>
                    <w:t>e</w:t>
                  </w:r>
                  <w:r w:rsidRPr="00012CD9">
                    <w:rPr>
                      <w:rFonts w:asciiTheme="minorHAnsi" w:hAnsiTheme="minorHAnsi" w:cs="Tahoma"/>
                      <w:color w:val="000000"/>
                      <w:sz w:val="18"/>
                      <w:szCs w:val="18"/>
                    </w:rPr>
                    <w:t>stald med grebning</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1,42</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 xml:space="preserve">Kvier, stude, </w:t>
                  </w: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Bind</w:t>
                  </w:r>
                  <w:r w:rsidRPr="00012CD9">
                    <w:rPr>
                      <w:rFonts w:asciiTheme="minorHAnsi" w:hAnsiTheme="minorHAnsi" w:cs="Tahoma"/>
                      <w:color w:val="000000"/>
                      <w:sz w:val="18"/>
                      <w:szCs w:val="18"/>
                    </w:rPr>
                    <w:t>e</w:t>
                  </w:r>
                  <w:r w:rsidRPr="00012CD9">
                    <w:rPr>
                      <w:rFonts w:asciiTheme="minorHAnsi" w:hAnsiTheme="minorHAnsi" w:cs="Tahoma"/>
                      <w:color w:val="000000"/>
                      <w:sz w:val="18"/>
                      <w:szCs w:val="18"/>
                    </w:rPr>
                    <w:t>stald med riste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0,87</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Kalve (under 6 mdr.).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0,88</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Sengestald med fast gulv</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1,4</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uændret</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Sengestald med spalter (kanal, linespil)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0,84</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0,91</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+8 %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lastRenderedPageBreak/>
                    <w:t>Ammekøer</w:t>
                  </w:r>
                  <w:proofErr w:type="spellEnd"/>
                  <w:r w:rsidRPr="00012CD9">
                    <w:rPr>
                      <w:rFonts w:asciiTheme="minorHAnsi" w:hAnsiTheme="minorHAnsi" w:cs="Tahoma"/>
                      <w:color w:val="000000"/>
                      <w:sz w:val="18"/>
                      <w:szCs w:val="18"/>
                    </w:rPr>
                    <w:t>, slagtekalve (over 6 mdr.). Sengestald med spalter (kanal, bagskyl eller ringkanal)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1,12</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0,91</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-19 %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Spaltegulvbokse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1,12</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0,91</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-19 %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Fast drænet gulv med skraber og ajleafløb</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0,56</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0,70</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+25 %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0,66</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0,67</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Får og geder.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0,88</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0,84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-5 %</w:t>
                  </w:r>
                </w:p>
              </w:tc>
            </w:tr>
          </w:tbl>
          <w:p w:rsidR="007A6E55" w:rsidRPr="00012CD9" w:rsidRDefault="007A6E55" w:rsidP="00D15074">
            <w:pPr>
              <w:spacing w:after="200" w:line="276" w:lineRule="auto"/>
              <w:rPr>
                <w:rFonts w:asciiTheme="minorHAnsi" w:hAnsiTheme="minorHAnsi"/>
                <w:sz w:val="18"/>
                <w:szCs w:val="18"/>
                <w:lang w:eastAsia="en-US"/>
              </w:rPr>
            </w:pPr>
          </w:p>
        </w:tc>
      </w:tr>
    </w:tbl>
    <w:p w:rsidR="007A6E55" w:rsidRDefault="007A6E55" w:rsidP="007A6E55"/>
    <w:p w:rsidR="007A6E55" w:rsidRPr="007D42E7" w:rsidRDefault="007A6E55" w:rsidP="007A6E55">
      <w:pPr>
        <w:rPr>
          <w:b/>
          <w:highlight w:val="yellow"/>
        </w:rPr>
      </w:pPr>
    </w:p>
    <w:p w:rsidR="007A6E55" w:rsidRPr="00F645CD" w:rsidRDefault="007A6E55" w:rsidP="00D15074">
      <w:pPr>
        <w:pStyle w:val="Overskrift3"/>
      </w:pPr>
      <w:bookmarkStart w:id="30" w:name="_Toc514857934"/>
      <w:r>
        <w:t xml:space="preserve">Forslag til </w:t>
      </w:r>
      <w:r w:rsidRPr="00F645CD">
        <w:t>BAT-krav til nye og renoverede stalde</w:t>
      </w:r>
      <w:bookmarkEnd w:id="30"/>
    </w:p>
    <w:p w:rsidR="005D0FFC" w:rsidRPr="00913C6D" w:rsidRDefault="005D0FFC" w:rsidP="005D0FFC">
      <w:r w:rsidRPr="00913C6D">
        <w:t>Det nuværende BAT-krav ligger på 0,67 kg NH</w:t>
      </w:r>
      <w:r w:rsidRPr="00913C6D">
        <w:rPr>
          <w:vertAlign w:val="subscript"/>
        </w:rPr>
        <w:t>3</w:t>
      </w:r>
      <w:r w:rsidRPr="00913C6D">
        <w:t>-N/m</w:t>
      </w:r>
      <w:r w:rsidRPr="00913C6D">
        <w:rPr>
          <w:vertAlign w:val="superscript"/>
        </w:rPr>
        <w:t>2</w:t>
      </w:r>
      <w:r>
        <w:t>/år. Landmanden har, ind</w:t>
      </w:r>
      <w:r w:rsidRPr="00913C6D">
        <w:t xml:space="preserve">til spalteskraber som </w:t>
      </w:r>
      <w:r>
        <w:t xml:space="preserve">en </w:t>
      </w:r>
      <w:r w:rsidRPr="00913C6D">
        <w:t>effektiv miljøteknologi blev fjernet fra Miljøstyrelsens tekn</w:t>
      </w:r>
      <w:r w:rsidRPr="00913C6D">
        <w:t>o</w:t>
      </w:r>
      <w:r w:rsidRPr="00913C6D">
        <w:t>logiliste, kunnet vælge mellem tre staldtyper for at opfylde dette krav</w:t>
      </w:r>
      <w:r>
        <w:t>, hvor to af staldtyperne skulle suppleres</w:t>
      </w:r>
      <w:r w:rsidRPr="00913C6D">
        <w:t xml:space="preserve"> med spalteskraber eller </w:t>
      </w:r>
      <w:r>
        <w:t>gylle</w:t>
      </w:r>
      <w:r w:rsidRPr="00913C6D">
        <w:t>forsuring</w:t>
      </w:r>
      <w:r>
        <w:t xml:space="preserve"> for at kunne overholde kravene</w:t>
      </w:r>
      <w:r w:rsidRPr="00913C6D">
        <w:t xml:space="preserve">. </w:t>
      </w:r>
    </w:p>
    <w:p w:rsidR="005D0FFC" w:rsidRPr="00913C6D" w:rsidRDefault="005D0FFC" w:rsidP="005D0FFC"/>
    <w:p w:rsidR="005D0FFC" w:rsidRPr="00913C6D" w:rsidRDefault="005D0FFC" w:rsidP="005D0FFC">
      <w:r w:rsidRPr="00913C6D">
        <w:t>AU foreslår i notatet, at BAT-kravet fremover sættes til 0,89 kg NH</w:t>
      </w:r>
      <w:r w:rsidRPr="00913C6D">
        <w:rPr>
          <w:vertAlign w:val="subscript"/>
        </w:rPr>
        <w:t>3</w:t>
      </w:r>
      <w:r w:rsidRPr="00913C6D">
        <w:t>-N/m</w:t>
      </w:r>
      <w:r w:rsidRPr="00913C6D">
        <w:rPr>
          <w:vertAlign w:val="superscript"/>
        </w:rPr>
        <w:t>2</w:t>
      </w:r>
      <w:r w:rsidRPr="00913C6D">
        <w:t>/år, dvs. svarende til den nu dokumenterede emission fra d</w:t>
      </w:r>
      <w:r w:rsidR="00226244">
        <w:t xml:space="preserve"> </w:t>
      </w:r>
      <w:r w:rsidRPr="00913C6D">
        <w:t>stald</w:t>
      </w:r>
      <w:r w:rsidR="00226244">
        <w:t>en</w:t>
      </w:r>
      <w:r w:rsidRPr="00913C6D">
        <w:t xml:space="preserve"> ”Sengestalde med fast drænet gulv, ajleafløb og skraber”. AU vurderer på baggrund af tidligere BAT-udredninger fra 2010 samt den nye viden om ammoniakreduc</w:t>
      </w:r>
      <w:r w:rsidRPr="00913C6D">
        <w:t>e</w:t>
      </w:r>
      <w:r w:rsidRPr="00913C6D">
        <w:t>rende effekt fra lavemissionsgulve, at denne staldtype fortsat vil kunne ligge til grund for fastsæ</w:t>
      </w:r>
      <w:r w:rsidRPr="00913C6D">
        <w:t>t</w:t>
      </w:r>
      <w:r w:rsidRPr="00913C6D">
        <w:t>telse af BAT-kravet. AU har vurderet, at udgiften pr. kg reduceret N vil være ca. 20 kr., hvilket er under 100 kr. pr. kg. N, som var grænsen for fas</w:t>
      </w:r>
      <w:r w:rsidRPr="00913C6D">
        <w:t>t</w:t>
      </w:r>
      <w:r w:rsidRPr="00913C6D">
        <w:t>sættelse af BAT i 2010</w:t>
      </w:r>
      <w:r>
        <w:t xml:space="preserve">. </w:t>
      </w:r>
    </w:p>
    <w:p w:rsidR="005D0FFC" w:rsidRPr="00913C6D" w:rsidRDefault="005D0FFC" w:rsidP="005D0FFC">
      <w:pPr>
        <w:rPr>
          <w:b/>
        </w:rPr>
      </w:pPr>
      <w:r w:rsidRPr="00913C6D">
        <w:t xml:space="preserve"> </w:t>
      </w:r>
    </w:p>
    <w:p w:rsidR="005D0FFC" w:rsidRDefault="005D0FFC" w:rsidP="005D0FFC">
      <w:r w:rsidRPr="00913C6D">
        <w:t>En fastsættelse af BAT-kravet til 0,89 kg NH</w:t>
      </w:r>
      <w:r w:rsidRPr="00913C6D">
        <w:rPr>
          <w:vertAlign w:val="subscript"/>
        </w:rPr>
        <w:t>3</w:t>
      </w:r>
      <w:r w:rsidRPr="00913C6D">
        <w:t>-N/m</w:t>
      </w:r>
      <w:r w:rsidRPr="00913C6D">
        <w:rPr>
          <w:vertAlign w:val="superscript"/>
        </w:rPr>
        <w:t>2</w:t>
      </w:r>
      <w:r w:rsidRPr="00913C6D">
        <w:t xml:space="preserve">/år er en videreførelse af det eksisterende BAT-niveau justeret på baggrund af ny viden. Denne løsning vil give mulighed for valg mellem to staldtyper: </w:t>
      </w:r>
    </w:p>
    <w:p w:rsidR="005D0FFC" w:rsidRPr="00913C6D" w:rsidRDefault="005D0FFC" w:rsidP="005D0FFC"/>
    <w:p w:rsidR="005D0FFC" w:rsidRPr="00913C6D" w:rsidRDefault="005D0FFC" w:rsidP="005D0FFC">
      <w:r w:rsidRPr="00913C6D">
        <w:t xml:space="preserve">1. </w:t>
      </w:r>
      <w:r>
        <w:t>S</w:t>
      </w:r>
      <w:r w:rsidRPr="00913C6D">
        <w:t>engestalde med fast drænet gulv, ajleafløb og skraber og</w:t>
      </w:r>
    </w:p>
    <w:p w:rsidR="005D0FFC" w:rsidRPr="00913C6D" w:rsidRDefault="005D0FFC" w:rsidP="005D0FFC">
      <w:r w:rsidRPr="00913C6D">
        <w:t xml:space="preserve">2. Sengestalde med spaltegulv (kanal, bagskyl eller ringkanal) med gylleforsuring som virkemiddel. </w:t>
      </w:r>
    </w:p>
    <w:p w:rsidR="005D0FFC" w:rsidRPr="00913C6D" w:rsidRDefault="005D0FFC" w:rsidP="005D0FFC"/>
    <w:p w:rsidR="005D0FFC" w:rsidRPr="00913C6D" w:rsidRDefault="005D0FFC" w:rsidP="005D0FFC">
      <w:r w:rsidRPr="00913C6D">
        <w:t>Et BAT-krav på 0,89 kg NH</w:t>
      </w:r>
      <w:r w:rsidRPr="00913C6D">
        <w:rPr>
          <w:vertAlign w:val="subscript"/>
        </w:rPr>
        <w:t>3</w:t>
      </w:r>
      <w:r w:rsidRPr="00913C6D">
        <w:t>-N/m</w:t>
      </w:r>
      <w:r w:rsidRPr="00913C6D">
        <w:rPr>
          <w:vertAlign w:val="superscript"/>
        </w:rPr>
        <w:t>2</w:t>
      </w:r>
      <w:r w:rsidRPr="00913C6D">
        <w:t>/år vil således betyde, at staldtypen sengestalde med spaltegulv (kanal, linespil), som siden opdateringen af Miljøstyrelsens tekn</w:t>
      </w:r>
      <w:r w:rsidRPr="00913C6D">
        <w:t>o</w:t>
      </w:r>
      <w:r w:rsidRPr="00913C6D">
        <w:t>logiliste i februar 2018 ikke har kunne</w:t>
      </w:r>
      <w:r>
        <w:t>t</w:t>
      </w:r>
      <w:r w:rsidRPr="00913C6D">
        <w:t xml:space="preserve"> opfylde det eksisterende BAT-krav, for</w:t>
      </w:r>
      <w:r w:rsidR="00226244">
        <w:t>t</w:t>
      </w:r>
      <w:r w:rsidRPr="00913C6D">
        <w:t xml:space="preserve">sat ikke kan anvendes ved nybyggerier. </w:t>
      </w:r>
    </w:p>
    <w:p w:rsidR="005D0FFC" w:rsidRDefault="005D0FFC" w:rsidP="005D0FFC"/>
    <w:p w:rsidR="005D0FFC" w:rsidRDefault="005D0FFC" w:rsidP="005D0FFC">
      <w:r>
        <w:t>Forslaget til BAT-kravets fastsættelse skal bl.a. ses i lyset af miljøkonsekvenserne ved et mere lempeligt BAT-krav, der ville muliggøre valg af alle tre staldtyper uden brug af miljøteknologi. Desuden er der lagt vægt på en vurdering af, at BAT-kravet på 0,</w:t>
      </w:r>
      <w:r w:rsidRPr="00913C6D">
        <w:t>89 kg NH</w:t>
      </w:r>
      <w:r w:rsidRPr="00913C6D">
        <w:rPr>
          <w:vertAlign w:val="subscript"/>
        </w:rPr>
        <w:t>3</w:t>
      </w:r>
      <w:r w:rsidRPr="00913C6D">
        <w:t>-N/m</w:t>
      </w:r>
      <w:r w:rsidRPr="00913C6D">
        <w:rPr>
          <w:vertAlign w:val="superscript"/>
        </w:rPr>
        <w:t>2</w:t>
      </w:r>
      <w:r w:rsidRPr="00913C6D">
        <w:t>/år</w:t>
      </w:r>
      <w:r>
        <w:t xml:space="preserve"> giver mulighed for at vælge løsninger,</w:t>
      </w:r>
      <w:r w:rsidRPr="00913C6D">
        <w:t xml:space="preserve"> </w:t>
      </w:r>
      <w:r>
        <w:t>der ikke er fo</w:t>
      </w:r>
      <w:r>
        <w:t>r</w:t>
      </w:r>
      <w:r>
        <w:t xml:space="preserve">bundet med økonomiske konsekvenser for den enkelte landmand. </w:t>
      </w:r>
    </w:p>
    <w:p w:rsidR="005D0FFC" w:rsidRPr="00913C6D" w:rsidRDefault="005D0FFC" w:rsidP="005D0FFC"/>
    <w:p w:rsidR="005D0FFC" w:rsidRPr="00913C6D" w:rsidRDefault="005D0FFC" w:rsidP="005D0FFC">
      <w:r>
        <w:t xml:space="preserve">Der sættes et arbejde i gang nu, som skal komme med forslag til </w:t>
      </w:r>
      <w:r w:rsidRPr="00913C6D">
        <w:t>opdatering af de eksisterende BAT-standardvilkår</w:t>
      </w:r>
      <w:r>
        <w:t xml:space="preserve"> (BAT-krav) for alle dyretyper. De</w:t>
      </w:r>
      <w:r w:rsidRPr="00913C6D">
        <w:t xml:space="preserve"> fastsætter hvi</w:t>
      </w:r>
      <w:r w:rsidRPr="00913C6D">
        <w:t>l</w:t>
      </w:r>
      <w:r w:rsidRPr="00913C6D">
        <w:t>ke emissionsgrænseværdier, der er rimelige at fastsætte ud fra de tilgængelige ammoniakemissionsreducerende teknologiers pris og effekt. De nuværende BAT-standardvilkår er fra 2010</w:t>
      </w:r>
      <w:r w:rsidR="004F2941">
        <w:t>,</w:t>
      </w:r>
      <w:r w:rsidRPr="00913C6D">
        <w:t xml:space="preserve"> og opdateringen forventes at omfatte en gennemgang </w:t>
      </w:r>
      <w:r w:rsidRPr="00913C6D">
        <w:lastRenderedPageBreak/>
        <w:t>af mulige nye teknologier, evt. ny viden om miljøeffekt, driftsstabilitet</w:t>
      </w:r>
      <w:r>
        <w:t xml:space="preserve">, teknik og økonomi </w:t>
      </w:r>
      <w:r w:rsidRPr="00913C6D">
        <w:t xml:space="preserve">med henblik på evt. justering. </w:t>
      </w:r>
    </w:p>
    <w:p w:rsidR="005D0FFC" w:rsidRPr="00913C6D" w:rsidRDefault="005D0FFC" w:rsidP="005D0FFC"/>
    <w:p w:rsidR="005D0FFC" w:rsidRDefault="005D0FFC" w:rsidP="005D0FFC">
      <w:r w:rsidRPr="00913C6D">
        <w:t>Erhvervet har peget på, at der kan være problemer for en del af kvægerhvervet i at anvende de to tilbageværende muligheder for valg af staldtype på grund af drift</w:t>
      </w:r>
      <w:r w:rsidRPr="00913C6D">
        <w:t>s</w:t>
      </w:r>
      <w:r w:rsidRPr="00913C6D">
        <w:t>mæssige problemstillinger</w:t>
      </w:r>
      <w:r w:rsidR="004F2941">
        <w:t>,</w:t>
      </w:r>
      <w:r w:rsidRPr="00913C6D">
        <w:t xml:space="preserve"> og at der dermed ikke er tilgængelige teknologier til rådighed for alle i erhvervet. </w:t>
      </w:r>
      <w:r>
        <w:t xml:space="preserve">Problemstillingen om </w:t>
      </w:r>
      <w:r w:rsidRPr="00913C6D">
        <w:t xml:space="preserve">mulige driftsmæssige </w:t>
      </w:r>
      <w:r>
        <w:t>udfo</w:t>
      </w:r>
      <w:r>
        <w:t>r</w:t>
      </w:r>
      <w:r>
        <w:t>dringer ved kvæggulve generelt</w:t>
      </w:r>
      <w:r w:rsidR="00226244">
        <w:t xml:space="preserve"> forventes </w:t>
      </w:r>
      <w:r>
        <w:t>derfor</w:t>
      </w:r>
      <w:r w:rsidR="00226244">
        <w:t>, at</w:t>
      </w:r>
      <w:r>
        <w:t xml:space="preserve"> indgå i dette arbejde. </w:t>
      </w:r>
    </w:p>
    <w:p w:rsidR="005D0FFC" w:rsidRDefault="005D0FFC" w:rsidP="005D0FFC"/>
    <w:p w:rsidR="007A6E55" w:rsidRDefault="005D0FFC" w:rsidP="005D0FFC">
      <w:r>
        <w:t>Det er planen, at arbejdet igangsættes nu med henblik på afslutning i 2019. På baggrund af arbejdet forventes det, at der skal gennemføres en opdatering og æ</w:t>
      </w:r>
      <w:r>
        <w:t>n</w:t>
      </w:r>
      <w:r>
        <w:t>dring af BAT-krav for en</w:t>
      </w:r>
      <w:r w:rsidR="004F2941">
        <w:t xml:space="preserve"> eller </w:t>
      </w:r>
      <w:r>
        <w:t>flere dyretyper i husdyrgodkendelsesbekendtgøre</w:t>
      </w:r>
      <w:r>
        <w:t>l</w:t>
      </w:r>
      <w:r>
        <w:t>sen.</w:t>
      </w:r>
    </w:p>
    <w:p w:rsidR="007A6E55" w:rsidRPr="00F645CD" w:rsidRDefault="007A6E55" w:rsidP="00D15074">
      <w:pPr>
        <w:pStyle w:val="Overskrift3"/>
      </w:pPr>
      <w:bookmarkStart w:id="31" w:name="_Toc514857935"/>
      <w:r w:rsidRPr="00F645CD">
        <w:t xml:space="preserve">Forslag til </w:t>
      </w:r>
      <w:r>
        <w:t>ændringer vedr.</w:t>
      </w:r>
      <w:r w:rsidRPr="00F645CD">
        <w:t xml:space="preserve"> BAT-Krav</w:t>
      </w:r>
      <w:r>
        <w:t xml:space="preserve"> (bilag 3 tekstdel)</w:t>
      </w:r>
      <w:bookmarkEnd w:id="31"/>
    </w:p>
    <w:p w:rsidR="007A6E55" w:rsidRDefault="007A6E55" w:rsidP="007A6E55">
      <w:pPr>
        <w:rPr>
          <w:iCs/>
        </w:rPr>
      </w:pPr>
      <w:r>
        <w:rPr>
          <w:iCs/>
        </w:rPr>
        <w:t xml:space="preserve">I bilag 3, afsnit </w:t>
      </w:r>
      <w:r w:rsidRPr="009973D1">
        <w:rPr>
          <w:iCs/>
        </w:rPr>
        <w:t>2.1.1 Nye staldafsnit</w:t>
      </w:r>
      <w:r>
        <w:rPr>
          <w:iCs/>
        </w:rPr>
        <w:t>, afsnit 4,</w:t>
      </w:r>
      <w:r w:rsidR="00226244">
        <w:rPr>
          <w:iCs/>
        </w:rPr>
        <w:t xml:space="preserve"> </w:t>
      </w:r>
      <w:r>
        <w:rPr>
          <w:iCs/>
        </w:rPr>
        <w:t>foreslås det at slette s</w:t>
      </w:r>
      <w:r w:rsidRPr="009973D1">
        <w:rPr>
          <w:iCs/>
        </w:rPr>
        <w:t>ætningen ”For økologiske malkekøer, kvier og stude i sengestalde er den maksimale NH</w:t>
      </w:r>
      <w:r w:rsidRPr="009973D1">
        <w:rPr>
          <w:iCs/>
          <w:vertAlign w:val="subscript"/>
        </w:rPr>
        <w:t>3</w:t>
      </w:r>
      <w:r w:rsidRPr="009973D1">
        <w:rPr>
          <w:iCs/>
        </w:rPr>
        <w:t>-N-emission pr. m</w:t>
      </w:r>
      <w:r w:rsidRPr="009973D1">
        <w:rPr>
          <w:iCs/>
          <w:vertAlign w:val="superscript"/>
        </w:rPr>
        <w:t>2</w:t>
      </w:r>
      <w:r w:rsidRPr="009973D1">
        <w:rPr>
          <w:iCs/>
        </w:rPr>
        <w:t xml:space="preserve"> pr. år ved anvendelse af BAT det samme som for eksisterende staldafsnit, jf. tabel 5.”. Kravet var fastsat under antagelse </w:t>
      </w:r>
      <w:r>
        <w:rPr>
          <w:iCs/>
        </w:rPr>
        <w:t>af</w:t>
      </w:r>
      <w:r w:rsidRPr="009973D1">
        <w:rPr>
          <w:iCs/>
        </w:rPr>
        <w:t>, at spalteskraber ha</w:t>
      </w:r>
      <w:r w:rsidRPr="009973D1">
        <w:rPr>
          <w:iCs/>
        </w:rPr>
        <w:t>v</w:t>
      </w:r>
      <w:r w:rsidRPr="009973D1">
        <w:rPr>
          <w:iCs/>
        </w:rPr>
        <w:t xml:space="preserve">de </w:t>
      </w:r>
      <w:r>
        <w:rPr>
          <w:iCs/>
        </w:rPr>
        <w:t xml:space="preserve">en </w:t>
      </w:r>
      <w:r w:rsidRPr="009973D1">
        <w:rPr>
          <w:iCs/>
        </w:rPr>
        <w:t>effekt på ammoniakemissionen. </w:t>
      </w:r>
    </w:p>
    <w:p w:rsidR="007A6E55" w:rsidRDefault="007A6E55" w:rsidP="007A6E55">
      <w:pPr>
        <w:rPr>
          <w:iCs/>
        </w:rPr>
      </w:pPr>
    </w:p>
    <w:p w:rsidR="007A6E55" w:rsidRPr="009973D1" w:rsidRDefault="007A6E55" w:rsidP="007A6E55">
      <w:pPr>
        <w:rPr>
          <w:iCs/>
        </w:rPr>
      </w:pPr>
      <w:r w:rsidRPr="009973D1">
        <w:rPr>
          <w:iCs/>
        </w:rPr>
        <w:t>Da spalteskraberen ikke længere er et dokumenteret virkemiddel, er det ikke m</w:t>
      </w:r>
      <w:r w:rsidRPr="009973D1">
        <w:rPr>
          <w:iCs/>
        </w:rPr>
        <w:t>u</w:t>
      </w:r>
      <w:r w:rsidRPr="009973D1">
        <w:rPr>
          <w:iCs/>
        </w:rPr>
        <w:t>ligt at overholde de særlige BAT-krav for sengestalde til økologiske malkekøer, kvier og stue med eksisterende teknologier. BAT for disse økologiske produktioner sætte</w:t>
      </w:r>
      <w:r w:rsidR="00926305">
        <w:rPr>
          <w:iCs/>
        </w:rPr>
        <w:t>s</w:t>
      </w:r>
      <w:r w:rsidRPr="009973D1">
        <w:rPr>
          <w:iCs/>
        </w:rPr>
        <w:t xml:space="preserve"> derfor lig emissionsfaktoren for den pågældende dyretype og staldsystem, der fremgår af tabel 1.</w:t>
      </w:r>
    </w:p>
    <w:p w:rsidR="007A6E55" w:rsidRPr="000C41C6" w:rsidRDefault="007A6E55" w:rsidP="00D15074">
      <w:pPr>
        <w:pStyle w:val="Overskrift3"/>
      </w:pPr>
      <w:bookmarkStart w:id="32" w:name="_Toc514857936"/>
      <w:r w:rsidRPr="0057310B">
        <w:rPr>
          <w:iCs/>
        </w:rPr>
        <w:t>Forslag til nye e</w:t>
      </w:r>
      <w:r w:rsidRPr="0057310B">
        <w:t>missionsgrænseværdier</w:t>
      </w:r>
      <w:r w:rsidRPr="000C41C6">
        <w:t xml:space="preserve"> (BAT-krav) for nye kvægstalde</w:t>
      </w:r>
      <w:r>
        <w:t>,</w:t>
      </w:r>
      <w:r w:rsidRPr="000C41C6">
        <w:t xml:space="preserve"> bilag 3, tabel 4</w:t>
      </w:r>
      <w:bookmarkEnd w:id="32"/>
    </w:p>
    <w:p w:rsidR="007A6E55" w:rsidRDefault="007A6E55" w:rsidP="007A6E55">
      <w:r>
        <w:t>Forslag til opdatering af BAT-krav for kvæg i nye og renoverede kvægstalde på baggrund af ny viden emissioner fra kvægstalde og miljøeffekt af spalteskraber (bortfald af spalteskraber fra Miljøstyrelsens Teknologiliste).</w:t>
      </w:r>
    </w:p>
    <w:p w:rsidR="00926305" w:rsidRDefault="00926305">
      <w:pPr>
        <w:rPr>
          <w:rFonts w:asciiTheme="minorHAnsi" w:hAnsiTheme="minorHAnsi" w:cs="Tahoma"/>
          <w:i/>
          <w:iCs/>
          <w:color w:val="000000"/>
          <w:sz w:val="18"/>
          <w:szCs w:val="18"/>
        </w:rPr>
      </w:pPr>
      <w:r>
        <w:rPr>
          <w:rFonts w:asciiTheme="minorHAnsi" w:hAnsiTheme="minorHAnsi" w:cs="Tahoma"/>
          <w:i/>
          <w:iCs/>
          <w:color w:val="000000"/>
          <w:sz w:val="18"/>
          <w:szCs w:val="18"/>
        </w:rPr>
        <w:br w:type="page"/>
      </w:r>
    </w:p>
    <w:p w:rsidR="007A6E55" w:rsidRPr="00012CD9" w:rsidRDefault="007A6E55" w:rsidP="007A6E55">
      <w:pPr>
        <w:spacing w:before="100" w:beforeAutospacing="1" w:after="100" w:afterAutospacing="1" w:line="240" w:lineRule="auto"/>
        <w:rPr>
          <w:rFonts w:asciiTheme="minorHAnsi" w:hAnsiTheme="minorHAnsi" w:cs="Tahoma"/>
          <w:color w:val="000000"/>
          <w:sz w:val="18"/>
          <w:szCs w:val="18"/>
        </w:rPr>
      </w:pPr>
      <w:r w:rsidRPr="00012CD9">
        <w:rPr>
          <w:rFonts w:asciiTheme="minorHAnsi" w:hAnsiTheme="minorHAnsi" w:cs="Tahoma"/>
          <w:i/>
          <w:iCs/>
          <w:color w:val="000000"/>
          <w:sz w:val="18"/>
          <w:szCs w:val="18"/>
        </w:rPr>
        <w:lastRenderedPageBreak/>
        <w:t xml:space="preserve">Tabel </w:t>
      </w:r>
      <w:r>
        <w:rPr>
          <w:rFonts w:asciiTheme="minorHAnsi" w:hAnsiTheme="minorHAnsi" w:cs="Tahoma"/>
          <w:i/>
          <w:iCs/>
          <w:color w:val="000000"/>
          <w:sz w:val="18"/>
          <w:szCs w:val="18"/>
        </w:rPr>
        <w:t>4</w:t>
      </w:r>
      <w:r w:rsidRPr="00012CD9">
        <w:rPr>
          <w:rFonts w:asciiTheme="minorHAnsi" w:hAnsiTheme="minorHAnsi" w:cs="Tahoma"/>
          <w:i/>
          <w:iCs/>
          <w:color w:val="000000"/>
          <w:sz w:val="18"/>
          <w:szCs w:val="18"/>
        </w:rPr>
        <w:t xml:space="preserve">: </w:t>
      </w:r>
      <w:r>
        <w:rPr>
          <w:rFonts w:asciiTheme="minorHAnsi" w:hAnsiTheme="minorHAnsi" w:cs="Tahoma"/>
          <w:i/>
          <w:iCs/>
          <w:color w:val="000000"/>
          <w:sz w:val="18"/>
          <w:szCs w:val="18"/>
        </w:rPr>
        <w:t xml:space="preserve">Emissionsgrænseværdier (BAT-krav) for nye kvægstalde </w:t>
      </w:r>
      <w:r w:rsidRPr="00012CD9">
        <w:rPr>
          <w:rFonts w:asciiTheme="minorHAnsi" w:hAnsiTheme="minorHAnsi" w:cs="Tahoma"/>
          <w:i/>
          <w:iCs/>
          <w:color w:val="000000"/>
          <w:sz w:val="18"/>
          <w:szCs w:val="18"/>
        </w:rPr>
        <w:t>angivet i kg NH</w:t>
      </w:r>
      <w:r w:rsidRPr="00CC753D">
        <w:rPr>
          <w:rFonts w:asciiTheme="minorHAnsi" w:hAnsiTheme="minorHAnsi" w:cs="Tahoma"/>
          <w:i/>
          <w:iCs/>
          <w:color w:val="000000"/>
          <w:sz w:val="18"/>
          <w:szCs w:val="18"/>
          <w:vertAlign w:val="subscript"/>
        </w:rPr>
        <w:t>3</w:t>
      </w:r>
      <w:r w:rsidRPr="00012CD9">
        <w:rPr>
          <w:rFonts w:asciiTheme="minorHAnsi" w:hAnsiTheme="minorHAnsi" w:cs="Tahoma"/>
          <w:color w:val="000000"/>
          <w:sz w:val="18"/>
          <w:szCs w:val="18"/>
        </w:rPr>
        <w:t xml:space="preserve"> </w:t>
      </w:r>
      <w:r w:rsidRPr="00012CD9">
        <w:rPr>
          <w:rFonts w:asciiTheme="minorHAnsi" w:hAnsiTheme="minorHAnsi" w:cs="Tahoma"/>
          <w:i/>
          <w:iCs/>
          <w:color w:val="000000"/>
          <w:sz w:val="18"/>
          <w:szCs w:val="18"/>
        </w:rPr>
        <w:t>-N pr. m</w:t>
      </w:r>
      <w:r w:rsidRPr="00CC753D">
        <w:rPr>
          <w:rFonts w:asciiTheme="minorHAnsi" w:hAnsiTheme="minorHAnsi" w:cs="Tahoma"/>
          <w:i/>
          <w:iCs/>
          <w:color w:val="000000"/>
          <w:sz w:val="18"/>
          <w:szCs w:val="18"/>
          <w:vertAlign w:val="superscript"/>
        </w:rPr>
        <w:t>2</w:t>
      </w:r>
      <w:r w:rsidRPr="00012CD9">
        <w:rPr>
          <w:rFonts w:asciiTheme="minorHAnsi" w:hAnsiTheme="minorHAnsi" w:cs="Tahoma"/>
          <w:color w:val="000000"/>
          <w:sz w:val="18"/>
          <w:szCs w:val="18"/>
        </w:rPr>
        <w:t xml:space="preserve"> </w:t>
      </w:r>
      <w:r w:rsidRPr="00012CD9">
        <w:rPr>
          <w:rFonts w:asciiTheme="minorHAnsi" w:hAnsiTheme="minorHAnsi" w:cs="Tahoma"/>
          <w:i/>
          <w:iCs/>
          <w:color w:val="000000"/>
          <w:sz w:val="18"/>
          <w:szCs w:val="18"/>
        </w:rPr>
        <w:t>produktionsareal pr. år</w:t>
      </w:r>
      <w:r w:rsidRPr="00012CD9">
        <w:rPr>
          <w:rFonts w:asciiTheme="minorHAnsi" w:hAnsiTheme="minorHAnsi" w:cs="Tahoma"/>
          <w:color w:val="000000"/>
          <w:sz w:val="18"/>
          <w:szCs w:val="18"/>
        </w:rPr>
        <w:t xml:space="preserve"> </w:t>
      </w:r>
    </w:p>
    <w:tbl>
      <w:tblPr>
        <w:tblW w:w="0" w:type="auto"/>
        <w:tblLayout w:type="fixed"/>
        <w:tblCellMar>
          <w:left w:w="0" w:type="dxa"/>
          <w:right w:w="0" w:type="dxa"/>
        </w:tblCellMar>
        <w:tblLook w:val="04A0" w:firstRow="1" w:lastRow="0" w:firstColumn="1" w:lastColumn="0" w:noHBand="0" w:noVBand="1"/>
      </w:tblPr>
      <w:tblGrid>
        <w:gridCol w:w="8192"/>
      </w:tblGrid>
      <w:tr w:rsidR="007A6E55" w:rsidRPr="00012CD9" w:rsidTr="00D15074">
        <w:tc>
          <w:tcPr>
            <w:tcW w:w="8192" w:type="dxa"/>
            <w:hideMark/>
          </w:tcPr>
          <w:tbl>
            <w:tblPr>
              <w:tblW w:w="8172" w:type="dxa"/>
              <w:tblLayout w:type="fixed"/>
              <w:tblLook w:val="04A0" w:firstRow="1" w:lastRow="0" w:firstColumn="1" w:lastColumn="0" w:noHBand="0" w:noVBand="1"/>
            </w:tblPr>
            <w:tblGrid>
              <w:gridCol w:w="4668"/>
              <w:gridCol w:w="992"/>
              <w:gridCol w:w="1418"/>
              <w:gridCol w:w="1094"/>
            </w:tblGrid>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b/>
                      <w:bCs/>
                      <w:color w:val="000000"/>
                      <w:sz w:val="18"/>
                      <w:szCs w:val="18"/>
                    </w:rPr>
                    <w:t>Dyretype og staldsystem</w:t>
                  </w:r>
                  <w:r w:rsidRPr="00012CD9">
                    <w:rPr>
                      <w:rFonts w:asciiTheme="minorHAnsi" w:hAnsiTheme="minorHAnsi" w:cs="Tahoma"/>
                      <w:color w:val="000000"/>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b/>
                      <w:bCs/>
                      <w:color w:val="000000"/>
                      <w:sz w:val="18"/>
                      <w:szCs w:val="18"/>
                    </w:rPr>
                    <w:t>Gældende</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Kommende</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Relativ ændring</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Bindestald med grebning</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012CD9" w:rsidRDefault="00AB6477" w:rsidP="00D15074">
                  <w:pPr>
                    <w:spacing w:line="240" w:lineRule="auto"/>
                    <w:jc w:val="center"/>
                    <w:rPr>
                      <w:rFonts w:asciiTheme="minorHAnsi" w:hAnsiTheme="minorHAnsi" w:cs="Tahoma"/>
                      <w:color w:val="000000"/>
                      <w:sz w:val="18"/>
                      <w:szCs w:val="18"/>
                    </w:rPr>
                  </w:pPr>
                  <w:r>
                    <w:rPr>
                      <w:rFonts w:asciiTheme="minorHAnsi" w:hAnsiTheme="minorHAnsi" w:cs="Tahoma"/>
                      <w:color w:val="000000"/>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Bindestald med riste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fast gulv</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linespil)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bagskyl eller ringkanal)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Fast drænet gulv med skraber og ajleafløb</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0,88</w:t>
                  </w:r>
                </w:p>
              </w:tc>
              <w:tc>
                <w:tcPr>
                  <w:tcW w:w="1418"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0D04A9">
                    <w:rPr>
                      <w:rFonts w:asciiTheme="minorHAnsi" w:hAnsiTheme="minorHAnsi" w:cs="Tahoma"/>
                      <w:color w:val="000000"/>
                      <w:sz w:val="18"/>
                      <w:szCs w:val="18"/>
                    </w:rPr>
                    <w:t>0,8</w:t>
                  </w:r>
                  <w:r>
                    <w:rPr>
                      <w:rFonts w:asciiTheme="minorHAnsi" w:hAnsiTheme="minorHAnsi" w:cs="Tahoma"/>
                      <w:color w:val="000000"/>
                      <w:sz w:val="18"/>
                      <w:szCs w:val="18"/>
                    </w:rPr>
                    <w:t>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 xml:space="preserve">Kvier, stude, </w:t>
                  </w: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Bind</w:t>
                  </w:r>
                  <w:r w:rsidRPr="00012CD9">
                    <w:rPr>
                      <w:rFonts w:asciiTheme="minorHAnsi" w:hAnsiTheme="minorHAnsi" w:cs="Tahoma"/>
                      <w:color w:val="000000"/>
                      <w:sz w:val="18"/>
                      <w:szCs w:val="18"/>
                    </w:rPr>
                    <w:t>e</w:t>
                  </w:r>
                  <w:r w:rsidRPr="00012CD9">
                    <w:rPr>
                      <w:rFonts w:asciiTheme="minorHAnsi" w:hAnsiTheme="minorHAnsi" w:cs="Tahoma"/>
                      <w:color w:val="000000"/>
                      <w:sz w:val="18"/>
                      <w:szCs w:val="18"/>
                    </w:rPr>
                    <w:t>stald med grebning</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E43976">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 xml:space="preserve">Kvier, stude, </w:t>
                  </w: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Bind</w:t>
                  </w:r>
                  <w:r w:rsidRPr="00012CD9">
                    <w:rPr>
                      <w:rFonts w:asciiTheme="minorHAnsi" w:hAnsiTheme="minorHAnsi" w:cs="Tahoma"/>
                      <w:color w:val="000000"/>
                      <w:sz w:val="18"/>
                      <w:szCs w:val="18"/>
                    </w:rPr>
                    <w:t>e</w:t>
                  </w:r>
                  <w:r w:rsidRPr="00012CD9">
                    <w:rPr>
                      <w:rFonts w:asciiTheme="minorHAnsi" w:hAnsiTheme="minorHAnsi" w:cs="Tahoma"/>
                      <w:color w:val="000000"/>
                      <w:sz w:val="18"/>
                      <w:szCs w:val="18"/>
                    </w:rPr>
                    <w:t>stald med riste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E43976">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Kalve (under 6 mdr.).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0,88</w:t>
                  </w:r>
                </w:p>
              </w:tc>
              <w:tc>
                <w:tcPr>
                  <w:tcW w:w="1418"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0D04A9">
                    <w:rPr>
                      <w:rFonts w:asciiTheme="minorHAnsi" w:hAnsiTheme="minorHAnsi" w:cs="Tahoma"/>
                      <w:color w:val="000000"/>
                      <w:sz w:val="18"/>
                      <w:szCs w:val="18"/>
                    </w:rPr>
                    <w:t>0,8</w:t>
                  </w:r>
                  <w:r>
                    <w:rPr>
                      <w:rFonts w:asciiTheme="minorHAnsi" w:hAnsiTheme="minorHAnsi" w:cs="Tahoma"/>
                      <w:color w:val="000000"/>
                      <w:sz w:val="18"/>
                      <w:szCs w:val="18"/>
                    </w:rPr>
                    <w:t>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Sengestald med fast gulv</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3A51CC">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Sengestald med spalter (kanal, linespil)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3A51CC">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Sengestald med spalter (kanal, bagskyl eller ringkanal)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3A51CC">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Spaltegulvbokse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3A51CC">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Fast drænet gulv med skraber og ajleafløb</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418" w:type="dxa"/>
                  <w:tcBorders>
                    <w:top w:val="single" w:sz="8" w:space="0" w:color="000000"/>
                    <w:left w:val="single" w:sz="8" w:space="0" w:color="000000"/>
                    <w:bottom w:val="single" w:sz="8" w:space="0" w:color="000000"/>
                    <w:right w:val="single" w:sz="8" w:space="0" w:color="000000"/>
                  </w:tcBorders>
                </w:tcPr>
                <w:p w:rsidR="007A6E55" w:rsidRPr="00BA084E" w:rsidRDefault="00AB6477" w:rsidP="00D15074">
                  <w:pPr>
                    <w:jc w:val="center"/>
                    <w:rPr>
                      <w:rFonts w:asciiTheme="minorHAnsi" w:hAnsiTheme="minorHAnsi"/>
                      <w:sz w:val="18"/>
                      <w:szCs w:val="18"/>
                    </w:rPr>
                  </w:pPr>
                  <w:r>
                    <w:rPr>
                      <w:rFonts w:asciiTheme="minorHAnsi" w:hAnsiTheme="minorHAnsi"/>
                      <w:sz w:val="18"/>
                      <w:szCs w:val="18"/>
                    </w:rPr>
                    <w:t>0,89</w:t>
                  </w:r>
                </w:p>
              </w:tc>
              <w:tc>
                <w:tcPr>
                  <w:tcW w:w="1094"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3A51CC">
                    <w:rPr>
                      <w:rFonts w:asciiTheme="minorHAnsi" w:hAnsiTheme="minorHAnsi" w:cs="Tahoma"/>
                      <w:color w:val="000000"/>
                      <w:sz w:val="18"/>
                      <w:szCs w:val="18"/>
                    </w:rPr>
                    <w:t>+33 %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proofErr w:type="spellStart"/>
                  <w:r w:rsidRPr="00012CD9">
                    <w:rPr>
                      <w:rFonts w:asciiTheme="minorHAnsi" w:hAnsiTheme="minorHAnsi" w:cs="Tahoma"/>
                      <w:color w:val="000000"/>
                      <w:sz w:val="18"/>
                      <w:szCs w:val="18"/>
                    </w:rPr>
                    <w:t>Ammekøer</w:t>
                  </w:r>
                  <w:proofErr w:type="spellEnd"/>
                  <w:r w:rsidRPr="00012CD9">
                    <w:rPr>
                      <w:rFonts w:asciiTheme="minorHAnsi" w:hAnsiTheme="minorHAnsi" w:cs="Tahoma"/>
                      <w:color w:val="000000"/>
                      <w:sz w:val="18"/>
                      <w:szCs w:val="18"/>
                    </w:rPr>
                    <w:t>, slagtekalve (over 6 mdr.).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0,66</w:t>
                  </w:r>
                </w:p>
              </w:tc>
              <w:tc>
                <w:tcPr>
                  <w:tcW w:w="1418"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0D04A9">
                    <w:rPr>
                      <w:rFonts w:asciiTheme="minorHAnsi" w:hAnsiTheme="minorHAnsi" w:cs="Tahoma"/>
                      <w:color w:val="000000"/>
                      <w:sz w:val="18"/>
                      <w:szCs w:val="18"/>
                    </w:rPr>
                    <w:t>0,</w:t>
                  </w:r>
                  <w:r>
                    <w:rPr>
                      <w:rFonts w:asciiTheme="minorHAnsi" w:hAnsiTheme="minorHAnsi" w:cs="Tahoma"/>
                      <w:color w:val="000000"/>
                      <w:sz w:val="18"/>
                      <w:szCs w:val="18"/>
                    </w:rPr>
                    <w:t>67</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color w:val="000000"/>
                      <w:sz w:val="18"/>
                      <w:szCs w:val="18"/>
                    </w:rPr>
                    <w:t>+1,5 %</w:t>
                  </w:r>
                </w:p>
              </w:tc>
            </w:tr>
            <w:tr w:rsidR="007A6E55" w:rsidRPr="00012CD9" w:rsidTr="00D15074">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Får og geder. Dybstrøelse</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w:t>
                  </w:r>
                  <w:r>
                    <w:rPr>
                      <w:rFonts w:asciiTheme="minorHAnsi" w:hAnsiTheme="minorHAnsi" w:cs="Tahoma"/>
                      <w:color w:val="000000"/>
                      <w:sz w:val="18"/>
                      <w:szCs w:val="18"/>
                    </w:rPr>
                    <w:t>88</w:t>
                  </w:r>
                </w:p>
              </w:tc>
              <w:tc>
                <w:tcPr>
                  <w:tcW w:w="1418"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0D04A9">
                    <w:rPr>
                      <w:rFonts w:asciiTheme="minorHAnsi" w:hAnsiTheme="minorHAnsi" w:cs="Tahoma"/>
                      <w:color w:val="000000"/>
                      <w:sz w:val="18"/>
                      <w:szCs w:val="18"/>
                    </w:rPr>
                    <w:t>0,8</w:t>
                  </w:r>
                  <w:r>
                    <w:rPr>
                      <w:rFonts w:asciiTheme="minorHAnsi" w:hAnsiTheme="minorHAnsi" w:cs="Tahoma"/>
                      <w:color w:val="000000"/>
                      <w:sz w:val="18"/>
                      <w:szCs w:val="18"/>
                    </w:rPr>
                    <w:t>4*</w:t>
                  </w:r>
                </w:p>
              </w:tc>
              <w:tc>
                <w:tcPr>
                  <w:tcW w:w="1094"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jc w:val="center"/>
                    <w:rPr>
                      <w:rFonts w:asciiTheme="minorHAnsi" w:hAnsiTheme="minorHAnsi" w:cs="Tahoma"/>
                      <w:color w:val="000000"/>
                      <w:sz w:val="18"/>
                      <w:szCs w:val="18"/>
                    </w:rPr>
                  </w:pPr>
                  <w:r>
                    <w:rPr>
                      <w:rFonts w:asciiTheme="minorHAnsi" w:hAnsiTheme="minorHAnsi" w:cs="Tahoma"/>
                      <w:color w:val="000000"/>
                      <w:sz w:val="18"/>
                      <w:szCs w:val="18"/>
                    </w:rPr>
                    <w:t>+33</w:t>
                  </w:r>
                  <w:r w:rsidRPr="00012CD9">
                    <w:rPr>
                      <w:rFonts w:asciiTheme="minorHAnsi" w:hAnsiTheme="minorHAnsi" w:cs="Tahoma"/>
                      <w:color w:val="000000"/>
                      <w:sz w:val="18"/>
                      <w:szCs w:val="18"/>
                    </w:rPr>
                    <w:t xml:space="preserve"> %</w:t>
                  </w:r>
                </w:p>
              </w:tc>
            </w:tr>
          </w:tbl>
          <w:p w:rsidR="007A6E55" w:rsidRPr="00012CD9" w:rsidRDefault="007A6E55" w:rsidP="00D15074">
            <w:pPr>
              <w:spacing w:after="200" w:line="276" w:lineRule="auto"/>
              <w:rPr>
                <w:rFonts w:asciiTheme="minorHAnsi" w:hAnsiTheme="minorHAnsi"/>
                <w:sz w:val="18"/>
                <w:szCs w:val="18"/>
                <w:lang w:eastAsia="en-US"/>
              </w:rPr>
            </w:pPr>
          </w:p>
        </w:tc>
      </w:tr>
    </w:tbl>
    <w:p w:rsidR="007A6E55" w:rsidRDefault="007A6E55" w:rsidP="007A6E55">
      <w:r>
        <w:t>*AU forholder sig ikke til får og geder i den faglige udredning. Hidtil har dyretypen af praktiske hensyn haft samme BAT-krav som ”Malkekøer, kvier og stude. Dybstrøelse”.</w:t>
      </w:r>
    </w:p>
    <w:p w:rsidR="007A6E55" w:rsidRDefault="007A6E55" w:rsidP="007A6E55">
      <w:pPr>
        <w:rPr>
          <w:iCs/>
        </w:rPr>
      </w:pPr>
    </w:p>
    <w:p w:rsidR="007A6E55" w:rsidRDefault="007A6E55" w:rsidP="00D15074">
      <w:pPr>
        <w:pStyle w:val="Overskrift3"/>
      </w:pPr>
      <w:bookmarkStart w:id="33" w:name="_Toc514857937"/>
      <w:r>
        <w:t>Forslag til nye emissionsgrænseværdier (BAT-krav) for eksist</w:t>
      </w:r>
      <w:r>
        <w:t>e</w:t>
      </w:r>
      <w:r>
        <w:t>rende kvægstalde, b</w:t>
      </w:r>
      <w:r w:rsidRPr="00200B8B">
        <w:t xml:space="preserve">ilag 3, tabel </w:t>
      </w:r>
      <w:r>
        <w:t>5</w:t>
      </w:r>
      <w:bookmarkEnd w:id="33"/>
    </w:p>
    <w:p w:rsidR="007A6E55" w:rsidRPr="00B820BB" w:rsidRDefault="007A6E55" w:rsidP="007A6E55">
      <w:pPr>
        <w:rPr>
          <w:iCs/>
        </w:rPr>
      </w:pPr>
      <w:r w:rsidRPr="00B820BB">
        <w:rPr>
          <w:iCs/>
        </w:rPr>
        <w:t>BAT-Krav til malkekøer var fastsat under antagelse om, at spalteskraber havde effekt på ammoniakemissionen.  Da spalteskraberen ikke længere er et dokume</w:t>
      </w:r>
      <w:r w:rsidRPr="00B820BB">
        <w:rPr>
          <w:iCs/>
        </w:rPr>
        <w:t>n</w:t>
      </w:r>
      <w:r w:rsidRPr="00B820BB">
        <w:rPr>
          <w:iCs/>
        </w:rPr>
        <w:t xml:space="preserve">teret virkemiddel, </w:t>
      </w:r>
      <w:r w:rsidR="005220A1">
        <w:rPr>
          <w:iCs/>
        </w:rPr>
        <w:t>har det</w:t>
      </w:r>
      <w:r w:rsidR="004F2941">
        <w:rPr>
          <w:iCs/>
        </w:rPr>
        <w:t>,</w:t>
      </w:r>
      <w:r w:rsidR="005220A1">
        <w:rPr>
          <w:iCs/>
        </w:rPr>
        <w:t xml:space="preserve"> siden spalteskraberen</w:t>
      </w:r>
      <w:r w:rsidR="004F2941">
        <w:rPr>
          <w:iCs/>
        </w:rPr>
        <w:t xml:space="preserve"> blev taget af</w:t>
      </w:r>
      <w:r w:rsidR="005220A1">
        <w:rPr>
          <w:iCs/>
        </w:rPr>
        <w:t xml:space="preserve"> Miljøstyrelsens te</w:t>
      </w:r>
      <w:r w:rsidR="005220A1">
        <w:rPr>
          <w:iCs/>
        </w:rPr>
        <w:t>k</w:t>
      </w:r>
      <w:r w:rsidR="005220A1">
        <w:rPr>
          <w:iCs/>
        </w:rPr>
        <w:t>nologiliste</w:t>
      </w:r>
      <w:r w:rsidR="004F2941">
        <w:rPr>
          <w:iCs/>
        </w:rPr>
        <w:t>,</w:t>
      </w:r>
      <w:r w:rsidR="005220A1">
        <w:rPr>
          <w:iCs/>
        </w:rPr>
        <w:t xml:space="preserve"> </w:t>
      </w:r>
      <w:r w:rsidRPr="00B820BB">
        <w:rPr>
          <w:iCs/>
        </w:rPr>
        <w:t xml:space="preserve">ikke </w:t>
      </w:r>
      <w:r w:rsidR="005220A1">
        <w:rPr>
          <w:iCs/>
        </w:rPr>
        <w:t xml:space="preserve">været </w:t>
      </w:r>
      <w:r w:rsidRPr="00B820BB">
        <w:rPr>
          <w:iCs/>
        </w:rPr>
        <w:t>muligt at overholde de særlige BAT-krav for eksisterende sengestalde til malkekøer, kvier og stue med eksisterende teknologier. BAT-krav for disse produktioner i eksisterende stalde foreslås derfor fastsat lig emissionsfa</w:t>
      </w:r>
      <w:r w:rsidRPr="00B820BB">
        <w:rPr>
          <w:iCs/>
        </w:rPr>
        <w:t>k</w:t>
      </w:r>
      <w:r w:rsidRPr="00B820BB">
        <w:rPr>
          <w:iCs/>
        </w:rPr>
        <w:t xml:space="preserve">toren for den pågældende dyretype og staldsystem, der fremgår af </w:t>
      </w:r>
      <w:r>
        <w:rPr>
          <w:iCs/>
        </w:rPr>
        <w:t xml:space="preserve">bilag 3, </w:t>
      </w:r>
      <w:r w:rsidRPr="00B820BB">
        <w:rPr>
          <w:iCs/>
        </w:rPr>
        <w:t>tabel 1.</w:t>
      </w:r>
    </w:p>
    <w:p w:rsidR="00926305" w:rsidRDefault="00926305">
      <w:pPr>
        <w:rPr>
          <w:rFonts w:asciiTheme="minorHAnsi" w:hAnsiTheme="minorHAnsi" w:cs="Tahoma"/>
          <w:i/>
          <w:iCs/>
          <w:color w:val="000000"/>
          <w:sz w:val="18"/>
          <w:szCs w:val="18"/>
        </w:rPr>
      </w:pPr>
      <w:r>
        <w:rPr>
          <w:rFonts w:asciiTheme="minorHAnsi" w:hAnsiTheme="minorHAnsi" w:cs="Tahoma"/>
          <w:i/>
          <w:iCs/>
          <w:color w:val="000000"/>
          <w:sz w:val="18"/>
          <w:szCs w:val="18"/>
        </w:rPr>
        <w:br w:type="page"/>
      </w:r>
    </w:p>
    <w:p w:rsidR="007A6E55" w:rsidRPr="00012CD9" w:rsidRDefault="007A6E55" w:rsidP="007A6E55">
      <w:pPr>
        <w:spacing w:before="100" w:beforeAutospacing="1" w:after="100" w:afterAutospacing="1" w:line="240" w:lineRule="auto"/>
        <w:rPr>
          <w:rFonts w:asciiTheme="minorHAnsi" w:hAnsiTheme="minorHAnsi" w:cs="Tahoma"/>
          <w:color w:val="000000"/>
          <w:sz w:val="18"/>
          <w:szCs w:val="18"/>
        </w:rPr>
      </w:pPr>
      <w:r w:rsidRPr="00012CD9">
        <w:rPr>
          <w:rFonts w:asciiTheme="minorHAnsi" w:hAnsiTheme="minorHAnsi" w:cs="Tahoma"/>
          <w:i/>
          <w:iCs/>
          <w:color w:val="000000"/>
          <w:sz w:val="18"/>
          <w:szCs w:val="18"/>
        </w:rPr>
        <w:lastRenderedPageBreak/>
        <w:t xml:space="preserve">Tabel </w:t>
      </w:r>
      <w:r>
        <w:rPr>
          <w:rFonts w:asciiTheme="minorHAnsi" w:hAnsiTheme="minorHAnsi" w:cs="Tahoma"/>
          <w:i/>
          <w:iCs/>
          <w:color w:val="000000"/>
          <w:sz w:val="18"/>
          <w:szCs w:val="18"/>
        </w:rPr>
        <w:t>5</w:t>
      </w:r>
      <w:r w:rsidRPr="00012CD9">
        <w:rPr>
          <w:rFonts w:asciiTheme="minorHAnsi" w:hAnsiTheme="minorHAnsi" w:cs="Tahoma"/>
          <w:i/>
          <w:iCs/>
          <w:color w:val="000000"/>
          <w:sz w:val="18"/>
          <w:szCs w:val="18"/>
        </w:rPr>
        <w:t xml:space="preserve">: </w:t>
      </w:r>
      <w:r>
        <w:rPr>
          <w:rFonts w:asciiTheme="minorHAnsi" w:hAnsiTheme="minorHAnsi" w:cs="Tahoma"/>
          <w:i/>
          <w:iCs/>
          <w:color w:val="000000"/>
          <w:sz w:val="18"/>
          <w:szCs w:val="18"/>
        </w:rPr>
        <w:t xml:space="preserve">Emissionsgrænseværdier (BAT-krav) for eksisterende kvægstalde </w:t>
      </w:r>
      <w:r w:rsidRPr="00012CD9">
        <w:rPr>
          <w:rFonts w:asciiTheme="minorHAnsi" w:hAnsiTheme="minorHAnsi" w:cs="Tahoma"/>
          <w:i/>
          <w:iCs/>
          <w:color w:val="000000"/>
          <w:sz w:val="18"/>
          <w:szCs w:val="18"/>
        </w:rPr>
        <w:t>angivet i kg NH</w:t>
      </w:r>
      <w:r w:rsidRPr="00CC753D">
        <w:rPr>
          <w:rFonts w:asciiTheme="minorHAnsi" w:hAnsiTheme="minorHAnsi" w:cs="Tahoma"/>
          <w:i/>
          <w:iCs/>
          <w:color w:val="000000"/>
          <w:sz w:val="18"/>
          <w:szCs w:val="18"/>
          <w:vertAlign w:val="subscript"/>
        </w:rPr>
        <w:t>3</w:t>
      </w:r>
      <w:r w:rsidRPr="00012CD9">
        <w:rPr>
          <w:rFonts w:asciiTheme="minorHAnsi" w:hAnsiTheme="minorHAnsi" w:cs="Tahoma"/>
          <w:i/>
          <w:iCs/>
          <w:color w:val="000000"/>
          <w:sz w:val="18"/>
          <w:szCs w:val="18"/>
        </w:rPr>
        <w:t>-N pr. m</w:t>
      </w:r>
      <w:r w:rsidRPr="00CC753D">
        <w:rPr>
          <w:rFonts w:asciiTheme="minorHAnsi" w:hAnsiTheme="minorHAnsi" w:cs="Tahoma"/>
          <w:i/>
          <w:iCs/>
          <w:color w:val="000000"/>
          <w:sz w:val="18"/>
          <w:szCs w:val="18"/>
          <w:vertAlign w:val="superscript"/>
        </w:rPr>
        <w:t>2</w:t>
      </w:r>
      <w:r w:rsidRPr="00012CD9">
        <w:rPr>
          <w:rFonts w:asciiTheme="minorHAnsi" w:hAnsiTheme="minorHAnsi" w:cs="Tahoma"/>
          <w:color w:val="000000"/>
          <w:sz w:val="18"/>
          <w:szCs w:val="18"/>
        </w:rPr>
        <w:t xml:space="preserve"> </w:t>
      </w:r>
      <w:r w:rsidRPr="00012CD9">
        <w:rPr>
          <w:rFonts w:asciiTheme="minorHAnsi" w:hAnsiTheme="minorHAnsi" w:cs="Tahoma"/>
          <w:i/>
          <w:iCs/>
          <w:color w:val="000000"/>
          <w:sz w:val="18"/>
          <w:szCs w:val="18"/>
        </w:rPr>
        <w:t>produktionsareal pr. år</w:t>
      </w:r>
      <w:r w:rsidRPr="00012CD9">
        <w:rPr>
          <w:rFonts w:asciiTheme="minorHAnsi" w:hAnsiTheme="minorHAnsi" w:cs="Tahoma"/>
          <w:color w:val="000000"/>
          <w:sz w:val="18"/>
          <w:szCs w:val="18"/>
        </w:rPr>
        <w:t xml:space="preserve"> </w:t>
      </w:r>
    </w:p>
    <w:tbl>
      <w:tblPr>
        <w:tblW w:w="0" w:type="auto"/>
        <w:tblLayout w:type="fixed"/>
        <w:tblCellMar>
          <w:left w:w="0" w:type="dxa"/>
          <w:right w:w="0" w:type="dxa"/>
        </w:tblCellMar>
        <w:tblLook w:val="04A0" w:firstRow="1" w:lastRow="0" w:firstColumn="1" w:lastColumn="0" w:noHBand="0" w:noVBand="1"/>
      </w:tblPr>
      <w:tblGrid>
        <w:gridCol w:w="8192"/>
      </w:tblGrid>
      <w:tr w:rsidR="007A6E55" w:rsidRPr="00012CD9" w:rsidTr="00D15074">
        <w:tc>
          <w:tcPr>
            <w:tcW w:w="8192" w:type="dxa"/>
            <w:hideMark/>
          </w:tcPr>
          <w:tbl>
            <w:tblPr>
              <w:tblW w:w="8172" w:type="dxa"/>
              <w:tblLayout w:type="fixed"/>
              <w:tblLook w:val="04A0" w:firstRow="1" w:lastRow="0" w:firstColumn="1" w:lastColumn="0" w:noHBand="0" w:noVBand="1"/>
            </w:tblPr>
            <w:tblGrid>
              <w:gridCol w:w="4668"/>
              <w:gridCol w:w="992"/>
              <w:gridCol w:w="1276"/>
              <w:gridCol w:w="1236"/>
            </w:tblGrid>
            <w:tr w:rsidR="007A6E55" w:rsidRPr="00012CD9" w:rsidTr="0046097A">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b/>
                      <w:bCs/>
                      <w:color w:val="000000"/>
                      <w:sz w:val="18"/>
                      <w:szCs w:val="18"/>
                    </w:rPr>
                    <w:t>Dyretype og staldsystem</w:t>
                  </w:r>
                  <w:r w:rsidRPr="00012CD9">
                    <w:rPr>
                      <w:rFonts w:asciiTheme="minorHAnsi" w:hAnsiTheme="minorHAnsi" w:cs="Tahoma"/>
                      <w:color w:val="000000"/>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jc w:val="center"/>
                    <w:rPr>
                      <w:rFonts w:asciiTheme="minorHAnsi" w:hAnsiTheme="minorHAnsi" w:cs="Tahoma"/>
                      <w:color w:val="000000"/>
                      <w:sz w:val="18"/>
                      <w:szCs w:val="18"/>
                    </w:rPr>
                  </w:pPr>
                  <w:r w:rsidRPr="00012CD9">
                    <w:rPr>
                      <w:rFonts w:asciiTheme="minorHAnsi" w:hAnsiTheme="minorHAnsi" w:cs="Tahoma"/>
                      <w:b/>
                      <w:bCs/>
                      <w:color w:val="000000"/>
                      <w:sz w:val="18"/>
                      <w:szCs w:val="18"/>
                    </w:rPr>
                    <w:t>Gældende</w:t>
                  </w:r>
                </w:p>
              </w:tc>
              <w:tc>
                <w:tcPr>
                  <w:tcW w:w="1276"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Komme</w:t>
                  </w:r>
                  <w:r w:rsidRPr="00012CD9">
                    <w:rPr>
                      <w:rFonts w:asciiTheme="minorHAnsi" w:hAnsiTheme="minorHAnsi" w:cs="Tahoma"/>
                      <w:b/>
                      <w:bCs/>
                      <w:color w:val="000000"/>
                      <w:sz w:val="18"/>
                      <w:szCs w:val="18"/>
                    </w:rPr>
                    <w:t>n</w:t>
                  </w:r>
                  <w:r w:rsidRPr="00012CD9">
                    <w:rPr>
                      <w:rFonts w:asciiTheme="minorHAnsi" w:hAnsiTheme="minorHAnsi" w:cs="Tahoma"/>
                      <w:b/>
                      <w:bCs/>
                      <w:color w:val="000000"/>
                      <w:sz w:val="18"/>
                      <w:szCs w:val="18"/>
                    </w:rPr>
                    <w:t>de</w:t>
                  </w:r>
                </w:p>
              </w:tc>
              <w:tc>
                <w:tcPr>
                  <w:tcW w:w="1236" w:type="dxa"/>
                  <w:tcBorders>
                    <w:top w:val="single" w:sz="8" w:space="0" w:color="000000"/>
                    <w:left w:val="single" w:sz="8" w:space="0" w:color="000000"/>
                    <w:bottom w:val="single" w:sz="8" w:space="0" w:color="000000"/>
                    <w:right w:val="single" w:sz="8" w:space="0" w:color="000000"/>
                  </w:tcBorders>
                </w:tcPr>
                <w:p w:rsidR="007A6E55" w:rsidRPr="00012CD9" w:rsidRDefault="007A6E55" w:rsidP="00D15074">
                  <w:pPr>
                    <w:spacing w:line="240" w:lineRule="auto"/>
                    <w:rPr>
                      <w:rFonts w:asciiTheme="minorHAnsi" w:hAnsiTheme="minorHAnsi" w:cs="Tahoma"/>
                      <w:b/>
                      <w:bCs/>
                      <w:color w:val="000000"/>
                      <w:sz w:val="18"/>
                      <w:szCs w:val="18"/>
                    </w:rPr>
                  </w:pPr>
                  <w:r w:rsidRPr="00012CD9">
                    <w:rPr>
                      <w:rFonts w:asciiTheme="minorHAnsi" w:hAnsiTheme="minorHAnsi" w:cs="Tahoma"/>
                      <w:b/>
                      <w:bCs/>
                      <w:color w:val="000000"/>
                      <w:sz w:val="18"/>
                      <w:szCs w:val="18"/>
                    </w:rPr>
                    <w:t>Relativ ændring</w:t>
                  </w:r>
                </w:p>
              </w:tc>
            </w:tr>
            <w:tr w:rsidR="007A6E55" w:rsidRPr="00012CD9" w:rsidTr="0046097A">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linespil)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27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Pr>
                      <w:rFonts w:asciiTheme="minorHAnsi" w:hAnsiTheme="minorHAnsi" w:cs="Tahoma"/>
                      <w:color w:val="000000"/>
                      <w:sz w:val="18"/>
                      <w:szCs w:val="18"/>
                    </w:rPr>
                    <w:t>1,16</w:t>
                  </w:r>
                </w:p>
              </w:tc>
              <w:tc>
                <w:tcPr>
                  <w:tcW w:w="123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w:t>
                  </w:r>
                  <w:r>
                    <w:rPr>
                      <w:rFonts w:asciiTheme="minorHAnsi" w:hAnsiTheme="minorHAnsi" w:cs="Tahoma"/>
                      <w:color w:val="000000"/>
                      <w:sz w:val="18"/>
                      <w:szCs w:val="18"/>
                    </w:rPr>
                    <w:t>73</w:t>
                  </w:r>
                  <w:r w:rsidRPr="008218C9">
                    <w:rPr>
                      <w:rFonts w:asciiTheme="minorHAnsi" w:hAnsiTheme="minorHAnsi" w:cs="Tahoma"/>
                      <w:color w:val="000000"/>
                      <w:sz w:val="18"/>
                      <w:szCs w:val="18"/>
                    </w:rPr>
                    <w:t xml:space="preserve"> %</w:t>
                  </w:r>
                </w:p>
              </w:tc>
            </w:tr>
            <w:tr w:rsidR="007A6E55" w:rsidRPr="00012CD9" w:rsidTr="0046097A">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Sengestald med spalter (kanal, bagskyl eller ringkanal)</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Pr>
                      <w:rFonts w:asciiTheme="minorHAnsi" w:hAnsiTheme="minorHAnsi" w:cs="Tahoma"/>
                      <w:color w:val="000000"/>
                      <w:sz w:val="18"/>
                      <w:szCs w:val="18"/>
                    </w:rPr>
                    <w:t>1,0</w:t>
                  </w:r>
                </w:p>
              </w:tc>
              <w:tc>
                <w:tcPr>
                  <w:tcW w:w="127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Pr>
                      <w:rFonts w:asciiTheme="minorHAnsi" w:hAnsiTheme="minorHAnsi" w:cs="Tahoma"/>
                      <w:color w:val="000000"/>
                      <w:sz w:val="18"/>
                      <w:szCs w:val="18"/>
                    </w:rPr>
                    <w:t>1,16*</w:t>
                  </w:r>
                </w:p>
              </w:tc>
              <w:tc>
                <w:tcPr>
                  <w:tcW w:w="123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w:t>
                  </w:r>
                  <w:r>
                    <w:rPr>
                      <w:rFonts w:asciiTheme="minorHAnsi" w:hAnsiTheme="minorHAnsi" w:cs="Tahoma"/>
                      <w:color w:val="000000"/>
                      <w:sz w:val="18"/>
                      <w:szCs w:val="18"/>
                    </w:rPr>
                    <w:t>16</w:t>
                  </w:r>
                  <w:r w:rsidRPr="008218C9">
                    <w:rPr>
                      <w:rFonts w:asciiTheme="minorHAnsi" w:hAnsiTheme="minorHAnsi" w:cs="Tahoma"/>
                      <w:color w:val="000000"/>
                      <w:sz w:val="18"/>
                      <w:szCs w:val="18"/>
                    </w:rPr>
                    <w:t xml:space="preserve"> %</w:t>
                  </w:r>
                </w:p>
              </w:tc>
            </w:tr>
            <w:tr w:rsidR="007A6E55" w:rsidRPr="00012CD9" w:rsidTr="0046097A">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012CD9" w:rsidRDefault="007A6E55" w:rsidP="00D15074">
                  <w:pPr>
                    <w:spacing w:line="240" w:lineRule="auto"/>
                    <w:rPr>
                      <w:rFonts w:asciiTheme="minorHAnsi" w:hAnsiTheme="minorHAnsi" w:cs="Tahoma"/>
                      <w:color w:val="000000"/>
                      <w:sz w:val="18"/>
                      <w:szCs w:val="18"/>
                    </w:rPr>
                  </w:pPr>
                  <w:r w:rsidRPr="00012CD9">
                    <w:rPr>
                      <w:rFonts w:asciiTheme="minorHAnsi" w:hAnsiTheme="minorHAnsi" w:cs="Tahoma"/>
                      <w:color w:val="000000"/>
                      <w:sz w:val="18"/>
                      <w:szCs w:val="18"/>
                    </w:rPr>
                    <w:t>Malkekøer, kvier og stude. Fast drænet gulv med skraber og ajleafløb</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A6E55" w:rsidRPr="00200B8B" w:rsidRDefault="007A6E55" w:rsidP="00D15074">
                  <w:pPr>
                    <w:spacing w:line="240" w:lineRule="auto"/>
                    <w:jc w:val="center"/>
                    <w:rPr>
                      <w:rFonts w:asciiTheme="minorHAnsi" w:hAnsiTheme="minorHAnsi" w:cs="Tahoma"/>
                      <w:color w:val="000000"/>
                      <w:sz w:val="18"/>
                      <w:szCs w:val="18"/>
                    </w:rPr>
                  </w:pPr>
                  <w:r w:rsidRPr="00200B8B">
                    <w:rPr>
                      <w:rFonts w:asciiTheme="minorHAnsi" w:hAnsiTheme="minorHAnsi" w:cs="Tahoma"/>
                      <w:color w:val="000000"/>
                      <w:sz w:val="18"/>
                      <w:szCs w:val="18"/>
                    </w:rPr>
                    <w:t>0,67</w:t>
                  </w:r>
                </w:p>
              </w:tc>
              <w:tc>
                <w:tcPr>
                  <w:tcW w:w="127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0D04A9">
                    <w:rPr>
                      <w:rFonts w:asciiTheme="minorHAnsi" w:hAnsiTheme="minorHAnsi" w:cs="Tahoma"/>
                      <w:color w:val="000000"/>
                      <w:sz w:val="18"/>
                      <w:szCs w:val="18"/>
                    </w:rPr>
                    <w:t>0,89</w:t>
                  </w:r>
                </w:p>
              </w:tc>
              <w:tc>
                <w:tcPr>
                  <w:tcW w:w="1236" w:type="dxa"/>
                  <w:tcBorders>
                    <w:top w:val="single" w:sz="8" w:space="0" w:color="000000"/>
                    <w:left w:val="single" w:sz="8" w:space="0" w:color="000000"/>
                    <w:bottom w:val="single" w:sz="8" w:space="0" w:color="000000"/>
                    <w:right w:val="single" w:sz="8" w:space="0" w:color="000000"/>
                  </w:tcBorders>
                </w:tcPr>
                <w:p w:rsidR="007A6E55" w:rsidRDefault="007A6E55" w:rsidP="00D15074">
                  <w:pPr>
                    <w:jc w:val="center"/>
                  </w:pPr>
                  <w:r w:rsidRPr="008218C9">
                    <w:rPr>
                      <w:rFonts w:asciiTheme="minorHAnsi" w:hAnsiTheme="minorHAnsi" w:cs="Tahoma"/>
                      <w:color w:val="000000"/>
                      <w:sz w:val="18"/>
                      <w:szCs w:val="18"/>
                    </w:rPr>
                    <w:t>+33 %</w:t>
                  </w:r>
                </w:p>
              </w:tc>
            </w:tr>
          </w:tbl>
          <w:p w:rsidR="007A6E55" w:rsidRPr="00012CD9" w:rsidRDefault="007A6E55" w:rsidP="00D15074">
            <w:pPr>
              <w:spacing w:after="200" w:line="276" w:lineRule="auto"/>
              <w:rPr>
                <w:rFonts w:asciiTheme="minorHAnsi" w:hAnsiTheme="minorHAnsi"/>
                <w:sz w:val="18"/>
                <w:szCs w:val="18"/>
                <w:lang w:eastAsia="en-US"/>
              </w:rPr>
            </w:pPr>
          </w:p>
        </w:tc>
      </w:tr>
    </w:tbl>
    <w:p w:rsidR="007A6E55" w:rsidRDefault="007A6E55" w:rsidP="007A6E55">
      <w:r>
        <w:t>*Allerede fastsatte vilkår fra tidligere godkendelser om anvendelse af fx gyllefors</w:t>
      </w:r>
      <w:r>
        <w:t>u</w:t>
      </w:r>
      <w:r>
        <w:t>ring videreføres</w:t>
      </w:r>
      <w:r w:rsidR="0046097A">
        <w:t>,</w:t>
      </w:r>
      <w:r>
        <w:t xml:space="preserve"> jf. regler i husdyrgodkendelsesbekendtgørelsen</w:t>
      </w:r>
      <w:r w:rsidR="0046097A">
        <w:t>,</w:t>
      </w:r>
      <w:r>
        <w:t xml:space="preserve"> bilag 3, afsnit 2.1.2.</w:t>
      </w:r>
    </w:p>
    <w:p w:rsidR="007A6E55" w:rsidRDefault="007A6E55" w:rsidP="007A6E55"/>
    <w:p w:rsidR="007A6E55" w:rsidRDefault="007A6E55" w:rsidP="007A6E55">
      <w:r>
        <w:t>Bortfaldet af spalteskraber og de ændrede BAT-krav til eksisterende kvægstalde betyder, at disse tre ”Dyretype og staldsystem” udgår af tabel 5 og BAT-kravet sæ</w:t>
      </w:r>
      <w:r>
        <w:t>t</w:t>
      </w:r>
      <w:r>
        <w:t>tes lig emissionsfaktorerne på linje med øvrige dyretyper og staldsystemer, hvor der ikke er fastsat BAT-krav for eksisterende stalde.</w:t>
      </w:r>
    </w:p>
    <w:p w:rsidR="007A6E55" w:rsidRDefault="007A6E55" w:rsidP="007A6E55"/>
    <w:p w:rsidR="00306AE8" w:rsidRDefault="002F435A" w:rsidP="00356140">
      <w:pPr>
        <w:pStyle w:val="Overskrift2"/>
      </w:pPr>
      <w:bookmarkStart w:id="34" w:name="_Toc514857938"/>
      <w:bookmarkStart w:id="35" w:name="_Toc510619940"/>
      <w:r>
        <w:t xml:space="preserve">Nye </w:t>
      </w:r>
      <w:r w:rsidRPr="002F435A">
        <w:t>e</w:t>
      </w:r>
      <w:r w:rsidR="00411762" w:rsidRPr="002F435A">
        <w:t xml:space="preserve">missionsfaktorer for </w:t>
      </w:r>
      <w:r w:rsidR="00411762" w:rsidRPr="00F2018F">
        <w:t>husdyrbrug med avlstyre</w:t>
      </w:r>
      <w:bookmarkEnd w:id="34"/>
      <w:r w:rsidR="00411762" w:rsidRPr="00F2018F">
        <w:t xml:space="preserve"> </w:t>
      </w:r>
      <w:bookmarkEnd w:id="35"/>
    </w:p>
    <w:p w:rsidR="00411762" w:rsidRDefault="00411762" w:rsidP="00C374EB">
      <w:pPr>
        <w:rPr>
          <w:szCs w:val="22"/>
        </w:rPr>
      </w:pPr>
      <w:r>
        <w:rPr>
          <w:szCs w:val="22"/>
        </w:rPr>
        <w:t>I bilag 3, pkt. A, tabel 1</w:t>
      </w:r>
      <w:r w:rsidR="00F22EEF">
        <w:rPr>
          <w:szCs w:val="22"/>
        </w:rPr>
        <w:t xml:space="preserve"> og 4</w:t>
      </w:r>
      <w:r>
        <w:rPr>
          <w:szCs w:val="22"/>
        </w:rPr>
        <w:t>,</w:t>
      </w:r>
      <w:r w:rsidR="00EF7465">
        <w:rPr>
          <w:szCs w:val="22"/>
        </w:rPr>
        <w:t xml:space="preserve"> </w:t>
      </w:r>
      <w:r w:rsidR="00810FBE">
        <w:rPr>
          <w:szCs w:val="22"/>
        </w:rPr>
        <w:t xml:space="preserve">og bilag 3, pkt. B, tabel 6, </w:t>
      </w:r>
      <w:r>
        <w:rPr>
          <w:szCs w:val="22"/>
        </w:rPr>
        <w:t>foreslås der tilføjet særskilt</w:t>
      </w:r>
      <w:r w:rsidR="00810FBE">
        <w:rPr>
          <w:szCs w:val="22"/>
        </w:rPr>
        <w:t>e</w:t>
      </w:r>
      <w:r>
        <w:rPr>
          <w:szCs w:val="22"/>
        </w:rPr>
        <w:t xml:space="preserve"> emissionsfaktor</w:t>
      </w:r>
      <w:r w:rsidR="00810FBE">
        <w:rPr>
          <w:szCs w:val="22"/>
        </w:rPr>
        <w:t xml:space="preserve">er </w:t>
      </w:r>
      <w:r w:rsidR="006E7F25">
        <w:rPr>
          <w:szCs w:val="22"/>
        </w:rPr>
        <w:t xml:space="preserve">for </w:t>
      </w:r>
      <w:r w:rsidR="00810FBE">
        <w:rPr>
          <w:szCs w:val="22"/>
        </w:rPr>
        <w:t>ammoniak- og lugtemissioner</w:t>
      </w:r>
      <w:r>
        <w:rPr>
          <w:szCs w:val="22"/>
        </w:rPr>
        <w:t xml:space="preserve"> for avlstyre,</w:t>
      </w:r>
      <w:r w:rsidR="00EF7465">
        <w:rPr>
          <w:szCs w:val="22"/>
        </w:rPr>
        <w:t xml:space="preserve"> der har</w:t>
      </w:r>
      <w:r>
        <w:rPr>
          <w:szCs w:val="22"/>
        </w:rPr>
        <w:t xml:space="preserve"> mindst 20 m</w:t>
      </w:r>
      <w:r>
        <w:rPr>
          <w:szCs w:val="22"/>
          <w:vertAlign w:val="superscript"/>
        </w:rPr>
        <w:t>2</w:t>
      </w:r>
      <w:r>
        <w:rPr>
          <w:szCs w:val="22"/>
        </w:rPr>
        <w:t xml:space="preserve"> produktionsareal pr. dyr</w:t>
      </w:r>
      <w:r w:rsidR="00EF7465">
        <w:rPr>
          <w:szCs w:val="22"/>
        </w:rPr>
        <w:t xml:space="preserve"> </w:t>
      </w:r>
      <w:r w:rsidR="00F22EEF">
        <w:rPr>
          <w:szCs w:val="22"/>
        </w:rPr>
        <w:t xml:space="preserve">i gennemsnit </w:t>
      </w:r>
      <w:r w:rsidR="00EF7465">
        <w:rPr>
          <w:szCs w:val="22"/>
        </w:rPr>
        <w:t>på ethvert tidspunkt af året</w:t>
      </w:r>
      <w:r>
        <w:rPr>
          <w:szCs w:val="22"/>
        </w:rPr>
        <w:t xml:space="preserve">. </w:t>
      </w:r>
    </w:p>
    <w:p w:rsidR="00411762" w:rsidRDefault="00411762" w:rsidP="00C374EB">
      <w:pPr>
        <w:rPr>
          <w:szCs w:val="22"/>
        </w:rPr>
      </w:pPr>
    </w:p>
    <w:p w:rsidR="008D117C" w:rsidRDefault="008D117C" w:rsidP="00411762">
      <w:pPr>
        <w:rPr>
          <w:szCs w:val="22"/>
        </w:rPr>
      </w:pPr>
      <w:r w:rsidRPr="008D117C">
        <w:rPr>
          <w:szCs w:val="22"/>
        </w:rPr>
        <w:t>Avlstyre indgår i de officielle nor</w:t>
      </w:r>
      <w:r>
        <w:rPr>
          <w:szCs w:val="22"/>
        </w:rPr>
        <w:t>mtal, som an</w:t>
      </w:r>
      <w:r w:rsidRPr="008D117C">
        <w:rPr>
          <w:szCs w:val="22"/>
        </w:rPr>
        <w:t>vendes i gødningsregnskaberne, hvor det i Vejledningen om gødsknings- og harmoniregler for 2017/2018 er angivet i note 4) og 5), hvorledes kvælstof- og fosforindholdet for avlstyre skal beregnes ud fra normen for slagtekalve og derfor kan betragtes som en selvstændig kategori. Der har også i mange år været en særskilt omregningsfaktor for dyreenheder for avlstyre. I forhold til ammoniakberegningerne har den dog ikke fået en selvstæ</w:t>
      </w:r>
      <w:r w:rsidRPr="008D117C">
        <w:rPr>
          <w:szCs w:val="22"/>
        </w:rPr>
        <w:t>n</w:t>
      </w:r>
      <w:r w:rsidRPr="008D117C">
        <w:rPr>
          <w:szCs w:val="22"/>
        </w:rPr>
        <w:t xml:space="preserve">dig norm i Husdyrgodkendelse.dk, og de skal derfor </w:t>
      </w:r>
      <w:r>
        <w:rPr>
          <w:szCs w:val="22"/>
        </w:rPr>
        <w:t xml:space="preserve">i dag </w:t>
      </w:r>
      <w:r w:rsidRPr="008D117C">
        <w:rPr>
          <w:szCs w:val="22"/>
        </w:rPr>
        <w:t xml:space="preserve">angives som slagtekalve. </w:t>
      </w:r>
    </w:p>
    <w:p w:rsidR="008D117C" w:rsidRDefault="008D117C" w:rsidP="00411762">
      <w:pPr>
        <w:rPr>
          <w:szCs w:val="22"/>
        </w:rPr>
      </w:pPr>
    </w:p>
    <w:p w:rsidR="00072A0D" w:rsidRDefault="008D117C" w:rsidP="00411762">
      <w:pPr>
        <w:rPr>
          <w:szCs w:val="22"/>
        </w:rPr>
      </w:pPr>
      <w:r>
        <w:rPr>
          <w:szCs w:val="22"/>
        </w:rPr>
        <w:t>D</w:t>
      </w:r>
      <w:r w:rsidR="00810FBE">
        <w:rPr>
          <w:szCs w:val="22"/>
        </w:rPr>
        <w:t>en forudsætning</w:t>
      </w:r>
      <w:r w:rsidR="00461A16" w:rsidRPr="00461A16">
        <w:rPr>
          <w:szCs w:val="22"/>
        </w:rPr>
        <w:t xml:space="preserve"> </w:t>
      </w:r>
      <w:r w:rsidR="00461A16">
        <w:rPr>
          <w:szCs w:val="22"/>
        </w:rPr>
        <w:t>om</w:t>
      </w:r>
      <w:r>
        <w:rPr>
          <w:szCs w:val="22"/>
        </w:rPr>
        <w:t>,</w:t>
      </w:r>
      <w:r w:rsidR="00461A16">
        <w:rPr>
          <w:szCs w:val="22"/>
        </w:rPr>
        <w:t xml:space="preserve"> at produktionsarealet kan udnyttes fuldt ud inden for ra</w:t>
      </w:r>
      <w:r w:rsidR="00461A16">
        <w:rPr>
          <w:szCs w:val="22"/>
        </w:rPr>
        <w:t>m</w:t>
      </w:r>
      <w:r w:rsidR="00461A16">
        <w:rPr>
          <w:szCs w:val="22"/>
        </w:rPr>
        <w:t xml:space="preserve">merne af dyrevelfærdsreglerne, </w:t>
      </w:r>
      <w:r w:rsidR="00461A16" w:rsidRPr="00411762">
        <w:rPr>
          <w:szCs w:val="22"/>
        </w:rPr>
        <w:t>økologireglerne</w:t>
      </w:r>
      <w:r w:rsidR="00461A16">
        <w:rPr>
          <w:szCs w:val="22"/>
        </w:rPr>
        <w:t xml:space="preserve"> m.v.</w:t>
      </w:r>
      <w:r w:rsidR="00810FBE">
        <w:rPr>
          <w:szCs w:val="22"/>
        </w:rPr>
        <w:t>, der ligger til grund for e</w:t>
      </w:r>
      <w:r w:rsidR="00810FBE">
        <w:rPr>
          <w:szCs w:val="22"/>
        </w:rPr>
        <w:t>k</w:t>
      </w:r>
      <w:r w:rsidR="00810FBE">
        <w:rPr>
          <w:szCs w:val="22"/>
        </w:rPr>
        <w:t>sempelvis emissionsfaktorerne for slagtekalve</w:t>
      </w:r>
      <w:r w:rsidR="00461A16">
        <w:rPr>
          <w:szCs w:val="22"/>
        </w:rPr>
        <w:t xml:space="preserve">, </w:t>
      </w:r>
      <w:r w:rsidR="00810FBE">
        <w:rPr>
          <w:szCs w:val="22"/>
        </w:rPr>
        <w:t>gør sig</w:t>
      </w:r>
      <w:r>
        <w:rPr>
          <w:szCs w:val="22"/>
        </w:rPr>
        <w:t xml:space="preserve"> imidlertid ikke</w:t>
      </w:r>
      <w:r w:rsidR="00810FBE">
        <w:rPr>
          <w:szCs w:val="22"/>
        </w:rPr>
        <w:t xml:space="preserve"> gældende for visse produktioner af avlstyre. </w:t>
      </w:r>
      <w:r>
        <w:rPr>
          <w:szCs w:val="22"/>
        </w:rPr>
        <w:t>I forbindelse med offentlig høring over de seneste ændringer af husdyrgodkendelsesbekendtgørelsen</w:t>
      </w:r>
      <w:r w:rsidR="00D3738E">
        <w:rPr>
          <w:szCs w:val="22"/>
        </w:rPr>
        <w:t xml:space="preserve"> blev der </w:t>
      </w:r>
      <w:r>
        <w:rPr>
          <w:szCs w:val="22"/>
        </w:rPr>
        <w:t>efterspurgt selvstænd</w:t>
      </w:r>
      <w:r>
        <w:rPr>
          <w:szCs w:val="22"/>
        </w:rPr>
        <w:t>i</w:t>
      </w:r>
      <w:r>
        <w:rPr>
          <w:szCs w:val="22"/>
        </w:rPr>
        <w:t xml:space="preserve">ge emissionsfaktorer for </w:t>
      </w:r>
      <w:r w:rsidR="00810FBE">
        <w:rPr>
          <w:szCs w:val="22"/>
        </w:rPr>
        <w:t>produktioner</w:t>
      </w:r>
      <w:r>
        <w:rPr>
          <w:szCs w:val="22"/>
        </w:rPr>
        <w:t xml:space="preserve"> af avlstyre</w:t>
      </w:r>
      <w:r w:rsidR="00810FBE">
        <w:rPr>
          <w:szCs w:val="22"/>
        </w:rPr>
        <w:t xml:space="preserve"> </w:t>
      </w:r>
      <w:r w:rsidR="0064546E">
        <w:rPr>
          <w:szCs w:val="22"/>
        </w:rPr>
        <w:t>(</w:t>
      </w:r>
      <w:r w:rsidR="00810FBE">
        <w:rPr>
          <w:szCs w:val="22"/>
        </w:rPr>
        <w:t>tyrestationer</w:t>
      </w:r>
      <w:r w:rsidR="0064546E">
        <w:rPr>
          <w:szCs w:val="22"/>
        </w:rPr>
        <w:t>)</w:t>
      </w:r>
      <w:r>
        <w:rPr>
          <w:szCs w:val="22"/>
        </w:rPr>
        <w:t xml:space="preserve">, hvor </w:t>
      </w:r>
      <w:r w:rsidR="00B139EF">
        <w:rPr>
          <w:szCs w:val="22"/>
        </w:rPr>
        <w:t xml:space="preserve">der </w:t>
      </w:r>
      <w:r w:rsidR="00810FBE">
        <w:rPr>
          <w:szCs w:val="22"/>
        </w:rPr>
        <w:t>typisk</w:t>
      </w:r>
      <w:r w:rsidR="00411762" w:rsidRPr="00411762">
        <w:rPr>
          <w:szCs w:val="22"/>
        </w:rPr>
        <w:t xml:space="preserve"> </w:t>
      </w:r>
      <w:r>
        <w:rPr>
          <w:szCs w:val="22"/>
        </w:rPr>
        <w:t xml:space="preserve">er </w:t>
      </w:r>
      <w:r w:rsidR="00B139EF">
        <w:rPr>
          <w:szCs w:val="22"/>
        </w:rPr>
        <w:t xml:space="preserve">3-4 gange så meget plads pr. </w:t>
      </w:r>
      <w:r w:rsidR="00926305">
        <w:rPr>
          <w:szCs w:val="22"/>
        </w:rPr>
        <w:t>d</w:t>
      </w:r>
      <w:r w:rsidR="00B139EF">
        <w:rPr>
          <w:szCs w:val="22"/>
        </w:rPr>
        <w:t>yr</w:t>
      </w:r>
      <w:r w:rsidR="00411762" w:rsidRPr="00411762">
        <w:rPr>
          <w:szCs w:val="22"/>
        </w:rPr>
        <w:t xml:space="preserve"> </w:t>
      </w:r>
      <w:r w:rsidR="00B139EF">
        <w:rPr>
          <w:szCs w:val="22"/>
        </w:rPr>
        <w:t xml:space="preserve">som foreskrevet i dyrevelfærdsreglerne. </w:t>
      </w:r>
    </w:p>
    <w:p w:rsidR="00072A0D" w:rsidRDefault="00072A0D" w:rsidP="00F2018F">
      <w:pPr>
        <w:shd w:val="clear" w:color="auto" w:fill="FFFFFF" w:themeFill="background1"/>
        <w:tabs>
          <w:tab w:val="left" w:pos="4120"/>
        </w:tabs>
        <w:spacing w:line="260" w:lineRule="exact"/>
        <w:rPr>
          <w:szCs w:val="22"/>
        </w:rPr>
      </w:pPr>
    </w:p>
    <w:p w:rsidR="00B139EF" w:rsidRDefault="00970524" w:rsidP="00411762">
      <w:pPr>
        <w:rPr>
          <w:szCs w:val="22"/>
        </w:rPr>
      </w:pPr>
      <w:r>
        <w:rPr>
          <w:szCs w:val="22"/>
        </w:rPr>
        <w:t xml:space="preserve">Miljø- og Fødevareministeriet </w:t>
      </w:r>
      <w:r w:rsidR="00D3738E">
        <w:rPr>
          <w:szCs w:val="22"/>
        </w:rPr>
        <w:t>har på den baggrund</w:t>
      </w:r>
      <w:r w:rsidR="00306AE8">
        <w:rPr>
          <w:szCs w:val="22"/>
        </w:rPr>
        <w:t xml:space="preserve"> fået</w:t>
      </w:r>
      <w:r w:rsidR="00D3738E">
        <w:rPr>
          <w:szCs w:val="22"/>
        </w:rPr>
        <w:t xml:space="preserve"> </w:t>
      </w:r>
      <w:r>
        <w:rPr>
          <w:szCs w:val="22"/>
        </w:rPr>
        <w:t xml:space="preserve">Aarhus Universitet </w:t>
      </w:r>
      <w:r w:rsidR="00306AE8">
        <w:rPr>
          <w:szCs w:val="22"/>
        </w:rPr>
        <w:t xml:space="preserve">til at </w:t>
      </w:r>
      <w:r w:rsidR="00D3738E">
        <w:rPr>
          <w:szCs w:val="22"/>
        </w:rPr>
        <w:t>beregn</w:t>
      </w:r>
      <w:r w:rsidR="00306AE8">
        <w:rPr>
          <w:szCs w:val="22"/>
        </w:rPr>
        <w:t>e</w:t>
      </w:r>
      <w:r w:rsidR="00D3738E">
        <w:rPr>
          <w:szCs w:val="22"/>
        </w:rPr>
        <w:t xml:space="preserve"> </w:t>
      </w:r>
      <w:r>
        <w:rPr>
          <w:szCs w:val="22"/>
        </w:rPr>
        <w:t>e</w:t>
      </w:r>
      <w:r w:rsidR="00B139EF">
        <w:rPr>
          <w:szCs w:val="22"/>
        </w:rPr>
        <w:t>mission</w:t>
      </w:r>
      <w:r w:rsidR="00D3738E">
        <w:rPr>
          <w:szCs w:val="22"/>
        </w:rPr>
        <w:t>er</w:t>
      </w:r>
      <w:r w:rsidR="00B139EF">
        <w:rPr>
          <w:szCs w:val="22"/>
        </w:rPr>
        <w:t xml:space="preserve"> </w:t>
      </w:r>
      <w:r w:rsidR="00D3738E">
        <w:rPr>
          <w:szCs w:val="22"/>
        </w:rPr>
        <w:t xml:space="preserve">fra </w:t>
      </w:r>
      <w:r w:rsidR="00B139EF">
        <w:rPr>
          <w:szCs w:val="22"/>
        </w:rPr>
        <w:t>sådanne produktionsarealer med avlstyre</w:t>
      </w:r>
      <w:r w:rsidR="00D3738E">
        <w:rPr>
          <w:szCs w:val="22"/>
        </w:rPr>
        <w:t xml:space="preserve"> med henblik på fastsættelse af selvstændige emissionsfaktorer i bekendtgørelsen</w:t>
      </w:r>
      <w:r w:rsidR="00B139EF">
        <w:rPr>
          <w:szCs w:val="22"/>
        </w:rPr>
        <w:t>.</w:t>
      </w:r>
      <w:r w:rsidR="00D3738E">
        <w:rPr>
          <w:szCs w:val="22"/>
        </w:rPr>
        <w:t xml:space="preserve"> </w:t>
      </w:r>
      <w:r w:rsidR="00B139EF">
        <w:rPr>
          <w:szCs w:val="22"/>
        </w:rPr>
        <w:t xml:space="preserve">De foreslåede emissionsfaktorer </w:t>
      </w:r>
      <w:r w:rsidR="004F2941">
        <w:rPr>
          <w:szCs w:val="22"/>
        </w:rPr>
        <w:t xml:space="preserve">er </w:t>
      </w:r>
      <w:r w:rsidR="00D3738E">
        <w:rPr>
          <w:szCs w:val="22"/>
        </w:rPr>
        <w:t xml:space="preserve">i overensstemmelse med </w:t>
      </w:r>
      <w:r w:rsidR="00411762" w:rsidRPr="00411762">
        <w:rPr>
          <w:szCs w:val="22"/>
        </w:rPr>
        <w:t>Aarhus Universitet</w:t>
      </w:r>
      <w:r w:rsidR="00D3738E">
        <w:rPr>
          <w:szCs w:val="22"/>
        </w:rPr>
        <w:t xml:space="preserve">s beregning, som er foretaget </w:t>
      </w:r>
      <w:r w:rsidR="00B139EF">
        <w:rPr>
          <w:szCs w:val="22"/>
        </w:rPr>
        <w:t>ud fra samme faglige tilgang som beregningen af de øvrige emission</w:t>
      </w:r>
      <w:r w:rsidR="00B139EF">
        <w:rPr>
          <w:szCs w:val="22"/>
        </w:rPr>
        <w:t>s</w:t>
      </w:r>
      <w:r w:rsidR="00B139EF">
        <w:rPr>
          <w:szCs w:val="22"/>
        </w:rPr>
        <w:t xml:space="preserve">faktorer i bekendtgørelsen og </w:t>
      </w:r>
      <w:r w:rsidR="00D3738E">
        <w:rPr>
          <w:szCs w:val="22"/>
        </w:rPr>
        <w:t>ud fra oplysninger om en konkret produktion af avl</w:t>
      </w:r>
      <w:r w:rsidR="00D3738E">
        <w:rPr>
          <w:szCs w:val="22"/>
        </w:rPr>
        <w:t>s</w:t>
      </w:r>
      <w:r w:rsidR="00D3738E">
        <w:rPr>
          <w:szCs w:val="22"/>
        </w:rPr>
        <w:t xml:space="preserve">tyre, herunder </w:t>
      </w:r>
      <w:r w:rsidR="00B139EF">
        <w:rPr>
          <w:szCs w:val="22"/>
        </w:rPr>
        <w:t xml:space="preserve">en forudsætning om at avlstyrene </w:t>
      </w:r>
      <w:r w:rsidR="00B329C7">
        <w:rPr>
          <w:szCs w:val="22"/>
        </w:rPr>
        <w:t xml:space="preserve">i gennemsnit </w:t>
      </w:r>
      <w:r w:rsidR="00B139EF">
        <w:rPr>
          <w:szCs w:val="22"/>
        </w:rPr>
        <w:t xml:space="preserve">har </w:t>
      </w:r>
      <w:r w:rsidR="003F0F78">
        <w:rPr>
          <w:szCs w:val="22"/>
        </w:rPr>
        <w:t xml:space="preserve">mindst </w:t>
      </w:r>
      <w:r w:rsidR="00B139EF">
        <w:rPr>
          <w:szCs w:val="22"/>
        </w:rPr>
        <w:t>20 m</w:t>
      </w:r>
      <w:r w:rsidR="00B139EF">
        <w:rPr>
          <w:szCs w:val="22"/>
          <w:vertAlign w:val="superscript"/>
        </w:rPr>
        <w:t>2</w:t>
      </w:r>
      <w:r w:rsidR="00B139EF">
        <w:rPr>
          <w:szCs w:val="22"/>
        </w:rPr>
        <w:t xml:space="preserve"> pr. dyr</w:t>
      </w:r>
      <w:r w:rsidR="00411762" w:rsidRPr="00411762">
        <w:rPr>
          <w:szCs w:val="22"/>
        </w:rPr>
        <w:t xml:space="preserve">. </w:t>
      </w:r>
    </w:p>
    <w:p w:rsidR="00B139EF" w:rsidRDefault="00B139EF" w:rsidP="00411762">
      <w:pPr>
        <w:rPr>
          <w:szCs w:val="22"/>
        </w:rPr>
      </w:pPr>
    </w:p>
    <w:p w:rsidR="00316933" w:rsidRDefault="002D2891" w:rsidP="00316933">
      <w:pPr>
        <w:rPr>
          <w:szCs w:val="22"/>
        </w:rPr>
      </w:pPr>
      <w:r>
        <w:rPr>
          <w:szCs w:val="22"/>
        </w:rPr>
        <w:lastRenderedPageBreak/>
        <w:t xml:space="preserve">De tilfælde, hvor </w:t>
      </w:r>
      <w:r w:rsidR="00D3738E">
        <w:rPr>
          <w:szCs w:val="22"/>
        </w:rPr>
        <w:t xml:space="preserve">de foreslåede </w:t>
      </w:r>
      <w:r>
        <w:rPr>
          <w:szCs w:val="22"/>
        </w:rPr>
        <w:t>e</w:t>
      </w:r>
      <w:r w:rsidR="00B139EF">
        <w:rPr>
          <w:szCs w:val="22"/>
        </w:rPr>
        <w:t>missionsfakto</w:t>
      </w:r>
      <w:r>
        <w:rPr>
          <w:szCs w:val="22"/>
        </w:rPr>
        <w:t>rer</w:t>
      </w:r>
      <w:r w:rsidR="00D3738E">
        <w:rPr>
          <w:szCs w:val="22"/>
        </w:rPr>
        <w:t xml:space="preserve"> i tabel </w:t>
      </w:r>
      <w:r w:rsidR="003864F5">
        <w:rPr>
          <w:szCs w:val="22"/>
        </w:rPr>
        <w:t>4</w:t>
      </w:r>
      <w:r w:rsidR="00D3738E">
        <w:rPr>
          <w:szCs w:val="22"/>
        </w:rPr>
        <w:t xml:space="preserve"> (ammoniak) og 6 (lugt)</w:t>
      </w:r>
      <w:r>
        <w:rPr>
          <w:szCs w:val="22"/>
        </w:rPr>
        <w:t xml:space="preserve"> kan anvendes</w:t>
      </w:r>
      <w:r w:rsidR="003F0F78">
        <w:rPr>
          <w:szCs w:val="22"/>
        </w:rPr>
        <w:t>,</w:t>
      </w:r>
      <w:r>
        <w:rPr>
          <w:szCs w:val="22"/>
        </w:rPr>
        <w:t xml:space="preserve"> er i overensstemmelse hermed begrænset til produktioner, hvor </w:t>
      </w:r>
      <w:r w:rsidR="00D3738E">
        <w:rPr>
          <w:szCs w:val="22"/>
        </w:rPr>
        <w:t>der på et konkret produktionsareal er avls</w:t>
      </w:r>
      <w:r>
        <w:rPr>
          <w:szCs w:val="22"/>
        </w:rPr>
        <w:t>tyre</w:t>
      </w:r>
      <w:r w:rsidR="00D3738E">
        <w:rPr>
          <w:szCs w:val="22"/>
        </w:rPr>
        <w:t xml:space="preserve"> (dvs. tyre over 440 kg </w:t>
      </w:r>
      <w:proofErr w:type="gramStart"/>
      <w:r w:rsidR="00D3738E">
        <w:rPr>
          <w:szCs w:val="22"/>
        </w:rPr>
        <w:t>tung</w:t>
      </w:r>
      <w:proofErr w:type="gramEnd"/>
      <w:r w:rsidR="00D3738E">
        <w:rPr>
          <w:szCs w:val="22"/>
        </w:rPr>
        <w:t xml:space="preserve"> race eller over 327 kg øvrige racer), som </w:t>
      </w:r>
      <w:r w:rsidR="003864F5">
        <w:rPr>
          <w:szCs w:val="22"/>
        </w:rPr>
        <w:t xml:space="preserve">i gennemsnit </w:t>
      </w:r>
      <w:r w:rsidR="00D3738E">
        <w:rPr>
          <w:szCs w:val="22"/>
        </w:rPr>
        <w:t xml:space="preserve">har adgang </w:t>
      </w:r>
      <w:r>
        <w:rPr>
          <w:szCs w:val="22"/>
        </w:rPr>
        <w:t>mindst 20 m</w:t>
      </w:r>
      <w:r>
        <w:rPr>
          <w:szCs w:val="22"/>
          <w:vertAlign w:val="superscript"/>
        </w:rPr>
        <w:t>2</w:t>
      </w:r>
      <w:r w:rsidR="00D3738E">
        <w:rPr>
          <w:szCs w:val="22"/>
          <w:vertAlign w:val="superscript"/>
        </w:rPr>
        <w:t xml:space="preserve"> </w:t>
      </w:r>
      <w:r>
        <w:rPr>
          <w:szCs w:val="22"/>
        </w:rPr>
        <w:t>produkt</w:t>
      </w:r>
      <w:r>
        <w:rPr>
          <w:szCs w:val="22"/>
        </w:rPr>
        <w:t>i</w:t>
      </w:r>
      <w:r>
        <w:rPr>
          <w:szCs w:val="22"/>
        </w:rPr>
        <w:t xml:space="preserve">onsareal </w:t>
      </w:r>
      <w:r w:rsidR="00CA078B">
        <w:rPr>
          <w:szCs w:val="22"/>
        </w:rPr>
        <w:t xml:space="preserve">pr. dyr </w:t>
      </w:r>
      <w:r w:rsidR="00D3738E">
        <w:rPr>
          <w:szCs w:val="22"/>
        </w:rPr>
        <w:t>på ethvert tidspunkt</w:t>
      </w:r>
      <w:r w:rsidR="00306AE8">
        <w:rPr>
          <w:szCs w:val="22"/>
        </w:rPr>
        <w:t xml:space="preserve"> af året</w:t>
      </w:r>
      <w:r w:rsidRPr="002D2891">
        <w:rPr>
          <w:szCs w:val="22"/>
        </w:rPr>
        <w:t>.</w:t>
      </w:r>
      <w:r>
        <w:rPr>
          <w:szCs w:val="22"/>
          <w:vertAlign w:val="superscript"/>
        </w:rPr>
        <w:t xml:space="preserve"> </w:t>
      </w:r>
      <w:r w:rsidR="00F22EEF">
        <w:rPr>
          <w:szCs w:val="22"/>
        </w:rPr>
        <w:t>Faktoren i tabel 4 (BAT) er den sa</w:t>
      </w:r>
      <w:r w:rsidR="00F22EEF">
        <w:rPr>
          <w:szCs w:val="22"/>
        </w:rPr>
        <w:t>m</w:t>
      </w:r>
      <w:r w:rsidR="00F22EEF">
        <w:rPr>
          <w:szCs w:val="22"/>
        </w:rPr>
        <w:t>me som i tabel 1. BAT-kravet svarer således til den beregnede emission, dvs. i praksis er der ikke et krav om reduktion af ammoniakemission ved anvendelse af BAT.</w:t>
      </w:r>
      <w:r w:rsidR="00D3738E">
        <w:rPr>
          <w:szCs w:val="22"/>
        </w:rPr>
        <w:t xml:space="preserve"> </w:t>
      </w:r>
    </w:p>
    <w:p w:rsidR="00316933" w:rsidRDefault="00316933" w:rsidP="00316933">
      <w:pPr>
        <w:rPr>
          <w:szCs w:val="22"/>
        </w:rPr>
      </w:pPr>
    </w:p>
    <w:p w:rsidR="00F22EEF" w:rsidRDefault="00F2018F" w:rsidP="00F22EEF">
      <w:pPr>
        <w:rPr>
          <w:szCs w:val="22"/>
        </w:rPr>
      </w:pPr>
      <w:r>
        <w:rPr>
          <w:szCs w:val="22"/>
        </w:rPr>
        <w:t>Det er således et krav, at der på produktionsarealet kun er avlstyre. Endvidere er det et krav, at avlstyr</w:t>
      </w:r>
      <w:r w:rsidR="00B329C7">
        <w:rPr>
          <w:szCs w:val="22"/>
        </w:rPr>
        <w:t>ene</w:t>
      </w:r>
      <w:r>
        <w:rPr>
          <w:szCs w:val="22"/>
        </w:rPr>
        <w:t xml:space="preserve"> på ethvert tidspunkt</w:t>
      </w:r>
      <w:r w:rsidR="00B329C7">
        <w:rPr>
          <w:szCs w:val="22"/>
        </w:rPr>
        <w:t xml:space="preserve"> i gennemsnit</w:t>
      </w:r>
      <w:r>
        <w:rPr>
          <w:szCs w:val="22"/>
        </w:rPr>
        <w:t xml:space="preserve"> </w:t>
      </w:r>
      <w:r w:rsidR="00306AE8">
        <w:rPr>
          <w:szCs w:val="22"/>
        </w:rPr>
        <w:t xml:space="preserve">skal </w:t>
      </w:r>
      <w:r>
        <w:rPr>
          <w:szCs w:val="22"/>
        </w:rPr>
        <w:t xml:space="preserve">have mindst 20 </w:t>
      </w:r>
      <w:r w:rsidRPr="00316933">
        <w:rPr>
          <w:szCs w:val="22"/>
        </w:rPr>
        <w:t>m</w:t>
      </w:r>
      <w:r>
        <w:rPr>
          <w:szCs w:val="22"/>
          <w:vertAlign w:val="superscript"/>
        </w:rPr>
        <w:t>2</w:t>
      </w:r>
      <w:r>
        <w:rPr>
          <w:szCs w:val="22"/>
        </w:rPr>
        <w:t xml:space="preserve"> tilgængeligt produktionsareal</w:t>
      </w:r>
      <w:r w:rsidR="00CA078B">
        <w:rPr>
          <w:szCs w:val="22"/>
        </w:rPr>
        <w:t xml:space="preserve"> pr. dyr</w:t>
      </w:r>
      <w:r>
        <w:rPr>
          <w:szCs w:val="22"/>
        </w:rPr>
        <w:t xml:space="preserve">. </w:t>
      </w:r>
      <w:r w:rsidR="00F22EEF">
        <w:rPr>
          <w:szCs w:val="22"/>
        </w:rPr>
        <w:t>Hvis der er tale om husdyrbrug med blandet produktion og/eller produktion af tyre af lavere vægt eller på mindre plads end angivet, kan emissionsfaktorerne for avlstyre ikke anvendes.</w:t>
      </w:r>
    </w:p>
    <w:p w:rsidR="00342CD9" w:rsidRDefault="00342CD9" w:rsidP="002D2891">
      <w:pPr>
        <w:rPr>
          <w:szCs w:val="22"/>
        </w:rPr>
      </w:pPr>
    </w:p>
    <w:p w:rsidR="00C82C31" w:rsidRDefault="00C82C31" w:rsidP="00C82C31">
      <w:pPr>
        <w:pStyle w:val="Overskrift2"/>
      </w:pPr>
      <w:bookmarkStart w:id="36" w:name="_Toc514857939"/>
      <w:r>
        <w:t>Justering af lugtberegning efter FMK-modellen</w:t>
      </w:r>
      <w:bookmarkEnd w:id="36"/>
    </w:p>
    <w:p w:rsidR="006E2B03" w:rsidRDefault="0046097A" w:rsidP="00E9687E">
      <w:pPr>
        <w:spacing w:before="100" w:beforeAutospacing="1" w:after="100" w:afterAutospacing="1" w:line="240" w:lineRule="auto"/>
      </w:pPr>
      <w:r>
        <w:t xml:space="preserve">Der er sket </w:t>
      </w:r>
      <w:r w:rsidRPr="00A95186">
        <w:t xml:space="preserve">en </w:t>
      </w:r>
      <w:r>
        <w:t xml:space="preserve">utilsigtet </w:t>
      </w:r>
      <w:r w:rsidRPr="00A95186">
        <w:t>konverteringsfejl af FMK lugttal ved</w:t>
      </w:r>
      <w:r>
        <w:t xml:space="preserve"> overgang til ny reg</w:t>
      </w:r>
      <w:r>
        <w:t>u</w:t>
      </w:r>
      <w:r>
        <w:t>lering</w:t>
      </w:r>
      <w:r w:rsidR="00EB31AD">
        <w:t xml:space="preserve"> pr. 1. august 2017</w:t>
      </w:r>
      <w:r>
        <w:t>. Det foreslås derfor, at lugtemissionsfaktorerne i LE/m</w:t>
      </w:r>
      <w:r w:rsidRPr="0046097A">
        <w:rPr>
          <w:vertAlign w:val="superscript"/>
        </w:rPr>
        <w:t>2</w:t>
      </w:r>
      <w:r>
        <w:t>/s for søer i bilag 3, tabel 6, justeres på grundlag af beregninger gennemført af Aa</w:t>
      </w:r>
      <w:r>
        <w:t>r</w:t>
      </w:r>
      <w:r>
        <w:t>hus Universitet</w:t>
      </w:r>
      <w:r w:rsidR="00544B3B">
        <w:t>, som anført herunder</w:t>
      </w:r>
      <w:r>
        <w:t xml:space="preserve">. </w:t>
      </w:r>
    </w:p>
    <w:p w:rsidR="00544B3B" w:rsidRDefault="00544B3B" w:rsidP="00E9687E">
      <w:pPr>
        <w:spacing w:before="100" w:beforeAutospacing="1" w:after="100" w:afterAutospacing="1" w:line="240" w:lineRule="auto"/>
      </w:pPr>
      <w:r w:rsidRPr="00544B3B">
        <w:rPr>
          <w:rFonts w:ascii="Tahoma" w:hAnsi="Tahoma" w:cs="Tahoma"/>
          <w:i/>
          <w:iCs/>
          <w:color w:val="000000"/>
          <w:sz w:val="17"/>
          <w:szCs w:val="17"/>
        </w:rPr>
        <w:t>Tabel 6.</w:t>
      </w:r>
      <w:r w:rsidRPr="00544B3B">
        <w:rPr>
          <w:i/>
        </w:rPr>
        <w:t xml:space="preserve"> </w:t>
      </w:r>
      <w:r w:rsidRPr="00544B3B">
        <w:rPr>
          <w:rFonts w:ascii="Tahoma" w:hAnsi="Tahoma" w:cs="Tahoma"/>
          <w:i/>
          <w:iCs/>
          <w:color w:val="000000"/>
          <w:sz w:val="17"/>
          <w:szCs w:val="17"/>
        </w:rPr>
        <w:t>Emissionsfaktorer for lugtemission i OU</w:t>
      </w:r>
      <w:r w:rsidRPr="00544B3B">
        <w:rPr>
          <w:rFonts w:ascii="Tahoma" w:hAnsi="Tahoma" w:cs="Tahoma"/>
          <w:i/>
          <w:iCs/>
          <w:color w:val="000000"/>
          <w:sz w:val="17"/>
          <w:szCs w:val="17"/>
          <w:vertAlign w:val="subscript"/>
        </w:rPr>
        <w:t>E</w:t>
      </w:r>
      <w:r w:rsidRPr="00544B3B">
        <w:rPr>
          <w:rFonts w:ascii="Tahoma" w:hAnsi="Tahoma" w:cs="Tahoma"/>
          <w:i/>
          <w:iCs/>
          <w:color w:val="000000"/>
          <w:sz w:val="17"/>
          <w:szCs w:val="17"/>
        </w:rPr>
        <w:t xml:space="preserve"> pr. m</w:t>
      </w:r>
      <w:r w:rsidRPr="00544B3B">
        <w:rPr>
          <w:rFonts w:ascii="Tahoma" w:hAnsi="Tahoma" w:cs="Tahoma"/>
          <w:i/>
          <w:iCs/>
          <w:color w:val="000000"/>
          <w:sz w:val="17"/>
          <w:szCs w:val="17"/>
          <w:vertAlign w:val="superscript"/>
        </w:rPr>
        <w:t>2</w:t>
      </w:r>
      <w:r w:rsidRPr="00544B3B">
        <w:rPr>
          <w:rFonts w:ascii="Tahoma" w:hAnsi="Tahoma" w:cs="Tahoma"/>
          <w:i/>
          <w:iCs/>
          <w:color w:val="000000"/>
          <w:sz w:val="17"/>
          <w:szCs w:val="17"/>
        </w:rPr>
        <w:t xml:space="preserve"> pr. s og LE pr. m</w:t>
      </w:r>
      <w:r w:rsidRPr="00544B3B">
        <w:rPr>
          <w:rFonts w:ascii="Tahoma" w:hAnsi="Tahoma" w:cs="Tahoma"/>
          <w:i/>
          <w:iCs/>
          <w:color w:val="000000"/>
          <w:sz w:val="17"/>
          <w:szCs w:val="17"/>
          <w:vertAlign w:val="superscript"/>
        </w:rPr>
        <w:t>2</w:t>
      </w:r>
      <w:r w:rsidRPr="00544B3B">
        <w:rPr>
          <w:rFonts w:ascii="Tahoma" w:hAnsi="Tahoma" w:cs="Tahoma"/>
          <w:i/>
          <w:iCs/>
          <w:color w:val="000000"/>
          <w:sz w:val="17"/>
          <w:szCs w:val="17"/>
        </w:rPr>
        <w:t xml:space="preserve"> pr. s.</w:t>
      </w:r>
    </w:p>
    <w:tbl>
      <w:tblPr>
        <w:tblW w:w="8520" w:type="dxa"/>
        <w:tblCellMar>
          <w:top w:w="15" w:type="dxa"/>
          <w:left w:w="15" w:type="dxa"/>
          <w:bottom w:w="15" w:type="dxa"/>
          <w:right w:w="15" w:type="dxa"/>
        </w:tblCellMar>
        <w:tblLook w:val="04A0" w:firstRow="1" w:lastRow="0" w:firstColumn="1" w:lastColumn="0" w:noHBand="0" w:noVBand="1"/>
      </w:tblPr>
      <w:tblGrid>
        <w:gridCol w:w="4268"/>
        <w:gridCol w:w="1276"/>
        <w:gridCol w:w="1417"/>
        <w:gridCol w:w="1559"/>
      </w:tblGrid>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 </w:t>
            </w:r>
          </w:p>
        </w:tc>
        <w:tc>
          <w:tcPr>
            <w:tcW w:w="1276" w:type="dxa"/>
            <w:tcBorders>
              <w:top w:val="single" w:sz="8" w:space="0" w:color="000000"/>
              <w:left w:val="single" w:sz="8" w:space="0" w:color="000000"/>
              <w:bottom w:val="single" w:sz="8" w:space="0" w:color="000000"/>
              <w:right w:val="single" w:sz="8" w:space="0" w:color="000000"/>
            </w:tcBorders>
          </w:tcPr>
          <w:p w:rsidR="00E9687E" w:rsidRPr="000C7D7E" w:rsidRDefault="00E9687E" w:rsidP="000D55BC">
            <w:pPr>
              <w:spacing w:line="240" w:lineRule="auto"/>
              <w:rPr>
                <w:rFonts w:ascii="Tahoma" w:hAnsi="Tahoma" w:cs="Tahoma"/>
                <w:b/>
                <w:bCs/>
                <w:color w:val="000000"/>
                <w:sz w:val="17"/>
                <w:szCs w:val="17"/>
              </w:rPr>
            </w:pPr>
          </w:p>
        </w:tc>
        <w:tc>
          <w:tcPr>
            <w:tcW w:w="2976" w:type="dxa"/>
            <w:gridSpan w:val="2"/>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b/>
                <w:bCs/>
                <w:color w:val="000000"/>
                <w:sz w:val="17"/>
                <w:szCs w:val="17"/>
              </w:rPr>
              <w:t>Lugtemission</w:t>
            </w:r>
            <w:r w:rsidRPr="000C7D7E">
              <w:rPr>
                <w:rFonts w:ascii="Tahoma" w:hAnsi="Tahoma" w:cs="Tahoma"/>
                <w:color w:val="000000"/>
                <w:sz w:val="17"/>
                <w:szCs w:val="17"/>
              </w:rPr>
              <w:t xml:space="preserve"> </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b/>
                <w:bCs/>
                <w:color w:val="000000"/>
                <w:sz w:val="17"/>
                <w:szCs w:val="17"/>
              </w:rPr>
              <w:t>Staldsystem og dyretype</w:t>
            </w:r>
            <w:r w:rsidRPr="000C7D7E">
              <w:rPr>
                <w:rFonts w:ascii="Tahoma" w:hAnsi="Tahoma" w:cs="Tahoma"/>
                <w:color w:val="000000"/>
                <w:sz w:val="17"/>
                <w:szCs w:val="17"/>
              </w:rPr>
              <w:t xml:space="preserve"> </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b/>
                <w:bCs/>
                <w:color w:val="000000"/>
                <w:sz w:val="17"/>
                <w:szCs w:val="17"/>
              </w:rPr>
              <w:t>OU</w:t>
            </w:r>
            <w:r w:rsidRPr="0096503E">
              <w:rPr>
                <w:rFonts w:ascii="Tahoma" w:hAnsi="Tahoma" w:cs="Tahoma"/>
                <w:b/>
                <w:bCs/>
                <w:color w:val="000000"/>
                <w:sz w:val="17"/>
                <w:szCs w:val="17"/>
                <w:vertAlign w:val="subscript"/>
              </w:rPr>
              <w:t>E</w:t>
            </w:r>
            <w:r w:rsidRPr="000C7D7E">
              <w:rPr>
                <w:rFonts w:ascii="Tahoma" w:hAnsi="Tahoma" w:cs="Tahoma"/>
                <w:color w:val="000000"/>
                <w:sz w:val="17"/>
                <w:szCs w:val="17"/>
              </w:rPr>
              <w:t xml:space="preserve"> </w:t>
            </w:r>
            <w:r w:rsidRPr="000C7D7E">
              <w:rPr>
                <w:rFonts w:ascii="Tahoma" w:hAnsi="Tahoma" w:cs="Tahoma"/>
                <w:b/>
                <w:bCs/>
                <w:color w:val="000000"/>
                <w:sz w:val="17"/>
                <w:szCs w:val="17"/>
              </w:rPr>
              <w:t>/(m</w:t>
            </w:r>
            <w:r w:rsidRPr="000010F0">
              <w:rPr>
                <w:rFonts w:ascii="Tahoma" w:hAnsi="Tahoma" w:cs="Tahoma"/>
                <w:b/>
                <w:bCs/>
                <w:color w:val="000000"/>
                <w:sz w:val="17"/>
                <w:szCs w:val="17"/>
                <w:vertAlign w:val="superscript"/>
              </w:rPr>
              <w:t>2</w:t>
            </w:r>
            <w:r>
              <w:rPr>
                <w:rFonts w:ascii="Tahoma" w:hAnsi="Tahoma" w:cs="Tahoma"/>
                <w:b/>
                <w:bCs/>
                <w:color w:val="000000"/>
                <w:sz w:val="17"/>
                <w:szCs w:val="17"/>
              </w:rPr>
              <w:t>/</w:t>
            </w:r>
            <w:r w:rsidRPr="000C7D7E">
              <w:rPr>
                <w:rFonts w:ascii="Tahoma" w:hAnsi="Tahoma" w:cs="Tahoma"/>
                <w:color w:val="000000"/>
                <w:sz w:val="17"/>
                <w:szCs w:val="17"/>
              </w:rPr>
              <w:t xml:space="preserve"> </w:t>
            </w:r>
            <w:r w:rsidRPr="000C7D7E">
              <w:rPr>
                <w:rFonts w:ascii="Tahoma" w:hAnsi="Tahoma" w:cs="Tahoma"/>
                <w:b/>
                <w:bCs/>
                <w:color w:val="000000"/>
                <w:sz w:val="17"/>
                <w:szCs w:val="17"/>
              </w:rPr>
              <w:t>s)</w:t>
            </w:r>
            <w:r w:rsidRPr="000C7D7E">
              <w:rPr>
                <w:rFonts w:ascii="Tahoma" w:hAnsi="Tahoma" w:cs="Tahoma"/>
                <w:color w:val="000000"/>
                <w:sz w:val="17"/>
                <w:szCs w:val="17"/>
              </w:rPr>
              <w:t xml:space="preserve"> </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0D55BC">
            <w:pPr>
              <w:spacing w:line="240" w:lineRule="auto"/>
              <w:rPr>
                <w:rFonts w:ascii="Tahoma" w:hAnsi="Tahoma" w:cs="Tahoma"/>
                <w:b/>
                <w:bCs/>
                <w:color w:val="000000"/>
                <w:sz w:val="17"/>
                <w:szCs w:val="17"/>
              </w:rPr>
            </w:pPr>
            <w:r>
              <w:rPr>
                <w:rFonts w:ascii="Tahoma" w:hAnsi="Tahoma" w:cs="Tahoma"/>
                <w:b/>
                <w:bCs/>
                <w:color w:val="000000"/>
                <w:sz w:val="17"/>
                <w:szCs w:val="17"/>
              </w:rPr>
              <w:t>LE/(m</w:t>
            </w:r>
            <w:r w:rsidRPr="00E9687E">
              <w:rPr>
                <w:rFonts w:ascii="Tahoma" w:hAnsi="Tahoma" w:cs="Tahoma"/>
                <w:b/>
                <w:bCs/>
                <w:color w:val="000000"/>
                <w:sz w:val="17"/>
                <w:szCs w:val="17"/>
                <w:vertAlign w:val="superscript"/>
              </w:rPr>
              <w:t>2</w:t>
            </w:r>
            <w:r>
              <w:rPr>
                <w:rFonts w:ascii="Tahoma" w:hAnsi="Tahoma" w:cs="Tahoma"/>
                <w:b/>
                <w:bCs/>
                <w:color w:val="000000"/>
                <w:sz w:val="17"/>
                <w:szCs w:val="17"/>
              </w:rPr>
              <w:t xml:space="preserve">/s) </w:t>
            </w:r>
          </w:p>
          <w:p w:rsidR="00E9687E" w:rsidRPr="000C7D7E" w:rsidRDefault="00E9687E" w:rsidP="000D55BC">
            <w:pPr>
              <w:spacing w:line="240" w:lineRule="auto"/>
              <w:rPr>
                <w:rFonts w:ascii="Tahoma" w:hAnsi="Tahoma" w:cs="Tahoma"/>
                <w:b/>
                <w:bCs/>
                <w:color w:val="000000"/>
                <w:sz w:val="17"/>
                <w:szCs w:val="17"/>
              </w:rPr>
            </w:pPr>
            <w:r>
              <w:rPr>
                <w:rFonts w:ascii="Tahoma" w:hAnsi="Tahoma" w:cs="Tahoma"/>
                <w:b/>
                <w:bCs/>
                <w:color w:val="000000"/>
                <w:sz w:val="17"/>
                <w:szCs w:val="17"/>
              </w:rPr>
              <w:t>eksisterende</w:t>
            </w:r>
          </w:p>
        </w:tc>
        <w:tc>
          <w:tcPr>
            <w:tcW w:w="1559" w:type="dxa"/>
            <w:tcBorders>
              <w:top w:val="single" w:sz="8" w:space="0" w:color="000000"/>
              <w:left w:val="single" w:sz="8" w:space="0" w:color="000000"/>
              <w:bottom w:val="single" w:sz="8" w:space="0" w:color="000000"/>
              <w:right w:val="single" w:sz="8" w:space="0" w:color="000000"/>
            </w:tcBorders>
            <w:hideMark/>
          </w:tcPr>
          <w:p w:rsidR="00E9687E" w:rsidRPr="00E9687E" w:rsidRDefault="00E9687E" w:rsidP="000D55BC">
            <w:pPr>
              <w:spacing w:line="240" w:lineRule="auto"/>
              <w:rPr>
                <w:rFonts w:ascii="Tahoma" w:hAnsi="Tahoma" w:cs="Tahoma"/>
                <w:b/>
                <w:color w:val="000000"/>
                <w:sz w:val="17"/>
                <w:szCs w:val="17"/>
              </w:rPr>
            </w:pPr>
            <w:r w:rsidRPr="00E9687E">
              <w:rPr>
                <w:rFonts w:ascii="Tahoma" w:hAnsi="Tahoma" w:cs="Tahoma"/>
                <w:b/>
                <w:bCs/>
                <w:color w:val="000000"/>
                <w:sz w:val="17"/>
                <w:szCs w:val="17"/>
              </w:rPr>
              <w:t>LE/(m</w:t>
            </w:r>
            <w:r w:rsidRPr="00E9687E">
              <w:rPr>
                <w:rFonts w:ascii="Tahoma" w:hAnsi="Tahoma" w:cs="Tahoma"/>
                <w:b/>
                <w:bCs/>
                <w:color w:val="000000"/>
                <w:sz w:val="17"/>
                <w:szCs w:val="17"/>
                <w:vertAlign w:val="superscript"/>
              </w:rPr>
              <w:t>2</w:t>
            </w:r>
            <w:r w:rsidRPr="00E9687E">
              <w:rPr>
                <w:rFonts w:ascii="Tahoma" w:hAnsi="Tahoma" w:cs="Tahoma"/>
                <w:b/>
                <w:bCs/>
                <w:color w:val="000000"/>
                <w:sz w:val="17"/>
                <w:szCs w:val="17"/>
              </w:rPr>
              <w:t>/s)*</w:t>
            </w:r>
            <w:r w:rsidRPr="00E9687E">
              <w:rPr>
                <w:rFonts w:ascii="Tahoma" w:hAnsi="Tahoma" w:cs="Tahoma"/>
                <w:b/>
                <w:color w:val="000000"/>
                <w:sz w:val="17"/>
                <w:szCs w:val="17"/>
              </w:rPr>
              <w:t xml:space="preserve"> nye</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diegivende. Kassestier, delvis 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16</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3,9</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2,9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diegivende. Kassestier, fuldspaltegulv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22</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3,9</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2,9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Individuel opstaldning, delvis 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12</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11</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9,9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Individuel opstaldning, ful</w:t>
            </w:r>
            <w:r w:rsidRPr="000C7D7E">
              <w:rPr>
                <w:rFonts w:ascii="Tahoma" w:hAnsi="Tahoma" w:cs="Tahoma"/>
                <w:color w:val="000000"/>
                <w:sz w:val="17"/>
                <w:szCs w:val="17"/>
              </w:rPr>
              <w:t>d</w:t>
            </w:r>
            <w:r w:rsidRPr="000C7D7E">
              <w:rPr>
                <w:rFonts w:ascii="Tahoma" w:hAnsi="Tahoma" w:cs="Tahoma"/>
                <w:color w:val="000000"/>
                <w:sz w:val="17"/>
                <w:szCs w:val="17"/>
              </w:rPr>
              <w:t>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12</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11</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9,9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Individuel opstaldning, fast 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12</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11</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9,9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Løsgående, dybstrøelse + 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7,1</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6,6</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5,9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Løsgående, dybstrøelse + fast 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7,1</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6,6</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5,9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Løsgående dybstrøelse</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7,1</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6,6</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5,9</w:t>
            </w:r>
          </w:p>
        </w:tc>
      </w:tr>
      <w:tr w:rsidR="00E9687E" w:rsidRPr="000C7D7E" w:rsidTr="00E9687E">
        <w:tc>
          <w:tcPr>
            <w:tcW w:w="4268"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Søer, golde og drægtige. Løsgående, delvis spaltegulv</w:t>
            </w:r>
          </w:p>
        </w:tc>
        <w:tc>
          <w:tcPr>
            <w:tcW w:w="1276" w:type="dxa"/>
            <w:tcBorders>
              <w:top w:val="single" w:sz="8" w:space="0" w:color="000000"/>
              <w:left w:val="single" w:sz="8" w:space="0" w:color="000000"/>
              <w:bottom w:val="single" w:sz="8" w:space="0" w:color="000000"/>
              <w:right w:val="single" w:sz="8" w:space="0" w:color="000000"/>
            </w:tcBorders>
            <w:hideMark/>
          </w:tcPr>
          <w:p w:rsidR="00E9687E" w:rsidRPr="000C7D7E" w:rsidRDefault="00E9687E" w:rsidP="000D55BC">
            <w:pPr>
              <w:spacing w:line="240" w:lineRule="auto"/>
              <w:rPr>
                <w:rFonts w:ascii="Tahoma" w:hAnsi="Tahoma" w:cs="Tahoma"/>
                <w:color w:val="000000"/>
                <w:sz w:val="17"/>
                <w:szCs w:val="17"/>
              </w:rPr>
            </w:pPr>
            <w:r w:rsidRPr="000C7D7E">
              <w:rPr>
                <w:rFonts w:ascii="Tahoma" w:hAnsi="Tahoma" w:cs="Tahoma"/>
                <w:color w:val="000000"/>
                <w:sz w:val="17"/>
                <w:szCs w:val="17"/>
              </w:rPr>
              <w:t>7,1</w:t>
            </w:r>
          </w:p>
        </w:tc>
        <w:tc>
          <w:tcPr>
            <w:tcW w:w="1417" w:type="dxa"/>
            <w:tcBorders>
              <w:top w:val="single" w:sz="8" w:space="0" w:color="000000"/>
              <w:left w:val="single" w:sz="8" w:space="0" w:color="000000"/>
              <w:bottom w:val="single" w:sz="8" w:space="0" w:color="000000"/>
              <w:right w:val="single" w:sz="8" w:space="0" w:color="000000"/>
            </w:tcBorders>
          </w:tcPr>
          <w:p w:rsidR="00E9687E" w:rsidRDefault="00E9687E" w:rsidP="00544B3B">
            <w:pPr>
              <w:spacing w:line="240" w:lineRule="auto"/>
              <w:rPr>
                <w:rFonts w:ascii="Tahoma" w:hAnsi="Tahoma" w:cs="Tahoma"/>
                <w:color w:val="000000"/>
                <w:sz w:val="17"/>
                <w:szCs w:val="17"/>
              </w:rPr>
            </w:pPr>
            <w:r>
              <w:rPr>
                <w:rFonts w:ascii="Tahoma" w:hAnsi="Tahoma" w:cs="Tahoma"/>
                <w:color w:val="000000"/>
                <w:sz w:val="17"/>
                <w:szCs w:val="17"/>
              </w:rPr>
              <w:t>6,6</w:t>
            </w:r>
          </w:p>
        </w:tc>
        <w:tc>
          <w:tcPr>
            <w:tcW w:w="1559" w:type="dxa"/>
            <w:tcBorders>
              <w:top w:val="single" w:sz="8" w:space="0" w:color="000000"/>
              <w:left w:val="single" w:sz="8" w:space="0" w:color="000000"/>
              <w:bottom w:val="single" w:sz="8" w:space="0" w:color="000000"/>
              <w:right w:val="single" w:sz="8" w:space="0" w:color="000000"/>
            </w:tcBorders>
          </w:tcPr>
          <w:p w:rsidR="00E9687E" w:rsidRPr="000C7D7E" w:rsidRDefault="00E9687E" w:rsidP="00544B3B">
            <w:pPr>
              <w:spacing w:line="240" w:lineRule="auto"/>
              <w:rPr>
                <w:rFonts w:ascii="Tahoma" w:hAnsi="Tahoma" w:cs="Tahoma"/>
                <w:color w:val="000000"/>
                <w:sz w:val="17"/>
                <w:szCs w:val="17"/>
              </w:rPr>
            </w:pPr>
            <w:r>
              <w:rPr>
                <w:rFonts w:ascii="Tahoma" w:hAnsi="Tahoma" w:cs="Tahoma"/>
                <w:color w:val="000000"/>
                <w:sz w:val="17"/>
                <w:szCs w:val="17"/>
              </w:rPr>
              <w:t>5,9</w:t>
            </w:r>
          </w:p>
        </w:tc>
      </w:tr>
    </w:tbl>
    <w:p w:rsidR="000F0775" w:rsidRDefault="000F0775" w:rsidP="0046097A"/>
    <w:p w:rsidR="0046097A" w:rsidRDefault="0046097A" w:rsidP="00C82C31"/>
    <w:p w:rsidR="009724CA" w:rsidRDefault="009724CA" w:rsidP="00356140">
      <w:pPr>
        <w:pStyle w:val="Overskrift1"/>
      </w:pPr>
      <w:bookmarkStart w:id="37" w:name="_Toc510619941"/>
      <w:bookmarkStart w:id="38" w:name="_Toc514857940"/>
      <w:bookmarkStart w:id="39" w:name="_Toc508290125"/>
      <w:r w:rsidRPr="00B1793C">
        <w:t>Miljøvurdering (SMV) af de planlagte ændringer</w:t>
      </w:r>
      <w:bookmarkEnd w:id="37"/>
      <w:bookmarkEnd w:id="38"/>
      <w:r w:rsidRPr="00B1793C">
        <w:t xml:space="preserve"> </w:t>
      </w:r>
      <w:bookmarkEnd w:id="39"/>
    </w:p>
    <w:p w:rsidR="009724CA" w:rsidRDefault="009724CA" w:rsidP="009724CA">
      <w:pPr>
        <w:shd w:val="clear" w:color="auto" w:fill="FFFFFF" w:themeFill="background1"/>
        <w:tabs>
          <w:tab w:val="left" w:pos="4120"/>
        </w:tabs>
        <w:spacing w:line="260" w:lineRule="exact"/>
      </w:pPr>
      <w:r>
        <w:t xml:space="preserve">Miljø- og Fødevareministeriet </w:t>
      </w:r>
      <w:r w:rsidR="00C200BF">
        <w:t>gennemfører</w:t>
      </w:r>
      <w:r>
        <w:t xml:space="preserve"> forud for udstedelsen af den ændrede bekendtgørelse m.v. </w:t>
      </w:r>
      <w:r w:rsidRPr="00694DAD">
        <w:t xml:space="preserve">en </w:t>
      </w:r>
      <w:r w:rsidR="00915C06">
        <w:t>screening</w:t>
      </w:r>
      <w:r w:rsidRPr="00694DAD">
        <w:t xml:space="preserve"> af </w:t>
      </w:r>
      <w:r>
        <w:t xml:space="preserve">relevante ændringer. Der henvises til </w:t>
      </w:r>
      <w:r w:rsidR="00915C06">
        <w:t>scre</w:t>
      </w:r>
      <w:r w:rsidR="00915C06">
        <w:t>e</w:t>
      </w:r>
      <w:r w:rsidR="00915C06">
        <w:t xml:space="preserve">ningsafgørelsen med bilag, </w:t>
      </w:r>
      <w:r>
        <w:t>der er i offentlig høring samtidig med udkast til b</w:t>
      </w:r>
      <w:r>
        <w:t>e</w:t>
      </w:r>
      <w:r>
        <w:t>kendtgørelsen</w:t>
      </w:r>
      <w:r w:rsidR="00915C06">
        <w:t>, og som er tilgængelig på Høringsportalen.</w:t>
      </w:r>
    </w:p>
    <w:p w:rsidR="009724CA" w:rsidRPr="008E74C9" w:rsidRDefault="009724CA" w:rsidP="009724CA">
      <w:pPr>
        <w:shd w:val="clear" w:color="auto" w:fill="FFFFFF" w:themeFill="background1"/>
        <w:tabs>
          <w:tab w:val="left" w:pos="4120"/>
        </w:tabs>
        <w:rPr>
          <w:b/>
        </w:rPr>
      </w:pPr>
    </w:p>
    <w:p w:rsidR="009724CA" w:rsidRPr="009252A5" w:rsidRDefault="009724CA" w:rsidP="00356140">
      <w:pPr>
        <w:pStyle w:val="Overskrift1"/>
      </w:pPr>
      <w:bookmarkStart w:id="40" w:name="_Toc510619942"/>
      <w:bookmarkStart w:id="41" w:name="_Toc514857941"/>
      <w:r w:rsidRPr="009252A5">
        <w:lastRenderedPageBreak/>
        <w:t>Administrative og erhvervsøkonomiske konsekvenser</w:t>
      </w:r>
      <w:bookmarkEnd w:id="40"/>
      <w:bookmarkEnd w:id="41"/>
      <w:r w:rsidRPr="009252A5">
        <w:t xml:space="preserve"> </w:t>
      </w:r>
    </w:p>
    <w:p w:rsidR="009724CA" w:rsidRDefault="00915C06" w:rsidP="009724CA">
      <w:pPr>
        <w:shd w:val="clear" w:color="auto" w:fill="FFFFFF" w:themeFill="background1"/>
        <w:tabs>
          <w:tab w:val="left" w:pos="4120"/>
        </w:tabs>
      </w:pPr>
      <w:r>
        <w:t>Et foreløbigt u</w:t>
      </w:r>
      <w:r w:rsidR="009724CA" w:rsidRPr="002D41B4">
        <w:t xml:space="preserve">dkast til nærværende bekendtgørelse har været sendt i præhøring i Erhvervsstyrelsens Team Effektiv Regulering (TER). </w:t>
      </w:r>
      <w:proofErr w:type="gramStart"/>
      <w:r w:rsidR="009724CA" w:rsidRPr="002D41B4">
        <w:t>TER vurderer</w:t>
      </w:r>
      <w:proofErr w:type="gramEnd"/>
      <w:r w:rsidR="009724CA" w:rsidRPr="002D41B4">
        <w:t>,</w:t>
      </w:r>
      <w:r w:rsidR="009724CA" w:rsidRPr="00853497">
        <w:t xml:space="preserve"> at</w:t>
      </w:r>
      <w:r w:rsidR="009724CA">
        <w:t xml:space="preserve"> bekendtg</w:t>
      </w:r>
      <w:r w:rsidR="009724CA">
        <w:t>ø</w:t>
      </w:r>
      <w:r w:rsidR="009724CA">
        <w:t xml:space="preserve">relsesudkastet  medfører administrative konsekvenser for erhvervslivet på under 4 mio. kr. årligt. </w:t>
      </w:r>
    </w:p>
    <w:p w:rsidR="00C82C31" w:rsidRDefault="00C82C31" w:rsidP="009724CA">
      <w:pPr>
        <w:shd w:val="clear" w:color="auto" w:fill="FFFFFF" w:themeFill="background1"/>
        <w:tabs>
          <w:tab w:val="left" w:pos="4120"/>
        </w:tabs>
      </w:pPr>
    </w:p>
    <w:p w:rsidR="009724CA" w:rsidRDefault="009724CA" w:rsidP="00356140">
      <w:pPr>
        <w:pStyle w:val="Overskrift1"/>
      </w:pPr>
      <w:bookmarkStart w:id="42" w:name="_Toc510619943"/>
      <w:bookmarkStart w:id="43" w:name="_Toc514857942"/>
      <w:r w:rsidRPr="009252A5">
        <w:t>Forholdet til EU-retten</w:t>
      </w:r>
      <w:bookmarkEnd w:id="42"/>
      <w:bookmarkEnd w:id="43"/>
      <w:r w:rsidRPr="009252A5">
        <w:t xml:space="preserve"> </w:t>
      </w:r>
    </w:p>
    <w:p w:rsidR="009724CA" w:rsidRPr="009252A5" w:rsidRDefault="009724CA" w:rsidP="009724CA">
      <w:pPr>
        <w:shd w:val="clear" w:color="auto" w:fill="FFFFFF" w:themeFill="background1"/>
        <w:tabs>
          <w:tab w:val="left" w:pos="4120"/>
        </w:tabs>
        <w:rPr>
          <w:b/>
        </w:rPr>
      </w:pPr>
    </w:p>
    <w:p w:rsidR="009724CA" w:rsidRPr="00B329C7" w:rsidRDefault="009724CA" w:rsidP="00356140">
      <w:pPr>
        <w:pStyle w:val="Overskrift2"/>
      </w:pPr>
      <w:bookmarkStart w:id="44" w:name="_Toc510619944"/>
      <w:bookmarkStart w:id="45" w:name="_Toc514857943"/>
      <w:r w:rsidRPr="00B329C7">
        <w:t>Overholdelse af regeringens fem faste principper for impleme</w:t>
      </w:r>
      <w:r w:rsidRPr="00B329C7">
        <w:t>n</w:t>
      </w:r>
      <w:r w:rsidRPr="00B329C7">
        <w:t>tering af EU-regulering</w:t>
      </w:r>
      <w:bookmarkEnd w:id="44"/>
      <w:bookmarkEnd w:id="45"/>
    </w:p>
    <w:p w:rsidR="00F2018F" w:rsidRDefault="00F2018F" w:rsidP="009724CA">
      <w:pPr>
        <w:shd w:val="clear" w:color="auto" w:fill="FFFFFF" w:themeFill="background1"/>
        <w:tabs>
          <w:tab w:val="left" w:pos="4120"/>
        </w:tabs>
      </w:pPr>
    </w:p>
    <w:p w:rsidR="009724CA" w:rsidRDefault="009724CA" w:rsidP="009724CA">
      <w:pPr>
        <w:shd w:val="clear" w:color="auto" w:fill="FFFFFF" w:themeFill="background1"/>
        <w:tabs>
          <w:tab w:val="left" w:pos="4120"/>
        </w:tabs>
      </w:pPr>
      <w:r>
        <w:t xml:space="preserve">Udkastet til ny husdyrgodkendelsesbekendtgørelse bidrager til eller udgør dele af gennemførelse af en række EU-direktiver, herunder habitatdirektivet, IE-direktivet og NEC-direktivet. </w:t>
      </w:r>
    </w:p>
    <w:p w:rsidR="009724CA" w:rsidRDefault="009724CA" w:rsidP="009724CA">
      <w:pPr>
        <w:shd w:val="clear" w:color="auto" w:fill="FFFFFF" w:themeFill="background1"/>
        <w:tabs>
          <w:tab w:val="left" w:pos="4120"/>
        </w:tabs>
      </w:pPr>
    </w:p>
    <w:p w:rsidR="009724CA" w:rsidRDefault="009724CA" w:rsidP="009724CA">
      <w:pPr>
        <w:shd w:val="clear" w:color="auto" w:fill="FFFFFF" w:themeFill="background1"/>
        <w:tabs>
          <w:tab w:val="left" w:pos="4120"/>
        </w:tabs>
      </w:pPr>
      <w:r>
        <w:t>Bekendtgørelsesudkastet har været forelagt sekretariatet for regeringens Impl</w:t>
      </w:r>
      <w:r>
        <w:t>e</w:t>
      </w:r>
      <w:r>
        <w:t>menteringsudvalg, der har vurderet, at udkastet overholder regeringens fem pri</w:t>
      </w:r>
      <w:r>
        <w:t>n</w:t>
      </w:r>
      <w:r>
        <w:t xml:space="preserve">cipper for implementering af EU-ret. </w:t>
      </w:r>
    </w:p>
    <w:p w:rsidR="009724CA" w:rsidRDefault="009724CA" w:rsidP="009724CA">
      <w:pPr>
        <w:shd w:val="clear" w:color="auto" w:fill="FFFFFF" w:themeFill="background1"/>
        <w:tabs>
          <w:tab w:val="left" w:pos="4120"/>
        </w:tabs>
      </w:pPr>
    </w:p>
    <w:p w:rsidR="002F435A" w:rsidRPr="00411762" w:rsidRDefault="002F435A" w:rsidP="002D2891">
      <w:pPr>
        <w:rPr>
          <w:szCs w:val="22"/>
        </w:rPr>
      </w:pPr>
    </w:p>
    <w:p w:rsidR="002D0B27" w:rsidRPr="00830320" w:rsidRDefault="002D0B27" w:rsidP="00C374EB">
      <w:pPr>
        <w:rPr>
          <w:szCs w:val="22"/>
        </w:rPr>
      </w:pPr>
    </w:p>
    <w:sectPr w:rsidR="002D0B27" w:rsidRPr="00830320" w:rsidSect="0048667B">
      <w:headerReference w:type="default" r:id="rId13"/>
      <w:footerReference w:type="even" r:id="rId14"/>
      <w:footerReference w:type="default" r:id="rId15"/>
      <w:headerReference w:type="first" r:id="rId16"/>
      <w:footerReference w:type="first" r:id="rId17"/>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24" w:rsidRDefault="007C2F24">
      <w:r>
        <w:separator/>
      </w:r>
    </w:p>
  </w:endnote>
  <w:endnote w:type="continuationSeparator" w:id="0">
    <w:p w:rsidR="007C2F24" w:rsidRDefault="007C2F24">
      <w:r>
        <w:continuationSeparator/>
      </w:r>
    </w:p>
  </w:endnote>
  <w:endnote w:type="continuationNotice" w:id="1">
    <w:p w:rsidR="007C2F24" w:rsidRDefault="007C2F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4" w:rsidRDefault="007C2F24"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7C2F24" w:rsidRDefault="007C2F24"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4" w:rsidRPr="001C6975" w:rsidRDefault="007C2F24"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65537E">
      <w:rPr>
        <w:rStyle w:val="Sidetal"/>
        <w:noProof/>
      </w:rPr>
      <w:t>2</w:t>
    </w:r>
    <w:r w:rsidRPr="001C6975">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4" w:rsidRPr="00512B26" w:rsidRDefault="007C2F24" w:rsidP="00512B26">
    <w:pPr>
      <w:pStyle w:val="Template-Address"/>
    </w:pPr>
    <w:bookmarkStart w:id="57" w:name="OFF_Institution"/>
    <w:bookmarkStart w:id="58" w:name="OFF_InstitutionHIF"/>
    <w:bookmarkStart w:id="59" w:name="XIF_MMFirstAddressLine"/>
    <w:r w:rsidRPr="00512B26">
      <w:t>Miljø- og Fødevareministeriet</w:t>
    </w:r>
    <w:bookmarkEnd w:id="57"/>
    <w:r w:rsidRPr="00512B26">
      <w:t xml:space="preserve"> </w:t>
    </w:r>
    <w:bookmarkEnd w:id="58"/>
    <w:r w:rsidRPr="00512B26">
      <w:t xml:space="preserve">• </w:t>
    </w:r>
    <w:bookmarkStart w:id="60" w:name="OFF_AddressA"/>
    <w:bookmarkStart w:id="61" w:name="OFF_AddressAHIF"/>
    <w:r w:rsidRPr="00512B26">
      <w:t>Slotsholmsgade 12</w:t>
    </w:r>
    <w:bookmarkEnd w:id="60"/>
    <w:r w:rsidRPr="00512B26">
      <w:t xml:space="preserve"> </w:t>
    </w:r>
    <w:bookmarkEnd w:id="61"/>
    <w:r w:rsidRPr="00512B26">
      <w:rPr>
        <w:vanish/>
      </w:rPr>
      <w:t xml:space="preserve">• </w:t>
    </w:r>
    <w:bookmarkStart w:id="62" w:name="OFF_AddressB"/>
    <w:bookmarkStart w:id="63" w:name="OFF_AddressBHIF"/>
    <w:bookmarkEnd w:id="62"/>
    <w:r w:rsidRPr="00512B26">
      <w:rPr>
        <w:vanish/>
      </w:rPr>
      <w:t xml:space="preserve"> </w:t>
    </w:r>
    <w:bookmarkEnd w:id="63"/>
    <w:r w:rsidRPr="00512B26">
      <w:rPr>
        <w:vanish/>
      </w:rPr>
      <w:t xml:space="preserve">• </w:t>
    </w:r>
    <w:bookmarkStart w:id="64" w:name="OFF_AddressC"/>
    <w:bookmarkStart w:id="65" w:name="OFF_AddressCHIF"/>
    <w:bookmarkEnd w:id="64"/>
    <w:r w:rsidRPr="00512B26">
      <w:rPr>
        <w:vanish/>
      </w:rPr>
      <w:t xml:space="preserve"> </w:t>
    </w:r>
    <w:bookmarkEnd w:id="65"/>
    <w:r w:rsidRPr="00512B26">
      <w:t xml:space="preserve">• </w:t>
    </w:r>
    <w:bookmarkStart w:id="66" w:name="OFF_AddressD"/>
    <w:bookmarkStart w:id="67" w:name="OFF_AddressDHIF"/>
    <w:r w:rsidRPr="00512B26">
      <w:t>1216</w:t>
    </w:r>
    <w:bookmarkEnd w:id="66"/>
    <w:r w:rsidRPr="00512B26">
      <w:t xml:space="preserve"> </w:t>
    </w:r>
    <w:bookmarkStart w:id="68" w:name="OFF_City"/>
    <w:r w:rsidRPr="00512B26">
      <w:t>København K</w:t>
    </w:r>
    <w:bookmarkEnd w:id="68"/>
    <w:r w:rsidRPr="00512B26">
      <w:t xml:space="preserve"> </w:t>
    </w:r>
    <w:bookmarkEnd w:id="67"/>
  </w:p>
  <w:p w:rsidR="007C2F24" w:rsidRPr="00145607" w:rsidRDefault="007C2F24" w:rsidP="00512B26">
    <w:pPr>
      <w:pStyle w:val="Template-Address"/>
      <w:rPr>
        <w:lang w:val="en-GB"/>
      </w:rPr>
    </w:pPr>
    <w:bookmarkStart w:id="69" w:name="LAN_Phone"/>
    <w:bookmarkStart w:id="70" w:name="OFF_PhoneHIF"/>
    <w:bookmarkStart w:id="71" w:name="XIF_MMSecondAddressLine"/>
    <w:bookmarkEnd w:id="59"/>
    <w:r w:rsidRPr="00512B26">
      <w:rPr>
        <w:lang w:val="en-GB"/>
      </w:rPr>
      <w:t>Tlf.</w:t>
    </w:r>
    <w:bookmarkEnd w:id="69"/>
    <w:r w:rsidRPr="00512B26">
      <w:rPr>
        <w:lang w:val="en-GB"/>
      </w:rPr>
      <w:t xml:space="preserve"> </w:t>
    </w:r>
    <w:bookmarkStart w:id="72" w:name="OFF_Phone"/>
    <w:r w:rsidRPr="00512B26">
      <w:rPr>
        <w:lang w:val="en-GB"/>
      </w:rPr>
      <w:t>38 14 21 42</w:t>
    </w:r>
    <w:bookmarkEnd w:id="72"/>
    <w:r w:rsidRPr="00512B26">
      <w:rPr>
        <w:lang w:val="en-GB"/>
      </w:rPr>
      <w:t xml:space="preserve"> </w:t>
    </w:r>
    <w:bookmarkEnd w:id="70"/>
    <w:r w:rsidRPr="00512B26">
      <w:rPr>
        <w:lang w:val="en-GB"/>
      </w:rPr>
      <w:t xml:space="preserve">• </w:t>
    </w:r>
    <w:bookmarkStart w:id="73" w:name="LAN_Fax"/>
    <w:bookmarkStart w:id="74" w:name="OFF_FaxHIF"/>
    <w:r w:rsidRPr="00512B26">
      <w:rPr>
        <w:lang w:val="en-GB"/>
      </w:rPr>
      <w:t>Fax</w:t>
    </w:r>
    <w:bookmarkEnd w:id="73"/>
    <w:r w:rsidRPr="00512B26">
      <w:rPr>
        <w:lang w:val="en-GB"/>
      </w:rPr>
      <w:t xml:space="preserve"> </w:t>
    </w:r>
    <w:bookmarkStart w:id="75" w:name="OFF_Fax"/>
    <w:r w:rsidRPr="00512B26">
      <w:rPr>
        <w:lang w:val="en-GB"/>
      </w:rPr>
      <w:t>33 14 50 42</w:t>
    </w:r>
    <w:bookmarkEnd w:id="75"/>
    <w:r w:rsidRPr="00512B26">
      <w:rPr>
        <w:lang w:val="en-GB"/>
      </w:rPr>
      <w:t xml:space="preserve"> </w:t>
    </w:r>
    <w:bookmarkEnd w:id="74"/>
    <w:r w:rsidRPr="00512B26">
      <w:rPr>
        <w:lang w:val="en-GB"/>
      </w:rPr>
      <w:t xml:space="preserve">• </w:t>
    </w:r>
    <w:bookmarkStart w:id="76" w:name="OFF_CVRHIF"/>
    <w:r w:rsidRPr="00512B26">
      <w:rPr>
        <w:lang w:val="en-GB"/>
      </w:rPr>
      <w:t xml:space="preserve">CVR </w:t>
    </w:r>
    <w:bookmarkStart w:id="77" w:name="OFF_CVR"/>
    <w:r w:rsidRPr="00512B26">
      <w:rPr>
        <w:lang w:val="en-GB"/>
      </w:rPr>
      <w:t>12854358</w:t>
    </w:r>
    <w:bookmarkEnd w:id="77"/>
    <w:r w:rsidRPr="00512B26">
      <w:rPr>
        <w:lang w:val="en-GB"/>
      </w:rPr>
      <w:t xml:space="preserve"> </w:t>
    </w:r>
    <w:bookmarkEnd w:id="76"/>
    <w:r w:rsidRPr="00512B26">
      <w:rPr>
        <w:lang w:val="en-GB"/>
      </w:rPr>
      <w:t xml:space="preserve">• </w:t>
    </w:r>
    <w:bookmarkStart w:id="78" w:name="OFF_EANHIF"/>
    <w:r w:rsidRPr="00512B26">
      <w:rPr>
        <w:lang w:val="en-GB"/>
      </w:rPr>
      <w:t xml:space="preserve">EAN </w:t>
    </w:r>
    <w:bookmarkStart w:id="79" w:name="OFF_EAN"/>
    <w:r w:rsidRPr="00512B26">
      <w:rPr>
        <w:lang w:val="en-GB"/>
      </w:rPr>
      <w:t>5798000862005</w:t>
    </w:r>
    <w:bookmarkEnd w:id="79"/>
    <w:r w:rsidRPr="00512B26">
      <w:rPr>
        <w:lang w:val="en-GB"/>
      </w:rPr>
      <w:t xml:space="preserve"> </w:t>
    </w:r>
    <w:bookmarkEnd w:id="78"/>
    <w:r w:rsidRPr="00512B26">
      <w:rPr>
        <w:lang w:val="en-GB"/>
      </w:rPr>
      <w:t xml:space="preserve">• </w:t>
    </w:r>
    <w:bookmarkStart w:id="80" w:name="OFF_Email"/>
    <w:bookmarkStart w:id="81" w:name="OFF_EmailHIF"/>
    <w:r w:rsidRPr="00512B26">
      <w:rPr>
        <w:lang w:val="en-GB"/>
      </w:rPr>
      <w:t>mfvm@mfvm.dk</w:t>
    </w:r>
    <w:bookmarkEnd w:id="80"/>
    <w:r w:rsidRPr="00512B26">
      <w:rPr>
        <w:lang w:val="en-GB"/>
      </w:rPr>
      <w:t xml:space="preserve"> </w:t>
    </w:r>
    <w:bookmarkEnd w:id="81"/>
    <w:r w:rsidRPr="00512B26">
      <w:rPr>
        <w:lang w:val="en-GB"/>
      </w:rPr>
      <w:t xml:space="preserve">• </w:t>
    </w:r>
    <w:bookmarkStart w:id="82" w:name="OFF_Web"/>
    <w:bookmarkStart w:id="83" w:name="OFF_WebHIF"/>
    <w:r w:rsidRPr="00512B26">
      <w:rPr>
        <w:lang w:val="en-GB"/>
      </w:rPr>
      <w:t>www.mfvm.dk</w:t>
    </w:r>
    <w:bookmarkEnd w:id="82"/>
    <w:r w:rsidRPr="00512B26">
      <w:rPr>
        <w:lang w:val="en-GB"/>
      </w:rPr>
      <w:t xml:space="preserve"> </w:t>
    </w:r>
    <w:bookmarkEnd w:id="71"/>
    <w:bookmarkEnd w:id="83"/>
  </w:p>
  <w:p w:rsidR="007C2F24" w:rsidRPr="00512B26" w:rsidRDefault="007C2F24" w:rsidP="00512B26">
    <w:pPr>
      <w:pStyle w:val="Sidefod"/>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24" w:rsidRDefault="007C2F24">
      <w:r>
        <w:separator/>
      </w:r>
    </w:p>
  </w:footnote>
  <w:footnote w:type="continuationSeparator" w:id="0">
    <w:p w:rsidR="007C2F24" w:rsidRDefault="007C2F24">
      <w:r>
        <w:continuationSeparator/>
      </w:r>
    </w:p>
  </w:footnote>
  <w:footnote w:type="continuationNotice" w:id="1">
    <w:p w:rsidR="007C2F24" w:rsidRDefault="007C2F2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4" w:rsidRDefault="007C2F24">
    <w:pPr>
      <w:pStyle w:val="Sidehoved"/>
    </w:pPr>
    <w:bookmarkStart w:id="46" w:name="BIT_PrimaryHeader"/>
  </w:p>
  <w:bookmarkEnd w:id="46"/>
  <w:p w:rsidR="007C2F24" w:rsidRDefault="007C2F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4" w:rsidRPr="008B4969" w:rsidRDefault="007C2F24" w:rsidP="00512B26">
    <w:pPr>
      <w:rPr>
        <w:lang w:val="en-GB"/>
      </w:rPr>
    </w:pPr>
    <w:r>
      <w:rPr>
        <w:noProof/>
      </w:rPr>
      <w:drawing>
        <wp:anchor distT="0" distB="0" distL="114300" distR="114300" simplePos="0" relativeHeight="251660288" behindDoc="0" locked="1" layoutInCell="1" allowOverlap="1" wp14:anchorId="60E0E9C0" wp14:editId="2F74566C">
          <wp:simplePos x="0" y="0"/>
          <wp:positionH relativeFrom="rightMargin">
            <wp:align>right</wp:align>
          </wp:positionH>
          <wp:positionV relativeFrom="page">
            <wp:posOffset>431800</wp:posOffset>
          </wp:positionV>
          <wp:extent cx="2628896" cy="79248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8896" cy="792480"/>
                  </a:xfrm>
                  <a:prstGeom prst="rect">
                    <a:avLst/>
                  </a:prstGeom>
                </pic:spPr>
              </pic:pic>
            </a:graphicData>
          </a:graphic>
          <wp14:sizeRelH relativeFrom="page">
            <wp14:pctWidth>0</wp14:pctWidth>
          </wp14:sizeRelH>
          <wp14:sizeRelV relativeFrom="page">
            <wp14:pctHeight>0</wp14:pctHeight>
          </wp14:sizeRelV>
        </wp:anchor>
      </w:drawing>
    </w:r>
    <w:r w:rsidRPr="008B4969">
      <w:rPr>
        <w:noProof/>
      </w:rPr>
      <mc:AlternateContent>
        <mc:Choice Requires="wps">
          <w:drawing>
            <wp:anchor distT="0" distB="0" distL="114300" distR="114300" simplePos="0" relativeHeight="251659264" behindDoc="0" locked="1" layoutInCell="1" allowOverlap="1" wp14:anchorId="4E7924A5" wp14:editId="187FB26C">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7C2F24">
                            <w:trPr>
                              <w:cantSplit/>
                              <w:trHeight w:val="2778"/>
                            </w:trPr>
                            <w:tc>
                              <w:tcPr>
                                <w:tcW w:w="2755" w:type="dxa"/>
                                <w:tcMar>
                                  <w:top w:w="34" w:type="dxa"/>
                                  <w:left w:w="0" w:type="dxa"/>
                                  <w:bottom w:w="28" w:type="dxa"/>
                                  <w:right w:w="0" w:type="dxa"/>
                                </w:tcMar>
                              </w:tcPr>
                              <w:p w:rsidR="0065537E" w:rsidRDefault="007C2F24">
                                <w:pPr>
                                  <w:pStyle w:val="Kolofontekst"/>
                                </w:pPr>
                                <w:bookmarkStart w:id="47" w:name="OFF_DepartmentHIF"/>
                                <w:bookmarkStart w:id="48" w:name="OFF_Department"/>
                                <w:r>
                                  <w:t>Erhvervsregulering</w:t>
                                </w:r>
                                <w:bookmarkEnd w:id="48"/>
                              </w:p>
                              <w:p w:rsidR="007C2F24" w:rsidRDefault="007C2F24">
                                <w:pPr>
                                  <w:pStyle w:val="Kolofontekst"/>
                                </w:pPr>
                                <w:r>
                                  <w:t>J.nr. 2018-636</w:t>
                                </w:r>
                              </w:p>
                              <w:p w:rsidR="0065537E" w:rsidRDefault="0065537E">
                                <w:pPr>
                                  <w:pStyle w:val="Kolofontekst"/>
                                </w:pPr>
                                <w:r>
                                  <w:t>Den 6. juni 2018</w:t>
                                </w:r>
                              </w:p>
                              <w:p w:rsidR="0065537E" w:rsidRPr="00512B26" w:rsidRDefault="0065537E">
                                <w:pPr>
                                  <w:pStyle w:val="Kolofontekst"/>
                                </w:pPr>
                              </w:p>
                              <w:p w:rsidR="007C2F24" w:rsidRPr="00512B26" w:rsidRDefault="007C2F24">
                                <w:pPr>
                                  <w:pStyle w:val="Kolofontekst"/>
                                  <w:rPr>
                                    <w:vanish/>
                                  </w:rPr>
                                </w:pPr>
                                <w:bookmarkStart w:id="49" w:name="LAN_CaseNo"/>
                                <w:bookmarkStart w:id="50" w:name="sagsnrHIF"/>
                                <w:bookmarkEnd w:id="47"/>
                                <w:r w:rsidRPr="00512B26">
                                  <w:rPr>
                                    <w:vanish/>
                                  </w:rPr>
                                  <w:t>J.nr.</w:t>
                                </w:r>
                                <w:bookmarkEnd w:id="49"/>
                                <w:r w:rsidRPr="00512B26">
                                  <w:rPr>
                                    <w:vanish/>
                                  </w:rPr>
                                  <w:t xml:space="preserve"> </w:t>
                                </w:r>
                                <w:bookmarkStart w:id="51" w:name="sagsnr"/>
                                <w:bookmarkEnd w:id="51"/>
                              </w:p>
                              <w:bookmarkEnd w:id="50"/>
                              <w:p w:rsidR="007C2F24" w:rsidRDefault="007C2F24" w:rsidP="00986CF5">
                                <w:pPr>
                                  <w:pStyle w:val="Kolofontekst"/>
                                </w:pPr>
                              </w:p>
                            </w:tc>
                          </w:tr>
                        </w:tbl>
                        <w:p w:rsidR="007C2F24" w:rsidRDefault="007C2F24" w:rsidP="00512B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7C2F24">
                      <w:trPr>
                        <w:cantSplit/>
                        <w:trHeight w:val="2778"/>
                      </w:trPr>
                      <w:tc>
                        <w:tcPr>
                          <w:tcW w:w="2755" w:type="dxa"/>
                          <w:tcMar>
                            <w:top w:w="34" w:type="dxa"/>
                            <w:left w:w="0" w:type="dxa"/>
                            <w:bottom w:w="28" w:type="dxa"/>
                            <w:right w:w="0" w:type="dxa"/>
                          </w:tcMar>
                        </w:tcPr>
                        <w:p w:rsidR="0065537E" w:rsidRDefault="007C2F24">
                          <w:pPr>
                            <w:pStyle w:val="Kolofontekst"/>
                          </w:pPr>
                          <w:bookmarkStart w:id="52" w:name="OFF_DepartmentHIF"/>
                          <w:bookmarkStart w:id="53" w:name="OFF_Department"/>
                          <w:r>
                            <w:t>Erhvervsregulering</w:t>
                          </w:r>
                          <w:bookmarkEnd w:id="53"/>
                        </w:p>
                        <w:p w:rsidR="007C2F24" w:rsidRDefault="007C2F24">
                          <w:pPr>
                            <w:pStyle w:val="Kolofontekst"/>
                          </w:pPr>
                          <w:r>
                            <w:t>J.nr. 2018-636</w:t>
                          </w:r>
                        </w:p>
                        <w:p w:rsidR="0065537E" w:rsidRDefault="0065537E">
                          <w:pPr>
                            <w:pStyle w:val="Kolofontekst"/>
                          </w:pPr>
                          <w:r>
                            <w:t>Den 6. juni 2018</w:t>
                          </w:r>
                        </w:p>
                        <w:p w:rsidR="0065537E" w:rsidRPr="00512B26" w:rsidRDefault="0065537E">
                          <w:pPr>
                            <w:pStyle w:val="Kolofontekst"/>
                          </w:pPr>
                        </w:p>
                        <w:p w:rsidR="007C2F24" w:rsidRPr="00512B26" w:rsidRDefault="007C2F24">
                          <w:pPr>
                            <w:pStyle w:val="Kolofontekst"/>
                            <w:rPr>
                              <w:vanish/>
                            </w:rPr>
                          </w:pPr>
                          <w:bookmarkStart w:id="54" w:name="LAN_CaseNo"/>
                          <w:bookmarkStart w:id="55" w:name="sagsnrHIF"/>
                          <w:bookmarkEnd w:id="52"/>
                          <w:r w:rsidRPr="00512B26">
                            <w:rPr>
                              <w:vanish/>
                            </w:rPr>
                            <w:t>J.nr.</w:t>
                          </w:r>
                          <w:bookmarkEnd w:id="54"/>
                          <w:r w:rsidRPr="00512B26">
                            <w:rPr>
                              <w:vanish/>
                            </w:rPr>
                            <w:t xml:space="preserve"> </w:t>
                          </w:r>
                          <w:bookmarkStart w:id="56" w:name="sagsnr"/>
                          <w:bookmarkEnd w:id="56"/>
                        </w:p>
                        <w:bookmarkEnd w:id="55"/>
                        <w:p w:rsidR="007C2F24" w:rsidRDefault="007C2F24" w:rsidP="00986CF5">
                          <w:pPr>
                            <w:pStyle w:val="Kolofontekst"/>
                          </w:pPr>
                        </w:p>
                      </w:tc>
                    </w:tr>
                  </w:tbl>
                  <w:p w:rsidR="007C2F24" w:rsidRDefault="007C2F24" w:rsidP="00512B26"/>
                </w:txbxContent>
              </v:textbox>
              <w10:wrap anchorx="margin" anchory="page"/>
              <w10:anchorlock/>
            </v:shape>
          </w:pict>
        </mc:Fallback>
      </mc:AlternateContent>
    </w:r>
  </w:p>
  <w:p w:rsidR="007C2F24" w:rsidRDefault="007C2F24"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238409B2"/>
    <w:lvl w:ilvl="0">
      <w:start w:val="1"/>
      <w:numFmt w:val="decimal"/>
      <w:lvlText w:val="%1."/>
      <w:lvlJc w:val="left"/>
      <w:pPr>
        <w:tabs>
          <w:tab w:val="num" w:pos="360"/>
        </w:tabs>
        <w:ind w:left="360" w:hanging="360"/>
      </w:pPr>
    </w:lvl>
  </w:abstractNum>
  <w:abstractNum w:abstractNumId="9">
    <w:nsid w:val="039463E3"/>
    <w:multiLevelType w:val="hybridMultilevel"/>
    <w:tmpl w:val="EE3C15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9E62FB"/>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862"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nsid w:val="228B64E0"/>
    <w:multiLevelType w:val="hybridMultilevel"/>
    <w:tmpl w:val="F5BE34C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E291165"/>
    <w:multiLevelType w:val="hybridMultilevel"/>
    <w:tmpl w:val="2F205D86"/>
    <w:lvl w:ilvl="0" w:tplc="04060011">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6">
    <w:nsid w:val="34FB4A35"/>
    <w:multiLevelType w:val="hybridMultilevel"/>
    <w:tmpl w:val="F5BE34C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F1B1DEA"/>
    <w:multiLevelType w:val="hybridMultilevel"/>
    <w:tmpl w:val="407E998C"/>
    <w:lvl w:ilvl="0" w:tplc="AE14B25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1796E53"/>
    <w:multiLevelType w:val="hybridMultilevel"/>
    <w:tmpl w:val="40E8525E"/>
    <w:lvl w:ilvl="0" w:tplc="99AABA08">
      <w:numFmt w:val="bullet"/>
      <w:lvlText w:val="-"/>
      <w:lvlJc w:val="left"/>
      <w:pPr>
        <w:ind w:left="360" w:hanging="360"/>
      </w:pPr>
      <w:rPr>
        <w:rFonts w:ascii="Georgia" w:eastAsia="Times New Roman" w:hAnsi="Georgi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458C5446"/>
    <w:multiLevelType w:val="multilevel"/>
    <w:tmpl w:val="B33A44C4"/>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461A0C56"/>
    <w:multiLevelType w:val="hybridMultilevel"/>
    <w:tmpl w:val="44CA7290"/>
    <w:lvl w:ilvl="0" w:tplc="732E3546">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22">
    <w:nsid w:val="587848BC"/>
    <w:multiLevelType w:val="hybridMultilevel"/>
    <w:tmpl w:val="CD163D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0"/>
  </w:num>
  <w:num w:numId="12">
    <w:abstractNumId w:val="23"/>
  </w:num>
  <w:num w:numId="13">
    <w:abstractNumId w:val="17"/>
  </w:num>
  <w:num w:numId="14">
    <w:abstractNumId w:val="8"/>
  </w:num>
  <w:num w:numId="15">
    <w:abstractNumId w:val="22"/>
  </w:num>
  <w:num w:numId="16">
    <w:abstractNumId w:val="19"/>
  </w:num>
  <w:num w:numId="17">
    <w:abstractNumId w:val="18"/>
  </w:num>
  <w:num w:numId="18">
    <w:abstractNumId w:val="11"/>
  </w:num>
  <w:num w:numId="19">
    <w:abstractNumId w:val="13"/>
  </w:num>
  <w:num w:numId="20">
    <w:abstractNumId w:val="16"/>
  </w:num>
  <w:num w:numId="21">
    <w:abstractNumId w:val="20"/>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26"/>
    <w:rsid w:val="00002EA0"/>
    <w:rsid w:val="00003636"/>
    <w:rsid w:val="00005FAA"/>
    <w:rsid w:val="0001457C"/>
    <w:rsid w:val="0001528D"/>
    <w:rsid w:val="000166A0"/>
    <w:rsid w:val="00026C13"/>
    <w:rsid w:val="00030051"/>
    <w:rsid w:val="00037C78"/>
    <w:rsid w:val="00037E7E"/>
    <w:rsid w:val="00044D59"/>
    <w:rsid w:val="00060BC5"/>
    <w:rsid w:val="0006439C"/>
    <w:rsid w:val="000647F2"/>
    <w:rsid w:val="00066A0C"/>
    <w:rsid w:val="00066D3B"/>
    <w:rsid w:val="00070BA1"/>
    <w:rsid w:val="00072A0D"/>
    <w:rsid w:val="00072B0E"/>
    <w:rsid w:val="00073466"/>
    <w:rsid w:val="00074F1A"/>
    <w:rsid w:val="000757A9"/>
    <w:rsid w:val="000758FD"/>
    <w:rsid w:val="00076889"/>
    <w:rsid w:val="0007748E"/>
    <w:rsid w:val="00082404"/>
    <w:rsid w:val="000825EC"/>
    <w:rsid w:val="00084723"/>
    <w:rsid w:val="00096AA1"/>
    <w:rsid w:val="000A1C92"/>
    <w:rsid w:val="000A26F5"/>
    <w:rsid w:val="000A7219"/>
    <w:rsid w:val="000B26E7"/>
    <w:rsid w:val="000B2E5E"/>
    <w:rsid w:val="000B5461"/>
    <w:rsid w:val="000B6592"/>
    <w:rsid w:val="000B7949"/>
    <w:rsid w:val="000C0294"/>
    <w:rsid w:val="000C0594"/>
    <w:rsid w:val="000C13E6"/>
    <w:rsid w:val="000C3D52"/>
    <w:rsid w:val="000C45B7"/>
    <w:rsid w:val="000C62D3"/>
    <w:rsid w:val="000D0F4C"/>
    <w:rsid w:val="000D1CF4"/>
    <w:rsid w:val="000D55BC"/>
    <w:rsid w:val="000D5FBF"/>
    <w:rsid w:val="000D600E"/>
    <w:rsid w:val="000E179B"/>
    <w:rsid w:val="000E2C75"/>
    <w:rsid w:val="000E2F7B"/>
    <w:rsid w:val="000E3992"/>
    <w:rsid w:val="000E5860"/>
    <w:rsid w:val="000E717B"/>
    <w:rsid w:val="000F0775"/>
    <w:rsid w:val="000F0B81"/>
    <w:rsid w:val="000F7A25"/>
    <w:rsid w:val="00103018"/>
    <w:rsid w:val="00104CB1"/>
    <w:rsid w:val="001062D0"/>
    <w:rsid w:val="00112D66"/>
    <w:rsid w:val="00114DE6"/>
    <w:rsid w:val="001210A9"/>
    <w:rsid w:val="001354CC"/>
    <w:rsid w:val="0014150F"/>
    <w:rsid w:val="00144670"/>
    <w:rsid w:val="0014521C"/>
    <w:rsid w:val="00145246"/>
    <w:rsid w:val="0014616C"/>
    <w:rsid w:val="0014661C"/>
    <w:rsid w:val="001471EA"/>
    <w:rsid w:val="00150899"/>
    <w:rsid w:val="00152CB8"/>
    <w:rsid w:val="00156908"/>
    <w:rsid w:val="00160721"/>
    <w:rsid w:val="001738E3"/>
    <w:rsid w:val="001743E7"/>
    <w:rsid w:val="001A0257"/>
    <w:rsid w:val="001A4D56"/>
    <w:rsid w:val="001A58BF"/>
    <w:rsid w:val="001A6CB5"/>
    <w:rsid w:val="001A7E4B"/>
    <w:rsid w:val="001B22A7"/>
    <w:rsid w:val="001B3F10"/>
    <w:rsid w:val="001B72A9"/>
    <w:rsid w:val="001C2544"/>
    <w:rsid w:val="001C417D"/>
    <w:rsid w:val="001C4328"/>
    <w:rsid w:val="001C6975"/>
    <w:rsid w:val="001C7630"/>
    <w:rsid w:val="001D0261"/>
    <w:rsid w:val="001D1196"/>
    <w:rsid w:val="001D19D8"/>
    <w:rsid w:val="001D64BD"/>
    <w:rsid w:val="001E38EF"/>
    <w:rsid w:val="001E63D8"/>
    <w:rsid w:val="001E7F16"/>
    <w:rsid w:val="001F3A47"/>
    <w:rsid w:val="001F763E"/>
    <w:rsid w:val="00200B86"/>
    <w:rsid w:val="0020134B"/>
    <w:rsid w:val="00203647"/>
    <w:rsid w:val="0020402C"/>
    <w:rsid w:val="002044E3"/>
    <w:rsid w:val="00204BF4"/>
    <w:rsid w:val="00211AC9"/>
    <w:rsid w:val="00211E05"/>
    <w:rsid w:val="00212497"/>
    <w:rsid w:val="002239C6"/>
    <w:rsid w:val="00225534"/>
    <w:rsid w:val="00226244"/>
    <w:rsid w:val="00235C1F"/>
    <w:rsid w:val="002366E2"/>
    <w:rsid w:val="00247443"/>
    <w:rsid w:val="00250DA4"/>
    <w:rsid w:val="002629A8"/>
    <w:rsid w:val="002639DB"/>
    <w:rsid w:val="00264240"/>
    <w:rsid w:val="002654F9"/>
    <w:rsid w:val="00267F76"/>
    <w:rsid w:val="00270293"/>
    <w:rsid w:val="0027546B"/>
    <w:rsid w:val="00283D52"/>
    <w:rsid w:val="00284176"/>
    <w:rsid w:val="0029238E"/>
    <w:rsid w:val="00293240"/>
    <w:rsid w:val="002933E6"/>
    <w:rsid w:val="0029629D"/>
    <w:rsid w:val="002A29B1"/>
    <w:rsid w:val="002A2A5D"/>
    <w:rsid w:val="002A6AAC"/>
    <w:rsid w:val="002A7860"/>
    <w:rsid w:val="002B4CD4"/>
    <w:rsid w:val="002C042D"/>
    <w:rsid w:val="002C4595"/>
    <w:rsid w:val="002C4D00"/>
    <w:rsid w:val="002C6AA2"/>
    <w:rsid w:val="002C7A6C"/>
    <w:rsid w:val="002D00C9"/>
    <w:rsid w:val="002D03C2"/>
    <w:rsid w:val="002D0B27"/>
    <w:rsid w:val="002D268E"/>
    <w:rsid w:val="002D2891"/>
    <w:rsid w:val="002D7F0F"/>
    <w:rsid w:val="002E1082"/>
    <w:rsid w:val="002E2D32"/>
    <w:rsid w:val="002F435A"/>
    <w:rsid w:val="003001A2"/>
    <w:rsid w:val="003018E4"/>
    <w:rsid w:val="003033ED"/>
    <w:rsid w:val="00306AE8"/>
    <w:rsid w:val="00310C3C"/>
    <w:rsid w:val="00313642"/>
    <w:rsid w:val="00314322"/>
    <w:rsid w:val="00315AC9"/>
    <w:rsid w:val="00316933"/>
    <w:rsid w:val="00320951"/>
    <w:rsid w:val="003209AA"/>
    <w:rsid w:val="00322BBE"/>
    <w:rsid w:val="00326ED5"/>
    <w:rsid w:val="00331970"/>
    <w:rsid w:val="0033210E"/>
    <w:rsid w:val="00334562"/>
    <w:rsid w:val="00342CD9"/>
    <w:rsid w:val="00343A37"/>
    <w:rsid w:val="00345FA9"/>
    <w:rsid w:val="00350582"/>
    <w:rsid w:val="00353B4E"/>
    <w:rsid w:val="003558D9"/>
    <w:rsid w:val="00356140"/>
    <w:rsid w:val="00362EAC"/>
    <w:rsid w:val="00365BC4"/>
    <w:rsid w:val="0037036F"/>
    <w:rsid w:val="0037643B"/>
    <w:rsid w:val="00376522"/>
    <w:rsid w:val="003819FF"/>
    <w:rsid w:val="00385C06"/>
    <w:rsid w:val="003864F5"/>
    <w:rsid w:val="00386D0C"/>
    <w:rsid w:val="00392620"/>
    <w:rsid w:val="00396DA5"/>
    <w:rsid w:val="003A3350"/>
    <w:rsid w:val="003A3369"/>
    <w:rsid w:val="003A44A9"/>
    <w:rsid w:val="003A695E"/>
    <w:rsid w:val="003B02BE"/>
    <w:rsid w:val="003B6419"/>
    <w:rsid w:val="003B6C74"/>
    <w:rsid w:val="003C67E6"/>
    <w:rsid w:val="003D1D00"/>
    <w:rsid w:val="003D3CB2"/>
    <w:rsid w:val="003D4294"/>
    <w:rsid w:val="003D518E"/>
    <w:rsid w:val="003E06B4"/>
    <w:rsid w:val="003E09D1"/>
    <w:rsid w:val="003E1377"/>
    <w:rsid w:val="003E1F1A"/>
    <w:rsid w:val="003E3617"/>
    <w:rsid w:val="003E5063"/>
    <w:rsid w:val="003E5A63"/>
    <w:rsid w:val="003F0D75"/>
    <w:rsid w:val="003F0F78"/>
    <w:rsid w:val="00402F13"/>
    <w:rsid w:val="0040506D"/>
    <w:rsid w:val="00406784"/>
    <w:rsid w:val="00406AF1"/>
    <w:rsid w:val="00406DD2"/>
    <w:rsid w:val="00407A11"/>
    <w:rsid w:val="00407C2F"/>
    <w:rsid w:val="00411762"/>
    <w:rsid w:val="0041385B"/>
    <w:rsid w:val="00414BA2"/>
    <w:rsid w:val="00415BC0"/>
    <w:rsid w:val="004162F6"/>
    <w:rsid w:val="00420012"/>
    <w:rsid w:val="004208E6"/>
    <w:rsid w:val="004232F9"/>
    <w:rsid w:val="00425BE3"/>
    <w:rsid w:val="00433A1E"/>
    <w:rsid w:val="00440668"/>
    <w:rsid w:val="004421D7"/>
    <w:rsid w:val="00447B83"/>
    <w:rsid w:val="00450475"/>
    <w:rsid w:val="0045715C"/>
    <w:rsid w:val="00457882"/>
    <w:rsid w:val="0046097A"/>
    <w:rsid w:val="00460B5A"/>
    <w:rsid w:val="00461A16"/>
    <w:rsid w:val="0046443B"/>
    <w:rsid w:val="0046600E"/>
    <w:rsid w:val="00467E79"/>
    <w:rsid w:val="0047179B"/>
    <w:rsid w:val="00476722"/>
    <w:rsid w:val="00481EEB"/>
    <w:rsid w:val="004830C6"/>
    <w:rsid w:val="00483FB4"/>
    <w:rsid w:val="0048414C"/>
    <w:rsid w:val="00484E92"/>
    <w:rsid w:val="0048667B"/>
    <w:rsid w:val="00486F50"/>
    <w:rsid w:val="00495993"/>
    <w:rsid w:val="004A3AAA"/>
    <w:rsid w:val="004A4315"/>
    <w:rsid w:val="004A78BA"/>
    <w:rsid w:val="004B5995"/>
    <w:rsid w:val="004B5AC3"/>
    <w:rsid w:val="004B6A8B"/>
    <w:rsid w:val="004C00A5"/>
    <w:rsid w:val="004C0742"/>
    <w:rsid w:val="004C1EA3"/>
    <w:rsid w:val="004C237E"/>
    <w:rsid w:val="004C35EF"/>
    <w:rsid w:val="004C491E"/>
    <w:rsid w:val="004C4F89"/>
    <w:rsid w:val="004C63FE"/>
    <w:rsid w:val="004D23C9"/>
    <w:rsid w:val="004D44D5"/>
    <w:rsid w:val="004D46E8"/>
    <w:rsid w:val="004D6645"/>
    <w:rsid w:val="004D6CAA"/>
    <w:rsid w:val="004E33EF"/>
    <w:rsid w:val="004E562B"/>
    <w:rsid w:val="004E642A"/>
    <w:rsid w:val="004E7C82"/>
    <w:rsid w:val="004F19F5"/>
    <w:rsid w:val="004F1FB2"/>
    <w:rsid w:val="004F2941"/>
    <w:rsid w:val="004F7C92"/>
    <w:rsid w:val="00500345"/>
    <w:rsid w:val="005009DC"/>
    <w:rsid w:val="00500EFC"/>
    <w:rsid w:val="00501E2E"/>
    <w:rsid w:val="00512B26"/>
    <w:rsid w:val="0051781E"/>
    <w:rsid w:val="00520971"/>
    <w:rsid w:val="005220A1"/>
    <w:rsid w:val="005267CB"/>
    <w:rsid w:val="0052791E"/>
    <w:rsid w:val="00531869"/>
    <w:rsid w:val="00535B7D"/>
    <w:rsid w:val="00540AC9"/>
    <w:rsid w:val="00542D97"/>
    <w:rsid w:val="00544B3B"/>
    <w:rsid w:val="005456C3"/>
    <w:rsid w:val="00545CFD"/>
    <w:rsid w:val="005543C3"/>
    <w:rsid w:val="00554FAA"/>
    <w:rsid w:val="00561816"/>
    <w:rsid w:val="005630B4"/>
    <w:rsid w:val="00563773"/>
    <w:rsid w:val="005650F2"/>
    <w:rsid w:val="005672CB"/>
    <w:rsid w:val="00572804"/>
    <w:rsid w:val="00576B90"/>
    <w:rsid w:val="00576F59"/>
    <w:rsid w:val="0058155D"/>
    <w:rsid w:val="00583240"/>
    <w:rsid w:val="00590A5B"/>
    <w:rsid w:val="00590C13"/>
    <w:rsid w:val="0059175F"/>
    <w:rsid w:val="0059560E"/>
    <w:rsid w:val="00595AC6"/>
    <w:rsid w:val="00596C25"/>
    <w:rsid w:val="005A01E1"/>
    <w:rsid w:val="005A0290"/>
    <w:rsid w:val="005A0E55"/>
    <w:rsid w:val="005A1F29"/>
    <w:rsid w:val="005A29CB"/>
    <w:rsid w:val="005A50B9"/>
    <w:rsid w:val="005B0545"/>
    <w:rsid w:val="005C51A1"/>
    <w:rsid w:val="005C5F47"/>
    <w:rsid w:val="005C65CB"/>
    <w:rsid w:val="005D0FFC"/>
    <w:rsid w:val="005D1A6E"/>
    <w:rsid w:val="005D1E15"/>
    <w:rsid w:val="005D2B26"/>
    <w:rsid w:val="005D3CF2"/>
    <w:rsid w:val="005D543F"/>
    <w:rsid w:val="005D6234"/>
    <w:rsid w:val="005D7152"/>
    <w:rsid w:val="005D7C45"/>
    <w:rsid w:val="005E099F"/>
    <w:rsid w:val="005E352B"/>
    <w:rsid w:val="005E4484"/>
    <w:rsid w:val="005E49F5"/>
    <w:rsid w:val="005E77EF"/>
    <w:rsid w:val="005F172E"/>
    <w:rsid w:val="005F61FB"/>
    <w:rsid w:val="00604DC5"/>
    <w:rsid w:val="006067F0"/>
    <w:rsid w:val="006079D5"/>
    <w:rsid w:val="00610541"/>
    <w:rsid w:val="00610A43"/>
    <w:rsid w:val="00612296"/>
    <w:rsid w:val="006161E8"/>
    <w:rsid w:val="00617469"/>
    <w:rsid w:val="006217FF"/>
    <w:rsid w:val="00623A75"/>
    <w:rsid w:val="00632235"/>
    <w:rsid w:val="0063273A"/>
    <w:rsid w:val="00632DB3"/>
    <w:rsid w:val="00632EB9"/>
    <w:rsid w:val="00633FFB"/>
    <w:rsid w:val="006406C1"/>
    <w:rsid w:val="00640991"/>
    <w:rsid w:val="00641AE1"/>
    <w:rsid w:val="00643DDE"/>
    <w:rsid w:val="0064546E"/>
    <w:rsid w:val="00654289"/>
    <w:rsid w:val="0065537E"/>
    <w:rsid w:val="00655780"/>
    <w:rsid w:val="0065605A"/>
    <w:rsid w:val="00656393"/>
    <w:rsid w:val="00656763"/>
    <w:rsid w:val="00656C96"/>
    <w:rsid w:val="006665A1"/>
    <w:rsid w:val="006706E8"/>
    <w:rsid w:val="006711A5"/>
    <w:rsid w:val="0067189A"/>
    <w:rsid w:val="0067771A"/>
    <w:rsid w:val="00680972"/>
    <w:rsid w:val="00684B85"/>
    <w:rsid w:val="0068783F"/>
    <w:rsid w:val="00696E85"/>
    <w:rsid w:val="006A18C5"/>
    <w:rsid w:val="006A33DA"/>
    <w:rsid w:val="006A4B8E"/>
    <w:rsid w:val="006B7497"/>
    <w:rsid w:val="006D09A7"/>
    <w:rsid w:val="006E2B03"/>
    <w:rsid w:val="006E7F1D"/>
    <w:rsid w:val="006E7F25"/>
    <w:rsid w:val="006F253F"/>
    <w:rsid w:val="006F30D9"/>
    <w:rsid w:val="006F3EB3"/>
    <w:rsid w:val="006F4DCD"/>
    <w:rsid w:val="00702FF2"/>
    <w:rsid w:val="00703B66"/>
    <w:rsid w:val="00705800"/>
    <w:rsid w:val="00705EAB"/>
    <w:rsid w:val="00723455"/>
    <w:rsid w:val="00723E14"/>
    <w:rsid w:val="00724762"/>
    <w:rsid w:val="00724D6D"/>
    <w:rsid w:val="007272D1"/>
    <w:rsid w:val="0073474C"/>
    <w:rsid w:val="00737214"/>
    <w:rsid w:val="0073754C"/>
    <w:rsid w:val="0074716F"/>
    <w:rsid w:val="0074737F"/>
    <w:rsid w:val="00751E72"/>
    <w:rsid w:val="00753673"/>
    <w:rsid w:val="007540BD"/>
    <w:rsid w:val="00762205"/>
    <w:rsid w:val="0076323D"/>
    <w:rsid w:val="00764201"/>
    <w:rsid w:val="007717EC"/>
    <w:rsid w:val="007830BE"/>
    <w:rsid w:val="00784A21"/>
    <w:rsid w:val="0078660E"/>
    <w:rsid w:val="0078686B"/>
    <w:rsid w:val="00787701"/>
    <w:rsid w:val="007912B3"/>
    <w:rsid w:val="007940C9"/>
    <w:rsid w:val="00796312"/>
    <w:rsid w:val="007A6E55"/>
    <w:rsid w:val="007B1B23"/>
    <w:rsid w:val="007B21FA"/>
    <w:rsid w:val="007B2ADE"/>
    <w:rsid w:val="007B3940"/>
    <w:rsid w:val="007B40DB"/>
    <w:rsid w:val="007C26A5"/>
    <w:rsid w:val="007C2F24"/>
    <w:rsid w:val="007D492E"/>
    <w:rsid w:val="007E0C49"/>
    <w:rsid w:val="007E3A3B"/>
    <w:rsid w:val="007E51F2"/>
    <w:rsid w:val="007E5E97"/>
    <w:rsid w:val="007E7688"/>
    <w:rsid w:val="007F4A4B"/>
    <w:rsid w:val="007F511D"/>
    <w:rsid w:val="007F5D98"/>
    <w:rsid w:val="007F770C"/>
    <w:rsid w:val="00802CB9"/>
    <w:rsid w:val="00804407"/>
    <w:rsid w:val="00807BA4"/>
    <w:rsid w:val="00810FBE"/>
    <w:rsid w:val="00821133"/>
    <w:rsid w:val="00830320"/>
    <w:rsid w:val="0083246F"/>
    <w:rsid w:val="008324B0"/>
    <w:rsid w:val="00833A82"/>
    <w:rsid w:val="00836000"/>
    <w:rsid w:val="008407EC"/>
    <w:rsid w:val="00841796"/>
    <w:rsid w:val="0084333E"/>
    <w:rsid w:val="0084379B"/>
    <w:rsid w:val="00844CA9"/>
    <w:rsid w:val="00847491"/>
    <w:rsid w:val="00850194"/>
    <w:rsid w:val="008533AA"/>
    <w:rsid w:val="008559E9"/>
    <w:rsid w:val="00860D2C"/>
    <w:rsid w:val="00861CBA"/>
    <w:rsid w:val="00863B4C"/>
    <w:rsid w:val="00872AC0"/>
    <w:rsid w:val="00875531"/>
    <w:rsid w:val="00882741"/>
    <w:rsid w:val="00887B9E"/>
    <w:rsid w:val="0089099F"/>
    <w:rsid w:val="00892B13"/>
    <w:rsid w:val="00892E48"/>
    <w:rsid w:val="00897E70"/>
    <w:rsid w:val="008A1C6B"/>
    <w:rsid w:val="008B1002"/>
    <w:rsid w:val="008B1B83"/>
    <w:rsid w:val="008B3ADA"/>
    <w:rsid w:val="008C5F4A"/>
    <w:rsid w:val="008D117C"/>
    <w:rsid w:val="008D1674"/>
    <w:rsid w:val="008E3990"/>
    <w:rsid w:val="008E46C8"/>
    <w:rsid w:val="008F272E"/>
    <w:rsid w:val="008F3DDD"/>
    <w:rsid w:val="008F65B3"/>
    <w:rsid w:val="008F6B2B"/>
    <w:rsid w:val="00905C37"/>
    <w:rsid w:val="00906916"/>
    <w:rsid w:val="00915C06"/>
    <w:rsid w:val="00923F50"/>
    <w:rsid w:val="0092514B"/>
    <w:rsid w:val="00926305"/>
    <w:rsid w:val="009264AA"/>
    <w:rsid w:val="00932EE6"/>
    <w:rsid w:val="00936E3D"/>
    <w:rsid w:val="00944EE8"/>
    <w:rsid w:val="009461F0"/>
    <w:rsid w:val="009546E4"/>
    <w:rsid w:val="00955A5F"/>
    <w:rsid w:val="009601F5"/>
    <w:rsid w:val="009604CB"/>
    <w:rsid w:val="00963E43"/>
    <w:rsid w:val="00970524"/>
    <w:rsid w:val="00970BFD"/>
    <w:rsid w:val="00970F21"/>
    <w:rsid w:val="009724CA"/>
    <w:rsid w:val="00975F3B"/>
    <w:rsid w:val="009767B4"/>
    <w:rsid w:val="00983129"/>
    <w:rsid w:val="0098382A"/>
    <w:rsid w:val="00986CF5"/>
    <w:rsid w:val="009943CD"/>
    <w:rsid w:val="00994E91"/>
    <w:rsid w:val="009A04E3"/>
    <w:rsid w:val="009C2281"/>
    <w:rsid w:val="009C37F8"/>
    <w:rsid w:val="009C66D6"/>
    <w:rsid w:val="009C6BB2"/>
    <w:rsid w:val="009D0881"/>
    <w:rsid w:val="009E27B6"/>
    <w:rsid w:val="009E46B7"/>
    <w:rsid w:val="009E6EB8"/>
    <w:rsid w:val="009E7920"/>
    <w:rsid w:val="009F368F"/>
    <w:rsid w:val="009F4367"/>
    <w:rsid w:val="009F5A08"/>
    <w:rsid w:val="009F7033"/>
    <w:rsid w:val="00A011F0"/>
    <w:rsid w:val="00A03CE6"/>
    <w:rsid w:val="00A03E48"/>
    <w:rsid w:val="00A04B09"/>
    <w:rsid w:val="00A11F5A"/>
    <w:rsid w:val="00A158CB"/>
    <w:rsid w:val="00A1775E"/>
    <w:rsid w:val="00A24A07"/>
    <w:rsid w:val="00A26401"/>
    <w:rsid w:val="00A34B40"/>
    <w:rsid w:val="00A36292"/>
    <w:rsid w:val="00A36D64"/>
    <w:rsid w:val="00A3749F"/>
    <w:rsid w:val="00A44A6B"/>
    <w:rsid w:val="00A50B3C"/>
    <w:rsid w:val="00A51DBA"/>
    <w:rsid w:val="00A5408B"/>
    <w:rsid w:val="00A556CE"/>
    <w:rsid w:val="00A55AF0"/>
    <w:rsid w:val="00A6021F"/>
    <w:rsid w:val="00A67D37"/>
    <w:rsid w:val="00A72DDE"/>
    <w:rsid w:val="00A82264"/>
    <w:rsid w:val="00A85ECD"/>
    <w:rsid w:val="00A86C2D"/>
    <w:rsid w:val="00A923E2"/>
    <w:rsid w:val="00A964CE"/>
    <w:rsid w:val="00A96C60"/>
    <w:rsid w:val="00AA4437"/>
    <w:rsid w:val="00AA7965"/>
    <w:rsid w:val="00AB363A"/>
    <w:rsid w:val="00AB6477"/>
    <w:rsid w:val="00AC35D6"/>
    <w:rsid w:val="00AD678B"/>
    <w:rsid w:val="00AE41A1"/>
    <w:rsid w:val="00AE5A17"/>
    <w:rsid w:val="00AF5AF6"/>
    <w:rsid w:val="00B07F70"/>
    <w:rsid w:val="00B12CA0"/>
    <w:rsid w:val="00B139EF"/>
    <w:rsid w:val="00B13BB6"/>
    <w:rsid w:val="00B2565D"/>
    <w:rsid w:val="00B30727"/>
    <w:rsid w:val="00B329C7"/>
    <w:rsid w:val="00B33A35"/>
    <w:rsid w:val="00B34FAA"/>
    <w:rsid w:val="00B358B3"/>
    <w:rsid w:val="00B35FD5"/>
    <w:rsid w:val="00B427CF"/>
    <w:rsid w:val="00B441D7"/>
    <w:rsid w:val="00B54207"/>
    <w:rsid w:val="00B67E21"/>
    <w:rsid w:val="00B734BB"/>
    <w:rsid w:val="00B75D29"/>
    <w:rsid w:val="00B77950"/>
    <w:rsid w:val="00B80700"/>
    <w:rsid w:val="00B81B85"/>
    <w:rsid w:val="00B86940"/>
    <w:rsid w:val="00B87347"/>
    <w:rsid w:val="00B90A33"/>
    <w:rsid w:val="00B912F1"/>
    <w:rsid w:val="00B91712"/>
    <w:rsid w:val="00B91D48"/>
    <w:rsid w:val="00B932C3"/>
    <w:rsid w:val="00B9508C"/>
    <w:rsid w:val="00BA02B8"/>
    <w:rsid w:val="00BA7059"/>
    <w:rsid w:val="00BA7FC4"/>
    <w:rsid w:val="00BB40C8"/>
    <w:rsid w:val="00BB6985"/>
    <w:rsid w:val="00BC56EA"/>
    <w:rsid w:val="00BC6602"/>
    <w:rsid w:val="00BC7D8D"/>
    <w:rsid w:val="00BD787B"/>
    <w:rsid w:val="00BE0CE4"/>
    <w:rsid w:val="00BE1BFC"/>
    <w:rsid w:val="00BE76E2"/>
    <w:rsid w:val="00BE7D68"/>
    <w:rsid w:val="00BF101A"/>
    <w:rsid w:val="00BF3C24"/>
    <w:rsid w:val="00C03ED1"/>
    <w:rsid w:val="00C1217C"/>
    <w:rsid w:val="00C13614"/>
    <w:rsid w:val="00C14958"/>
    <w:rsid w:val="00C1503E"/>
    <w:rsid w:val="00C16955"/>
    <w:rsid w:val="00C200BF"/>
    <w:rsid w:val="00C21584"/>
    <w:rsid w:val="00C2184A"/>
    <w:rsid w:val="00C22577"/>
    <w:rsid w:val="00C22C94"/>
    <w:rsid w:val="00C23E95"/>
    <w:rsid w:val="00C26117"/>
    <w:rsid w:val="00C32CE7"/>
    <w:rsid w:val="00C3559B"/>
    <w:rsid w:val="00C370E4"/>
    <w:rsid w:val="00C374EB"/>
    <w:rsid w:val="00C41BBD"/>
    <w:rsid w:val="00C44620"/>
    <w:rsid w:val="00C448EF"/>
    <w:rsid w:val="00C466C1"/>
    <w:rsid w:val="00C468F8"/>
    <w:rsid w:val="00C476A8"/>
    <w:rsid w:val="00C53CED"/>
    <w:rsid w:val="00C57362"/>
    <w:rsid w:val="00C57CA7"/>
    <w:rsid w:val="00C617FE"/>
    <w:rsid w:val="00C63B9A"/>
    <w:rsid w:val="00C64F3D"/>
    <w:rsid w:val="00C66392"/>
    <w:rsid w:val="00C7051E"/>
    <w:rsid w:val="00C70BEA"/>
    <w:rsid w:val="00C71B04"/>
    <w:rsid w:val="00C766CC"/>
    <w:rsid w:val="00C76B7D"/>
    <w:rsid w:val="00C81B75"/>
    <w:rsid w:val="00C82C31"/>
    <w:rsid w:val="00C8406C"/>
    <w:rsid w:val="00C87AAA"/>
    <w:rsid w:val="00C92D33"/>
    <w:rsid w:val="00C94E96"/>
    <w:rsid w:val="00CA078B"/>
    <w:rsid w:val="00CA543F"/>
    <w:rsid w:val="00CA6429"/>
    <w:rsid w:val="00CA6ADF"/>
    <w:rsid w:val="00CB5C14"/>
    <w:rsid w:val="00CB7907"/>
    <w:rsid w:val="00CC12A8"/>
    <w:rsid w:val="00CC3891"/>
    <w:rsid w:val="00CC6892"/>
    <w:rsid w:val="00CC7D05"/>
    <w:rsid w:val="00CD31FE"/>
    <w:rsid w:val="00CD4F1D"/>
    <w:rsid w:val="00CE1EC6"/>
    <w:rsid w:val="00CE5201"/>
    <w:rsid w:val="00CF1321"/>
    <w:rsid w:val="00CF1627"/>
    <w:rsid w:val="00CF760D"/>
    <w:rsid w:val="00D008ED"/>
    <w:rsid w:val="00D01984"/>
    <w:rsid w:val="00D01EDA"/>
    <w:rsid w:val="00D10C8F"/>
    <w:rsid w:val="00D133BE"/>
    <w:rsid w:val="00D15074"/>
    <w:rsid w:val="00D16472"/>
    <w:rsid w:val="00D314A6"/>
    <w:rsid w:val="00D321C9"/>
    <w:rsid w:val="00D353A2"/>
    <w:rsid w:val="00D3738E"/>
    <w:rsid w:val="00D37FC2"/>
    <w:rsid w:val="00D43DB0"/>
    <w:rsid w:val="00D4501E"/>
    <w:rsid w:val="00D46C5D"/>
    <w:rsid w:val="00D546E0"/>
    <w:rsid w:val="00D570C5"/>
    <w:rsid w:val="00D57BD3"/>
    <w:rsid w:val="00D658D1"/>
    <w:rsid w:val="00D65E69"/>
    <w:rsid w:val="00D76E4B"/>
    <w:rsid w:val="00D907FC"/>
    <w:rsid w:val="00D915D6"/>
    <w:rsid w:val="00D922CF"/>
    <w:rsid w:val="00D951B4"/>
    <w:rsid w:val="00DA32B3"/>
    <w:rsid w:val="00DA6734"/>
    <w:rsid w:val="00DA70F7"/>
    <w:rsid w:val="00DB56B3"/>
    <w:rsid w:val="00DB7F4B"/>
    <w:rsid w:val="00DC4AD3"/>
    <w:rsid w:val="00DE24BE"/>
    <w:rsid w:val="00DE5B21"/>
    <w:rsid w:val="00DE7479"/>
    <w:rsid w:val="00DF10B5"/>
    <w:rsid w:val="00DF128B"/>
    <w:rsid w:val="00DF2F94"/>
    <w:rsid w:val="00E07FEE"/>
    <w:rsid w:val="00E1113C"/>
    <w:rsid w:val="00E11688"/>
    <w:rsid w:val="00E201D1"/>
    <w:rsid w:val="00E24CD0"/>
    <w:rsid w:val="00E26EAA"/>
    <w:rsid w:val="00E27CC3"/>
    <w:rsid w:val="00E30FCA"/>
    <w:rsid w:val="00E33E12"/>
    <w:rsid w:val="00E35E63"/>
    <w:rsid w:val="00E36F97"/>
    <w:rsid w:val="00E37A8E"/>
    <w:rsid w:val="00E37B18"/>
    <w:rsid w:val="00E42057"/>
    <w:rsid w:val="00E44C4F"/>
    <w:rsid w:val="00E551EC"/>
    <w:rsid w:val="00E613CC"/>
    <w:rsid w:val="00E62BEE"/>
    <w:rsid w:val="00E63075"/>
    <w:rsid w:val="00E644BF"/>
    <w:rsid w:val="00E73A40"/>
    <w:rsid w:val="00E804B9"/>
    <w:rsid w:val="00E806E3"/>
    <w:rsid w:val="00E81697"/>
    <w:rsid w:val="00E87457"/>
    <w:rsid w:val="00E87D86"/>
    <w:rsid w:val="00E928D4"/>
    <w:rsid w:val="00E93438"/>
    <w:rsid w:val="00E94852"/>
    <w:rsid w:val="00E9687E"/>
    <w:rsid w:val="00EA28EA"/>
    <w:rsid w:val="00EA4D25"/>
    <w:rsid w:val="00EA576F"/>
    <w:rsid w:val="00EB0255"/>
    <w:rsid w:val="00EB31AD"/>
    <w:rsid w:val="00EB3838"/>
    <w:rsid w:val="00EB4C77"/>
    <w:rsid w:val="00EB609D"/>
    <w:rsid w:val="00EB68CC"/>
    <w:rsid w:val="00EC1285"/>
    <w:rsid w:val="00EC2095"/>
    <w:rsid w:val="00EC34F1"/>
    <w:rsid w:val="00EC4579"/>
    <w:rsid w:val="00EC5E51"/>
    <w:rsid w:val="00EC76B0"/>
    <w:rsid w:val="00ED0136"/>
    <w:rsid w:val="00ED48AE"/>
    <w:rsid w:val="00ED6E99"/>
    <w:rsid w:val="00EE39E1"/>
    <w:rsid w:val="00EE65A7"/>
    <w:rsid w:val="00EE68FF"/>
    <w:rsid w:val="00EF259C"/>
    <w:rsid w:val="00EF48EC"/>
    <w:rsid w:val="00EF58B4"/>
    <w:rsid w:val="00EF6016"/>
    <w:rsid w:val="00EF7465"/>
    <w:rsid w:val="00F03131"/>
    <w:rsid w:val="00F05E03"/>
    <w:rsid w:val="00F101A4"/>
    <w:rsid w:val="00F1231A"/>
    <w:rsid w:val="00F2018F"/>
    <w:rsid w:val="00F2061A"/>
    <w:rsid w:val="00F22EEF"/>
    <w:rsid w:val="00F2591D"/>
    <w:rsid w:val="00F30057"/>
    <w:rsid w:val="00F30724"/>
    <w:rsid w:val="00F34750"/>
    <w:rsid w:val="00F37E7B"/>
    <w:rsid w:val="00F46114"/>
    <w:rsid w:val="00F47B3A"/>
    <w:rsid w:val="00F503E7"/>
    <w:rsid w:val="00F5081F"/>
    <w:rsid w:val="00F569C7"/>
    <w:rsid w:val="00F602C8"/>
    <w:rsid w:val="00F62595"/>
    <w:rsid w:val="00F63640"/>
    <w:rsid w:val="00F64240"/>
    <w:rsid w:val="00F67C6A"/>
    <w:rsid w:val="00F7168A"/>
    <w:rsid w:val="00F71C13"/>
    <w:rsid w:val="00F77228"/>
    <w:rsid w:val="00F90567"/>
    <w:rsid w:val="00F91352"/>
    <w:rsid w:val="00F922ED"/>
    <w:rsid w:val="00F94596"/>
    <w:rsid w:val="00F96E73"/>
    <w:rsid w:val="00FA4158"/>
    <w:rsid w:val="00FA7445"/>
    <w:rsid w:val="00FB40CE"/>
    <w:rsid w:val="00FB7ADE"/>
    <w:rsid w:val="00FC07B5"/>
    <w:rsid w:val="00FC164F"/>
    <w:rsid w:val="00FC1F43"/>
    <w:rsid w:val="00FC2C4E"/>
    <w:rsid w:val="00FC6FB0"/>
    <w:rsid w:val="00FD2036"/>
    <w:rsid w:val="00FD216B"/>
    <w:rsid w:val="00FD3576"/>
    <w:rsid w:val="00FE45B3"/>
    <w:rsid w:val="00FE7E77"/>
    <w:rsid w:val="00FF6E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
    <w:lsdException w:name="caption" w:uiPriority="3"/>
    <w:lsdException w:name="endnote text" w:uiPriority="9"/>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iPriority="8" w:unhideWhenUsed="0"/>
    <w:lsdException w:name="Default Paragraph Font" w:uiPriority="1"/>
    <w:lsdException w:name="Subtitle" w:semiHidden="0" w:uiPriority="8"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1C7630"/>
  </w:style>
  <w:style w:type="paragraph" w:styleId="Overskrift1">
    <w:name w:val="heading 1"/>
    <w:basedOn w:val="Normal"/>
    <w:next w:val="Normal"/>
    <w:uiPriority w:val="1"/>
    <w:qFormat/>
    <w:rsid w:val="00AB363A"/>
    <w:pPr>
      <w:keepNext/>
      <w:numPr>
        <w:numId w:val="18"/>
      </w:numPr>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numPr>
        <w:ilvl w:val="1"/>
        <w:numId w:val="18"/>
      </w:numPr>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numPr>
        <w:ilvl w:val="2"/>
        <w:numId w:val="18"/>
      </w:numPr>
      <w:spacing w:before="260"/>
      <w:ind w:left="72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numPr>
        <w:ilvl w:val="3"/>
      </w:numPr>
      <w:outlineLvl w:val="3"/>
    </w:pPr>
  </w:style>
  <w:style w:type="paragraph" w:styleId="Overskrift5">
    <w:name w:val="heading 5"/>
    <w:basedOn w:val="Overskrift4"/>
    <w:next w:val="Normal"/>
    <w:link w:val="Overskrift5Tegn"/>
    <w:uiPriority w:val="1"/>
    <w:semiHidden/>
    <w:rsid w:val="00AB363A"/>
    <w:pPr>
      <w:numPr>
        <w:ilvl w:val="4"/>
      </w:numPr>
      <w:outlineLvl w:val="4"/>
    </w:pPr>
  </w:style>
  <w:style w:type="paragraph" w:styleId="Overskrift6">
    <w:name w:val="heading 6"/>
    <w:basedOn w:val="Overskrift5"/>
    <w:next w:val="Normal"/>
    <w:link w:val="Overskrift6Tegn"/>
    <w:uiPriority w:val="1"/>
    <w:semiHidden/>
    <w:rsid w:val="00AB363A"/>
    <w:pPr>
      <w:numPr>
        <w:ilvl w:val="5"/>
      </w:numPr>
      <w:outlineLvl w:val="5"/>
    </w:pPr>
  </w:style>
  <w:style w:type="paragraph" w:styleId="Overskrift7">
    <w:name w:val="heading 7"/>
    <w:basedOn w:val="Overskrift6"/>
    <w:next w:val="Normal"/>
    <w:link w:val="Overskrift7Tegn"/>
    <w:uiPriority w:val="1"/>
    <w:semiHidden/>
    <w:rsid w:val="00AB363A"/>
    <w:pPr>
      <w:numPr>
        <w:ilvl w:val="6"/>
      </w:numPr>
      <w:outlineLvl w:val="6"/>
    </w:pPr>
  </w:style>
  <w:style w:type="paragraph" w:styleId="Overskrift8">
    <w:name w:val="heading 8"/>
    <w:basedOn w:val="Overskrift7"/>
    <w:next w:val="Normal"/>
    <w:link w:val="Overskrift8Tegn"/>
    <w:uiPriority w:val="1"/>
    <w:semiHidden/>
    <w:rsid w:val="00AB363A"/>
    <w:pPr>
      <w:numPr>
        <w:ilvl w:val="7"/>
      </w:numPr>
      <w:outlineLvl w:val="7"/>
    </w:pPr>
  </w:style>
  <w:style w:type="paragraph" w:styleId="Overskrift9">
    <w:name w:val="heading 9"/>
    <w:basedOn w:val="Overskrift8"/>
    <w:next w:val="Normal"/>
    <w:link w:val="Overskrift9Tegn"/>
    <w:uiPriority w:val="1"/>
    <w:semiHidden/>
    <w:rsid w:val="00AB363A"/>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eastAsiaTheme="majorEastAsia" w:cstheme="majorBidi"/>
      <w:b/>
      <w:bCs/>
      <w:color w:val="003127"/>
    </w:rPr>
  </w:style>
  <w:style w:type="character" w:customStyle="1" w:styleId="Overskrift5Tegn">
    <w:name w:val="Overskrift 5 Tegn"/>
    <w:basedOn w:val="Standardskrifttypeiafsnit"/>
    <w:link w:val="Overskrift5"/>
    <w:uiPriority w:val="1"/>
    <w:semiHidden/>
    <w:rsid w:val="009C37F8"/>
    <w:rPr>
      <w:rFonts w:eastAsiaTheme="majorEastAsia" w:cstheme="majorBidi"/>
      <w:b/>
      <w:bCs/>
      <w:color w:val="003127"/>
    </w:rPr>
  </w:style>
  <w:style w:type="character" w:customStyle="1" w:styleId="Overskrift6Tegn">
    <w:name w:val="Overskrift 6 Tegn"/>
    <w:basedOn w:val="Standardskrifttypeiafsnit"/>
    <w:link w:val="Overskrift6"/>
    <w:uiPriority w:val="1"/>
    <w:semiHidden/>
    <w:rsid w:val="009C37F8"/>
    <w:rPr>
      <w:rFonts w:eastAsiaTheme="majorEastAsia" w:cstheme="majorBidi"/>
      <w:b/>
      <w:bCs/>
      <w:color w:val="003127"/>
    </w:rPr>
  </w:style>
  <w:style w:type="character" w:customStyle="1" w:styleId="Overskrift7Tegn">
    <w:name w:val="Overskrift 7 Tegn"/>
    <w:basedOn w:val="Standardskrifttypeiafsnit"/>
    <w:link w:val="Overskrift7"/>
    <w:uiPriority w:val="1"/>
    <w:semiHidden/>
    <w:rsid w:val="009C37F8"/>
    <w:rPr>
      <w:rFonts w:eastAsiaTheme="majorEastAsia" w:cstheme="majorBidi"/>
      <w:b/>
      <w:bCs/>
      <w:color w:val="003127"/>
    </w:rPr>
  </w:style>
  <w:style w:type="character" w:customStyle="1" w:styleId="Overskrift8Tegn">
    <w:name w:val="Overskrift 8 Tegn"/>
    <w:basedOn w:val="Standardskrifttypeiafsnit"/>
    <w:link w:val="Overskrift8"/>
    <w:uiPriority w:val="1"/>
    <w:semiHidden/>
    <w:rsid w:val="009C37F8"/>
    <w:rPr>
      <w:rFonts w:eastAsiaTheme="majorEastAsia" w:cstheme="majorBidi"/>
      <w:b/>
      <w:bCs/>
      <w:color w:val="003127"/>
    </w:rPr>
  </w:style>
  <w:style w:type="character" w:customStyle="1" w:styleId="Overskrift9Tegn">
    <w:name w:val="Overskrift 9 Tegn"/>
    <w:basedOn w:val="Standardskrifttypeiafsnit"/>
    <w:link w:val="Overskrift9"/>
    <w:uiPriority w:val="1"/>
    <w:semiHidden/>
    <w:rsid w:val="009C37F8"/>
    <w:rPr>
      <w:rFonts w:eastAsiaTheme="majorEastAsia" w:cstheme="majorBidi"/>
      <w:b/>
      <w:bCs/>
      <w:color w:val="003127"/>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3127" w:themeColor="accent1" w:shadow="1"/>
        <w:left w:val="single" w:sz="2" w:space="10" w:color="003127" w:themeColor="accent1" w:shadow="1"/>
        <w:bottom w:val="single" w:sz="2" w:space="10" w:color="003127" w:themeColor="accent1" w:shadow="1"/>
        <w:right w:val="single" w:sz="2" w:space="10" w:color="003127" w:themeColor="accent1" w:shadow="1"/>
      </w:pBdr>
      <w:ind w:left="1152" w:right="1152"/>
    </w:pPr>
    <w:rPr>
      <w:rFonts w:asciiTheme="minorHAnsi" w:eastAsiaTheme="minorEastAsia" w:hAnsiTheme="minorHAnsi" w:cstheme="minorBidi"/>
      <w:i/>
      <w:iCs/>
      <w:color w:val="00312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1" w:themeFillTint="33"/>
    </w:tcPr>
    <w:tblStylePr w:type="firstRow">
      <w:rPr>
        <w:b/>
        <w:bCs/>
      </w:rPr>
      <w:tblPr/>
      <w:tcPr>
        <w:shd w:val="clear" w:color="auto" w:fill="46FFD8" w:themeFill="accent1" w:themeFillTint="66"/>
      </w:tcPr>
    </w:tblStylePr>
    <w:tblStylePr w:type="lastRow">
      <w:rPr>
        <w:b/>
        <w:bCs/>
        <w:color w:val="000000" w:themeColor="text1"/>
      </w:rPr>
      <w:tblPr/>
      <w:tcPr>
        <w:shd w:val="clear" w:color="auto" w:fill="46FFD8" w:themeFill="accent1" w:themeFillTint="66"/>
      </w:tcPr>
    </w:tblStylePr>
    <w:tblStylePr w:type="firstCol">
      <w:rPr>
        <w:color w:val="FFFFFF" w:themeColor="background1"/>
      </w:rPr>
      <w:tblPr/>
      <w:tcPr>
        <w:shd w:val="clear" w:color="auto" w:fill="00241D" w:themeFill="accent1" w:themeFillShade="BF"/>
      </w:tcPr>
    </w:tblStylePr>
    <w:tblStylePr w:type="lastCol">
      <w:rPr>
        <w:color w:val="FFFFFF" w:themeColor="background1"/>
      </w:rPr>
      <w:tblPr/>
      <w:tcPr>
        <w:shd w:val="clear" w:color="auto" w:fill="00241D" w:themeFill="accent1" w:themeFillShade="BF"/>
      </w:tc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2" w:themeFillTint="33"/>
    </w:tcPr>
    <w:tblStylePr w:type="firstRow">
      <w:rPr>
        <w:b/>
        <w:bCs/>
      </w:rPr>
      <w:tblPr/>
      <w:tcPr>
        <w:shd w:val="clear" w:color="auto" w:fill="69FFBB" w:themeFill="accent2" w:themeFillTint="66"/>
      </w:tcPr>
    </w:tblStylePr>
    <w:tblStylePr w:type="lastRow">
      <w:rPr>
        <w:b/>
        <w:bCs/>
        <w:color w:val="000000" w:themeColor="text1"/>
      </w:rPr>
      <w:tblPr/>
      <w:tcPr>
        <w:shd w:val="clear" w:color="auto" w:fill="69FFBB" w:themeFill="accent2" w:themeFillTint="66"/>
      </w:tcPr>
    </w:tblStylePr>
    <w:tblStylePr w:type="firstCol">
      <w:rPr>
        <w:color w:val="FFFFFF" w:themeColor="background1"/>
      </w:rPr>
      <w:tblPr/>
      <w:tcPr>
        <w:shd w:val="clear" w:color="auto" w:fill="006537" w:themeFill="accent2" w:themeFillShade="BF"/>
      </w:tcPr>
    </w:tblStylePr>
    <w:tblStylePr w:type="lastCol">
      <w:rPr>
        <w:color w:val="FFFFFF" w:themeColor="background1"/>
      </w:rPr>
      <w:tblPr/>
      <w:tcPr>
        <w:shd w:val="clear" w:color="auto" w:fill="006537" w:themeFill="accent2" w:themeFillShade="BF"/>
      </w:tc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1" w:themeFillTint="3F"/>
      </w:tcPr>
    </w:tblStylePr>
    <w:tblStylePr w:type="band1Horz">
      <w:tblPr/>
      <w:tcPr>
        <w:shd w:val="clear" w:color="auto" w:fill="A2FFEB"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2"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2" w:themeFillTint="3F"/>
      </w:tcPr>
    </w:tblStylePr>
    <w:tblStylePr w:type="band1Horz">
      <w:tblPr/>
      <w:tcPr>
        <w:shd w:val="clear" w:color="auto" w:fill="B4FFDD"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3127" w:themeColor="accent1"/>
        <w:bottom w:val="single" w:sz="4" w:space="0" w:color="003127" w:themeColor="accent1"/>
        <w:right w:val="single" w:sz="4" w:space="0" w:color="003127" w:themeColor="accent1"/>
        <w:insideH w:val="single" w:sz="4" w:space="0" w:color="FFFFFF" w:themeColor="background1"/>
        <w:insideV w:val="single" w:sz="4" w:space="0" w:color="FFFFFF" w:themeColor="background1"/>
      </w:tblBorders>
    </w:tblPr>
    <w:tcPr>
      <w:shd w:val="clear" w:color="auto" w:fill="D1FFF5" w:themeFill="accen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1" w:themeFillShade="99"/>
      </w:tcPr>
    </w:tblStylePr>
    <w:tblStylePr w:type="firstCol">
      <w:rPr>
        <w:color w:val="FFFFFF" w:themeColor="background1"/>
      </w:rPr>
      <w:tblPr/>
      <w:tcPr>
        <w:tcBorders>
          <w:top w:val="nil"/>
          <w:left w:val="nil"/>
          <w:bottom w:val="nil"/>
          <w:right w:val="nil"/>
          <w:insideH w:val="single" w:sz="4" w:space="0" w:color="001D17" w:themeColor="accent1" w:themeShade="99"/>
          <w:insideV w:val="nil"/>
        </w:tcBorders>
        <w:shd w:val="clear" w:color="auto" w:fill="001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1" w:themeFillShade="99"/>
      </w:tcPr>
    </w:tblStylePr>
    <w:tblStylePr w:type="band1Vert">
      <w:tblPr/>
      <w:tcPr>
        <w:shd w:val="clear" w:color="auto" w:fill="46FFD8" w:themeFill="accent1" w:themeFillTint="66"/>
      </w:tcPr>
    </w:tblStylePr>
    <w:tblStylePr w:type="band1Horz">
      <w:tblPr/>
      <w:tcPr>
        <w:shd w:val="clear" w:color="auto" w:fill="19FFC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874B" w:themeColor="accent2"/>
        <w:bottom w:val="single" w:sz="4" w:space="0" w:color="00874B" w:themeColor="accent2"/>
        <w:right w:val="single" w:sz="4" w:space="0" w:color="00874B" w:themeColor="accent2"/>
        <w:insideH w:val="single" w:sz="4" w:space="0" w:color="FFFFFF" w:themeColor="background1"/>
        <w:insideV w:val="single" w:sz="4" w:space="0" w:color="FFFFFF" w:themeColor="background1"/>
      </w:tblBorders>
    </w:tblPr>
    <w:tcPr>
      <w:shd w:val="clear" w:color="auto" w:fill="DAFFEE" w:themeFill="accent2"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2" w:themeFillShade="99"/>
      </w:tcPr>
    </w:tblStylePr>
    <w:tblStylePr w:type="firstCol">
      <w:rPr>
        <w:color w:val="FFFFFF" w:themeColor="background1"/>
      </w:rPr>
      <w:tblPr/>
      <w:tcPr>
        <w:tcBorders>
          <w:top w:val="nil"/>
          <w:left w:val="nil"/>
          <w:bottom w:val="nil"/>
          <w:right w:val="nil"/>
          <w:insideH w:val="single" w:sz="4" w:space="0" w:color="00512C" w:themeColor="accent2" w:themeShade="99"/>
          <w:insideV w:val="nil"/>
        </w:tcBorders>
        <w:shd w:val="clear" w:color="auto" w:fill="0051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2" w:themeFillShade="99"/>
      </w:tcPr>
    </w:tblStylePr>
    <w:tblStylePr w:type="band1Vert">
      <w:tblPr/>
      <w:tcPr>
        <w:shd w:val="clear" w:color="auto" w:fill="69FFBB" w:themeFill="accent2" w:themeFillTint="66"/>
      </w:tcPr>
    </w:tblStylePr>
    <w:tblStylePr w:type="band1Horz">
      <w:tblPr/>
      <w:tcPr>
        <w:shd w:val="clear" w:color="auto" w:fill="44FFA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1" w:themeFillShade="BF"/>
      </w:tcPr>
    </w:tblStylePr>
    <w:tblStylePr w:type="band1Vert">
      <w:tblPr/>
      <w:tcPr>
        <w:tcBorders>
          <w:top w:val="nil"/>
          <w:left w:val="nil"/>
          <w:bottom w:val="nil"/>
          <w:right w:val="nil"/>
          <w:insideH w:val="nil"/>
          <w:insideV w:val="nil"/>
        </w:tcBorders>
        <w:shd w:val="clear" w:color="auto" w:fill="00241D" w:themeFill="accent1" w:themeFillShade="BF"/>
      </w:tcPr>
    </w:tblStylePr>
    <w:tblStylePr w:type="band1Horz">
      <w:tblPr/>
      <w:tcPr>
        <w:tcBorders>
          <w:top w:val="nil"/>
          <w:left w:val="nil"/>
          <w:bottom w:val="nil"/>
          <w:right w:val="nil"/>
          <w:insideH w:val="nil"/>
          <w:insideV w:val="nil"/>
        </w:tcBorders>
        <w:shd w:val="clear" w:color="auto" w:fill="00241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2" w:themeFillShade="BF"/>
      </w:tcPr>
    </w:tblStylePr>
    <w:tblStylePr w:type="band1Vert">
      <w:tblPr/>
      <w:tcPr>
        <w:tcBorders>
          <w:top w:val="nil"/>
          <w:left w:val="nil"/>
          <w:bottom w:val="nil"/>
          <w:right w:val="nil"/>
          <w:insideH w:val="nil"/>
          <w:insideV w:val="nil"/>
        </w:tcBorders>
        <w:shd w:val="clear" w:color="auto" w:fill="006537" w:themeFill="accent2" w:themeFillShade="BF"/>
      </w:tcPr>
    </w:tblStylePr>
    <w:tblStylePr w:type="band1Horz">
      <w:tblPr/>
      <w:tcPr>
        <w:tcBorders>
          <w:top w:val="nil"/>
          <w:left w:val="nil"/>
          <w:bottom w:val="nil"/>
          <w:right w:val="nil"/>
          <w:insideH w:val="nil"/>
          <w:insideV w:val="nil"/>
        </w:tcBorders>
        <w:shd w:val="clear" w:color="auto" w:fill="006537"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3127" w:themeColor="accent1"/>
    </w:rPr>
  </w:style>
  <w:style w:type="paragraph" w:styleId="Strktcitat">
    <w:name w:val="Intense Quote"/>
    <w:basedOn w:val="Normal"/>
    <w:next w:val="Normal"/>
    <w:link w:val="StrktcitatTegn"/>
    <w:uiPriority w:val="99"/>
    <w:semiHidden/>
    <w:qFormat/>
    <w:rsid w:val="00225534"/>
    <w:pPr>
      <w:pBdr>
        <w:bottom w:val="single" w:sz="4" w:space="4" w:color="003127" w:themeColor="accent1"/>
      </w:pBdr>
      <w:spacing w:before="200" w:after="280"/>
      <w:ind w:left="936" w:right="936"/>
    </w:pPr>
    <w:rPr>
      <w:b/>
      <w:bCs/>
      <w:i/>
      <w:iCs/>
      <w:color w:val="003127"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3127"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18" w:space="0" w:color="003127" w:themeColor="accent1"/>
          <w:right w:val="single" w:sz="8" w:space="0" w:color="003127" w:themeColor="accent1"/>
          <w:insideH w:val="nil"/>
          <w:insideV w:val="single" w:sz="8" w:space="0" w:color="0031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insideH w:val="nil"/>
          <w:insideV w:val="single" w:sz="8" w:space="0" w:color="0031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shd w:val="clear" w:color="auto" w:fill="8DFFE7" w:themeFill="accent1" w:themeFillTint="3F"/>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shd w:val="clear" w:color="auto" w:fill="8DFFE7" w:themeFill="accent1" w:themeFillTint="3F"/>
      </w:tcPr>
    </w:tblStylePr>
    <w:tblStylePr w:type="band2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18" w:space="0" w:color="00874B" w:themeColor="accent2"/>
          <w:right w:val="single" w:sz="8" w:space="0" w:color="00874B" w:themeColor="accent2"/>
          <w:insideH w:val="nil"/>
          <w:insideV w:val="single" w:sz="8" w:space="0" w:color="0087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insideH w:val="nil"/>
          <w:insideV w:val="single" w:sz="8" w:space="0" w:color="0087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shd w:val="clear" w:color="auto" w:fill="A2FFD5" w:themeFill="accent2" w:themeFillTint="3F"/>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shd w:val="clear" w:color="auto" w:fill="A2FFD5" w:themeFill="accent2" w:themeFillTint="3F"/>
      </w:tcPr>
    </w:tblStylePr>
    <w:tblStylePr w:type="band2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pPr>
        <w:spacing w:before="0" w:after="0" w:line="240" w:lineRule="auto"/>
      </w:pPr>
      <w:rPr>
        <w:b/>
        <w:bCs/>
        <w:color w:val="FFFFFF" w:themeColor="background1"/>
      </w:rPr>
      <w:tblPr/>
      <w:tcPr>
        <w:shd w:val="clear" w:color="auto" w:fill="003127" w:themeFill="accent1"/>
      </w:tcPr>
    </w:tblStylePr>
    <w:tblStylePr w:type="lastRow">
      <w:pPr>
        <w:spacing w:before="0" w:after="0" w:line="240" w:lineRule="auto"/>
      </w:pPr>
      <w:rPr>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tcBorders>
      </w:tcPr>
    </w:tblStylePr>
    <w:tblStylePr w:type="firstCol">
      <w:rPr>
        <w:b/>
        <w:bCs/>
      </w:rPr>
    </w:tblStylePr>
    <w:tblStylePr w:type="lastCol">
      <w:rPr>
        <w:b/>
        <w:bCs/>
      </w:r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pPr>
        <w:spacing w:before="0" w:after="0" w:line="240" w:lineRule="auto"/>
      </w:pPr>
      <w:rPr>
        <w:b/>
        <w:bCs/>
        <w:color w:val="FFFFFF" w:themeColor="background1"/>
      </w:rPr>
      <w:tblPr/>
      <w:tcPr>
        <w:shd w:val="clear" w:color="auto" w:fill="00874B" w:themeFill="accent2"/>
      </w:tcPr>
    </w:tblStylePr>
    <w:tblStylePr w:type="lastRow">
      <w:pPr>
        <w:spacing w:before="0" w:after="0" w:line="240" w:lineRule="auto"/>
      </w:pPr>
      <w:rPr>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tcBorders>
      </w:tcPr>
    </w:tblStylePr>
    <w:tblStylePr w:type="firstCol">
      <w:rPr>
        <w:b/>
        <w:bCs/>
      </w:rPr>
    </w:tblStylePr>
    <w:tblStylePr w:type="lastCol">
      <w:rPr>
        <w:b/>
        <w:bCs/>
      </w:r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241D" w:themeColor="accent1" w:themeShade="BF"/>
    </w:rPr>
    <w:tblPr>
      <w:tblStyleRowBandSize w:val="1"/>
      <w:tblStyleColBandSize w:val="1"/>
      <w:tblBorders>
        <w:top w:val="single" w:sz="8" w:space="0" w:color="003127" w:themeColor="accent1"/>
        <w:bottom w:val="single" w:sz="8" w:space="0" w:color="003127" w:themeColor="accent1"/>
      </w:tblBorders>
    </w:tblPr>
    <w:tblStylePr w:type="fir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la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left w:val="nil"/>
          <w:right w:val="nil"/>
          <w:insideH w:val="nil"/>
          <w:insideV w:val="nil"/>
        </w:tcBorders>
        <w:shd w:val="clear" w:color="auto" w:fill="8DFFE7"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6537" w:themeColor="accent2" w:themeShade="BF"/>
    </w:rPr>
    <w:tblPr>
      <w:tblStyleRowBandSize w:val="1"/>
      <w:tblStyleColBandSize w:val="1"/>
      <w:tblBorders>
        <w:top w:val="single" w:sz="8" w:space="0" w:color="00874B" w:themeColor="accent2"/>
        <w:bottom w:val="single" w:sz="8" w:space="0" w:color="00874B" w:themeColor="accent2"/>
      </w:tblBorders>
    </w:tblPr>
    <w:tblStylePr w:type="fir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la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left w:val="nil"/>
          <w:right w:val="nil"/>
          <w:insideH w:val="nil"/>
          <w:insideV w:val="nil"/>
        </w:tcBorders>
        <w:shd w:val="clear" w:color="auto" w:fill="A2FFD5"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insideV w:val="single" w:sz="8" w:space="0" w:color="00A482" w:themeColor="accent1" w:themeTint="BF"/>
      </w:tblBorders>
    </w:tblPr>
    <w:tcPr>
      <w:shd w:val="clear" w:color="auto" w:fill="8DFFE7" w:themeFill="accent1" w:themeFillTint="3F"/>
    </w:tcPr>
    <w:tblStylePr w:type="firstRow">
      <w:rPr>
        <w:b/>
        <w:bCs/>
      </w:rPr>
    </w:tblStylePr>
    <w:tblStylePr w:type="lastRow">
      <w:rPr>
        <w:b/>
        <w:bCs/>
      </w:rPr>
      <w:tblPr/>
      <w:tcPr>
        <w:tcBorders>
          <w:top w:val="single" w:sz="18" w:space="0" w:color="00A482" w:themeColor="accent1" w:themeTint="BF"/>
        </w:tcBorders>
      </w:tcPr>
    </w:tblStylePr>
    <w:tblStylePr w:type="firstCol">
      <w:rPr>
        <w:b/>
        <w:bCs/>
      </w:rPr>
    </w:tblStylePr>
    <w:tblStylePr w:type="lastCol">
      <w:rPr>
        <w:b/>
        <w:bCs/>
      </w:r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insideV w:val="single" w:sz="8" w:space="0" w:color="00E57E" w:themeColor="accent2" w:themeTint="BF"/>
      </w:tblBorders>
    </w:tblPr>
    <w:tcPr>
      <w:shd w:val="clear" w:color="auto" w:fill="A2FFD5" w:themeFill="accent2" w:themeFillTint="3F"/>
    </w:tcPr>
    <w:tblStylePr w:type="firstRow">
      <w:rPr>
        <w:b/>
        <w:bCs/>
      </w:rPr>
    </w:tblStylePr>
    <w:tblStylePr w:type="lastRow">
      <w:rPr>
        <w:b/>
        <w:bCs/>
      </w:rPr>
      <w:tblPr/>
      <w:tcPr>
        <w:tcBorders>
          <w:top w:val="single" w:sz="18" w:space="0" w:color="00E57E" w:themeColor="accent2" w:themeTint="BF"/>
        </w:tcBorders>
      </w:tcPr>
    </w:tblStylePr>
    <w:tblStylePr w:type="firstCol">
      <w:rPr>
        <w:b/>
        <w:bCs/>
      </w:rPr>
    </w:tblStylePr>
    <w:tblStylePr w:type="lastCol">
      <w:rPr>
        <w:b/>
        <w:bCs/>
      </w:r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cPr>
      <w:shd w:val="clear" w:color="auto" w:fill="8DFFE7" w:themeFill="accent1" w:themeFillTint="3F"/>
    </w:tcPr>
    <w:tblStylePr w:type="firstRow">
      <w:rPr>
        <w:b/>
        <w:bCs/>
        <w:color w:val="000000" w:themeColor="text1"/>
      </w:rPr>
      <w:tblPr/>
      <w:tcPr>
        <w:shd w:val="clear" w:color="auto" w:fill="D1F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1" w:themeFillTint="33"/>
      </w:tcPr>
    </w:tblStylePr>
    <w:tblStylePr w:type="band1Vert">
      <w:tblPr/>
      <w:tcPr>
        <w:shd w:val="clear" w:color="auto" w:fill="19FFCF" w:themeFill="accent1" w:themeFillTint="7F"/>
      </w:tcPr>
    </w:tblStylePr>
    <w:tblStylePr w:type="band1Horz">
      <w:tblPr/>
      <w:tcPr>
        <w:tcBorders>
          <w:insideH w:val="single" w:sz="6" w:space="0" w:color="003127" w:themeColor="accent1"/>
          <w:insideV w:val="single" w:sz="6" w:space="0" w:color="003127" w:themeColor="accent1"/>
        </w:tcBorders>
        <w:shd w:val="clear" w:color="auto" w:fill="19FF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cPr>
      <w:shd w:val="clear" w:color="auto" w:fill="A2FFD5" w:themeFill="accent2" w:themeFillTint="3F"/>
    </w:tcPr>
    <w:tblStylePr w:type="firstRow">
      <w:rPr>
        <w:b/>
        <w:bCs/>
        <w:color w:val="000000" w:themeColor="text1"/>
      </w:rPr>
      <w:tblPr/>
      <w:tcPr>
        <w:shd w:val="clear" w:color="auto" w:fill="DAF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2" w:themeFillTint="33"/>
      </w:tcPr>
    </w:tblStylePr>
    <w:tblStylePr w:type="band1Vert">
      <w:tblPr/>
      <w:tcPr>
        <w:shd w:val="clear" w:color="auto" w:fill="44FFAB" w:themeFill="accent2" w:themeFillTint="7F"/>
      </w:tcPr>
    </w:tblStylePr>
    <w:tblStylePr w:type="band1Horz">
      <w:tblPr/>
      <w:tcPr>
        <w:tcBorders>
          <w:insideH w:val="single" w:sz="6" w:space="0" w:color="00874B" w:themeColor="accent2"/>
          <w:insideV w:val="single" w:sz="6" w:space="0" w:color="00874B" w:themeColor="accent2"/>
        </w:tcBorders>
        <w:shd w:val="clear" w:color="auto" w:fill="44FFA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1"/>
        <w:bottom w:val="single" w:sz="8" w:space="0" w:color="003127" w:themeColor="accent1"/>
      </w:tblBorders>
    </w:tblPr>
    <w:tblStylePr w:type="firstRow">
      <w:rPr>
        <w:rFonts w:asciiTheme="majorHAnsi" w:eastAsiaTheme="majorEastAsia" w:hAnsiTheme="majorHAnsi" w:cstheme="majorBidi"/>
      </w:rPr>
      <w:tblPr/>
      <w:tcPr>
        <w:tcBorders>
          <w:top w:val="nil"/>
          <w:bottom w:val="single" w:sz="8" w:space="0" w:color="003127" w:themeColor="accent1"/>
        </w:tcBorders>
      </w:tcPr>
    </w:tblStylePr>
    <w:tblStylePr w:type="lastRow">
      <w:rPr>
        <w:b/>
        <w:bCs/>
        <w:color w:val="BFCBC9" w:themeColor="text2"/>
      </w:rPr>
      <w:tblPr/>
      <w:tcPr>
        <w:tcBorders>
          <w:top w:val="single" w:sz="8" w:space="0" w:color="003127" w:themeColor="accent1"/>
          <w:bottom w:val="single" w:sz="8" w:space="0" w:color="003127" w:themeColor="accent1"/>
        </w:tcBorders>
      </w:tcPr>
    </w:tblStylePr>
    <w:tblStylePr w:type="firstCol">
      <w:rPr>
        <w:b/>
        <w:bCs/>
      </w:rPr>
    </w:tblStylePr>
    <w:tblStylePr w:type="lastCol">
      <w:rPr>
        <w:b/>
        <w:bCs/>
      </w:rPr>
      <w:tblPr/>
      <w:tcPr>
        <w:tcBorders>
          <w:top w:val="single" w:sz="8" w:space="0" w:color="003127" w:themeColor="accent1"/>
          <w:bottom w:val="single" w:sz="8" w:space="0" w:color="003127" w:themeColor="accent1"/>
        </w:tcBorders>
      </w:tcPr>
    </w:tblStylePr>
    <w:tblStylePr w:type="band1Vert">
      <w:tblPr/>
      <w:tcPr>
        <w:shd w:val="clear" w:color="auto" w:fill="8DFFE7" w:themeFill="accent1" w:themeFillTint="3F"/>
      </w:tcPr>
    </w:tblStylePr>
    <w:tblStylePr w:type="band1Horz">
      <w:tblPr/>
      <w:tcPr>
        <w:shd w:val="clear" w:color="auto" w:fill="8DFFE7"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2"/>
        <w:bottom w:val="single" w:sz="8" w:space="0" w:color="00874B" w:themeColor="accent2"/>
      </w:tblBorders>
    </w:tblPr>
    <w:tblStylePr w:type="firstRow">
      <w:rPr>
        <w:rFonts w:asciiTheme="majorHAnsi" w:eastAsiaTheme="majorEastAsia" w:hAnsiTheme="majorHAnsi" w:cstheme="majorBidi"/>
      </w:rPr>
      <w:tblPr/>
      <w:tcPr>
        <w:tcBorders>
          <w:top w:val="nil"/>
          <w:bottom w:val="single" w:sz="8" w:space="0" w:color="00874B" w:themeColor="accent2"/>
        </w:tcBorders>
      </w:tcPr>
    </w:tblStylePr>
    <w:tblStylePr w:type="lastRow">
      <w:rPr>
        <w:b/>
        <w:bCs/>
        <w:color w:val="BFCBC9" w:themeColor="text2"/>
      </w:rPr>
      <w:tblPr/>
      <w:tcPr>
        <w:tcBorders>
          <w:top w:val="single" w:sz="8" w:space="0" w:color="00874B" w:themeColor="accent2"/>
          <w:bottom w:val="single" w:sz="8" w:space="0" w:color="00874B" w:themeColor="accent2"/>
        </w:tcBorders>
      </w:tcPr>
    </w:tblStylePr>
    <w:tblStylePr w:type="firstCol">
      <w:rPr>
        <w:b/>
        <w:bCs/>
      </w:rPr>
    </w:tblStylePr>
    <w:tblStylePr w:type="lastCol">
      <w:rPr>
        <w:b/>
        <w:bCs/>
      </w:rPr>
      <w:tblPr/>
      <w:tcPr>
        <w:tcBorders>
          <w:top w:val="single" w:sz="8" w:space="0" w:color="00874B" w:themeColor="accent2"/>
          <w:bottom w:val="single" w:sz="8" w:space="0" w:color="00874B" w:themeColor="accent2"/>
        </w:tcBorders>
      </w:tcPr>
    </w:tblStylePr>
    <w:tblStylePr w:type="band1Vert">
      <w:tblPr/>
      <w:tcPr>
        <w:shd w:val="clear" w:color="auto" w:fill="A2FFD5" w:themeFill="accent2" w:themeFillTint="3F"/>
      </w:tcPr>
    </w:tblStylePr>
    <w:tblStylePr w:type="band1Horz">
      <w:tblPr/>
      <w:tcPr>
        <w:shd w:val="clear" w:color="auto" w:fill="A2FFD5"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rPr>
        <w:sz w:val="24"/>
        <w:szCs w:val="24"/>
      </w:rPr>
      <w:tblPr/>
      <w:tcPr>
        <w:tcBorders>
          <w:top w:val="nil"/>
          <w:left w:val="nil"/>
          <w:bottom w:val="single" w:sz="24" w:space="0" w:color="003127" w:themeColor="accent1"/>
          <w:right w:val="nil"/>
          <w:insideH w:val="nil"/>
          <w:insideV w:val="nil"/>
        </w:tcBorders>
        <w:shd w:val="clear" w:color="auto" w:fill="FFFFFF" w:themeFill="background1"/>
      </w:tcPr>
    </w:tblStylePr>
    <w:tblStylePr w:type="lastRow">
      <w:tblPr/>
      <w:tcPr>
        <w:tcBorders>
          <w:top w:val="single" w:sz="8" w:space="0" w:color="0031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1"/>
          <w:insideH w:val="nil"/>
          <w:insideV w:val="nil"/>
        </w:tcBorders>
        <w:shd w:val="clear" w:color="auto" w:fill="FFFFFF" w:themeFill="background1"/>
      </w:tcPr>
    </w:tblStylePr>
    <w:tblStylePr w:type="lastCol">
      <w:tblPr/>
      <w:tcPr>
        <w:tcBorders>
          <w:top w:val="nil"/>
          <w:left w:val="single" w:sz="8" w:space="0" w:color="0031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top w:val="nil"/>
          <w:bottom w:val="nil"/>
          <w:insideH w:val="nil"/>
          <w:insideV w:val="nil"/>
        </w:tcBorders>
        <w:shd w:val="clear" w:color="auto" w:fill="8DF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rPr>
        <w:sz w:val="24"/>
        <w:szCs w:val="24"/>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tblPr/>
      <w:tcPr>
        <w:tcBorders>
          <w:top w:val="single" w:sz="8" w:space="0" w:color="0087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2"/>
          <w:insideH w:val="nil"/>
          <w:insideV w:val="nil"/>
        </w:tcBorders>
        <w:shd w:val="clear" w:color="auto" w:fill="FFFFFF" w:themeFill="background1"/>
      </w:tcPr>
    </w:tblStylePr>
    <w:tblStylePr w:type="lastCol">
      <w:tblPr/>
      <w:tcPr>
        <w:tcBorders>
          <w:top w:val="nil"/>
          <w:left w:val="single" w:sz="8" w:space="0" w:color="0087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top w:val="nil"/>
          <w:bottom w:val="nil"/>
          <w:insideH w:val="nil"/>
          <w:insideV w:val="nil"/>
        </w:tcBorders>
        <w:shd w:val="clear" w:color="auto" w:fill="A2FF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tblBorders>
    </w:tblPr>
    <w:tblStylePr w:type="firstRow">
      <w:pPr>
        <w:spacing w:before="0" w:after="0" w:line="240" w:lineRule="auto"/>
      </w:pPr>
      <w:rPr>
        <w:b/>
        <w:bCs/>
        <w:color w:val="FFFFFF" w:themeColor="background1"/>
      </w:rPr>
      <w:tblPr/>
      <w:tcPr>
        <w:tc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shd w:val="clear" w:color="auto" w:fill="003127" w:themeFill="accent1"/>
      </w:tcPr>
    </w:tblStylePr>
    <w:tblStylePr w:type="lastRow">
      <w:pPr>
        <w:spacing w:before="0" w:after="0" w:line="240" w:lineRule="auto"/>
      </w:pPr>
      <w:rPr>
        <w:b/>
        <w:bCs/>
      </w:rPr>
      <w:tblPr/>
      <w:tcPr>
        <w:tcBorders>
          <w:top w:val="double" w:sz="6"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1" w:themeFillTint="3F"/>
      </w:tcPr>
    </w:tblStylePr>
    <w:tblStylePr w:type="band1Horz">
      <w:tblPr/>
      <w:tcPr>
        <w:tcBorders>
          <w:insideH w:val="nil"/>
          <w:insideV w:val="nil"/>
        </w:tcBorders>
        <w:shd w:val="clear" w:color="auto" w:fill="8DFF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tblBorders>
    </w:tblPr>
    <w:tblStylePr w:type="firstRow">
      <w:pPr>
        <w:spacing w:before="0" w:after="0" w:line="240" w:lineRule="auto"/>
      </w:pPr>
      <w:rPr>
        <w:b/>
        <w:bCs/>
        <w:color w:val="FFFFFF" w:themeColor="background1"/>
      </w:rPr>
      <w:tblPr/>
      <w:tcPr>
        <w:tc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shd w:val="clear" w:color="auto" w:fill="00874B" w:themeFill="accent2"/>
      </w:tcPr>
    </w:tblStylePr>
    <w:tblStylePr w:type="lastRow">
      <w:pPr>
        <w:spacing w:before="0" w:after="0" w:line="240" w:lineRule="auto"/>
      </w:pPr>
      <w:rPr>
        <w:b/>
        <w:bCs/>
      </w:rPr>
      <w:tblPr/>
      <w:tcPr>
        <w:tcBorders>
          <w:top w:val="double" w:sz="6"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2" w:themeFillTint="3F"/>
      </w:tcPr>
    </w:tblStylePr>
    <w:tblStylePr w:type="band1Horz">
      <w:tblPr/>
      <w:tcPr>
        <w:tcBorders>
          <w:insideH w:val="nil"/>
          <w:insideV w:val="nil"/>
        </w:tcBorders>
        <w:shd w:val="clear" w:color="auto" w:fill="A2FFD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1"/>
      </w:tcPr>
    </w:tblStylePr>
    <w:tblStylePr w:type="lastCol">
      <w:rPr>
        <w:b/>
        <w:bCs/>
        <w:color w:val="FFFFFF" w:themeColor="background1"/>
      </w:rPr>
      <w:tblPr/>
      <w:tcPr>
        <w:tcBorders>
          <w:left w:val="nil"/>
          <w:right w:val="nil"/>
          <w:insideH w:val="nil"/>
          <w:insideV w:val="nil"/>
        </w:tcBorders>
        <w:shd w:val="clear" w:color="auto" w:fill="0031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2"/>
      </w:tcPr>
    </w:tblStylePr>
    <w:tblStylePr w:type="lastCol">
      <w:rPr>
        <w:b/>
        <w:bCs/>
        <w:color w:val="FFFFFF" w:themeColor="background1"/>
      </w:rPr>
      <w:tblPr/>
      <w:tcPr>
        <w:tcBorders>
          <w:left w:val="nil"/>
          <w:right w:val="nil"/>
          <w:insideH w:val="nil"/>
          <w:insideV w:val="nil"/>
        </w:tcBorders>
        <w:shd w:val="clear" w:color="auto" w:fill="0087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39"/>
    <w:qFormat/>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39"/>
    <w:qFormat/>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39"/>
    <w:qFormat/>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39"/>
    <w:semiHidden/>
    <w:qFormat/>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0E2F7B"/>
    <w:pPr>
      <w:autoSpaceDE w:val="0"/>
      <w:autoSpaceDN w:val="0"/>
      <w:adjustRightInd w:val="0"/>
      <w:spacing w:line="240" w:lineRule="auto"/>
    </w:pPr>
    <w:rPr>
      <w:rFonts w:cs="Georgia"/>
      <w:color w:val="000000"/>
      <w:sz w:val="24"/>
      <w:szCs w:val="24"/>
    </w:rPr>
  </w:style>
  <w:style w:type="paragraph" w:styleId="Korrektur">
    <w:name w:val="Revision"/>
    <w:hidden/>
    <w:uiPriority w:val="99"/>
    <w:semiHidden/>
    <w:rsid w:val="00316933"/>
    <w:pPr>
      <w:spacing w:line="240" w:lineRule="auto"/>
    </w:pPr>
  </w:style>
  <w:style w:type="character" w:customStyle="1" w:styleId="FodnotetekstTegn">
    <w:name w:val="Fodnotetekst Tegn"/>
    <w:basedOn w:val="Standardskrifttypeiafsnit"/>
    <w:link w:val="Fodnotetekst"/>
    <w:uiPriority w:val="9"/>
    <w:semiHidden/>
    <w:rsid w:val="00B35FD5"/>
    <w:rPr>
      <w:sz w:val="18"/>
    </w:rPr>
  </w:style>
  <w:style w:type="character" w:customStyle="1" w:styleId="kortnavn2">
    <w:name w:val="kortnavn2"/>
    <w:basedOn w:val="Standardskrifttypeiafsnit"/>
    <w:rsid w:val="008F65B3"/>
    <w:rPr>
      <w:rFonts w:ascii="Tahoma" w:hAnsi="Tahoma" w:cs="Tahoma" w:hint="default"/>
      <w:color w:val="000000"/>
      <w:sz w:val="24"/>
      <w:szCs w:val="24"/>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
    <w:lsdException w:name="caption" w:uiPriority="3"/>
    <w:lsdException w:name="endnote text" w:uiPriority="9"/>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iPriority="8" w:unhideWhenUsed="0"/>
    <w:lsdException w:name="Default Paragraph Font" w:uiPriority="1"/>
    <w:lsdException w:name="Subtitle" w:semiHidden="0" w:uiPriority="8"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1C7630"/>
  </w:style>
  <w:style w:type="paragraph" w:styleId="Overskrift1">
    <w:name w:val="heading 1"/>
    <w:basedOn w:val="Normal"/>
    <w:next w:val="Normal"/>
    <w:uiPriority w:val="1"/>
    <w:qFormat/>
    <w:rsid w:val="00AB363A"/>
    <w:pPr>
      <w:keepNext/>
      <w:numPr>
        <w:numId w:val="18"/>
      </w:numPr>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numPr>
        <w:ilvl w:val="1"/>
        <w:numId w:val="18"/>
      </w:numPr>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numPr>
        <w:ilvl w:val="2"/>
        <w:numId w:val="18"/>
      </w:numPr>
      <w:spacing w:before="260"/>
      <w:ind w:left="72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numPr>
        <w:ilvl w:val="3"/>
      </w:numPr>
      <w:outlineLvl w:val="3"/>
    </w:pPr>
  </w:style>
  <w:style w:type="paragraph" w:styleId="Overskrift5">
    <w:name w:val="heading 5"/>
    <w:basedOn w:val="Overskrift4"/>
    <w:next w:val="Normal"/>
    <w:link w:val="Overskrift5Tegn"/>
    <w:uiPriority w:val="1"/>
    <w:semiHidden/>
    <w:rsid w:val="00AB363A"/>
    <w:pPr>
      <w:numPr>
        <w:ilvl w:val="4"/>
      </w:numPr>
      <w:outlineLvl w:val="4"/>
    </w:pPr>
  </w:style>
  <w:style w:type="paragraph" w:styleId="Overskrift6">
    <w:name w:val="heading 6"/>
    <w:basedOn w:val="Overskrift5"/>
    <w:next w:val="Normal"/>
    <w:link w:val="Overskrift6Tegn"/>
    <w:uiPriority w:val="1"/>
    <w:semiHidden/>
    <w:rsid w:val="00AB363A"/>
    <w:pPr>
      <w:numPr>
        <w:ilvl w:val="5"/>
      </w:numPr>
      <w:outlineLvl w:val="5"/>
    </w:pPr>
  </w:style>
  <w:style w:type="paragraph" w:styleId="Overskrift7">
    <w:name w:val="heading 7"/>
    <w:basedOn w:val="Overskrift6"/>
    <w:next w:val="Normal"/>
    <w:link w:val="Overskrift7Tegn"/>
    <w:uiPriority w:val="1"/>
    <w:semiHidden/>
    <w:rsid w:val="00AB363A"/>
    <w:pPr>
      <w:numPr>
        <w:ilvl w:val="6"/>
      </w:numPr>
      <w:outlineLvl w:val="6"/>
    </w:pPr>
  </w:style>
  <w:style w:type="paragraph" w:styleId="Overskrift8">
    <w:name w:val="heading 8"/>
    <w:basedOn w:val="Overskrift7"/>
    <w:next w:val="Normal"/>
    <w:link w:val="Overskrift8Tegn"/>
    <w:uiPriority w:val="1"/>
    <w:semiHidden/>
    <w:rsid w:val="00AB363A"/>
    <w:pPr>
      <w:numPr>
        <w:ilvl w:val="7"/>
      </w:numPr>
      <w:outlineLvl w:val="7"/>
    </w:pPr>
  </w:style>
  <w:style w:type="paragraph" w:styleId="Overskrift9">
    <w:name w:val="heading 9"/>
    <w:basedOn w:val="Overskrift8"/>
    <w:next w:val="Normal"/>
    <w:link w:val="Overskrift9Tegn"/>
    <w:uiPriority w:val="1"/>
    <w:semiHidden/>
    <w:rsid w:val="00AB363A"/>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eastAsiaTheme="majorEastAsia" w:cstheme="majorBidi"/>
      <w:b/>
      <w:bCs/>
      <w:color w:val="003127"/>
    </w:rPr>
  </w:style>
  <w:style w:type="character" w:customStyle="1" w:styleId="Overskrift5Tegn">
    <w:name w:val="Overskrift 5 Tegn"/>
    <w:basedOn w:val="Standardskrifttypeiafsnit"/>
    <w:link w:val="Overskrift5"/>
    <w:uiPriority w:val="1"/>
    <w:semiHidden/>
    <w:rsid w:val="009C37F8"/>
    <w:rPr>
      <w:rFonts w:eastAsiaTheme="majorEastAsia" w:cstheme="majorBidi"/>
      <w:b/>
      <w:bCs/>
      <w:color w:val="003127"/>
    </w:rPr>
  </w:style>
  <w:style w:type="character" w:customStyle="1" w:styleId="Overskrift6Tegn">
    <w:name w:val="Overskrift 6 Tegn"/>
    <w:basedOn w:val="Standardskrifttypeiafsnit"/>
    <w:link w:val="Overskrift6"/>
    <w:uiPriority w:val="1"/>
    <w:semiHidden/>
    <w:rsid w:val="009C37F8"/>
    <w:rPr>
      <w:rFonts w:eastAsiaTheme="majorEastAsia" w:cstheme="majorBidi"/>
      <w:b/>
      <w:bCs/>
      <w:color w:val="003127"/>
    </w:rPr>
  </w:style>
  <w:style w:type="character" w:customStyle="1" w:styleId="Overskrift7Tegn">
    <w:name w:val="Overskrift 7 Tegn"/>
    <w:basedOn w:val="Standardskrifttypeiafsnit"/>
    <w:link w:val="Overskrift7"/>
    <w:uiPriority w:val="1"/>
    <w:semiHidden/>
    <w:rsid w:val="009C37F8"/>
    <w:rPr>
      <w:rFonts w:eastAsiaTheme="majorEastAsia" w:cstheme="majorBidi"/>
      <w:b/>
      <w:bCs/>
      <w:color w:val="003127"/>
    </w:rPr>
  </w:style>
  <w:style w:type="character" w:customStyle="1" w:styleId="Overskrift8Tegn">
    <w:name w:val="Overskrift 8 Tegn"/>
    <w:basedOn w:val="Standardskrifttypeiafsnit"/>
    <w:link w:val="Overskrift8"/>
    <w:uiPriority w:val="1"/>
    <w:semiHidden/>
    <w:rsid w:val="009C37F8"/>
    <w:rPr>
      <w:rFonts w:eastAsiaTheme="majorEastAsia" w:cstheme="majorBidi"/>
      <w:b/>
      <w:bCs/>
      <w:color w:val="003127"/>
    </w:rPr>
  </w:style>
  <w:style w:type="character" w:customStyle="1" w:styleId="Overskrift9Tegn">
    <w:name w:val="Overskrift 9 Tegn"/>
    <w:basedOn w:val="Standardskrifttypeiafsnit"/>
    <w:link w:val="Overskrift9"/>
    <w:uiPriority w:val="1"/>
    <w:semiHidden/>
    <w:rsid w:val="009C37F8"/>
    <w:rPr>
      <w:rFonts w:eastAsiaTheme="majorEastAsia" w:cstheme="majorBidi"/>
      <w:b/>
      <w:bCs/>
      <w:color w:val="003127"/>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3127" w:themeColor="accent1" w:shadow="1"/>
        <w:left w:val="single" w:sz="2" w:space="10" w:color="003127" w:themeColor="accent1" w:shadow="1"/>
        <w:bottom w:val="single" w:sz="2" w:space="10" w:color="003127" w:themeColor="accent1" w:shadow="1"/>
        <w:right w:val="single" w:sz="2" w:space="10" w:color="003127" w:themeColor="accent1" w:shadow="1"/>
      </w:pBdr>
      <w:ind w:left="1152" w:right="1152"/>
    </w:pPr>
    <w:rPr>
      <w:rFonts w:asciiTheme="minorHAnsi" w:eastAsiaTheme="minorEastAsia" w:hAnsiTheme="minorHAnsi" w:cstheme="minorBidi"/>
      <w:i/>
      <w:iCs/>
      <w:color w:val="00312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1" w:themeFillTint="33"/>
    </w:tcPr>
    <w:tblStylePr w:type="firstRow">
      <w:rPr>
        <w:b/>
        <w:bCs/>
      </w:rPr>
      <w:tblPr/>
      <w:tcPr>
        <w:shd w:val="clear" w:color="auto" w:fill="46FFD8" w:themeFill="accent1" w:themeFillTint="66"/>
      </w:tcPr>
    </w:tblStylePr>
    <w:tblStylePr w:type="lastRow">
      <w:rPr>
        <w:b/>
        <w:bCs/>
        <w:color w:val="000000" w:themeColor="text1"/>
      </w:rPr>
      <w:tblPr/>
      <w:tcPr>
        <w:shd w:val="clear" w:color="auto" w:fill="46FFD8" w:themeFill="accent1" w:themeFillTint="66"/>
      </w:tcPr>
    </w:tblStylePr>
    <w:tblStylePr w:type="firstCol">
      <w:rPr>
        <w:color w:val="FFFFFF" w:themeColor="background1"/>
      </w:rPr>
      <w:tblPr/>
      <w:tcPr>
        <w:shd w:val="clear" w:color="auto" w:fill="00241D" w:themeFill="accent1" w:themeFillShade="BF"/>
      </w:tcPr>
    </w:tblStylePr>
    <w:tblStylePr w:type="lastCol">
      <w:rPr>
        <w:color w:val="FFFFFF" w:themeColor="background1"/>
      </w:rPr>
      <w:tblPr/>
      <w:tcPr>
        <w:shd w:val="clear" w:color="auto" w:fill="00241D" w:themeFill="accent1" w:themeFillShade="BF"/>
      </w:tc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2" w:themeFillTint="33"/>
    </w:tcPr>
    <w:tblStylePr w:type="firstRow">
      <w:rPr>
        <w:b/>
        <w:bCs/>
      </w:rPr>
      <w:tblPr/>
      <w:tcPr>
        <w:shd w:val="clear" w:color="auto" w:fill="69FFBB" w:themeFill="accent2" w:themeFillTint="66"/>
      </w:tcPr>
    </w:tblStylePr>
    <w:tblStylePr w:type="lastRow">
      <w:rPr>
        <w:b/>
        <w:bCs/>
        <w:color w:val="000000" w:themeColor="text1"/>
      </w:rPr>
      <w:tblPr/>
      <w:tcPr>
        <w:shd w:val="clear" w:color="auto" w:fill="69FFBB" w:themeFill="accent2" w:themeFillTint="66"/>
      </w:tcPr>
    </w:tblStylePr>
    <w:tblStylePr w:type="firstCol">
      <w:rPr>
        <w:color w:val="FFFFFF" w:themeColor="background1"/>
      </w:rPr>
      <w:tblPr/>
      <w:tcPr>
        <w:shd w:val="clear" w:color="auto" w:fill="006537" w:themeFill="accent2" w:themeFillShade="BF"/>
      </w:tcPr>
    </w:tblStylePr>
    <w:tblStylePr w:type="lastCol">
      <w:rPr>
        <w:color w:val="FFFFFF" w:themeColor="background1"/>
      </w:rPr>
      <w:tblPr/>
      <w:tcPr>
        <w:shd w:val="clear" w:color="auto" w:fill="006537" w:themeFill="accent2" w:themeFillShade="BF"/>
      </w:tc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1" w:themeFillTint="3F"/>
      </w:tcPr>
    </w:tblStylePr>
    <w:tblStylePr w:type="band1Horz">
      <w:tblPr/>
      <w:tcPr>
        <w:shd w:val="clear" w:color="auto" w:fill="A2FFEB"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2"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2" w:themeFillTint="3F"/>
      </w:tcPr>
    </w:tblStylePr>
    <w:tblStylePr w:type="band1Horz">
      <w:tblPr/>
      <w:tcPr>
        <w:shd w:val="clear" w:color="auto" w:fill="B4FFDD"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3127" w:themeColor="accent1"/>
        <w:bottom w:val="single" w:sz="4" w:space="0" w:color="003127" w:themeColor="accent1"/>
        <w:right w:val="single" w:sz="4" w:space="0" w:color="003127" w:themeColor="accent1"/>
        <w:insideH w:val="single" w:sz="4" w:space="0" w:color="FFFFFF" w:themeColor="background1"/>
        <w:insideV w:val="single" w:sz="4" w:space="0" w:color="FFFFFF" w:themeColor="background1"/>
      </w:tblBorders>
    </w:tblPr>
    <w:tcPr>
      <w:shd w:val="clear" w:color="auto" w:fill="D1FFF5" w:themeFill="accen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1" w:themeFillShade="99"/>
      </w:tcPr>
    </w:tblStylePr>
    <w:tblStylePr w:type="firstCol">
      <w:rPr>
        <w:color w:val="FFFFFF" w:themeColor="background1"/>
      </w:rPr>
      <w:tblPr/>
      <w:tcPr>
        <w:tcBorders>
          <w:top w:val="nil"/>
          <w:left w:val="nil"/>
          <w:bottom w:val="nil"/>
          <w:right w:val="nil"/>
          <w:insideH w:val="single" w:sz="4" w:space="0" w:color="001D17" w:themeColor="accent1" w:themeShade="99"/>
          <w:insideV w:val="nil"/>
        </w:tcBorders>
        <w:shd w:val="clear" w:color="auto" w:fill="001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1" w:themeFillShade="99"/>
      </w:tcPr>
    </w:tblStylePr>
    <w:tblStylePr w:type="band1Vert">
      <w:tblPr/>
      <w:tcPr>
        <w:shd w:val="clear" w:color="auto" w:fill="46FFD8" w:themeFill="accent1" w:themeFillTint="66"/>
      </w:tcPr>
    </w:tblStylePr>
    <w:tblStylePr w:type="band1Horz">
      <w:tblPr/>
      <w:tcPr>
        <w:shd w:val="clear" w:color="auto" w:fill="19FFC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874B" w:themeColor="accent2"/>
        <w:bottom w:val="single" w:sz="4" w:space="0" w:color="00874B" w:themeColor="accent2"/>
        <w:right w:val="single" w:sz="4" w:space="0" w:color="00874B" w:themeColor="accent2"/>
        <w:insideH w:val="single" w:sz="4" w:space="0" w:color="FFFFFF" w:themeColor="background1"/>
        <w:insideV w:val="single" w:sz="4" w:space="0" w:color="FFFFFF" w:themeColor="background1"/>
      </w:tblBorders>
    </w:tblPr>
    <w:tcPr>
      <w:shd w:val="clear" w:color="auto" w:fill="DAFFEE" w:themeFill="accent2"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2" w:themeFillShade="99"/>
      </w:tcPr>
    </w:tblStylePr>
    <w:tblStylePr w:type="firstCol">
      <w:rPr>
        <w:color w:val="FFFFFF" w:themeColor="background1"/>
      </w:rPr>
      <w:tblPr/>
      <w:tcPr>
        <w:tcBorders>
          <w:top w:val="nil"/>
          <w:left w:val="nil"/>
          <w:bottom w:val="nil"/>
          <w:right w:val="nil"/>
          <w:insideH w:val="single" w:sz="4" w:space="0" w:color="00512C" w:themeColor="accent2" w:themeShade="99"/>
          <w:insideV w:val="nil"/>
        </w:tcBorders>
        <w:shd w:val="clear" w:color="auto" w:fill="0051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2" w:themeFillShade="99"/>
      </w:tcPr>
    </w:tblStylePr>
    <w:tblStylePr w:type="band1Vert">
      <w:tblPr/>
      <w:tcPr>
        <w:shd w:val="clear" w:color="auto" w:fill="69FFBB" w:themeFill="accent2" w:themeFillTint="66"/>
      </w:tcPr>
    </w:tblStylePr>
    <w:tblStylePr w:type="band1Horz">
      <w:tblPr/>
      <w:tcPr>
        <w:shd w:val="clear" w:color="auto" w:fill="44FFA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1" w:themeFillShade="BF"/>
      </w:tcPr>
    </w:tblStylePr>
    <w:tblStylePr w:type="band1Vert">
      <w:tblPr/>
      <w:tcPr>
        <w:tcBorders>
          <w:top w:val="nil"/>
          <w:left w:val="nil"/>
          <w:bottom w:val="nil"/>
          <w:right w:val="nil"/>
          <w:insideH w:val="nil"/>
          <w:insideV w:val="nil"/>
        </w:tcBorders>
        <w:shd w:val="clear" w:color="auto" w:fill="00241D" w:themeFill="accent1" w:themeFillShade="BF"/>
      </w:tcPr>
    </w:tblStylePr>
    <w:tblStylePr w:type="band1Horz">
      <w:tblPr/>
      <w:tcPr>
        <w:tcBorders>
          <w:top w:val="nil"/>
          <w:left w:val="nil"/>
          <w:bottom w:val="nil"/>
          <w:right w:val="nil"/>
          <w:insideH w:val="nil"/>
          <w:insideV w:val="nil"/>
        </w:tcBorders>
        <w:shd w:val="clear" w:color="auto" w:fill="00241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2" w:themeFillShade="BF"/>
      </w:tcPr>
    </w:tblStylePr>
    <w:tblStylePr w:type="band1Vert">
      <w:tblPr/>
      <w:tcPr>
        <w:tcBorders>
          <w:top w:val="nil"/>
          <w:left w:val="nil"/>
          <w:bottom w:val="nil"/>
          <w:right w:val="nil"/>
          <w:insideH w:val="nil"/>
          <w:insideV w:val="nil"/>
        </w:tcBorders>
        <w:shd w:val="clear" w:color="auto" w:fill="006537" w:themeFill="accent2" w:themeFillShade="BF"/>
      </w:tcPr>
    </w:tblStylePr>
    <w:tblStylePr w:type="band1Horz">
      <w:tblPr/>
      <w:tcPr>
        <w:tcBorders>
          <w:top w:val="nil"/>
          <w:left w:val="nil"/>
          <w:bottom w:val="nil"/>
          <w:right w:val="nil"/>
          <w:insideH w:val="nil"/>
          <w:insideV w:val="nil"/>
        </w:tcBorders>
        <w:shd w:val="clear" w:color="auto" w:fill="006537"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3127" w:themeColor="accent1"/>
    </w:rPr>
  </w:style>
  <w:style w:type="paragraph" w:styleId="Strktcitat">
    <w:name w:val="Intense Quote"/>
    <w:basedOn w:val="Normal"/>
    <w:next w:val="Normal"/>
    <w:link w:val="StrktcitatTegn"/>
    <w:uiPriority w:val="99"/>
    <w:semiHidden/>
    <w:qFormat/>
    <w:rsid w:val="00225534"/>
    <w:pPr>
      <w:pBdr>
        <w:bottom w:val="single" w:sz="4" w:space="4" w:color="003127" w:themeColor="accent1"/>
      </w:pBdr>
      <w:spacing w:before="200" w:after="280"/>
      <w:ind w:left="936" w:right="936"/>
    </w:pPr>
    <w:rPr>
      <w:b/>
      <w:bCs/>
      <w:i/>
      <w:iCs/>
      <w:color w:val="003127"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3127"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18" w:space="0" w:color="003127" w:themeColor="accent1"/>
          <w:right w:val="single" w:sz="8" w:space="0" w:color="003127" w:themeColor="accent1"/>
          <w:insideH w:val="nil"/>
          <w:insideV w:val="single" w:sz="8" w:space="0" w:color="0031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insideH w:val="nil"/>
          <w:insideV w:val="single" w:sz="8" w:space="0" w:color="0031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shd w:val="clear" w:color="auto" w:fill="8DFFE7" w:themeFill="accent1" w:themeFillTint="3F"/>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shd w:val="clear" w:color="auto" w:fill="8DFFE7" w:themeFill="accent1" w:themeFillTint="3F"/>
      </w:tcPr>
    </w:tblStylePr>
    <w:tblStylePr w:type="band2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18" w:space="0" w:color="00874B" w:themeColor="accent2"/>
          <w:right w:val="single" w:sz="8" w:space="0" w:color="00874B" w:themeColor="accent2"/>
          <w:insideH w:val="nil"/>
          <w:insideV w:val="single" w:sz="8" w:space="0" w:color="0087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insideH w:val="nil"/>
          <w:insideV w:val="single" w:sz="8" w:space="0" w:color="0087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shd w:val="clear" w:color="auto" w:fill="A2FFD5" w:themeFill="accent2" w:themeFillTint="3F"/>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shd w:val="clear" w:color="auto" w:fill="A2FFD5" w:themeFill="accent2" w:themeFillTint="3F"/>
      </w:tcPr>
    </w:tblStylePr>
    <w:tblStylePr w:type="band2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pPr>
        <w:spacing w:before="0" w:after="0" w:line="240" w:lineRule="auto"/>
      </w:pPr>
      <w:rPr>
        <w:b/>
        <w:bCs/>
        <w:color w:val="FFFFFF" w:themeColor="background1"/>
      </w:rPr>
      <w:tblPr/>
      <w:tcPr>
        <w:shd w:val="clear" w:color="auto" w:fill="003127" w:themeFill="accent1"/>
      </w:tcPr>
    </w:tblStylePr>
    <w:tblStylePr w:type="lastRow">
      <w:pPr>
        <w:spacing w:before="0" w:after="0" w:line="240" w:lineRule="auto"/>
      </w:pPr>
      <w:rPr>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tcBorders>
      </w:tcPr>
    </w:tblStylePr>
    <w:tblStylePr w:type="firstCol">
      <w:rPr>
        <w:b/>
        <w:bCs/>
      </w:rPr>
    </w:tblStylePr>
    <w:tblStylePr w:type="lastCol">
      <w:rPr>
        <w:b/>
        <w:bCs/>
      </w:r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pPr>
        <w:spacing w:before="0" w:after="0" w:line="240" w:lineRule="auto"/>
      </w:pPr>
      <w:rPr>
        <w:b/>
        <w:bCs/>
        <w:color w:val="FFFFFF" w:themeColor="background1"/>
      </w:rPr>
      <w:tblPr/>
      <w:tcPr>
        <w:shd w:val="clear" w:color="auto" w:fill="00874B" w:themeFill="accent2"/>
      </w:tcPr>
    </w:tblStylePr>
    <w:tblStylePr w:type="lastRow">
      <w:pPr>
        <w:spacing w:before="0" w:after="0" w:line="240" w:lineRule="auto"/>
      </w:pPr>
      <w:rPr>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tcBorders>
      </w:tcPr>
    </w:tblStylePr>
    <w:tblStylePr w:type="firstCol">
      <w:rPr>
        <w:b/>
        <w:bCs/>
      </w:rPr>
    </w:tblStylePr>
    <w:tblStylePr w:type="lastCol">
      <w:rPr>
        <w:b/>
        <w:bCs/>
      </w:r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241D" w:themeColor="accent1" w:themeShade="BF"/>
    </w:rPr>
    <w:tblPr>
      <w:tblStyleRowBandSize w:val="1"/>
      <w:tblStyleColBandSize w:val="1"/>
      <w:tblBorders>
        <w:top w:val="single" w:sz="8" w:space="0" w:color="003127" w:themeColor="accent1"/>
        <w:bottom w:val="single" w:sz="8" w:space="0" w:color="003127" w:themeColor="accent1"/>
      </w:tblBorders>
    </w:tblPr>
    <w:tblStylePr w:type="fir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la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left w:val="nil"/>
          <w:right w:val="nil"/>
          <w:insideH w:val="nil"/>
          <w:insideV w:val="nil"/>
        </w:tcBorders>
        <w:shd w:val="clear" w:color="auto" w:fill="8DFFE7"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6537" w:themeColor="accent2" w:themeShade="BF"/>
    </w:rPr>
    <w:tblPr>
      <w:tblStyleRowBandSize w:val="1"/>
      <w:tblStyleColBandSize w:val="1"/>
      <w:tblBorders>
        <w:top w:val="single" w:sz="8" w:space="0" w:color="00874B" w:themeColor="accent2"/>
        <w:bottom w:val="single" w:sz="8" w:space="0" w:color="00874B" w:themeColor="accent2"/>
      </w:tblBorders>
    </w:tblPr>
    <w:tblStylePr w:type="fir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la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left w:val="nil"/>
          <w:right w:val="nil"/>
          <w:insideH w:val="nil"/>
          <w:insideV w:val="nil"/>
        </w:tcBorders>
        <w:shd w:val="clear" w:color="auto" w:fill="A2FFD5"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insideV w:val="single" w:sz="8" w:space="0" w:color="00A482" w:themeColor="accent1" w:themeTint="BF"/>
      </w:tblBorders>
    </w:tblPr>
    <w:tcPr>
      <w:shd w:val="clear" w:color="auto" w:fill="8DFFE7" w:themeFill="accent1" w:themeFillTint="3F"/>
    </w:tcPr>
    <w:tblStylePr w:type="firstRow">
      <w:rPr>
        <w:b/>
        <w:bCs/>
      </w:rPr>
    </w:tblStylePr>
    <w:tblStylePr w:type="lastRow">
      <w:rPr>
        <w:b/>
        <w:bCs/>
      </w:rPr>
      <w:tblPr/>
      <w:tcPr>
        <w:tcBorders>
          <w:top w:val="single" w:sz="18" w:space="0" w:color="00A482" w:themeColor="accent1" w:themeTint="BF"/>
        </w:tcBorders>
      </w:tcPr>
    </w:tblStylePr>
    <w:tblStylePr w:type="firstCol">
      <w:rPr>
        <w:b/>
        <w:bCs/>
      </w:rPr>
    </w:tblStylePr>
    <w:tblStylePr w:type="lastCol">
      <w:rPr>
        <w:b/>
        <w:bCs/>
      </w:r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insideV w:val="single" w:sz="8" w:space="0" w:color="00E57E" w:themeColor="accent2" w:themeTint="BF"/>
      </w:tblBorders>
    </w:tblPr>
    <w:tcPr>
      <w:shd w:val="clear" w:color="auto" w:fill="A2FFD5" w:themeFill="accent2" w:themeFillTint="3F"/>
    </w:tcPr>
    <w:tblStylePr w:type="firstRow">
      <w:rPr>
        <w:b/>
        <w:bCs/>
      </w:rPr>
    </w:tblStylePr>
    <w:tblStylePr w:type="lastRow">
      <w:rPr>
        <w:b/>
        <w:bCs/>
      </w:rPr>
      <w:tblPr/>
      <w:tcPr>
        <w:tcBorders>
          <w:top w:val="single" w:sz="18" w:space="0" w:color="00E57E" w:themeColor="accent2" w:themeTint="BF"/>
        </w:tcBorders>
      </w:tcPr>
    </w:tblStylePr>
    <w:tblStylePr w:type="firstCol">
      <w:rPr>
        <w:b/>
        <w:bCs/>
      </w:rPr>
    </w:tblStylePr>
    <w:tblStylePr w:type="lastCol">
      <w:rPr>
        <w:b/>
        <w:bCs/>
      </w:r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cPr>
      <w:shd w:val="clear" w:color="auto" w:fill="8DFFE7" w:themeFill="accent1" w:themeFillTint="3F"/>
    </w:tcPr>
    <w:tblStylePr w:type="firstRow">
      <w:rPr>
        <w:b/>
        <w:bCs/>
        <w:color w:val="000000" w:themeColor="text1"/>
      </w:rPr>
      <w:tblPr/>
      <w:tcPr>
        <w:shd w:val="clear" w:color="auto" w:fill="D1F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1" w:themeFillTint="33"/>
      </w:tcPr>
    </w:tblStylePr>
    <w:tblStylePr w:type="band1Vert">
      <w:tblPr/>
      <w:tcPr>
        <w:shd w:val="clear" w:color="auto" w:fill="19FFCF" w:themeFill="accent1" w:themeFillTint="7F"/>
      </w:tcPr>
    </w:tblStylePr>
    <w:tblStylePr w:type="band1Horz">
      <w:tblPr/>
      <w:tcPr>
        <w:tcBorders>
          <w:insideH w:val="single" w:sz="6" w:space="0" w:color="003127" w:themeColor="accent1"/>
          <w:insideV w:val="single" w:sz="6" w:space="0" w:color="003127" w:themeColor="accent1"/>
        </w:tcBorders>
        <w:shd w:val="clear" w:color="auto" w:fill="19FF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cPr>
      <w:shd w:val="clear" w:color="auto" w:fill="A2FFD5" w:themeFill="accent2" w:themeFillTint="3F"/>
    </w:tcPr>
    <w:tblStylePr w:type="firstRow">
      <w:rPr>
        <w:b/>
        <w:bCs/>
        <w:color w:val="000000" w:themeColor="text1"/>
      </w:rPr>
      <w:tblPr/>
      <w:tcPr>
        <w:shd w:val="clear" w:color="auto" w:fill="DAF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2" w:themeFillTint="33"/>
      </w:tcPr>
    </w:tblStylePr>
    <w:tblStylePr w:type="band1Vert">
      <w:tblPr/>
      <w:tcPr>
        <w:shd w:val="clear" w:color="auto" w:fill="44FFAB" w:themeFill="accent2" w:themeFillTint="7F"/>
      </w:tcPr>
    </w:tblStylePr>
    <w:tblStylePr w:type="band1Horz">
      <w:tblPr/>
      <w:tcPr>
        <w:tcBorders>
          <w:insideH w:val="single" w:sz="6" w:space="0" w:color="00874B" w:themeColor="accent2"/>
          <w:insideV w:val="single" w:sz="6" w:space="0" w:color="00874B" w:themeColor="accent2"/>
        </w:tcBorders>
        <w:shd w:val="clear" w:color="auto" w:fill="44FFA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1"/>
        <w:bottom w:val="single" w:sz="8" w:space="0" w:color="003127" w:themeColor="accent1"/>
      </w:tblBorders>
    </w:tblPr>
    <w:tblStylePr w:type="firstRow">
      <w:rPr>
        <w:rFonts w:asciiTheme="majorHAnsi" w:eastAsiaTheme="majorEastAsia" w:hAnsiTheme="majorHAnsi" w:cstheme="majorBidi"/>
      </w:rPr>
      <w:tblPr/>
      <w:tcPr>
        <w:tcBorders>
          <w:top w:val="nil"/>
          <w:bottom w:val="single" w:sz="8" w:space="0" w:color="003127" w:themeColor="accent1"/>
        </w:tcBorders>
      </w:tcPr>
    </w:tblStylePr>
    <w:tblStylePr w:type="lastRow">
      <w:rPr>
        <w:b/>
        <w:bCs/>
        <w:color w:val="BFCBC9" w:themeColor="text2"/>
      </w:rPr>
      <w:tblPr/>
      <w:tcPr>
        <w:tcBorders>
          <w:top w:val="single" w:sz="8" w:space="0" w:color="003127" w:themeColor="accent1"/>
          <w:bottom w:val="single" w:sz="8" w:space="0" w:color="003127" w:themeColor="accent1"/>
        </w:tcBorders>
      </w:tcPr>
    </w:tblStylePr>
    <w:tblStylePr w:type="firstCol">
      <w:rPr>
        <w:b/>
        <w:bCs/>
      </w:rPr>
    </w:tblStylePr>
    <w:tblStylePr w:type="lastCol">
      <w:rPr>
        <w:b/>
        <w:bCs/>
      </w:rPr>
      <w:tblPr/>
      <w:tcPr>
        <w:tcBorders>
          <w:top w:val="single" w:sz="8" w:space="0" w:color="003127" w:themeColor="accent1"/>
          <w:bottom w:val="single" w:sz="8" w:space="0" w:color="003127" w:themeColor="accent1"/>
        </w:tcBorders>
      </w:tcPr>
    </w:tblStylePr>
    <w:tblStylePr w:type="band1Vert">
      <w:tblPr/>
      <w:tcPr>
        <w:shd w:val="clear" w:color="auto" w:fill="8DFFE7" w:themeFill="accent1" w:themeFillTint="3F"/>
      </w:tcPr>
    </w:tblStylePr>
    <w:tblStylePr w:type="band1Horz">
      <w:tblPr/>
      <w:tcPr>
        <w:shd w:val="clear" w:color="auto" w:fill="8DFFE7"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2"/>
        <w:bottom w:val="single" w:sz="8" w:space="0" w:color="00874B" w:themeColor="accent2"/>
      </w:tblBorders>
    </w:tblPr>
    <w:tblStylePr w:type="firstRow">
      <w:rPr>
        <w:rFonts w:asciiTheme="majorHAnsi" w:eastAsiaTheme="majorEastAsia" w:hAnsiTheme="majorHAnsi" w:cstheme="majorBidi"/>
      </w:rPr>
      <w:tblPr/>
      <w:tcPr>
        <w:tcBorders>
          <w:top w:val="nil"/>
          <w:bottom w:val="single" w:sz="8" w:space="0" w:color="00874B" w:themeColor="accent2"/>
        </w:tcBorders>
      </w:tcPr>
    </w:tblStylePr>
    <w:tblStylePr w:type="lastRow">
      <w:rPr>
        <w:b/>
        <w:bCs/>
        <w:color w:val="BFCBC9" w:themeColor="text2"/>
      </w:rPr>
      <w:tblPr/>
      <w:tcPr>
        <w:tcBorders>
          <w:top w:val="single" w:sz="8" w:space="0" w:color="00874B" w:themeColor="accent2"/>
          <w:bottom w:val="single" w:sz="8" w:space="0" w:color="00874B" w:themeColor="accent2"/>
        </w:tcBorders>
      </w:tcPr>
    </w:tblStylePr>
    <w:tblStylePr w:type="firstCol">
      <w:rPr>
        <w:b/>
        <w:bCs/>
      </w:rPr>
    </w:tblStylePr>
    <w:tblStylePr w:type="lastCol">
      <w:rPr>
        <w:b/>
        <w:bCs/>
      </w:rPr>
      <w:tblPr/>
      <w:tcPr>
        <w:tcBorders>
          <w:top w:val="single" w:sz="8" w:space="0" w:color="00874B" w:themeColor="accent2"/>
          <w:bottom w:val="single" w:sz="8" w:space="0" w:color="00874B" w:themeColor="accent2"/>
        </w:tcBorders>
      </w:tcPr>
    </w:tblStylePr>
    <w:tblStylePr w:type="band1Vert">
      <w:tblPr/>
      <w:tcPr>
        <w:shd w:val="clear" w:color="auto" w:fill="A2FFD5" w:themeFill="accent2" w:themeFillTint="3F"/>
      </w:tcPr>
    </w:tblStylePr>
    <w:tblStylePr w:type="band1Horz">
      <w:tblPr/>
      <w:tcPr>
        <w:shd w:val="clear" w:color="auto" w:fill="A2FFD5"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rPr>
        <w:sz w:val="24"/>
        <w:szCs w:val="24"/>
      </w:rPr>
      <w:tblPr/>
      <w:tcPr>
        <w:tcBorders>
          <w:top w:val="nil"/>
          <w:left w:val="nil"/>
          <w:bottom w:val="single" w:sz="24" w:space="0" w:color="003127" w:themeColor="accent1"/>
          <w:right w:val="nil"/>
          <w:insideH w:val="nil"/>
          <w:insideV w:val="nil"/>
        </w:tcBorders>
        <w:shd w:val="clear" w:color="auto" w:fill="FFFFFF" w:themeFill="background1"/>
      </w:tcPr>
    </w:tblStylePr>
    <w:tblStylePr w:type="lastRow">
      <w:tblPr/>
      <w:tcPr>
        <w:tcBorders>
          <w:top w:val="single" w:sz="8" w:space="0" w:color="0031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1"/>
          <w:insideH w:val="nil"/>
          <w:insideV w:val="nil"/>
        </w:tcBorders>
        <w:shd w:val="clear" w:color="auto" w:fill="FFFFFF" w:themeFill="background1"/>
      </w:tcPr>
    </w:tblStylePr>
    <w:tblStylePr w:type="lastCol">
      <w:tblPr/>
      <w:tcPr>
        <w:tcBorders>
          <w:top w:val="nil"/>
          <w:left w:val="single" w:sz="8" w:space="0" w:color="0031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top w:val="nil"/>
          <w:bottom w:val="nil"/>
          <w:insideH w:val="nil"/>
          <w:insideV w:val="nil"/>
        </w:tcBorders>
        <w:shd w:val="clear" w:color="auto" w:fill="8DF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rPr>
        <w:sz w:val="24"/>
        <w:szCs w:val="24"/>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tblPr/>
      <w:tcPr>
        <w:tcBorders>
          <w:top w:val="single" w:sz="8" w:space="0" w:color="0087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2"/>
          <w:insideH w:val="nil"/>
          <w:insideV w:val="nil"/>
        </w:tcBorders>
        <w:shd w:val="clear" w:color="auto" w:fill="FFFFFF" w:themeFill="background1"/>
      </w:tcPr>
    </w:tblStylePr>
    <w:tblStylePr w:type="lastCol">
      <w:tblPr/>
      <w:tcPr>
        <w:tcBorders>
          <w:top w:val="nil"/>
          <w:left w:val="single" w:sz="8" w:space="0" w:color="0087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top w:val="nil"/>
          <w:bottom w:val="nil"/>
          <w:insideH w:val="nil"/>
          <w:insideV w:val="nil"/>
        </w:tcBorders>
        <w:shd w:val="clear" w:color="auto" w:fill="A2FF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tblBorders>
    </w:tblPr>
    <w:tblStylePr w:type="firstRow">
      <w:pPr>
        <w:spacing w:before="0" w:after="0" w:line="240" w:lineRule="auto"/>
      </w:pPr>
      <w:rPr>
        <w:b/>
        <w:bCs/>
        <w:color w:val="FFFFFF" w:themeColor="background1"/>
      </w:rPr>
      <w:tblPr/>
      <w:tcPr>
        <w:tc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shd w:val="clear" w:color="auto" w:fill="003127" w:themeFill="accent1"/>
      </w:tcPr>
    </w:tblStylePr>
    <w:tblStylePr w:type="lastRow">
      <w:pPr>
        <w:spacing w:before="0" w:after="0" w:line="240" w:lineRule="auto"/>
      </w:pPr>
      <w:rPr>
        <w:b/>
        <w:bCs/>
      </w:rPr>
      <w:tblPr/>
      <w:tcPr>
        <w:tcBorders>
          <w:top w:val="double" w:sz="6"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1" w:themeFillTint="3F"/>
      </w:tcPr>
    </w:tblStylePr>
    <w:tblStylePr w:type="band1Horz">
      <w:tblPr/>
      <w:tcPr>
        <w:tcBorders>
          <w:insideH w:val="nil"/>
          <w:insideV w:val="nil"/>
        </w:tcBorders>
        <w:shd w:val="clear" w:color="auto" w:fill="8DFF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tblBorders>
    </w:tblPr>
    <w:tblStylePr w:type="firstRow">
      <w:pPr>
        <w:spacing w:before="0" w:after="0" w:line="240" w:lineRule="auto"/>
      </w:pPr>
      <w:rPr>
        <w:b/>
        <w:bCs/>
        <w:color w:val="FFFFFF" w:themeColor="background1"/>
      </w:rPr>
      <w:tblPr/>
      <w:tcPr>
        <w:tc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shd w:val="clear" w:color="auto" w:fill="00874B" w:themeFill="accent2"/>
      </w:tcPr>
    </w:tblStylePr>
    <w:tblStylePr w:type="lastRow">
      <w:pPr>
        <w:spacing w:before="0" w:after="0" w:line="240" w:lineRule="auto"/>
      </w:pPr>
      <w:rPr>
        <w:b/>
        <w:bCs/>
      </w:rPr>
      <w:tblPr/>
      <w:tcPr>
        <w:tcBorders>
          <w:top w:val="double" w:sz="6"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2" w:themeFillTint="3F"/>
      </w:tcPr>
    </w:tblStylePr>
    <w:tblStylePr w:type="band1Horz">
      <w:tblPr/>
      <w:tcPr>
        <w:tcBorders>
          <w:insideH w:val="nil"/>
          <w:insideV w:val="nil"/>
        </w:tcBorders>
        <w:shd w:val="clear" w:color="auto" w:fill="A2FFD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1"/>
      </w:tcPr>
    </w:tblStylePr>
    <w:tblStylePr w:type="lastCol">
      <w:rPr>
        <w:b/>
        <w:bCs/>
        <w:color w:val="FFFFFF" w:themeColor="background1"/>
      </w:rPr>
      <w:tblPr/>
      <w:tcPr>
        <w:tcBorders>
          <w:left w:val="nil"/>
          <w:right w:val="nil"/>
          <w:insideH w:val="nil"/>
          <w:insideV w:val="nil"/>
        </w:tcBorders>
        <w:shd w:val="clear" w:color="auto" w:fill="0031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2"/>
      </w:tcPr>
    </w:tblStylePr>
    <w:tblStylePr w:type="lastCol">
      <w:rPr>
        <w:b/>
        <w:bCs/>
        <w:color w:val="FFFFFF" w:themeColor="background1"/>
      </w:rPr>
      <w:tblPr/>
      <w:tcPr>
        <w:tcBorders>
          <w:left w:val="nil"/>
          <w:right w:val="nil"/>
          <w:insideH w:val="nil"/>
          <w:insideV w:val="nil"/>
        </w:tcBorders>
        <w:shd w:val="clear" w:color="auto" w:fill="0087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39"/>
    <w:qFormat/>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39"/>
    <w:qFormat/>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39"/>
    <w:qFormat/>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39"/>
    <w:semiHidden/>
    <w:qFormat/>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0E2F7B"/>
    <w:pPr>
      <w:autoSpaceDE w:val="0"/>
      <w:autoSpaceDN w:val="0"/>
      <w:adjustRightInd w:val="0"/>
      <w:spacing w:line="240" w:lineRule="auto"/>
    </w:pPr>
    <w:rPr>
      <w:rFonts w:cs="Georgia"/>
      <w:color w:val="000000"/>
      <w:sz w:val="24"/>
      <w:szCs w:val="24"/>
    </w:rPr>
  </w:style>
  <w:style w:type="paragraph" w:styleId="Korrektur">
    <w:name w:val="Revision"/>
    <w:hidden/>
    <w:uiPriority w:val="99"/>
    <w:semiHidden/>
    <w:rsid w:val="00316933"/>
    <w:pPr>
      <w:spacing w:line="240" w:lineRule="auto"/>
    </w:pPr>
  </w:style>
  <w:style w:type="character" w:customStyle="1" w:styleId="FodnotetekstTegn">
    <w:name w:val="Fodnotetekst Tegn"/>
    <w:basedOn w:val="Standardskrifttypeiafsnit"/>
    <w:link w:val="Fodnotetekst"/>
    <w:uiPriority w:val="9"/>
    <w:semiHidden/>
    <w:rsid w:val="00B35FD5"/>
    <w:rPr>
      <w:sz w:val="18"/>
    </w:rPr>
  </w:style>
  <w:style w:type="character" w:customStyle="1" w:styleId="kortnavn2">
    <w:name w:val="kortnavn2"/>
    <w:basedOn w:val="Standardskrifttypeiafsnit"/>
    <w:rsid w:val="008F65B3"/>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2735">
      <w:bodyDiv w:val="1"/>
      <w:marLeft w:val="0"/>
      <w:marRight w:val="0"/>
      <w:marTop w:val="0"/>
      <w:marBottom w:val="0"/>
      <w:divBdr>
        <w:top w:val="none" w:sz="0" w:space="0" w:color="auto"/>
        <w:left w:val="none" w:sz="0" w:space="0" w:color="auto"/>
        <w:bottom w:val="none" w:sz="0" w:space="0" w:color="auto"/>
        <w:right w:val="none" w:sz="0" w:space="0" w:color="auto"/>
      </w:divBdr>
    </w:div>
    <w:div w:id="929242455">
      <w:bodyDiv w:val="1"/>
      <w:marLeft w:val="0"/>
      <w:marRight w:val="0"/>
      <w:marTop w:val="0"/>
      <w:marBottom w:val="0"/>
      <w:divBdr>
        <w:top w:val="none" w:sz="0" w:space="0" w:color="auto"/>
        <w:left w:val="none" w:sz="0" w:space="0" w:color="auto"/>
        <w:bottom w:val="none" w:sz="0" w:space="0" w:color="auto"/>
        <w:right w:val="none" w:sz="0" w:space="0" w:color="auto"/>
      </w:divBdr>
    </w:div>
    <w:div w:id="1486357926">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sdyrgodkendelse.d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sdyrgodkendelse.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mads@mfvm.d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lind@mfvm.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Brev.dotx" TargetMode="External"/></Relationships>
</file>

<file path=word/theme/theme1.xml><?xml version="1.0" encoding="utf-8"?>
<a:theme xmlns:a="http://schemas.openxmlformats.org/drawingml/2006/main" name="Kontortema">
  <a:themeElements>
    <a:clrScheme name="MFVM - Departementet/Koncern">
      <a:dk1>
        <a:srgbClr val="000000"/>
      </a:dk1>
      <a:lt1>
        <a:sysClr val="window" lastClr="FFFFFF"/>
      </a:lt1>
      <a:dk2>
        <a:srgbClr val="BFCBC9"/>
      </a:dk2>
      <a:lt2>
        <a:srgbClr val="E5EAE9"/>
      </a:lt2>
      <a:accent1>
        <a:srgbClr val="003127"/>
      </a:accent1>
      <a:accent2>
        <a:srgbClr val="00874B"/>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4676-705B-45E2-9567-BC1A6F78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2</TotalTime>
  <Pages>19</Pages>
  <Words>6810</Words>
  <Characters>42161</Characters>
  <Application>Microsoft Office Word</Application>
  <DocSecurity>0</DocSecurity>
  <Lines>351</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48874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Anne-Marie Madsen</dc:creator>
  <cp:lastModifiedBy>MFVM</cp:lastModifiedBy>
  <cp:revision>3</cp:revision>
  <cp:lastPrinted>2018-06-04T11:21:00Z</cp:lastPrinted>
  <dcterms:created xsi:type="dcterms:W3CDTF">2018-06-04T11:21:00Z</dcterms:created>
  <dcterms:modified xsi:type="dcterms:W3CDTF">2018-06-06T09:41:00Z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Brev</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43118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notat</vt:lpwstr>
  </property>
  <property fmtid="{D5CDD505-2E9C-101B-9397-08002B2CF9AE}" pid="17" name="SD_CtlText_Generelt_CaseNo">
    <vt:lpwstr/>
  </property>
  <property fmtid="{D5CDD505-2E9C-101B-9397-08002B2CF9AE}" pid="18" name="SD_UserprofileName">
    <vt:lpwstr>notat</vt:lpwstr>
  </property>
  <property fmtid="{D5CDD505-2E9C-101B-9397-08002B2CF9AE}" pid="19" name="SD_Office_OFF_ID">
    <vt:lpwstr>26</vt:lpwstr>
  </property>
  <property fmtid="{D5CDD505-2E9C-101B-9397-08002B2CF9AE}" pid="20" name="CurrentOfficeID">
    <vt:lpwstr>26</vt:lpwstr>
  </property>
  <property fmtid="{D5CDD505-2E9C-101B-9397-08002B2CF9AE}" pid="21" name="SD_Office_OFF_Organisation">
    <vt:lpwstr>MFVM</vt:lpwstr>
  </property>
  <property fmtid="{D5CDD505-2E9C-101B-9397-08002B2CF9AE}" pid="22" name="SD_Office_OFF_ArtworkDefinition">
    <vt:lpwstr>MFVM</vt:lpwstr>
  </property>
  <property fmtid="{D5CDD505-2E9C-101B-9397-08002B2CF9AE}" pid="23" name="SD_Office_OFF_LogoFileName">
    <vt:lpwstr>Departementet</vt:lpwstr>
  </property>
  <property fmtid="{D5CDD505-2E9C-101B-9397-08002B2CF9AE}" pid="24" name="SD_Office_OFF_Institution">
    <vt:lpwstr>Miljø- og Fødevareministeriet</vt:lpwstr>
  </property>
  <property fmtid="{D5CDD505-2E9C-101B-9397-08002B2CF9AE}" pid="25" name="SD_Office_OFF_Institution_EN">
    <vt:lpwstr>Ministry of Environment and Food</vt:lpwstr>
  </property>
  <property fmtid="{D5CDD505-2E9C-101B-9397-08002B2CF9AE}" pid="26" name="SD_Office_OFF_kontor">
    <vt:lpwstr>Landbrug og forskning</vt:lpwstr>
  </property>
  <property fmtid="{D5CDD505-2E9C-101B-9397-08002B2CF9AE}" pid="27" name="SD_Office_OFF_Department">
    <vt:lpwstr>Landbrug og forskning</vt:lpwstr>
  </property>
  <property fmtid="{D5CDD505-2E9C-101B-9397-08002B2CF9AE}" pid="28" name="SD_Office_OFF_Department_EN">
    <vt:lpwstr>Landbrug og forskning</vt:lpwstr>
  </property>
  <property fmtid="{D5CDD505-2E9C-101B-9397-08002B2CF9AE}" pid="29" name="SD_Office_OFF_Footertext">
    <vt:lpwstr/>
  </property>
  <property fmtid="{D5CDD505-2E9C-101B-9397-08002B2CF9AE}" pid="30" name="SD_Office_OFF_AddressA">
    <vt:lpwstr>Slotsholmsgade 12</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Slotsholmsgade 12</vt:lpwstr>
  </property>
  <property fmtid="{D5CDD505-2E9C-101B-9397-08002B2CF9AE}" pid="34" name="SD_Office_OFF_AddressD">
    <vt:lpwstr>1216</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38 14 21 42</vt:lpwstr>
  </property>
  <property fmtid="{D5CDD505-2E9C-101B-9397-08002B2CF9AE}" pid="38" name="SD_Office_OFF_Phone_EN">
    <vt:lpwstr>+45 38 14 21 42</vt:lpwstr>
  </property>
  <property fmtid="{D5CDD505-2E9C-101B-9397-08002B2CF9AE}" pid="39" name="SD_Office_OFF_Fax">
    <vt:lpwstr>33 14 50 42</vt:lpwstr>
  </property>
  <property fmtid="{D5CDD505-2E9C-101B-9397-08002B2CF9AE}" pid="40" name="SD_Office_OFF_Fax_EN">
    <vt:lpwstr>+45 33 14 50 42</vt:lpwstr>
  </property>
  <property fmtid="{D5CDD505-2E9C-101B-9397-08002B2CF9AE}" pid="41" name="SD_Office_OFF_Email">
    <vt:lpwstr>mfvm@mfvm.dk</vt:lpwstr>
  </property>
  <property fmtid="{D5CDD505-2E9C-101B-9397-08002B2CF9AE}" pid="42" name="SD_Office_OFF_Web">
    <vt:lpwstr>www.mfvm.dk</vt:lpwstr>
  </property>
  <property fmtid="{D5CDD505-2E9C-101B-9397-08002B2CF9AE}" pid="43" name="SD_Office_OFF_CVR">
    <vt:lpwstr>12854358</vt:lpwstr>
  </property>
  <property fmtid="{D5CDD505-2E9C-101B-9397-08002B2CF9AE}" pid="44" name="SD_Office_OFF_EAN">
    <vt:lpwstr>5798000862005</vt:lpwstr>
  </property>
  <property fmtid="{D5CDD505-2E9C-101B-9397-08002B2CF9AE}" pid="45" name="SD_Office_OFF_EAN_EN">
    <vt:lpwstr>5798000862005</vt:lpwstr>
  </property>
  <property fmtid="{D5CDD505-2E9C-101B-9397-08002B2CF9AE}" pid="46" name="SD_Office_OFF_ColorTheme">
    <vt:lpwstr>MFVM - Departementet_Koncern</vt:lpwstr>
  </property>
  <property fmtid="{D5CDD505-2E9C-101B-9397-08002B2CF9AE}" pid="47" name="LastCompletedArtworkDefinition">
    <vt:lpwstr>MFVM</vt:lpwstr>
  </property>
  <property fmtid="{D5CDD505-2E9C-101B-9397-08002B2CF9AE}" pid="48" name="USR_Name">
    <vt:lpwstr>Anne-Marie Madsen</vt:lpwstr>
  </property>
  <property fmtid="{D5CDD505-2E9C-101B-9397-08002B2CF9AE}" pid="49" name="USR_Initials">
    <vt:lpwstr>AMADS</vt:lpwstr>
  </property>
  <property fmtid="{D5CDD505-2E9C-101B-9397-08002B2CF9AE}" pid="50" name="USR_Title">
    <vt:lpwstr>Specialkonsulent</vt:lpwstr>
  </property>
  <property fmtid="{D5CDD505-2E9C-101B-9397-08002B2CF9AE}" pid="51" name="USR_DirectPhone">
    <vt:lpwstr>+45 20 61 15 40</vt:lpwstr>
  </property>
  <property fmtid="{D5CDD505-2E9C-101B-9397-08002B2CF9AE}" pid="52" name="USR_Mobile">
    <vt:lpwstr>+45 20 61 15 40</vt:lpwstr>
  </property>
  <property fmtid="{D5CDD505-2E9C-101B-9397-08002B2CF9AE}" pid="53" name="USR_Email">
    <vt:lpwstr>amads@mfvm.dk</vt:lpwstr>
  </property>
  <property fmtid="{D5CDD505-2E9C-101B-9397-08002B2CF9AE}" pid="54" name="DocumentInfoFinished">
    <vt:lpwstr>True</vt:lpwstr>
  </property>
  <property fmtid="{D5CDD505-2E9C-101B-9397-08002B2CF9AE}" pid="55" name="SD_IntegrationInfoAdded">
    <vt:bool>true</vt:bool>
  </property>
</Properties>
</file>