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507D" w14:textId="5F417190" w:rsidR="004874A6" w:rsidRDefault="004874A6" w:rsidP="00FF442F">
      <w:bookmarkStart w:id="0" w:name="udfafd__"/>
      <w:bookmarkEnd w:id="0"/>
    </w:p>
    <w:p w14:paraId="44C0A3F0" w14:textId="657C7987" w:rsidR="006108C2" w:rsidRPr="007244D5" w:rsidRDefault="006108C2" w:rsidP="006108C2">
      <w:pPr>
        <w:jc w:val="center"/>
        <w:rPr>
          <w:rFonts w:eastAsia="Calibri" w:cs="Times New Roman"/>
          <w:sz w:val="24"/>
          <w:szCs w:val="24"/>
        </w:rPr>
      </w:pPr>
      <w:bookmarkStart w:id="1" w:name="bmkStart"/>
      <w:bookmarkEnd w:id="1"/>
    </w:p>
    <w:p w14:paraId="2D5DF585"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Forslag</w:t>
      </w:r>
    </w:p>
    <w:p w14:paraId="08A0C629" w14:textId="77777777" w:rsidR="006108C2" w:rsidRPr="007244D5" w:rsidRDefault="006108C2" w:rsidP="006108C2">
      <w:pPr>
        <w:jc w:val="center"/>
        <w:rPr>
          <w:rFonts w:eastAsia="Calibri" w:cs="Times New Roman"/>
          <w:sz w:val="24"/>
          <w:szCs w:val="24"/>
        </w:rPr>
      </w:pPr>
      <w:r w:rsidRPr="007244D5">
        <w:rPr>
          <w:rFonts w:eastAsia="Calibri" w:cs="Times New Roman"/>
          <w:sz w:val="24"/>
          <w:szCs w:val="24"/>
        </w:rPr>
        <w:t>til</w:t>
      </w:r>
    </w:p>
    <w:p w14:paraId="1ADEDA61" w14:textId="2FD382A5" w:rsidR="006108C2" w:rsidRPr="007244D5" w:rsidRDefault="006108C2" w:rsidP="006108C2">
      <w:pPr>
        <w:jc w:val="center"/>
        <w:rPr>
          <w:rFonts w:eastAsia="Calibri" w:cs="Times New Roman"/>
          <w:sz w:val="24"/>
          <w:szCs w:val="24"/>
        </w:rPr>
      </w:pPr>
      <w:r w:rsidRPr="007244D5">
        <w:rPr>
          <w:rFonts w:eastAsia="Calibri" w:cs="Times New Roman"/>
          <w:sz w:val="24"/>
          <w:szCs w:val="24"/>
        </w:rPr>
        <w:t xml:space="preserve">Lov om ændring af lov om </w:t>
      </w:r>
      <w:r w:rsidR="00F92EEE">
        <w:rPr>
          <w:rFonts w:eastAsia="Calibri" w:cs="Times New Roman"/>
          <w:sz w:val="24"/>
          <w:szCs w:val="24"/>
        </w:rPr>
        <w:t>arbejdsmiljø</w:t>
      </w:r>
      <w:r w:rsidR="005807AB">
        <w:rPr>
          <w:rFonts w:eastAsia="Calibri" w:cs="Times New Roman"/>
          <w:sz w:val="24"/>
          <w:szCs w:val="24"/>
        </w:rPr>
        <w:t xml:space="preserve"> og lov om udstationering af lønmodtagere m.v.</w:t>
      </w:r>
    </w:p>
    <w:p w14:paraId="726C79A7" w14:textId="799DC4F3" w:rsidR="006108C2" w:rsidRPr="007244D5" w:rsidRDefault="006108C2" w:rsidP="006108C2">
      <w:pPr>
        <w:jc w:val="center"/>
        <w:rPr>
          <w:rFonts w:eastAsia="Calibri" w:cs="Times New Roman"/>
          <w:sz w:val="24"/>
          <w:szCs w:val="24"/>
        </w:rPr>
      </w:pPr>
      <w:r w:rsidRPr="007244D5">
        <w:rPr>
          <w:rFonts w:eastAsia="Calibri" w:cs="Times New Roman"/>
          <w:sz w:val="24"/>
          <w:szCs w:val="24"/>
        </w:rPr>
        <w:t>(</w:t>
      </w:r>
      <w:r w:rsidR="00D30F1E">
        <w:rPr>
          <w:rFonts w:eastAsia="Calibri" w:cs="Times New Roman"/>
          <w:sz w:val="24"/>
          <w:szCs w:val="24"/>
        </w:rPr>
        <w:t>Ansattes adgang til oplysninger fra tredjepart om resultater af asbestprøver, f</w:t>
      </w:r>
      <w:r w:rsidR="00F05A72">
        <w:rPr>
          <w:rFonts w:eastAsia="Calibri" w:cs="Times New Roman"/>
          <w:sz w:val="24"/>
          <w:szCs w:val="24"/>
        </w:rPr>
        <w:t>ængsel</w:t>
      </w:r>
      <w:r w:rsidR="00E3472C">
        <w:rPr>
          <w:rFonts w:eastAsia="Calibri" w:cs="Times New Roman"/>
          <w:sz w:val="24"/>
          <w:szCs w:val="24"/>
        </w:rPr>
        <w:t>s</w:t>
      </w:r>
      <w:r w:rsidR="00F05A72">
        <w:rPr>
          <w:rFonts w:eastAsia="Calibri" w:cs="Times New Roman"/>
          <w:sz w:val="24"/>
          <w:szCs w:val="24"/>
        </w:rPr>
        <w:t xml:space="preserve">straf </w:t>
      </w:r>
      <w:r w:rsidR="00714390">
        <w:rPr>
          <w:rFonts w:eastAsia="Calibri" w:cs="Times New Roman"/>
          <w:sz w:val="24"/>
          <w:szCs w:val="24"/>
        </w:rPr>
        <w:t>i særlige tilfælde</w:t>
      </w:r>
      <w:r w:rsidR="00F05A72">
        <w:rPr>
          <w:rFonts w:eastAsia="Calibri" w:cs="Times New Roman"/>
          <w:sz w:val="24"/>
          <w:szCs w:val="24"/>
        </w:rPr>
        <w:t>, f</w:t>
      </w:r>
      <w:r w:rsidR="00F92EEE">
        <w:rPr>
          <w:rFonts w:eastAsia="Calibri" w:cs="Times New Roman"/>
          <w:sz w:val="24"/>
          <w:szCs w:val="24"/>
        </w:rPr>
        <w:t>orhøjelse af bøde</w:t>
      </w:r>
      <w:r w:rsidR="00AD31B1">
        <w:rPr>
          <w:rFonts w:eastAsia="Calibri" w:cs="Times New Roman"/>
          <w:sz w:val="24"/>
          <w:szCs w:val="24"/>
        </w:rPr>
        <w:t>n</w:t>
      </w:r>
      <w:r w:rsidR="00F12308">
        <w:rPr>
          <w:rFonts w:eastAsia="Calibri" w:cs="Times New Roman"/>
          <w:sz w:val="24"/>
          <w:szCs w:val="24"/>
        </w:rPr>
        <w:t xml:space="preserve"> </w:t>
      </w:r>
      <w:r w:rsidR="00AC1D7C">
        <w:rPr>
          <w:rFonts w:eastAsia="Calibri" w:cs="Times New Roman"/>
          <w:sz w:val="24"/>
          <w:szCs w:val="24"/>
        </w:rPr>
        <w:t xml:space="preserve">for </w:t>
      </w:r>
      <w:r w:rsidR="00F12308">
        <w:rPr>
          <w:rFonts w:eastAsia="Calibri" w:cs="Times New Roman"/>
          <w:sz w:val="24"/>
          <w:szCs w:val="24"/>
        </w:rPr>
        <w:t>udvalgte formelle overtrædelser</w:t>
      </w:r>
      <w:r w:rsidR="005807AB">
        <w:rPr>
          <w:rFonts w:eastAsia="Calibri" w:cs="Times New Roman"/>
          <w:sz w:val="24"/>
          <w:szCs w:val="24"/>
        </w:rPr>
        <w:t xml:space="preserve"> og forlængelse af revisions</w:t>
      </w:r>
      <w:r w:rsidR="00E92553">
        <w:rPr>
          <w:rFonts w:eastAsia="Calibri" w:cs="Times New Roman"/>
          <w:sz w:val="24"/>
          <w:szCs w:val="24"/>
        </w:rPr>
        <w:t>klausul</w:t>
      </w:r>
      <w:r w:rsidRPr="00990450">
        <w:rPr>
          <w:rFonts w:eastAsia="Calibri" w:cs="Times New Roman"/>
          <w:sz w:val="24"/>
          <w:szCs w:val="24"/>
        </w:rPr>
        <w:t>)</w:t>
      </w:r>
    </w:p>
    <w:p w14:paraId="4683E145" w14:textId="77777777" w:rsidR="006108C2" w:rsidRPr="007244D5" w:rsidRDefault="006108C2" w:rsidP="006108C2">
      <w:pPr>
        <w:jc w:val="center"/>
        <w:rPr>
          <w:rFonts w:eastAsia="Calibri" w:cs="Times New Roman"/>
          <w:sz w:val="24"/>
          <w:szCs w:val="24"/>
        </w:rPr>
      </w:pPr>
    </w:p>
    <w:p w14:paraId="4C65F998" w14:textId="77777777" w:rsidR="006108C2" w:rsidRPr="007244D5" w:rsidRDefault="006108C2" w:rsidP="006108C2">
      <w:pPr>
        <w:jc w:val="center"/>
        <w:rPr>
          <w:rFonts w:eastAsia="Calibri" w:cs="Times New Roman"/>
          <w:b/>
          <w:sz w:val="24"/>
          <w:szCs w:val="24"/>
        </w:rPr>
      </w:pPr>
      <w:r w:rsidRPr="007244D5">
        <w:rPr>
          <w:rFonts w:eastAsia="Calibri" w:cs="Times New Roman"/>
          <w:b/>
          <w:sz w:val="24"/>
          <w:szCs w:val="24"/>
        </w:rPr>
        <w:t>§ 1</w:t>
      </w:r>
    </w:p>
    <w:p w14:paraId="7F251AC6" w14:textId="77777777" w:rsidR="006108C2" w:rsidRPr="007244D5" w:rsidRDefault="006108C2" w:rsidP="006108C2">
      <w:pPr>
        <w:jc w:val="center"/>
        <w:rPr>
          <w:rFonts w:eastAsia="Calibri" w:cs="Times New Roman"/>
          <w:sz w:val="24"/>
          <w:szCs w:val="24"/>
        </w:rPr>
      </w:pPr>
    </w:p>
    <w:p w14:paraId="4D8126F9" w14:textId="68FF1D59" w:rsidR="006108C2" w:rsidRPr="007244D5" w:rsidRDefault="006108C2" w:rsidP="006108C2">
      <w:pPr>
        <w:rPr>
          <w:rFonts w:eastAsia="Calibri" w:cs="Times New Roman"/>
          <w:sz w:val="24"/>
          <w:szCs w:val="24"/>
        </w:rPr>
      </w:pPr>
      <w:r w:rsidRPr="007244D5">
        <w:rPr>
          <w:rFonts w:eastAsia="Calibri" w:cs="Times New Roman"/>
          <w:sz w:val="24"/>
          <w:szCs w:val="24"/>
        </w:rPr>
        <w:t xml:space="preserve"> I lov om </w:t>
      </w:r>
      <w:r w:rsidR="00F92EEE">
        <w:rPr>
          <w:rFonts w:eastAsia="Calibri" w:cs="Times New Roman"/>
          <w:sz w:val="24"/>
          <w:szCs w:val="24"/>
        </w:rPr>
        <w:t>arbejdsmiljø</w:t>
      </w:r>
      <w:r w:rsidRPr="007244D5">
        <w:rPr>
          <w:rFonts w:eastAsia="Calibri" w:cs="Times New Roman"/>
          <w:sz w:val="24"/>
          <w:szCs w:val="24"/>
        </w:rPr>
        <w:t xml:space="preserve"> jf. lovbekendtgørelse nr. </w:t>
      </w:r>
      <w:r w:rsidR="007700E3">
        <w:rPr>
          <w:rFonts w:eastAsia="Calibri" w:cs="Times New Roman"/>
          <w:sz w:val="24"/>
          <w:szCs w:val="24"/>
        </w:rPr>
        <w:t>1108</w:t>
      </w:r>
      <w:r w:rsidRPr="007244D5">
        <w:rPr>
          <w:rFonts w:eastAsia="Calibri" w:cs="Times New Roman"/>
          <w:sz w:val="24"/>
          <w:szCs w:val="24"/>
        </w:rPr>
        <w:t xml:space="preserve"> af </w:t>
      </w:r>
      <w:r w:rsidR="007700E3">
        <w:rPr>
          <w:rFonts w:eastAsia="Calibri" w:cs="Times New Roman"/>
          <w:sz w:val="24"/>
          <w:szCs w:val="24"/>
        </w:rPr>
        <w:t>15. september 2025</w:t>
      </w:r>
      <w:r w:rsidRPr="007244D5">
        <w:rPr>
          <w:rFonts w:eastAsia="Calibri" w:cs="Times New Roman"/>
          <w:sz w:val="24"/>
          <w:szCs w:val="24"/>
        </w:rPr>
        <w:t>, foretages følgende ændringer:</w:t>
      </w:r>
    </w:p>
    <w:p w14:paraId="4E26B00F" w14:textId="77777777" w:rsidR="005C4A8E" w:rsidRDefault="005C4A8E" w:rsidP="005C4A8E">
      <w:pPr>
        <w:rPr>
          <w:rFonts w:eastAsia="Calibri" w:cs="Times New Roman"/>
          <w:b/>
          <w:sz w:val="24"/>
          <w:szCs w:val="24"/>
        </w:rPr>
      </w:pPr>
    </w:p>
    <w:p w14:paraId="2C43DD20" w14:textId="05C7697E" w:rsidR="005C4A8E" w:rsidRPr="007244D5" w:rsidRDefault="005C4A8E" w:rsidP="005C4A8E">
      <w:pPr>
        <w:rPr>
          <w:rFonts w:eastAsia="Calibri" w:cs="Times New Roman"/>
          <w:sz w:val="24"/>
          <w:szCs w:val="24"/>
        </w:rPr>
      </w:pPr>
      <w:r w:rsidRPr="007244D5">
        <w:rPr>
          <w:rFonts w:eastAsia="Calibri" w:cs="Times New Roman"/>
          <w:b/>
          <w:sz w:val="24"/>
          <w:szCs w:val="24"/>
        </w:rPr>
        <w:t>1.</w:t>
      </w:r>
      <w:r w:rsidRPr="007244D5">
        <w:rPr>
          <w:rFonts w:eastAsia="Calibri" w:cs="Times New Roman"/>
          <w:sz w:val="24"/>
          <w:szCs w:val="24"/>
        </w:rPr>
        <w:t xml:space="preserve"> I </w:t>
      </w:r>
      <w:r w:rsidRPr="007244D5">
        <w:rPr>
          <w:rFonts w:eastAsia="Calibri" w:cs="Times New Roman"/>
          <w:i/>
          <w:sz w:val="24"/>
          <w:szCs w:val="24"/>
        </w:rPr>
        <w:t xml:space="preserve">§ </w:t>
      </w:r>
      <w:r>
        <w:rPr>
          <w:rFonts w:eastAsia="Calibri" w:cs="Times New Roman"/>
          <w:i/>
          <w:sz w:val="24"/>
          <w:szCs w:val="24"/>
        </w:rPr>
        <w:t>15 a</w:t>
      </w:r>
      <w:r w:rsidRPr="007244D5">
        <w:rPr>
          <w:rFonts w:eastAsia="Calibri" w:cs="Times New Roman"/>
          <w:sz w:val="24"/>
          <w:szCs w:val="24"/>
        </w:rPr>
        <w:t xml:space="preserve"> indsættes </w:t>
      </w:r>
      <w:r>
        <w:rPr>
          <w:rFonts w:eastAsia="Calibri" w:cs="Times New Roman"/>
          <w:sz w:val="24"/>
          <w:szCs w:val="24"/>
        </w:rPr>
        <w:t>efter stk. 9 som nyt stykke</w:t>
      </w:r>
      <w:r w:rsidRPr="007244D5">
        <w:rPr>
          <w:rFonts w:eastAsia="Calibri" w:cs="Times New Roman"/>
          <w:i/>
          <w:sz w:val="24"/>
          <w:szCs w:val="24"/>
        </w:rPr>
        <w:t>:</w:t>
      </w:r>
    </w:p>
    <w:p w14:paraId="4286CE2C" w14:textId="77777777" w:rsidR="005C4A8E" w:rsidRPr="007244D5" w:rsidRDefault="005C4A8E" w:rsidP="005C4A8E">
      <w:pPr>
        <w:ind w:firstLine="284"/>
        <w:rPr>
          <w:rFonts w:eastAsia="Calibri" w:cs="Times New Roman"/>
          <w:sz w:val="24"/>
          <w:szCs w:val="24"/>
        </w:rPr>
      </w:pPr>
      <w:r w:rsidRPr="007244D5">
        <w:rPr>
          <w:rFonts w:eastAsia="Calibri" w:cs="Times New Roman"/>
          <w:i/>
          <w:sz w:val="24"/>
          <w:szCs w:val="24"/>
        </w:rPr>
        <w:t xml:space="preserve">»Stk. </w:t>
      </w:r>
      <w:r>
        <w:rPr>
          <w:rFonts w:eastAsia="Calibri" w:cs="Times New Roman"/>
          <w:i/>
          <w:sz w:val="24"/>
          <w:szCs w:val="24"/>
        </w:rPr>
        <w:t>10</w:t>
      </w:r>
      <w:r w:rsidRPr="007244D5">
        <w:rPr>
          <w:rFonts w:eastAsia="Calibri" w:cs="Times New Roman"/>
          <w:i/>
          <w:sz w:val="24"/>
          <w:szCs w:val="24"/>
        </w:rPr>
        <w:t>.</w:t>
      </w:r>
      <w:r w:rsidRPr="007244D5">
        <w:rPr>
          <w:rFonts w:eastAsia="Calibri" w:cs="Times New Roman"/>
          <w:sz w:val="24"/>
          <w:szCs w:val="24"/>
        </w:rPr>
        <w:t xml:space="preserve"> </w:t>
      </w:r>
      <w:r>
        <w:rPr>
          <w:rFonts w:eastAsia="Calibri" w:cs="Times New Roman"/>
          <w:sz w:val="24"/>
          <w:szCs w:val="24"/>
        </w:rPr>
        <w:t>B</w:t>
      </w:r>
      <w:r w:rsidRPr="0032644D">
        <w:rPr>
          <w:rFonts w:eastAsia="Calibri" w:cs="Times New Roman"/>
          <w:sz w:val="24"/>
          <w:szCs w:val="24"/>
        </w:rPr>
        <w:t>eskæftigelsesministeren kan fastsætte nærmere regler om arbejdsgiverens pligt til</w:t>
      </w:r>
      <w:r>
        <w:rPr>
          <w:rFonts w:eastAsia="Calibri" w:cs="Times New Roman"/>
          <w:sz w:val="24"/>
          <w:szCs w:val="24"/>
        </w:rPr>
        <w:t xml:space="preserve"> at</w:t>
      </w:r>
      <w:r w:rsidRPr="0032644D">
        <w:rPr>
          <w:rFonts w:eastAsia="Calibri" w:cs="Times New Roman"/>
          <w:sz w:val="24"/>
          <w:szCs w:val="24"/>
        </w:rPr>
        <w:t xml:space="preserve"> </w:t>
      </w:r>
      <w:r>
        <w:rPr>
          <w:rFonts w:eastAsia="Calibri" w:cs="Times New Roman"/>
          <w:sz w:val="24"/>
          <w:szCs w:val="24"/>
        </w:rPr>
        <w:t>sikre, at arbejdsmiljøorganisationen eller de ansatte i virksomheden, hvis der ikke er krav om en arbejdsmiljøorganisation, får adgang til oplysninger direkte fra tredjepart om resultater af asbestprøver</w:t>
      </w:r>
      <w:r w:rsidRPr="007244D5">
        <w:rPr>
          <w:rFonts w:eastAsia="Calibri" w:cs="Times New Roman"/>
          <w:sz w:val="24"/>
          <w:szCs w:val="24"/>
        </w:rPr>
        <w:t>.«</w:t>
      </w:r>
    </w:p>
    <w:p w14:paraId="685AEBCB" w14:textId="77777777" w:rsidR="006108C2" w:rsidRPr="007244D5" w:rsidRDefault="006108C2" w:rsidP="006108C2">
      <w:pPr>
        <w:ind w:firstLine="238"/>
        <w:rPr>
          <w:rFonts w:eastAsia="Calibri" w:cs="Times New Roman"/>
          <w:sz w:val="24"/>
          <w:szCs w:val="24"/>
        </w:rPr>
      </w:pPr>
    </w:p>
    <w:p w14:paraId="15866D6C" w14:textId="773B6F7F" w:rsidR="00DE3672" w:rsidRPr="007244D5" w:rsidRDefault="005C4A8E" w:rsidP="00DE3672">
      <w:pPr>
        <w:rPr>
          <w:rFonts w:eastAsia="Calibri" w:cs="Times New Roman"/>
          <w:sz w:val="24"/>
          <w:szCs w:val="24"/>
        </w:rPr>
      </w:pPr>
      <w:r>
        <w:rPr>
          <w:rFonts w:eastAsia="Calibri" w:cs="Times New Roman"/>
          <w:b/>
          <w:sz w:val="24"/>
          <w:szCs w:val="24"/>
        </w:rPr>
        <w:t>2</w:t>
      </w:r>
      <w:r w:rsidR="00DE3672" w:rsidRPr="00D97C05">
        <w:rPr>
          <w:rFonts w:eastAsia="Calibri" w:cs="Times New Roman"/>
          <w:b/>
          <w:sz w:val="24"/>
          <w:szCs w:val="24"/>
        </w:rPr>
        <w:t>.</w:t>
      </w:r>
      <w:r w:rsidR="00DE3672" w:rsidRPr="00D97C05">
        <w:rPr>
          <w:rFonts w:eastAsia="Calibri" w:cs="Times New Roman"/>
          <w:sz w:val="24"/>
          <w:szCs w:val="24"/>
        </w:rPr>
        <w:t xml:space="preserve"> I </w:t>
      </w:r>
      <w:r w:rsidR="00DE3672" w:rsidRPr="00D97C05">
        <w:rPr>
          <w:rFonts w:eastAsia="Calibri" w:cs="Times New Roman"/>
          <w:i/>
          <w:sz w:val="24"/>
          <w:szCs w:val="24"/>
        </w:rPr>
        <w:t>§ 82, stk. 1,</w:t>
      </w:r>
      <w:r w:rsidR="00DE3672" w:rsidRPr="00D97C05">
        <w:rPr>
          <w:rFonts w:eastAsia="Calibri" w:cs="Times New Roman"/>
          <w:sz w:val="24"/>
          <w:szCs w:val="24"/>
        </w:rPr>
        <w:t xml:space="preserve"> </w:t>
      </w:r>
      <w:r w:rsidR="00FE7C12" w:rsidRPr="00D97C05">
        <w:rPr>
          <w:rFonts w:eastAsia="Calibri" w:cs="Times New Roman"/>
          <w:sz w:val="24"/>
          <w:szCs w:val="24"/>
        </w:rPr>
        <w:t xml:space="preserve">ændres </w:t>
      </w:r>
      <w:r w:rsidR="00D11E93" w:rsidRPr="00D97C05">
        <w:rPr>
          <w:rFonts w:eastAsia="Calibri" w:cs="Times New Roman"/>
          <w:sz w:val="24"/>
          <w:szCs w:val="24"/>
        </w:rPr>
        <w:t>»</w:t>
      </w:r>
      <w:r w:rsidR="00FE7C12" w:rsidRPr="00D97C05">
        <w:rPr>
          <w:rFonts w:eastAsia="Calibri" w:cs="Times New Roman"/>
          <w:sz w:val="24"/>
          <w:szCs w:val="24"/>
        </w:rPr>
        <w:t>der</w:t>
      </w:r>
      <w:r w:rsidR="00D11E93" w:rsidRPr="00D97C05">
        <w:rPr>
          <w:rFonts w:eastAsia="Calibri" w:cs="Times New Roman"/>
          <w:sz w:val="24"/>
          <w:szCs w:val="24"/>
        </w:rPr>
        <w:t>«</w:t>
      </w:r>
      <w:r w:rsidR="00DE3672" w:rsidRPr="00D97C05">
        <w:rPr>
          <w:rFonts w:eastAsia="Calibri" w:cs="Times New Roman"/>
          <w:sz w:val="24"/>
          <w:szCs w:val="24"/>
        </w:rPr>
        <w:t xml:space="preserve"> </w:t>
      </w:r>
      <w:r w:rsidR="00D11E93" w:rsidRPr="00D97C05">
        <w:rPr>
          <w:rFonts w:eastAsia="Calibri" w:cs="Times New Roman"/>
          <w:sz w:val="24"/>
          <w:szCs w:val="24"/>
        </w:rPr>
        <w:t>til »</w:t>
      </w:r>
      <w:r w:rsidR="00DE3672" w:rsidRPr="00D97C05">
        <w:rPr>
          <w:rFonts w:eastAsia="Calibri" w:cs="Times New Roman"/>
          <w:sz w:val="24"/>
          <w:szCs w:val="24"/>
        </w:rPr>
        <w:t>som</w:t>
      </w:r>
      <w:r w:rsidR="00D11E93" w:rsidRPr="00D97C05">
        <w:rPr>
          <w:rFonts w:eastAsia="Calibri" w:cs="Times New Roman"/>
          <w:sz w:val="24"/>
          <w:szCs w:val="24"/>
        </w:rPr>
        <w:t>«.</w:t>
      </w:r>
    </w:p>
    <w:p w14:paraId="379E24FE" w14:textId="77777777" w:rsidR="00DE3672" w:rsidRPr="007244D5" w:rsidRDefault="00DE3672" w:rsidP="00DE3672">
      <w:pPr>
        <w:ind w:firstLine="238"/>
        <w:rPr>
          <w:rFonts w:eastAsia="Calibri" w:cs="Times New Roman"/>
          <w:sz w:val="24"/>
          <w:szCs w:val="24"/>
        </w:rPr>
      </w:pPr>
    </w:p>
    <w:p w14:paraId="0314AE7B" w14:textId="3E3164B5" w:rsidR="006108C2" w:rsidRPr="007244D5" w:rsidRDefault="005C4A8E" w:rsidP="006108C2">
      <w:pPr>
        <w:rPr>
          <w:rFonts w:eastAsia="Calibri" w:cs="Times New Roman"/>
          <w:sz w:val="24"/>
          <w:szCs w:val="24"/>
        </w:rPr>
      </w:pPr>
      <w:r>
        <w:rPr>
          <w:rFonts w:eastAsia="Calibri" w:cs="Times New Roman"/>
          <w:b/>
          <w:sz w:val="24"/>
          <w:szCs w:val="24"/>
        </w:rPr>
        <w:t>3</w:t>
      </w:r>
      <w:r w:rsidR="006108C2" w:rsidRPr="007244D5">
        <w:rPr>
          <w:rFonts w:eastAsia="Calibri" w:cs="Times New Roman"/>
          <w:b/>
          <w:sz w:val="24"/>
          <w:szCs w:val="24"/>
        </w:rPr>
        <w:t>.</w:t>
      </w:r>
      <w:r w:rsidR="006108C2" w:rsidRPr="007244D5">
        <w:rPr>
          <w:rFonts w:eastAsia="Calibri" w:cs="Times New Roman"/>
          <w:sz w:val="24"/>
          <w:szCs w:val="24"/>
        </w:rPr>
        <w:t xml:space="preserve"> I </w:t>
      </w:r>
      <w:r w:rsidR="006108C2" w:rsidRPr="007244D5">
        <w:rPr>
          <w:rFonts w:eastAsia="Calibri" w:cs="Times New Roman"/>
          <w:i/>
          <w:sz w:val="24"/>
          <w:szCs w:val="24"/>
        </w:rPr>
        <w:t xml:space="preserve">§ </w:t>
      </w:r>
      <w:r w:rsidR="00783FD1">
        <w:rPr>
          <w:rFonts w:eastAsia="Calibri" w:cs="Times New Roman"/>
          <w:i/>
          <w:sz w:val="24"/>
          <w:szCs w:val="24"/>
        </w:rPr>
        <w:t>82, stk. 1,</w:t>
      </w:r>
      <w:r w:rsidR="006108C2" w:rsidRPr="007244D5">
        <w:rPr>
          <w:rFonts w:eastAsia="Calibri" w:cs="Times New Roman"/>
          <w:sz w:val="24"/>
          <w:szCs w:val="24"/>
        </w:rPr>
        <w:t xml:space="preserve"> indsættes </w:t>
      </w:r>
      <w:r w:rsidR="00114237">
        <w:rPr>
          <w:rFonts w:eastAsia="Calibri" w:cs="Times New Roman"/>
          <w:sz w:val="24"/>
          <w:szCs w:val="24"/>
        </w:rPr>
        <w:t>som nr. 5</w:t>
      </w:r>
      <w:r w:rsidR="006108C2" w:rsidRPr="007244D5">
        <w:rPr>
          <w:rFonts w:eastAsia="Calibri" w:cs="Times New Roman"/>
          <w:sz w:val="24"/>
          <w:szCs w:val="24"/>
        </w:rPr>
        <w:t>:</w:t>
      </w:r>
    </w:p>
    <w:p w14:paraId="4B764F18" w14:textId="29854066" w:rsidR="006108C2" w:rsidRDefault="006108C2" w:rsidP="006108C2">
      <w:pPr>
        <w:ind w:firstLine="284"/>
        <w:rPr>
          <w:rFonts w:eastAsia="Calibri" w:cs="Times New Roman"/>
          <w:sz w:val="24"/>
          <w:szCs w:val="24"/>
        </w:rPr>
      </w:pPr>
      <w:r w:rsidRPr="007244D5">
        <w:rPr>
          <w:rFonts w:eastAsia="Calibri" w:cs="Times New Roman"/>
          <w:sz w:val="24"/>
          <w:szCs w:val="24"/>
        </w:rPr>
        <w:t>»</w:t>
      </w:r>
      <w:r w:rsidR="00783FD1">
        <w:rPr>
          <w:rFonts w:eastAsia="Calibri" w:cs="Times New Roman"/>
          <w:sz w:val="24"/>
          <w:szCs w:val="24"/>
        </w:rPr>
        <w:t>5</w:t>
      </w:r>
      <w:r w:rsidRPr="007244D5">
        <w:rPr>
          <w:rFonts w:eastAsia="Calibri" w:cs="Times New Roman"/>
          <w:sz w:val="24"/>
          <w:szCs w:val="24"/>
        </w:rPr>
        <w:t xml:space="preserve">) </w:t>
      </w:r>
      <w:r w:rsidR="007303D5" w:rsidRPr="007303D5">
        <w:rPr>
          <w:rFonts w:eastAsia="Calibri" w:cs="Times New Roman"/>
          <w:sz w:val="24"/>
          <w:szCs w:val="24"/>
        </w:rPr>
        <w:t>overtræder regler fastsat af beskæftigelsesministeren i medfør af § 37, stk. 2, nr. 2 og § 75, stk. 1</w:t>
      </w:r>
      <w:r w:rsidRPr="007244D5">
        <w:rPr>
          <w:rFonts w:eastAsia="Calibri" w:cs="Times New Roman"/>
          <w:sz w:val="24"/>
          <w:szCs w:val="24"/>
        </w:rPr>
        <w:t>«.</w:t>
      </w:r>
    </w:p>
    <w:p w14:paraId="78046118" w14:textId="007630CD" w:rsidR="00DE3672" w:rsidRDefault="00DE3672" w:rsidP="006108C2">
      <w:pPr>
        <w:ind w:firstLine="284"/>
        <w:rPr>
          <w:rFonts w:eastAsia="Calibri" w:cs="Times New Roman"/>
          <w:sz w:val="24"/>
          <w:szCs w:val="24"/>
        </w:rPr>
      </w:pPr>
    </w:p>
    <w:p w14:paraId="32325392" w14:textId="07F13A1E" w:rsidR="00D11E93" w:rsidRDefault="005C4A8E" w:rsidP="00D11E93">
      <w:pPr>
        <w:rPr>
          <w:rFonts w:eastAsia="Calibri" w:cs="Times New Roman"/>
          <w:sz w:val="24"/>
          <w:szCs w:val="24"/>
        </w:rPr>
      </w:pPr>
      <w:r>
        <w:rPr>
          <w:rFonts w:eastAsia="Calibri" w:cs="Times New Roman"/>
          <w:b/>
          <w:sz w:val="24"/>
          <w:szCs w:val="24"/>
        </w:rPr>
        <w:t>4</w:t>
      </w:r>
      <w:r w:rsidR="00DE3672" w:rsidRPr="00D97C05">
        <w:rPr>
          <w:rFonts w:eastAsia="Calibri" w:cs="Times New Roman"/>
          <w:b/>
          <w:sz w:val="24"/>
          <w:szCs w:val="24"/>
        </w:rPr>
        <w:t>.</w:t>
      </w:r>
      <w:r w:rsidR="00DE3672" w:rsidRPr="00D97C05">
        <w:rPr>
          <w:rFonts w:eastAsia="Calibri" w:cs="Times New Roman"/>
          <w:sz w:val="24"/>
          <w:szCs w:val="24"/>
        </w:rPr>
        <w:t xml:space="preserve"> I </w:t>
      </w:r>
      <w:r w:rsidR="00DE3672" w:rsidRPr="00D97C05">
        <w:rPr>
          <w:rFonts w:eastAsia="Calibri" w:cs="Times New Roman"/>
          <w:i/>
          <w:sz w:val="24"/>
          <w:szCs w:val="24"/>
        </w:rPr>
        <w:t xml:space="preserve">§ 82, stk. </w:t>
      </w:r>
      <w:r w:rsidR="00D11E93" w:rsidRPr="00D97C05">
        <w:rPr>
          <w:rFonts w:eastAsia="Calibri" w:cs="Times New Roman"/>
          <w:i/>
          <w:sz w:val="24"/>
          <w:szCs w:val="24"/>
        </w:rPr>
        <w:t>2</w:t>
      </w:r>
      <w:r w:rsidR="00DE3672" w:rsidRPr="00D97C05">
        <w:rPr>
          <w:rFonts w:eastAsia="Calibri" w:cs="Times New Roman"/>
          <w:i/>
          <w:sz w:val="24"/>
          <w:szCs w:val="24"/>
        </w:rPr>
        <w:t>,</w:t>
      </w:r>
      <w:r w:rsidR="00DE3672" w:rsidRPr="00D97C05">
        <w:rPr>
          <w:rFonts w:eastAsia="Calibri" w:cs="Times New Roman"/>
          <w:sz w:val="24"/>
          <w:szCs w:val="24"/>
        </w:rPr>
        <w:t xml:space="preserve"> </w:t>
      </w:r>
      <w:r w:rsidR="00D11E93" w:rsidRPr="00D97C05">
        <w:rPr>
          <w:rFonts w:eastAsia="Calibri" w:cs="Times New Roman"/>
          <w:sz w:val="24"/>
          <w:szCs w:val="24"/>
        </w:rPr>
        <w:t>ændres »når« til »hvis«.</w:t>
      </w:r>
    </w:p>
    <w:p w14:paraId="6925144C" w14:textId="77777777" w:rsidR="006108C2" w:rsidRPr="007244D5" w:rsidRDefault="006108C2" w:rsidP="006108C2">
      <w:pPr>
        <w:ind w:firstLine="238"/>
        <w:rPr>
          <w:rFonts w:eastAsia="Calibri" w:cs="Times New Roman"/>
          <w:sz w:val="24"/>
          <w:szCs w:val="24"/>
        </w:rPr>
      </w:pPr>
    </w:p>
    <w:p w14:paraId="4E888C2A" w14:textId="4C4F3384" w:rsidR="006108C2" w:rsidRPr="007244D5" w:rsidRDefault="005C4A8E" w:rsidP="006108C2">
      <w:pPr>
        <w:rPr>
          <w:rFonts w:eastAsia="Calibri" w:cs="Times New Roman"/>
          <w:sz w:val="24"/>
          <w:szCs w:val="24"/>
        </w:rPr>
      </w:pPr>
      <w:r>
        <w:rPr>
          <w:rFonts w:eastAsia="Calibri" w:cs="Times New Roman"/>
          <w:b/>
          <w:sz w:val="24"/>
          <w:szCs w:val="24"/>
        </w:rPr>
        <w:t>5</w:t>
      </w:r>
      <w:r w:rsidR="006108C2" w:rsidRPr="007244D5">
        <w:rPr>
          <w:rFonts w:eastAsia="Calibri" w:cs="Times New Roman"/>
          <w:b/>
          <w:sz w:val="24"/>
          <w:szCs w:val="24"/>
        </w:rPr>
        <w:t>.</w:t>
      </w:r>
      <w:r w:rsidR="006108C2" w:rsidRPr="007244D5">
        <w:rPr>
          <w:rFonts w:eastAsia="Calibri" w:cs="Times New Roman"/>
          <w:sz w:val="24"/>
          <w:szCs w:val="24"/>
        </w:rPr>
        <w:t xml:space="preserve"> </w:t>
      </w:r>
      <w:r w:rsidR="007303D5">
        <w:rPr>
          <w:rFonts w:eastAsia="Calibri" w:cs="Times New Roman"/>
          <w:sz w:val="24"/>
          <w:szCs w:val="24"/>
        </w:rPr>
        <w:t xml:space="preserve">I </w:t>
      </w:r>
      <w:r w:rsidR="006108C2" w:rsidRPr="007244D5">
        <w:rPr>
          <w:rFonts w:eastAsia="Calibri" w:cs="Times New Roman"/>
          <w:i/>
          <w:sz w:val="24"/>
          <w:szCs w:val="24"/>
        </w:rPr>
        <w:t xml:space="preserve">§ </w:t>
      </w:r>
      <w:r w:rsidR="007303D5">
        <w:rPr>
          <w:rFonts w:eastAsia="Calibri" w:cs="Times New Roman"/>
          <w:i/>
          <w:sz w:val="24"/>
          <w:szCs w:val="24"/>
        </w:rPr>
        <w:t xml:space="preserve">82, </w:t>
      </w:r>
      <w:r w:rsidR="00143B89">
        <w:rPr>
          <w:rFonts w:eastAsia="Calibri" w:cs="Times New Roman"/>
          <w:sz w:val="24"/>
          <w:szCs w:val="24"/>
        </w:rPr>
        <w:t>indsættes efter stk. 6 som nyt stk</w:t>
      </w:r>
      <w:r w:rsidR="00114237">
        <w:rPr>
          <w:rFonts w:eastAsia="Calibri" w:cs="Times New Roman"/>
          <w:sz w:val="24"/>
          <w:szCs w:val="24"/>
        </w:rPr>
        <w:t>.</w:t>
      </w:r>
      <w:r w:rsidR="006108C2" w:rsidRPr="007244D5">
        <w:rPr>
          <w:rFonts w:eastAsia="Calibri" w:cs="Times New Roman"/>
          <w:sz w:val="24"/>
          <w:szCs w:val="24"/>
        </w:rPr>
        <w:t>:</w:t>
      </w:r>
    </w:p>
    <w:p w14:paraId="6775F7F4" w14:textId="04515D8E" w:rsidR="006108C2" w:rsidRPr="007244D5" w:rsidRDefault="006108C2" w:rsidP="006108C2">
      <w:pPr>
        <w:ind w:firstLine="284"/>
        <w:rPr>
          <w:rFonts w:eastAsia="Calibri" w:cs="Times New Roman"/>
          <w:sz w:val="24"/>
          <w:szCs w:val="24"/>
        </w:rPr>
      </w:pPr>
      <w:r w:rsidRPr="007244D5">
        <w:rPr>
          <w:rFonts w:eastAsia="Calibri" w:cs="Times New Roman"/>
          <w:i/>
          <w:sz w:val="24"/>
          <w:szCs w:val="24"/>
        </w:rPr>
        <w:t xml:space="preserve">»Stk. </w:t>
      </w:r>
      <w:r w:rsidR="00114237">
        <w:rPr>
          <w:rFonts w:eastAsia="Calibri" w:cs="Times New Roman"/>
          <w:i/>
          <w:sz w:val="24"/>
          <w:szCs w:val="24"/>
        </w:rPr>
        <w:t>7</w:t>
      </w:r>
      <w:r w:rsidRPr="007244D5">
        <w:rPr>
          <w:rFonts w:eastAsia="Calibri" w:cs="Times New Roman"/>
          <w:i/>
          <w:sz w:val="24"/>
          <w:szCs w:val="24"/>
        </w:rPr>
        <w:t xml:space="preserve">. </w:t>
      </w:r>
      <w:r w:rsidR="00143B89" w:rsidRPr="00143B89">
        <w:rPr>
          <w:rFonts w:eastAsia="Calibri" w:cs="Times New Roman"/>
          <w:sz w:val="24"/>
          <w:szCs w:val="24"/>
        </w:rPr>
        <w:t>V</w:t>
      </w:r>
      <w:r w:rsidR="0007066E" w:rsidRPr="0007066E">
        <w:rPr>
          <w:rFonts w:eastAsia="Calibri" w:cs="Times New Roman"/>
          <w:sz w:val="24"/>
          <w:szCs w:val="24"/>
        </w:rPr>
        <w:t>ed bygherres overtrædelse af regler fastsat af beskæftigelsesministeren i medfør af § 37, stk. 2, nr. 2</w:t>
      </w:r>
      <w:r w:rsidR="0007066E">
        <w:rPr>
          <w:rFonts w:eastAsia="Calibri" w:cs="Times New Roman"/>
          <w:sz w:val="24"/>
          <w:szCs w:val="24"/>
        </w:rPr>
        <w:t>, og v</w:t>
      </w:r>
      <w:r w:rsidR="00143B89" w:rsidRPr="00143B89">
        <w:rPr>
          <w:rFonts w:eastAsia="Calibri" w:cs="Times New Roman"/>
          <w:sz w:val="24"/>
          <w:szCs w:val="24"/>
        </w:rPr>
        <w:t xml:space="preserve">ed arbejdsgiverens overtrædelse af </w:t>
      </w:r>
      <w:r w:rsidR="00143B89">
        <w:rPr>
          <w:rFonts w:eastAsia="Calibri" w:cs="Times New Roman"/>
          <w:sz w:val="24"/>
          <w:szCs w:val="24"/>
        </w:rPr>
        <w:t xml:space="preserve">regler </w:t>
      </w:r>
      <w:r w:rsidR="00143B89" w:rsidRPr="00143B89">
        <w:rPr>
          <w:rFonts w:eastAsia="Calibri" w:cs="Times New Roman"/>
          <w:sz w:val="24"/>
          <w:szCs w:val="24"/>
        </w:rPr>
        <w:t>fastsat af beskæftigelsesministeren i medfør af § 75, stk. 1</w:t>
      </w:r>
      <w:r w:rsidR="00143B89">
        <w:rPr>
          <w:rFonts w:eastAsia="Calibri" w:cs="Times New Roman"/>
          <w:sz w:val="24"/>
          <w:szCs w:val="24"/>
        </w:rPr>
        <w:t xml:space="preserve">, </w:t>
      </w:r>
      <w:r w:rsidR="00143B89" w:rsidRPr="00143B89">
        <w:rPr>
          <w:rFonts w:eastAsia="Calibri" w:cs="Times New Roman"/>
          <w:sz w:val="24"/>
          <w:szCs w:val="24"/>
        </w:rPr>
        <w:t xml:space="preserve">skal der ved straffens udmåling, jf. stk. 1, </w:t>
      </w:r>
      <w:r w:rsidR="00D83208">
        <w:rPr>
          <w:rFonts w:eastAsia="Calibri" w:cs="Times New Roman"/>
          <w:sz w:val="24"/>
          <w:szCs w:val="24"/>
        </w:rPr>
        <w:t xml:space="preserve">nr. 5, </w:t>
      </w:r>
      <w:r w:rsidR="00143B89" w:rsidRPr="00143B89">
        <w:rPr>
          <w:rFonts w:eastAsia="Calibri" w:cs="Times New Roman"/>
          <w:sz w:val="24"/>
          <w:szCs w:val="24"/>
        </w:rPr>
        <w:t>lægges vægt på virksomhedens størrelse.</w:t>
      </w:r>
      <w:r w:rsidRPr="007244D5">
        <w:rPr>
          <w:rFonts w:eastAsia="Calibri" w:cs="Times New Roman"/>
          <w:sz w:val="24"/>
          <w:szCs w:val="24"/>
        </w:rPr>
        <w:t>«</w:t>
      </w:r>
    </w:p>
    <w:p w14:paraId="716367D7" w14:textId="676952D4" w:rsidR="006108C2" w:rsidRDefault="00114237" w:rsidP="006108C2">
      <w:pPr>
        <w:ind w:firstLine="238"/>
        <w:rPr>
          <w:rFonts w:eastAsia="Calibri" w:cs="Times New Roman"/>
          <w:sz w:val="24"/>
          <w:szCs w:val="24"/>
        </w:rPr>
      </w:pPr>
      <w:r w:rsidRPr="00114237">
        <w:t xml:space="preserve"> </w:t>
      </w:r>
      <w:r w:rsidRPr="00114237">
        <w:rPr>
          <w:rFonts w:eastAsia="Calibri" w:cs="Times New Roman"/>
          <w:sz w:val="24"/>
          <w:szCs w:val="24"/>
        </w:rPr>
        <w:t>Stk. 7-9 bliver herefter stk. 8-10</w:t>
      </w:r>
      <w:r>
        <w:rPr>
          <w:rFonts w:eastAsia="Calibri" w:cs="Times New Roman"/>
          <w:sz w:val="24"/>
          <w:szCs w:val="24"/>
        </w:rPr>
        <w:t>.</w:t>
      </w:r>
    </w:p>
    <w:p w14:paraId="4E9B8121" w14:textId="51DD9F28" w:rsidR="005807AB" w:rsidRDefault="005807AB" w:rsidP="006108C2">
      <w:pPr>
        <w:ind w:firstLine="238"/>
        <w:rPr>
          <w:rFonts w:eastAsia="Calibri" w:cs="Times New Roman"/>
          <w:sz w:val="24"/>
          <w:szCs w:val="24"/>
        </w:rPr>
      </w:pPr>
    </w:p>
    <w:p w14:paraId="1EA9B4E1" w14:textId="1C0E402B" w:rsidR="005807AB" w:rsidRPr="00523DDA" w:rsidRDefault="005807AB" w:rsidP="005807AB">
      <w:pPr>
        <w:pStyle w:val="centreretparagraf"/>
        <w:shd w:val="clear" w:color="auto" w:fill="FFFFFF"/>
        <w:spacing w:before="200" w:beforeAutospacing="0" w:after="200" w:afterAutospacing="0"/>
        <w:jc w:val="center"/>
        <w:rPr>
          <w:b/>
          <w:bCs/>
          <w:color w:val="252525"/>
        </w:rPr>
      </w:pPr>
      <w:r w:rsidRPr="00523DDA">
        <w:rPr>
          <w:b/>
          <w:bCs/>
          <w:color w:val="252525"/>
        </w:rPr>
        <w:t xml:space="preserve">§ </w:t>
      </w:r>
      <w:r>
        <w:rPr>
          <w:b/>
          <w:bCs/>
          <w:color w:val="252525"/>
        </w:rPr>
        <w:t>2</w:t>
      </w:r>
    </w:p>
    <w:p w14:paraId="6F8CE923" w14:textId="77777777" w:rsidR="005807AB" w:rsidRPr="00D97C05" w:rsidRDefault="005807AB" w:rsidP="005807AB">
      <w:pPr>
        <w:rPr>
          <w:sz w:val="24"/>
        </w:rPr>
      </w:pPr>
      <w:r w:rsidRPr="00D97C05">
        <w:rPr>
          <w:sz w:val="24"/>
        </w:rPr>
        <w:lastRenderedPageBreak/>
        <w:t>I lov om udstationering af lønmodtagere m.v., jf. lovbekendtgørelse nr. 38 af 2. januar 2024, som ændret ved lov nr. 1458 af 10. december 2024, foretages følgende ændringer:</w:t>
      </w:r>
    </w:p>
    <w:p w14:paraId="0BD8D5E9" w14:textId="77777777" w:rsidR="005807AB" w:rsidRPr="00D97C05" w:rsidRDefault="005807AB" w:rsidP="005807AB">
      <w:pPr>
        <w:rPr>
          <w:sz w:val="24"/>
        </w:rPr>
      </w:pPr>
    </w:p>
    <w:p w14:paraId="3E2F9201" w14:textId="683E5D3C" w:rsidR="005807AB" w:rsidRPr="005807AB" w:rsidRDefault="005807AB" w:rsidP="005807AB">
      <w:pPr>
        <w:rPr>
          <w:rFonts w:eastAsia="Calibri" w:cs="Times New Roman"/>
          <w:sz w:val="24"/>
          <w:szCs w:val="24"/>
        </w:rPr>
      </w:pPr>
      <w:r w:rsidRPr="00D97C05">
        <w:rPr>
          <w:rFonts w:eastAsia="Calibri" w:cs="Times New Roman"/>
          <w:b/>
          <w:sz w:val="24"/>
          <w:szCs w:val="24"/>
        </w:rPr>
        <w:t>1.</w:t>
      </w:r>
      <w:r w:rsidRPr="00D97C05">
        <w:rPr>
          <w:rFonts w:eastAsia="Calibri" w:cs="Times New Roman"/>
          <w:sz w:val="24"/>
          <w:szCs w:val="24"/>
        </w:rPr>
        <w:t xml:space="preserve"> I </w:t>
      </w:r>
      <w:r w:rsidRPr="00D97C05">
        <w:rPr>
          <w:rFonts w:eastAsia="Calibri" w:cs="Times New Roman"/>
          <w:i/>
          <w:sz w:val="24"/>
          <w:szCs w:val="24"/>
        </w:rPr>
        <w:t>§ 11</w:t>
      </w:r>
      <w:r w:rsidRPr="00D97C05">
        <w:rPr>
          <w:rFonts w:eastAsia="Calibri" w:cs="Times New Roman"/>
          <w:sz w:val="24"/>
          <w:szCs w:val="24"/>
        </w:rPr>
        <w:t> ændres »2025-26« til: »2026-27«.</w:t>
      </w:r>
    </w:p>
    <w:p w14:paraId="38E68401" w14:textId="77777777" w:rsidR="005807AB" w:rsidRPr="007244D5" w:rsidRDefault="005807AB" w:rsidP="005807AB">
      <w:pPr>
        <w:ind w:firstLine="238"/>
        <w:rPr>
          <w:rFonts w:eastAsia="Calibri" w:cs="Times New Roman"/>
          <w:sz w:val="24"/>
          <w:szCs w:val="24"/>
        </w:rPr>
      </w:pPr>
    </w:p>
    <w:p w14:paraId="62E4DFE3" w14:textId="77777777" w:rsidR="006108C2" w:rsidRPr="007244D5" w:rsidRDefault="006108C2" w:rsidP="006108C2">
      <w:pPr>
        <w:ind w:firstLine="238"/>
        <w:rPr>
          <w:rFonts w:eastAsia="Calibri" w:cs="Times New Roman"/>
          <w:sz w:val="24"/>
          <w:szCs w:val="24"/>
        </w:rPr>
      </w:pPr>
    </w:p>
    <w:p w14:paraId="016DF025" w14:textId="6A8DAD50" w:rsidR="006108C2" w:rsidRPr="007244D5" w:rsidRDefault="006108C2" w:rsidP="006108C2">
      <w:pPr>
        <w:ind w:firstLine="238"/>
        <w:jc w:val="center"/>
        <w:rPr>
          <w:rFonts w:eastAsia="Calibri" w:cs="Times New Roman"/>
          <w:b/>
          <w:sz w:val="24"/>
          <w:szCs w:val="24"/>
        </w:rPr>
      </w:pPr>
      <w:r w:rsidRPr="007244D5">
        <w:rPr>
          <w:rFonts w:eastAsia="Calibri" w:cs="Times New Roman"/>
          <w:b/>
          <w:sz w:val="24"/>
          <w:szCs w:val="24"/>
        </w:rPr>
        <w:t xml:space="preserve">§ </w:t>
      </w:r>
      <w:r w:rsidR="005807AB">
        <w:rPr>
          <w:rFonts w:eastAsia="Calibri" w:cs="Times New Roman"/>
          <w:b/>
          <w:sz w:val="24"/>
          <w:szCs w:val="24"/>
        </w:rPr>
        <w:t>3</w:t>
      </w:r>
    </w:p>
    <w:p w14:paraId="71A26566" w14:textId="77777777" w:rsidR="006108C2" w:rsidRPr="007244D5" w:rsidRDefault="006108C2" w:rsidP="006108C2">
      <w:pPr>
        <w:ind w:firstLine="238"/>
        <w:rPr>
          <w:rFonts w:eastAsia="Calibri" w:cs="Times New Roman"/>
          <w:sz w:val="24"/>
          <w:szCs w:val="24"/>
        </w:rPr>
      </w:pPr>
    </w:p>
    <w:p w14:paraId="06073D72" w14:textId="77777777" w:rsidR="006108C2" w:rsidRPr="007244D5" w:rsidRDefault="006108C2" w:rsidP="006108C2">
      <w:pPr>
        <w:rPr>
          <w:rFonts w:eastAsia="Calibri" w:cs="Times New Roman"/>
          <w:b/>
          <w:sz w:val="24"/>
          <w:szCs w:val="24"/>
        </w:rPr>
      </w:pPr>
    </w:p>
    <w:p w14:paraId="614259D4" w14:textId="42B92D7C" w:rsidR="00A007A8" w:rsidRDefault="00A007A8" w:rsidP="006108C2">
      <w:pPr>
        <w:ind w:firstLine="284"/>
        <w:rPr>
          <w:rFonts w:eastAsia="Calibri" w:cs="Times New Roman"/>
          <w:sz w:val="24"/>
          <w:szCs w:val="24"/>
        </w:rPr>
      </w:pPr>
      <w:r w:rsidRPr="00990450">
        <w:rPr>
          <w:rFonts w:eastAsia="Calibri" w:cs="Times New Roman"/>
          <w:i/>
          <w:iCs/>
          <w:sz w:val="24"/>
          <w:szCs w:val="24"/>
        </w:rPr>
        <w:t>Stk. 1.</w:t>
      </w:r>
      <w:r>
        <w:rPr>
          <w:rFonts w:eastAsia="Calibri" w:cs="Times New Roman"/>
          <w:sz w:val="24"/>
          <w:szCs w:val="24"/>
        </w:rPr>
        <w:t xml:space="preserve"> </w:t>
      </w:r>
      <w:r w:rsidR="006108C2" w:rsidRPr="007244D5">
        <w:rPr>
          <w:rFonts w:eastAsia="Calibri" w:cs="Times New Roman"/>
          <w:sz w:val="24"/>
          <w:szCs w:val="24"/>
        </w:rPr>
        <w:t xml:space="preserve">Loven træder i kraft den </w:t>
      </w:r>
      <w:r w:rsidR="00EE72CD">
        <w:rPr>
          <w:rFonts w:eastAsia="Calibri" w:cs="Times New Roman"/>
          <w:sz w:val="24"/>
          <w:szCs w:val="24"/>
        </w:rPr>
        <w:t xml:space="preserve">1. </w:t>
      </w:r>
      <w:r w:rsidR="001817A3">
        <w:rPr>
          <w:rFonts w:eastAsia="Calibri" w:cs="Times New Roman"/>
          <w:sz w:val="24"/>
          <w:szCs w:val="24"/>
        </w:rPr>
        <w:t>marts</w:t>
      </w:r>
      <w:r w:rsidR="00EE72CD">
        <w:rPr>
          <w:rFonts w:eastAsia="Calibri" w:cs="Times New Roman"/>
          <w:sz w:val="24"/>
          <w:szCs w:val="24"/>
        </w:rPr>
        <w:t xml:space="preserve"> 2026</w:t>
      </w:r>
      <w:r w:rsidR="008F1F75">
        <w:rPr>
          <w:rFonts w:eastAsia="Calibri" w:cs="Times New Roman"/>
          <w:sz w:val="24"/>
          <w:szCs w:val="24"/>
        </w:rPr>
        <w:t>,</w:t>
      </w:r>
      <w:r>
        <w:rPr>
          <w:rFonts w:eastAsia="Calibri" w:cs="Times New Roman"/>
          <w:sz w:val="24"/>
          <w:szCs w:val="24"/>
        </w:rPr>
        <w:t xml:space="preserve"> jf. dog stk. 2.</w:t>
      </w:r>
    </w:p>
    <w:p w14:paraId="09074BFB" w14:textId="2E12AEEE" w:rsidR="00A007A8" w:rsidRDefault="00A007A8" w:rsidP="006108C2">
      <w:pPr>
        <w:ind w:firstLine="284"/>
        <w:rPr>
          <w:rFonts w:eastAsia="Calibri" w:cs="Times New Roman"/>
          <w:sz w:val="24"/>
          <w:szCs w:val="24"/>
        </w:rPr>
      </w:pPr>
      <w:r w:rsidRPr="00990450">
        <w:rPr>
          <w:rFonts w:eastAsia="Calibri" w:cs="Times New Roman"/>
          <w:i/>
          <w:iCs/>
          <w:sz w:val="24"/>
          <w:szCs w:val="24"/>
        </w:rPr>
        <w:t>Stk. 2.</w:t>
      </w:r>
      <w:r>
        <w:rPr>
          <w:rFonts w:eastAsia="Calibri" w:cs="Times New Roman"/>
          <w:sz w:val="24"/>
          <w:szCs w:val="24"/>
        </w:rPr>
        <w:t xml:space="preserve"> § 1, nr. 1 træder i kraft den 1. juli 2026.</w:t>
      </w:r>
    </w:p>
    <w:p w14:paraId="5ECD04EC" w14:textId="4B553383" w:rsidR="006108C2" w:rsidRPr="007244D5" w:rsidRDefault="008F1F75" w:rsidP="006108C2">
      <w:pPr>
        <w:ind w:firstLine="284"/>
        <w:rPr>
          <w:rFonts w:eastAsia="Calibri" w:cs="Times New Roman"/>
          <w:sz w:val="24"/>
          <w:szCs w:val="24"/>
        </w:rPr>
      </w:pPr>
      <w:r>
        <w:rPr>
          <w:rFonts w:eastAsia="Calibri" w:cs="Times New Roman"/>
          <w:sz w:val="24"/>
          <w:szCs w:val="24"/>
        </w:rPr>
        <w:t xml:space="preserve"> </w:t>
      </w:r>
    </w:p>
    <w:p w14:paraId="1D111570" w14:textId="77777777" w:rsidR="006108C2" w:rsidRPr="007244D5" w:rsidRDefault="006108C2" w:rsidP="006108C2">
      <w:pPr>
        <w:rPr>
          <w:rFonts w:eastAsia="Calibri" w:cs="Times New Roman"/>
          <w:sz w:val="24"/>
          <w:szCs w:val="24"/>
        </w:rPr>
      </w:pPr>
    </w:p>
    <w:p w14:paraId="05C15ED6" w14:textId="77777777" w:rsidR="006108C2" w:rsidRPr="007244D5" w:rsidRDefault="006108C2" w:rsidP="006108C2">
      <w:pPr>
        <w:ind w:firstLine="238"/>
        <w:jc w:val="right"/>
        <w:rPr>
          <w:rFonts w:eastAsia="Calibri" w:cs="Times New Roman"/>
          <w:sz w:val="24"/>
          <w:szCs w:val="24"/>
        </w:rPr>
        <w:sectPr w:rsidR="006108C2" w:rsidRPr="007244D5" w:rsidSect="00DF743A">
          <w:headerReference w:type="default" r:id="rId10"/>
          <w:footerReference w:type="default" r:id="rId11"/>
          <w:headerReference w:type="first" r:id="rId12"/>
          <w:pgSz w:w="11906" w:h="16838" w:code="9"/>
          <w:pgMar w:top="1418" w:right="3260" w:bottom="1134" w:left="1418" w:header="0" w:footer="709" w:gutter="0"/>
          <w:paperSrc w:first="15" w:other="15"/>
          <w:cols w:space="708"/>
          <w:titlePg/>
          <w:docGrid w:linePitch="360"/>
        </w:sectPr>
      </w:pPr>
    </w:p>
    <w:p w14:paraId="665FDC4E"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lastRenderedPageBreak/>
        <w:t>Bemærkninger til lovforslaget</w:t>
      </w:r>
    </w:p>
    <w:p w14:paraId="06938EC1" w14:textId="77777777" w:rsidR="006108C2" w:rsidRPr="007244D5" w:rsidRDefault="006108C2" w:rsidP="006108C2">
      <w:pPr>
        <w:spacing w:after="240"/>
        <w:jc w:val="center"/>
        <w:rPr>
          <w:rFonts w:eastAsia="Calibri" w:cs="Times New Roman"/>
          <w:i/>
          <w:sz w:val="24"/>
          <w:szCs w:val="24"/>
        </w:rPr>
      </w:pPr>
      <w:r w:rsidRPr="007244D5">
        <w:rPr>
          <w:rFonts w:eastAsia="Calibri" w:cs="Times New Roman"/>
          <w:i/>
          <w:sz w:val="24"/>
          <w:szCs w:val="24"/>
        </w:rPr>
        <w:t>Almindelige bemærkninger</w:t>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01"/>
        <w:gridCol w:w="6417"/>
      </w:tblGrid>
      <w:tr w:rsidR="00434FBA" w14:paraId="5D39C799" w14:textId="77777777" w:rsidTr="00D07139">
        <w:trPr>
          <w:trHeight w:val="363"/>
        </w:trPr>
        <w:tc>
          <w:tcPr>
            <w:tcW w:w="7218" w:type="dxa"/>
            <w:gridSpan w:val="2"/>
          </w:tcPr>
          <w:p w14:paraId="3DBED68E" w14:textId="77777777" w:rsidR="00434FBA" w:rsidRDefault="00434FBA" w:rsidP="00D07139">
            <w:pPr>
              <w:spacing w:after="240"/>
              <w:ind w:firstLine="22"/>
              <w:jc w:val="left"/>
              <w:rPr>
                <w:rFonts w:eastAsia="Calibri" w:cs="Times New Roman"/>
                <w:szCs w:val="24"/>
              </w:rPr>
            </w:pPr>
            <w:r w:rsidRPr="003B0B97">
              <w:rPr>
                <w:rFonts w:eastAsia="Calibri" w:cs="Times New Roman"/>
                <w:szCs w:val="24"/>
              </w:rPr>
              <w:t>Indholdsfortegnelse</w:t>
            </w:r>
          </w:p>
        </w:tc>
      </w:tr>
      <w:tr w:rsidR="00434FBA" w14:paraId="08E72041" w14:textId="77777777" w:rsidTr="00D07139">
        <w:tc>
          <w:tcPr>
            <w:tcW w:w="801" w:type="dxa"/>
          </w:tcPr>
          <w:p w14:paraId="0CAB1366" w14:textId="77777777" w:rsidR="00434FBA" w:rsidRDefault="00434FBA" w:rsidP="00D07139">
            <w:pPr>
              <w:spacing w:after="240"/>
              <w:jc w:val="left"/>
              <w:rPr>
                <w:rFonts w:eastAsia="Calibri" w:cs="Times New Roman"/>
                <w:szCs w:val="24"/>
              </w:rPr>
            </w:pPr>
            <w:r>
              <w:rPr>
                <w:rFonts w:eastAsia="Calibri" w:cs="Times New Roman"/>
                <w:szCs w:val="24"/>
              </w:rPr>
              <w:t>1.</w:t>
            </w:r>
          </w:p>
        </w:tc>
        <w:tc>
          <w:tcPr>
            <w:tcW w:w="6417" w:type="dxa"/>
          </w:tcPr>
          <w:p w14:paraId="1A13E93A" w14:textId="77777777" w:rsidR="00434FBA" w:rsidRDefault="00434FBA" w:rsidP="00D07139">
            <w:pPr>
              <w:spacing w:after="240"/>
              <w:jc w:val="left"/>
              <w:rPr>
                <w:rFonts w:eastAsia="Calibri" w:cs="Times New Roman"/>
                <w:szCs w:val="24"/>
              </w:rPr>
            </w:pPr>
            <w:r>
              <w:rPr>
                <w:rFonts w:eastAsia="Calibri" w:cs="Times New Roman"/>
                <w:szCs w:val="24"/>
              </w:rPr>
              <w:t>Indledning</w:t>
            </w:r>
          </w:p>
        </w:tc>
      </w:tr>
      <w:tr w:rsidR="005807AB" w14:paraId="3C5A50C6" w14:textId="77777777" w:rsidTr="00D07139">
        <w:tc>
          <w:tcPr>
            <w:tcW w:w="801" w:type="dxa"/>
          </w:tcPr>
          <w:p w14:paraId="5790DB0D" w14:textId="2D0EF33E" w:rsidR="005807AB" w:rsidRPr="005807AB" w:rsidRDefault="005807AB" w:rsidP="00D07139">
            <w:pPr>
              <w:spacing w:after="240"/>
              <w:jc w:val="left"/>
              <w:rPr>
                <w:rFonts w:eastAsia="Calibri" w:cs="Times New Roman"/>
                <w:szCs w:val="24"/>
              </w:rPr>
            </w:pPr>
            <w:r>
              <w:rPr>
                <w:rFonts w:eastAsia="Calibri" w:cs="Times New Roman"/>
                <w:szCs w:val="24"/>
              </w:rPr>
              <w:t>2</w:t>
            </w:r>
          </w:p>
        </w:tc>
        <w:tc>
          <w:tcPr>
            <w:tcW w:w="6417" w:type="dxa"/>
          </w:tcPr>
          <w:p w14:paraId="6B30708A" w14:textId="3D490ADA" w:rsidR="005807AB" w:rsidRPr="001655AD" w:rsidRDefault="005807AB" w:rsidP="00D07139">
            <w:pPr>
              <w:spacing w:after="240"/>
              <w:jc w:val="left"/>
              <w:rPr>
                <w:rFonts w:eastAsia="Calibri" w:cs="Times New Roman"/>
                <w:szCs w:val="24"/>
              </w:rPr>
            </w:pPr>
            <w:r w:rsidRPr="00E94E09">
              <w:rPr>
                <w:rFonts w:cs="Times New Roman"/>
                <w:iCs/>
                <w:sz w:val="24"/>
                <w:szCs w:val="24"/>
              </w:rPr>
              <w:t>Lovforslagets hovedpunkter</w:t>
            </w:r>
          </w:p>
        </w:tc>
      </w:tr>
      <w:tr w:rsidR="005C4A8E" w14:paraId="4F4116CC" w14:textId="77777777" w:rsidTr="00D07139">
        <w:tc>
          <w:tcPr>
            <w:tcW w:w="801" w:type="dxa"/>
          </w:tcPr>
          <w:p w14:paraId="2977D023" w14:textId="1E032274" w:rsidR="005C4A8E" w:rsidRPr="00D97C05" w:rsidRDefault="000E06AB" w:rsidP="00D07139">
            <w:pPr>
              <w:spacing w:after="240"/>
              <w:jc w:val="left"/>
              <w:rPr>
                <w:rFonts w:eastAsia="Calibri" w:cs="Times New Roman"/>
                <w:szCs w:val="24"/>
              </w:rPr>
            </w:pPr>
            <w:r w:rsidRPr="00D97C05">
              <w:rPr>
                <w:rFonts w:eastAsia="Calibri" w:cs="Times New Roman"/>
                <w:szCs w:val="24"/>
              </w:rPr>
              <w:t>2.1.</w:t>
            </w:r>
          </w:p>
        </w:tc>
        <w:tc>
          <w:tcPr>
            <w:tcW w:w="6417" w:type="dxa"/>
          </w:tcPr>
          <w:p w14:paraId="74788988" w14:textId="259B9B63" w:rsidR="005C4A8E" w:rsidRPr="00D97C05" w:rsidRDefault="0029075F" w:rsidP="005807AB">
            <w:pPr>
              <w:pStyle w:val="Overskrift1"/>
              <w:rPr>
                <w:rFonts w:ascii="Times New Roman" w:hAnsi="Times New Roman" w:cs="Times New Roman"/>
                <w:b w:val="0"/>
                <w:bCs w:val="0"/>
                <w:iCs/>
                <w:sz w:val="24"/>
                <w:szCs w:val="24"/>
              </w:rPr>
            </w:pPr>
            <w:r w:rsidRPr="0029075F">
              <w:rPr>
                <w:rFonts w:ascii="Times New Roman" w:hAnsi="Times New Roman" w:cs="Times New Roman"/>
                <w:b w:val="0"/>
                <w:bCs w:val="0"/>
                <w:iCs/>
                <w:sz w:val="24"/>
                <w:szCs w:val="24"/>
              </w:rPr>
              <w:t>Bemyndigelse til at fastsætte nærmere regler om ansattes adgang til oplysninger fra tredjepart om resultater af asbestprøver</w:t>
            </w:r>
          </w:p>
        </w:tc>
      </w:tr>
      <w:tr w:rsidR="000E06AB" w14:paraId="326B2538" w14:textId="77777777" w:rsidTr="00D07139">
        <w:tc>
          <w:tcPr>
            <w:tcW w:w="801" w:type="dxa"/>
          </w:tcPr>
          <w:p w14:paraId="42399A13" w14:textId="5D282AFC" w:rsidR="000E06AB" w:rsidRPr="00D97C05" w:rsidRDefault="000E06AB" w:rsidP="00D07139">
            <w:pPr>
              <w:spacing w:after="240"/>
              <w:jc w:val="left"/>
              <w:rPr>
                <w:rFonts w:eastAsia="Calibri" w:cs="Times New Roman"/>
                <w:szCs w:val="24"/>
              </w:rPr>
            </w:pPr>
            <w:r w:rsidRPr="00D97C05">
              <w:rPr>
                <w:rFonts w:eastAsia="Calibri" w:cs="Times New Roman"/>
                <w:szCs w:val="24"/>
              </w:rPr>
              <w:t>2.1.1.</w:t>
            </w:r>
          </w:p>
        </w:tc>
        <w:tc>
          <w:tcPr>
            <w:tcW w:w="6417" w:type="dxa"/>
          </w:tcPr>
          <w:p w14:paraId="36D8B381" w14:textId="290FAAD9" w:rsidR="000E06AB" w:rsidRPr="00D97C05" w:rsidRDefault="000E06AB"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Gældende ret</w:t>
            </w:r>
          </w:p>
        </w:tc>
      </w:tr>
      <w:tr w:rsidR="000E06AB" w14:paraId="0EE99AB7" w14:textId="77777777" w:rsidTr="00D07139">
        <w:tc>
          <w:tcPr>
            <w:tcW w:w="801" w:type="dxa"/>
          </w:tcPr>
          <w:p w14:paraId="2BFEDEF0" w14:textId="4558C1A5" w:rsidR="000E06AB" w:rsidRPr="00D97C05" w:rsidRDefault="000E06AB" w:rsidP="00D07139">
            <w:pPr>
              <w:spacing w:after="240"/>
              <w:jc w:val="left"/>
              <w:rPr>
                <w:rFonts w:eastAsia="Calibri" w:cs="Times New Roman"/>
                <w:szCs w:val="24"/>
              </w:rPr>
            </w:pPr>
            <w:r w:rsidRPr="00D97C05">
              <w:rPr>
                <w:rFonts w:eastAsia="Calibri" w:cs="Times New Roman"/>
                <w:szCs w:val="24"/>
              </w:rPr>
              <w:t>2.1.</w:t>
            </w:r>
            <w:r>
              <w:rPr>
                <w:rFonts w:eastAsia="Calibri" w:cs="Times New Roman"/>
                <w:szCs w:val="24"/>
              </w:rPr>
              <w:t>2</w:t>
            </w:r>
            <w:r w:rsidRPr="00D97C05">
              <w:rPr>
                <w:rFonts w:eastAsia="Calibri" w:cs="Times New Roman"/>
                <w:szCs w:val="24"/>
              </w:rPr>
              <w:t>.</w:t>
            </w:r>
          </w:p>
        </w:tc>
        <w:tc>
          <w:tcPr>
            <w:tcW w:w="6417" w:type="dxa"/>
          </w:tcPr>
          <w:p w14:paraId="6BBB639E" w14:textId="55086747" w:rsidR="000E06AB" w:rsidRPr="00D97C05" w:rsidRDefault="000E06AB"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Beskæftigelsesministeriets overvejelser</w:t>
            </w:r>
          </w:p>
        </w:tc>
      </w:tr>
      <w:tr w:rsidR="000E06AB" w14:paraId="2DE306C9" w14:textId="77777777" w:rsidTr="00D07139">
        <w:tc>
          <w:tcPr>
            <w:tcW w:w="801" w:type="dxa"/>
          </w:tcPr>
          <w:p w14:paraId="20F33E5F" w14:textId="1A01950D" w:rsidR="000E06AB" w:rsidRPr="00D97C05" w:rsidRDefault="000E06AB" w:rsidP="00D07139">
            <w:pPr>
              <w:spacing w:after="240"/>
              <w:jc w:val="left"/>
              <w:rPr>
                <w:rFonts w:eastAsia="Calibri" w:cs="Times New Roman"/>
                <w:szCs w:val="24"/>
              </w:rPr>
            </w:pPr>
            <w:r w:rsidRPr="00D97C05">
              <w:rPr>
                <w:rFonts w:eastAsia="Calibri" w:cs="Times New Roman"/>
                <w:szCs w:val="24"/>
              </w:rPr>
              <w:t>2.1.3.</w:t>
            </w:r>
          </w:p>
        </w:tc>
        <w:tc>
          <w:tcPr>
            <w:tcW w:w="6417" w:type="dxa"/>
          </w:tcPr>
          <w:p w14:paraId="2EAC9529" w14:textId="205F3251" w:rsidR="000E06AB" w:rsidRPr="00D97C05" w:rsidRDefault="000E06AB"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Den foreslåede ordning</w:t>
            </w:r>
          </w:p>
        </w:tc>
      </w:tr>
      <w:tr w:rsidR="00F05A72" w14:paraId="3982FFC6" w14:textId="77777777" w:rsidTr="00D07139">
        <w:tc>
          <w:tcPr>
            <w:tcW w:w="801" w:type="dxa"/>
          </w:tcPr>
          <w:p w14:paraId="018415E0" w14:textId="363213DB" w:rsidR="00F05A72" w:rsidRPr="00D97C05" w:rsidRDefault="00F05A72" w:rsidP="00D07139">
            <w:pPr>
              <w:spacing w:after="240"/>
              <w:jc w:val="left"/>
              <w:rPr>
                <w:rFonts w:eastAsia="Calibri" w:cs="Times New Roman"/>
                <w:szCs w:val="24"/>
              </w:rPr>
            </w:pPr>
            <w:r w:rsidRPr="00D97C05">
              <w:rPr>
                <w:rFonts w:eastAsia="Calibri" w:cs="Times New Roman"/>
                <w:szCs w:val="24"/>
              </w:rPr>
              <w:t>2.</w:t>
            </w:r>
            <w:r w:rsidR="000E06AB">
              <w:rPr>
                <w:rFonts w:eastAsia="Calibri" w:cs="Times New Roman"/>
                <w:szCs w:val="24"/>
              </w:rPr>
              <w:t>2</w:t>
            </w:r>
            <w:r w:rsidRPr="00D97C05">
              <w:rPr>
                <w:rFonts w:eastAsia="Calibri" w:cs="Times New Roman"/>
                <w:szCs w:val="24"/>
              </w:rPr>
              <w:t>.</w:t>
            </w:r>
          </w:p>
        </w:tc>
        <w:tc>
          <w:tcPr>
            <w:tcW w:w="6417" w:type="dxa"/>
          </w:tcPr>
          <w:p w14:paraId="4347EE05" w14:textId="2077848F" w:rsidR="00F05A72" w:rsidRPr="00D97C05" w:rsidRDefault="00F05A72"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Fængsel</w:t>
            </w:r>
            <w:r w:rsidR="00C24074" w:rsidRPr="00D97C05">
              <w:rPr>
                <w:rFonts w:ascii="Times New Roman" w:hAnsi="Times New Roman" w:cs="Times New Roman"/>
                <w:b w:val="0"/>
                <w:bCs w:val="0"/>
                <w:iCs/>
                <w:sz w:val="24"/>
                <w:szCs w:val="24"/>
              </w:rPr>
              <w:t>s</w:t>
            </w:r>
            <w:r w:rsidRPr="00D97C05">
              <w:rPr>
                <w:rFonts w:ascii="Times New Roman" w:hAnsi="Times New Roman" w:cs="Times New Roman"/>
                <w:b w:val="0"/>
                <w:bCs w:val="0"/>
                <w:iCs/>
                <w:sz w:val="24"/>
                <w:szCs w:val="24"/>
              </w:rPr>
              <w:t xml:space="preserve">straf </w:t>
            </w:r>
            <w:r w:rsidR="001817A3" w:rsidRPr="00D97C05">
              <w:rPr>
                <w:rFonts w:ascii="Times New Roman" w:hAnsi="Times New Roman" w:cs="Times New Roman"/>
                <w:b w:val="0"/>
                <w:bCs w:val="0"/>
                <w:iCs/>
                <w:sz w:val="24"/>
                <w:szCs w:val="24"/>
              </w:rPr>
              <w:t xml:space="preserve">til </w:t>
            </w:r>
            <w:r w:rsidR="008D1A01" w:rsidRPr="00D97C05">
              <w:rPr>
                <w:rFonts w:ascii="Times New Roman" w:hAnsi="Times New Roman" w:cs="Times New Roman"/>
                <w:b w:val="0"/>
                <w:bCs w:val="0"/>
                <w:iCs/>
                <w:sz w:val="24"/>
                <w:szCs w:val="24"/>
              </w:rPr>
              <w:t>personer i ledelsen</w:t>
            </w:r>
          </w:p>
        </w:tc>
      </w:tr>
      <w:tr w:rsidR="00F05A72" w14:paraId="08916B0D" w14:textId="77777777" w:rsidTr="00D07139">
        <w:tc>
          <w:tcPr>
            <w:tcW w:w="801" w:type="dxa"/>
          </w:tcPr>
          <w:p w14:paraId="5F373DFB" w14:textId="3A30770D" w:rsidR="00F05A72" w:rsidRPr="00D97C05" w:rsidRDefault="00F05A72" w:rsidP="00D07139">
            <w:pPr>
              <w:spacing w:after="240"/>
              <w:jc w:val="left"/>
              <w:rPr>
                <w:rFonts w:eastAsia="Calibri" w:cs="Times New Roman"/>
                <w:szCs w:val="24"/>
              </w:rPr>
            </w:pPr>
            <w:r w:rsidRPr="00D97C05">
              <w:rPr>
                <w:rFonts w:eastAsia="Calibri" w:cs="Times New Roman"/>
                <w:szCs w:val="24"/>
              </w:rPr>
              <w:t>2.</w:t>
            </w:r>
            <w:r w:rsidR="000E06AB">
              <w:rPr>
                <w:rFonts w:eastAsia="Calibri" w:cs="Times New Roman"/>
                <w:szCs w:val="24"/>
              </w:rPr>
              <w:t>2</w:t>
            </w:r>
            <w:r w:rsidRPr="00D97C05">
              <w:rPr>
                <w:rFonts w:eastAsia="Calibri" w:cs="Times New Roman"/>
                <w:szCs w:val="24"/>
              </w:rPr>
              <w:t>.1.</w:t>
            </w:r>
          </w:p>
        </w:tc>
        <w:tc>
          <w:tcPr>
            <w:tcW w:w="6417" w:type="dxa"/>
          </w:tcPr>
          <w:p w14:paraId="6551A770" w14:textId="39687821" w:rsidR="00F05A72" w:rsidRPr="00D97C05" w:rsidRDefault="00F05A72"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Gældende ret</w:t>
            </w:r>
          </w:p>
        </w:tc>
      </w:tr>
      <w:tr w:rsidR="00F05A72" w14:paraId="6A5D6D6E" w14:textId="77777777" w:rsidTr="00D07139">
        <w:tc>
          <w:tcPr>
            <w:tcW w:w="801" w:type="dxa"/>
          </w:tcPr>
          <w:p w14:paraId="48BC0C1E" w14:textId="7053F3EE" w:rsidR="00F05A72" w:rsidRPr="00D97C05" w:rsidRDefault="00F05A72" w:rsidP="00D07139">
            <w:pPr>
              <w:spacing w:after="240"/>
              <w:jc w:val="left"/>
              <w:rPr>
                <w:rFonts w:eastAsia="Calibri" w:cs="Times New Roman"/>
                <w:szCs w:val="24"/>
              </w:rPr>
            </w:pPr>
            <w:r w:rsidRPr="00D97C05">
              <w:rPr>
                <w:rFonts w:eastAsia="Calibri" w:cs="Times New Roman"/>
                <w:szCs w:val="24"/>
              </w:rPr>
              <w:t>2.</w:t>
            </w:r>
            <w:r w:rsidR="000E06AB">
              <w:rPr>
                <w:rFonts w:eastAsia="Calibri" w:cs="Times New Roman"/>
                <w:szCs w:val="24"/>
              </w:rPr>
              <w:t>2</w:t>
            </w:r>
            <w:r w:rsidRPr="00D97C05">
              <w:rPr>
                <w:rFonts w:eastAsia="Calibri" w:cs="Times New Roman"/>
                <w:szCs w:val="24"/>
              </w:rPr>
              <w:t>.2.</w:t>
            </w:r>
          </w:p>
        </w:tc>
        <w:tc>
          <w:tcPr>
            <w:tcW w:w="6417" w:type="dxa"/>
          </w:tcPr>
          <w:p w14:paraId="7129C452" w14:textId="2A2FCFAA" w:rsidR="00F05A72" w:rsidRPr="00D97C05" w:rsidRDefault="00F05A72"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Beskæftigelsesministeriets overvejelser</w:t>
            </w:r>
          </w:p>
        </w:tc>
      </w:tr>
      <w:tr w:rsidR="00F05A72" w14:paraId="5C75A45A" w14:textId="77777777" w:rsidTr="00D07139">
        <w:tc>
          <w:tcPr>
            <w:tcW w:w="801" w:type="dxa"/>
          </w:tcPr>
          <w:p w14:paraId="01819D02" w14:textId="5FC1D2DE" w:rsidR="00F05A72" w:rsidRPr="00D97C05" w:rsidRDefault="00F05A72" w:rsidP="00D07139">
            <w:pPr>
              <w:spacing w:after="240"/>
              <w:jc w:val="left"/>
              <w:rPr>
                <w:rFonts w:eastAsia="Calibri" w:cs="Times New Roman"/>
                <w:szCs w:val="24"/>
              </w:rPr>
            </w:pPr>
            <w:r w:rsidRPr="00D97C05">
              <w:rPr>
                <w:rFonts w:eastAsia="Calibri" w:cs="Times New Roman"/>
                <w:szCs w:val="24"/>
              </w:rPr>
              <w:t>2.</w:t>
            </w:r>
            <w:r w:rsidR="000E06AB">
              <w:rPr>
                <w:rFonts w:eastAsia="Calibri" w:cs="Times New Roman"/>
                <w:szCs w:val="24"/>
              </w:rPr>
              <w:t>2</w:t>
            </w:r>
            <w:r w:rsidRPr="00D97C05">
              <w:rPr>
                <w:rFonts w:eastAsia="Calibri" w:cs="Times New Roman"/>
                <w:szCs w:val="24"/>
              </w:rPr>
              <w:t>.3.</w:t>
            </w:r>
          </w:p>
        </w:tc>
        <w:tc>
          <w:tcPr>
            <w:tcW w:w="6417" w:type="dxa"/>
          </w:tcPr>
          <w:p w14:paraId="6470F50B" w14:textId="7950616E" w:rsidR="00F05A72" w:rsidRPr="00D97C05" w:rsidRDefault="00F05A72" w:rsidP="005807AB">
            <w:pPr>
              <w:pStyle w:val="Overskrift1"/>
              <w:rPr>
                <w:rFonts w:ascii="Times New Roman" w:hAnsi="Times New Roman" w:cs="Times New Roman"/>
                <w:b w:val="0"/>
                <w:bCs w:val="0"/>
                <w:iCs/>
                <w:sz w:val="24"/>
                <w:szCs w:val="24"/>
              </w:rPr>
            </w:pPr>
            <w:r w:rsidRPr="00D97C05">
              <w:rPr>
                <w:rFonts w:ascii="Times New Roman" w:hAnsi="Times New Roman" w:cs="Times New Roman"/>
                <w:b w:val="0"/>
                <w:bCs w:val="0"/>
                <w:iCs/>
                <w:sz w:val="24"/>
                <w:szCs w:val="24"/>
              </w:rPr>
              <w:t>Den foreslåede ordning</w:t>
            </w:r>
          </w:p>
        </w:tc>
      </w:tr>
      <w:tr w:rsidR="00434FBA" w14:paraId="06A57551" w14:textId="77777777" w:rsidTr="00D07139">
        <w:tc>
          <w:tcPr>
            <w:tcW w:w="801" w:type="dxa"/>
          </w:tcPr>
          <w:p w14:paraId="481E08DB" w14:textId="29C36D96" w:rsidR="00434FBA"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3</w:t>
            </w:r>
            <w:r>
              <w:rPr>
                <w:rFonts w:eastAsia="Calibri" w:cs="Times New Roman"/>
                <w:szCs w:val="24"/>
              </w:rPr>
              <w:t>.</w:t>
            </w:r>
          </w:p>
        </w:tc>
        <w:tc>
          <w:tcPr>
            <w:tcW w:w="6417" w:type="dxa"/>
          </w:tcPr>
          <w:p w14:paraId="43469A97" w14:textId="4BF89284" w:rsidR="00434FBA" w:rsidRDefault="00C03D9B" w:rsidP="007D3BF4">
            <w:pPr>
              <w:spacing w:after="240"/>
              <w:jc w:val="left"/>
              <w:rPr>
                <w:rFonts w:eastAsia="Calibri" w:cs="Times New Roman"/>
                <w:szCs w:val="24"/>
              </w:rPr>
            </w:pPr>
            <w:r>
              <w:rPr>
                <w:rFonts w:eastAsia="Calibri" w:cs="Times New Roman"/>
                <w:szCs w:val="24"/>
              </w:rPr>
              <w:t xml:space="preserve">Forhøjede bøder </w:t>
            </w:r>
            <w:r w:rsidR="007D3BF4">
              <w:rPr>
                <w:rFonts w:eastAsia="Calibri" w:cs="Times New Roman"/>
                <w:szCs w:val="24"/>
              </w:rPr>
              <w:t>for</w:t>
            </w:r>
            <w:r>
              <w:rPr>
                <w:rFonts w:eastAsia="Calibri" w:cs="Times New Roman"/>
                <w:szCs w:val="24"/>
              </w:rPr>
              <w:t xml:space="preserve"> udvalgte formelle overtrædelser</w:t>
            </w:r>
          </w:p>
        </w:tc>
      </w:tr>
      <w:tr w:rsidR="00434FBA" w14:paraId="1E517266" w14:textId="77777777" w:rsidTr="00D07139">
        <w:tc>
          <w:tcPr>
            <w:tcW w:w="801" w:type="dxa"/>
          </w:tcPr>
          <w:p w14:paraId="14924B77" w14:textId="494FCC4A" w:rsidR="00434FBA"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3</w:t>
            </w:r>
            <w:r>
              <w:rPr>
                <w:rFonts w:eastAsia="Calibri" w:cs="Times New Roman"/>
                <w:szCs w:val="24"/>
              </w:rPr>
              <w:t>.</w:t>
            </w:r>
            <w:r w:rsidR="00434FBA">
              <w:rPr>
                <w:rFonts w:eastAsia="Calibri" w:cs="Times New Roman"/>
                <w:szCs w:val="24"/>
              </w:rPr>
              <w:t>1.</w:t>
            </w:r>
          </w:p>
        </w:tc>
        <w:tc>
          <w:tcPr>
            <w:tcW w:w="6417" w:type="dxa"/>
          </w:tcPr>
          <w:p w14:paraId="4B65E00F" w14:textId="77777777" w:rsidR="00434FBA" w:rsidRDefault="00434FBA" w:rsidP="00D07139">
            <w:pPr>
              <w:spacing w:after="240"/>
              <w:jc w:val="left"/>
              <w:rPr>
                <w:rFonts w:eastAsia="Calibri" w:cs="Times New Roman"/>
                <w:szCs w:val="24"/>
              </w:rPr>
            </w:pPr>
            <w:r>
              <w:rPr>
                <w:rFonts w:eastAsia="Calibri" w:cs="Times New Roman"/>
                <w:szCs w:val="24"/>
              </w:rPr>
              <w:t>Gældende ret</w:t>
            </w:r>
          </w:p>
        </w:tc>
      </w:tr>
      <w:tr w:rsidR="00434FBA" w14:paraId="55179764" w14:textId="77777777" w:rsidTr="00D07139">
        <w:tc>
          <w:tcPr>
            <w:tcW w:w="801" w:type="dxa"/>
          </w:tcPr>
          <w:p w14:paraId="359E6974" w14:textId="155D0096" w:rsidR="00434FBA"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3</w:t>
            </w:r>
            <w:r>
              <w:rPr>
                <w:rFonts w:eastAsia="Calibri" w:cs="Times New Roman"/>
                <w:szCs w:val="24"/>
              </w:rPr>
              <w:t>.</w:t>
            </w:r>
            <w:r w:rsidR="00434FBA">
              <w:rPr>
                <w:rFonts w:eastAsia="Calibri" w:cs="Times New Roman"/>
                <w:szCs w:val="24"/>
              </w:rPr>
              <w:t>2.</w:t>
            </w:r>
          </w:p>
        </w:tc>
        <w:tc>
          <w:tcPr>
            <w:tcW w:w="6417" w:type="dxa"/>
          </w:tcPr>
          <w:p w14:paraId="19405C09" w14:textId="4E01B28F" w:rsidR="00434FBA" w:rsidRDefault="00C03D9B" w:rsidP="00C03D9B">
            <w:pPr>
              <w:spacing w:after="240"/>
              <w:jc w:val="left"/>
              <w:rPr>
                <w:rFonts w:eastAsia="Calibri" w:cs="Times New Roman"/>
                <w:szCs w:val="24"/>
              </w:rPr>
            </w:pPr>
            <w:r>
              <w:rPr>
                <w:rFonts w:eastAsia="Calibri" w:cs="Times New Roman"/>
                <w:szCs w:val="24"/>
              </w:rPr>
              <w:t>Beskæftigelses</w:t>
            </w:r>
            <w:r w:rsidR="00434FBA">
              <w:rPr>
                <w:rFonts w:eastAsia="Calibri" w:cs="Times New Roman"/>
                <w:szCs w:val="24"/>
              </w:rPr>
              <w:t>ministeriets overvejelser</w:t>
            </w:r>
          </w:p>
        </w:tc>
      </w:tr>
      <w:tr w:rsidR="00434FBA" w14:paraId="1450F244" w14:textId="77777777" w:rsidTr="00D07139">
        <w:tc>
          <w:tcPr>
            <w:tcW w:w="801" w:type="dxa"/>
          </w:tcPr>
          <w:p w14:paraId="0517B42B" w14:textId="2BEC3BD5" w:rsidR="00434FBA"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3</w:t>
            </w:r>
            <w:r w:rsidR="00434FBA">
              <w:rPr>
                <w:rFonts w:eastAsia="Calibri" w:cs="Times New Roman"/>
                <w:szCs w:val="24"/>
              </w:rPr>
              <w:t>.3.</w:t>
            </w:r>
          </w:p>
        </w:tc>
        <w:tc>
          <w:tcPr>
            <w:tcW w:w="6417" w:type="dxa"/>
          </w:tcPr>
          <w:p w14:paraId="79678B1E" w14:textId="77777777" w:rsidR="00434FBA" w:rsidRDefault="00434FBA" w:rsidP="00D07139">
            <w:pPr>
              <w:spacing w:after="240"/>
              <w:jc w:val="left"/>
              <w:rPr>
                <w:rFonts w:eastAsia="Calibri" w:cs="Times New Roman"/>
                <w:szCs w:val="24"/>
              </w:rPr>
            </w:pPr>
            <w:r>
              <w:rPr>
                <w:rFonts w:eastAsia="Calibri" w:cs="Times New Roman"/>
                <w:szCs w:val="24"/>
              </w:rPr>
              <w:t>Den foreslåede ordning</w:t>
            </w:r>
          </w:p>
        </w:tc>
      </w:tr>
      <w:tr w:rsidR="005807AB" w14:paraId="6BCD5B85" w14:textId="77777777" w:rsidTr="00D07139">
        <w:tc>
          <w:tcPr>
            <w:tcW w:w="801" w:type="dxa"/>
          </w:tcPr>
          <w:p w14:paraId="59F6CFD5" w14:textId="20C01CD8" w:rsidR="005807AB"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4</w:t>
            </w:r>
            <w:r>
              <w:rPr>
                <w:rFonts w:eastAsia="Calibri" w:cs="Times New Roman"/>
                <w:szCs w:val="24"/>
              </w:rPr>
              <w:t>.</w:t>
            </w:r>
          </w:p>
        </w:tc>
        <w:tc>
          <w:tcPr>
            <w:tcW w:w="6417" w:type="dxa"/>
          </w:tcPr>
          <w:p w14:paraId="6C9002EE" w14:textId="4798B176" w:rsidR="005807AB" w:rsidRPr="00D97C05" w:rsidRDefault="005807AB" w:rsidP="00D07139">
            <w:pPr>
              <w:spacing w:after="240"/>
              <w:jc w:val="left"/>
              <w:rPr>
                <w:rFonts w:eastAsia="Calibri" w:cs="Times New Roman"/>
                <w:szCs w:val="24"/>
              </w:rPr>
            </w:pPr>
            <w:r w:rsidRPr="00D97C05">
              <w:rPr>
                <w:rFonts w:eastAsia="Calibri" w:cs="Times New Roman"/>
                <w:szCs w:val="24"/>
              </w:rPr>
              <w:t xml:space="preserve">Forlængelse af udstationeringslovens revisionsklausul i lov om udstationering af lønmodtagere m.v. </w:t>
            </w:r>
          </w:p>
        </w:tc>
      </w:tr>
      <w:tr w:rsidR="005807AB" w14:paraId="7465A294" w14:textId="77777777" w:rsidTr="00627355">
        <w:tc>
          <w:tcPr>
            <w:tcW w:w="801" w:type="dxa"/>
          </w:tcPr>
          <w:p w14:paraId="75A2B267" w14:textId="051F425F" w:rsidR="005807AB"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4</w:t>
            </w:r>
            <w:r>
              <w:rPr>
                <w:rFonts w:eastAsia="Calibri" w:cs="Times New Roman"/>
                <w:szCs w:val="24"/>
              </w:rPr>
              <w:t>.1.</w:t>
            </w:r>
          </w:p>
        </w:tc>
        <w:tc>
          <w:tcPr>
            <w:tcW w:w="6417" w:type="dxa"/>
          </w:tcPr>
          <w:p w14:paraId="7DA314E5" w14:textId="77777777" w:rsidR="005807AB" w:rsidRPr="00D97C05" w:rsidRDefault="005807AB" w:rsidP="00627355">
            <w:pPr>
              <w:spacing w:after="240"/>
              <w:jc w:val="left"/>
              <w:rPr>
                <w:rFonts w:eastAsia="Calibri" w:cs="Times New Roman"/>
                <w:szCs w:val="24"/>
              </w:rPr>
            </w:pPr>
            <w:r w:rsidRPr="00D97C05">
              <w:rPr>
                <w:rFonts w:eastAsia="Calibri" w:cs="Times New Roman"/>
                <w:szCs w:val="24"/>
              </w:rPr>
              <w:t>Gældende ret</w:t>
            </w:r>
          </w:p>
        </w:tc>
      </w:tr>
      <w:tr w:rsidR="005807AB" w14:paraId="09DF7C19" w14:textId="77777777" w:rsidTr="00627355">
        <w:tc>
          <w:tcPr>
            <w:tcW w:w="801" w:type="dxa"/>
          </w:tcPr>
          <w:p w14:paraId="7A1AFEAC" w14:textId="1B41D6F5" w:rsidR="005807AB"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4</w:t>
            </w:r>
            <w:r>
              <w:rPr>
                <w:rFonts w:eastAsia="Calibri" w:cs="Times New Roman"/>
                <w:szCs w:val="24"/>
              </w:rPr>
              <w:t>.2.</w:t>
            </w:r>
          </w:p>
        </w:tc>
        <w:tc>
          <w:tcPr>
            <w:tcW w:w="6417" w:type="dxa"/>
          </w:tcPr>
          <w:p w14:paraId="78A916E0" w14:textId="77777777" w:rsidR="005807AB" w:rsidRPr="00D97C05" w:rsidRDefault="005807AB" w:rsidP="00627355">
            <w:pPr>
              <w:spacing w:after="240"/>
              <w:jc w:val="left"/>
              <w:rPr>
                <w:rFonts w:eastAsia="Calibri" w:cs="Times New Roman"/>
                <w:szCs w:val="24"/>
              </w:rPr>
            </w:pPr>
            <w:r w:rsidRPr="00D97C05">
              <w:rPr>
                <w:rFonts w:eastAsia="Calibri" w:cs="Times New Roman"/>
                <w:szCs w:val="24"/>
              </w:rPr>
              <w:t>Beskæftigelsesministeriets overvejelser</w:t>
            </w:r>
          </w:p>
        </w:tc>
      </w:tr>
      <w:tr w:rsidR="005807AB" w14:paraId="0B779EAA" w14:textId="77777777" w:rsidTr="00627355">
        <w:tc>
          <w:tcPr>
            <w:tcW w:w="801" w:type="dxa"/>
          </w:tcPr>
          <w:p w14:paraId="5DA89423" w14:textId="47E0416E" w:rsidR="005807AB" w:rsidRDefault="005807AB" w:rsidP="00F05A72">
            <w:pPr>
              <w:spacing w:after="240"/>
              <w:jc w:val="left"/>
              <w:rPr>
                <w:rFonts w:eastAsia="Calibri" w:cs="Times New Roman"/>
                <w:szCs w:val="24"/>
              </w:rPr>
            </w:pPr>
            <w:r>
              <w:rPr>
                <w:rFonts w:eastAsia="Calibri" w:cs="Times New Roman"/>
                <w:szCs w:val="24"/>
              </w:rPr>
              <w:t>2.</w:t>
            </w:r>
            <w:r w:rsidR="000E06AB">
              <w:rPr>
                <w:rFonts w:eastAsia="Calibri" w:cs="Times New Roman"/>
                <w:szCs w:val="24"/>
              </w:rPr>
              <w:t>4</w:t>
            </w:r>
            <w:r>
              <w:rPr>
                <w:rFonts w:eastAsia="Calibri" w:cs="Times New Roman"/>
                <w:szCs w:val="24"/>
              </w:rPr>
              <w:t>.3.</w:t>
            </w:r>
          </w:p>
        </w:tc>
        <w:tc>
          <w:tcPr>
            <w:tcW w:w="6417" w:type="dxa"/>
          </w:tcPr>
          <w:p w14:paraId="2747E061" w14:textId="77777777" w:rsidR="005807AB" w:rsidRPr="00D97C05" w:rsidRDefault="005807AB" w:rsidP="00627355">
            <w:pPr>
              <w:spacing w:after="240"/>
              <w:jc w:val="left"/>
              <w:rPr>
                <w:rFonts w:eastAsia="Calibri" w:cs="Times New Roman"/>
                <w:szCs w:val="24"/>
              </w:rPr>
            </w:pPr>
            <w:r w:rsidRPr="00D97C05">
              <w:rPr>
                <w:rFonts w:eastAsia="Calibri" w:cs="Times New Roman"/>
                <w:szCs w:val="24"/>
              </w:rPr>
              <w:t>Den foreslåede ordning</w:t>
            </w:r>
          </w:p>
        </w:tc>
      </w:tr>
      <w:tr w:rsidR="00434FBA" w14:paraId="2283219E" w14:textId="77777777" w:rsidTr="00D07139">
        <w:tc>
          <w:tcPr>
            <w:tcW w:w="801" w:type="dxa"/>
          </w:tcPr>
          <w:p w14:paraId="78F7A753" w14:textId="6AD2D615" w:rsidR="00434FBA" w:rsidRDefault="005807AB" w:rsidP="00D07139">
            <w:pPr>
              <w:spacing w:after="240"/>
              <w:jc w:val="left"/>
              <w:rPr>
                <w:rFonts w:eastAsia="Calibri" w:cs="Times New Roman"/>
                <w:szCs w:val="24"/>
              </w:rPr>
            </w:pPr>
            <w:r>
              <w:rPr>
                <w:rFonts w:eastAsia="Calibri" w:cs="Times New Roman"/>
                <w:szCs w:val="24"/>
              </w:rPr>
              <w:lastRenderedPageBreak/>
              <w:t>3</w:t>
            </w:r>
            <w:r w:rsidR="00434FBA">
              <w:rPr>
                <w:rFonts w:eastAsia="Calibri" w:cs="Times New Roman"/>
                <w:szCs w:val="24"/>
              </w:rPr>
              <w:t>.</w:t>
            </w:r>
          </w:p>
        </w:tc>
        <w:tc>
          <w:tcPr>
            <w:tcW w:w="6417" w:type="dxa"/>
          </w:tcPr>
          <w:p w14:paraId="4FDB1360" w14:textId="77777777" w:rsidR="00434FBA" w:rsidRDefault="00434FBA" w:rsidP="00D07139">
            <w:pPr>
              <w:spacing w:after="240"/>
              <w:jc w:val="left"/>
              <w:rPr>
                <w:rFonts w:eastAsia="Calibri" w:cs="Times New Roman"/>
                <w:szCs w:val="24"/>
              </w:rPr>
            </w:pPr>
            <w:r>
              <w:rPr>
                <w:rFonts w:eastAsia="Calibri" w:cs="Times New Roman"/>
                <w:szCs w:val="24"/>
              </w:rPr>
              <w:t>Økonomiske konsekvenser og implementeringskonsekvenser for det offentlige</w:t>
            </w:r>
          </w:p>
        </w:tc>
      </w:tr>
      <w:tr w:rsidR="00434FBA" w14:paraId="1E202080" w14:textId="77777777" w:rsidTr="00D07139">
        <w:tc>
          <w:tcPr>
            <w:tcW w:w="801" w:type="dxa"/>
          </w:tcPr>
          <w:p w14:paraId="1BAD78C7" w14:textId="4512BD1A" w:rsidR="00434FBA" w:rsidRDefault="005807AB" w:rsidP="00F47686">
            <w:pPr>
              <w:spacing w:after="240"/>
              <w:jc w:val="left"/>
              <w:rPr>
                <w:rFonts w:eastAsia="Calibri" w:cs="Times New Roman"/>
                <w:szCs w:val="24"/>
              </w:rPr>
            </w:pPr>
            <w:r>
              <w:rPr>
                <w:rFonts w:eastAsia="Calibri" w:cs="Times New Roman"/>
                <w:szCs w:val="24"/>
              </w:rPr>
              <w:t>4</w:t>
            </w:r>
            <w:r w:rsidR="00434FBA">
              <w:rPr>
                <w:rFonts w:eastAsia="Calibri" w:cs="Times New Roman"/>
                <w:szCs w:val="24"/>
              </w:rPr>
              <w:t>.</w:t>
            </w:r>
          </w:p>
        </w:tc>
        <w:tc>
          <w:tcPr>
            <w:tcW w:w="6417" w:type="dxa"/>
          </w:tcPr>
          <w:p w14:paraId="68FF1D9E" w14:textId="77777777" w:rsidR="00434FBA" w:rsidRDefault="00434FBA" w:rsidP="00D07139">
            <w:pPr>
              <w:spacing w:after="240"/>
              <w:jc w:val="left"/>
              <w:rPr>
                <w:rFonts w:eastAsia="Calibri" w:cs="Times New Roman"/>
                <w:szCs w:val="24"/>
              </w:rPr>
            </w:pPr>
            <w:r>
              <w:rPr>
                <w:rFonts w:eastAsia="Calibri" w:cs="Times New Roman"/>
                <w:szCs w:val="24"/>
              </w:rPr>
              <w:t>Økonomiske og administrative konsekvenser for erhvervslivet m.v.</w:t>
            </w:r>
          </w:p>
        </w:tc>
      </w:tr>
      <w:tr w:rsidR="00434FBA" w14:paraId="037430CC" w14:textId="77777777" w:rsidTr="00D07139">
        <w:tc>
          <w:tcPr>
            <w:tcW w:w="801" w:type="dxa"/>
          </w:tcPr>
          <w:p w14:paraId="518B89C4" w14:textId="7AED594C" w:rsidR="00434FBA" w:rsidRDefault="005807AB" w:rsidP="00F47686">
            <w:pPr>
              <w:spacing w:after="240"/>
              <w:jc w:val="left"/>
              <w:rPr>
                <w:rFonts w:eastAsia="Calibri" w:cs="Times New Roman"/>
                <w:szCs w:val="24"/>
              </w:rPr>
            </w:pPr>
            <w:r>
              <w:rPr>
                <w:rFonts w:eastAsia="Calibri" w:cs="Times New Roman"/>
                <w:szCs w:val="24"/>
              </w:rPr>
              <w:t>5</w:t>
            </w:r>
            <w:r w:rsidR="00434FBA">
              <w:rPr>
                <w:rFonts w:eastAsia="Calibri" w:cs="Times New Roman"/>
                <w:szCs w:val="24"/>
              </w:rPr>
              <w:t>.</w:t>
            </w:r>
          </w:p>
        </w:tc>
        <w:tc>
          <w:tcPr>
            <w:tcW w:w="6417" w:type="dxa"/>
          </w:tcPr>
          <w:p w14:paraId="7131180A" w14:textId="77777777" w:rsidR="00434FBA" w:rsidRDefault="00434FBA" w:rsidP="00D07139">
            <w:pPr>
              <w:spacing w:after="240"/>
              <w:jc w:val="left"/>
              <w:rPr>
                <w:rFonts w:eastAsia="Calibri" w:cs="Times New Roman"/>
                <w:szCs w:val="24"/>
              </w:rPr>
            </w:pPr>
            <w:r>
              <w:rPr>
                <w:rFonts w:eastAsia="Calibri" w:cs="Times New Roman"/>
                <w:szCs w:val="24"/>
              </w:rPr>
              <w:t>Administrative konsekvenser for borgerne</w:t>
            </w:r>
          </w:p>
        </w:tc>
      </w:tr>
      <w:tr w:rsidR="00434FBA" w14:paraId="78B4799B" w14:textId="77777777" w:rsidTr="00D07139">
        <w:tc>
          <w:tcPr>
            <w:tcW w:w="801" w:type="dxa"/>
          </w:tcPr>
          <w:p w14:paraId="1B80AAA6" w14:textId="7E87A40E" w:rsidR="00434FBA" w:rsidRDefault="005807AB" w:rsidP="00F47686">
            <w:pPr>
              <w:spacing w:after="240"/>
              <w:jc w:val="left"/>
              <w:rPr>
                <w:rFonts w:eastAsia="Calibri" w:cs="Times New Roman"/>
                <w:szCs w:val="24"/>
              </w:rPr>
            </w:pPr>
            <w:r>
              <w:rPr>
                <w:rFonts w:eastAsia="Calibri" w:cs="Times New Roman"/>
                <w:szCs w:val="24"/>
              </w:rPr>
              <w:t>6</w:t>
            </w:r>
            <w:r w:rsidR="00434FBA">
              <w:rPr>
                <w:rFonts w:eastAsia="Calibri" w:cs="Times New Roman"/>
                <w:szCs w:val="24"/>
              </w:rPr>
              <w:t>.</w:t>
            </w:r>
          </w:p>
        </w:tc>
        <w:tc>
          <w:tcPr>
            <w:tcW w:w="6417" w:type="dxa"/>
          </w:tcPr>
          <w:p w14:paraId="321F600C" w14:textId="77777777" w:rsidR="00434FBA" w:rsidRDefault="00434FBA" w:rsidP="00D07139">
            <w:pPr>
              <w:spacing w:after="240"/>
              <w:jc w:val="left"/>
              <w:rPr>
                <w:rFonts w:eastAsia="Calibri" w:cs="Times New Roman"/>
                <w:szCs w:val="24"/>
              </w:rPr>
            </w:pPr>
            <w:r>
              <w:rPr>
                <w:rFonts w:eastAsia="Calibri" w:cs="Times New Roman"/>
                <w:szCs w:val="24"/>
              </w:rPr>
              <w:t>Klimamæssige konsekvenser</w:t>
            </w:r>
          </w:p>
        </w:tc>
      </w:tr>
      <w:tr w:rsidR="00434FBA" w14:paraId="1085D047" w14:textId="77777777" w:rsidTr="00D07139">
        <w:tc>
          <w:tcPr>
            <w:tcW w:w="801" w:type="dxa"/>
          </w:tcPr>
          <w:p w14:paraId="3EAA39ED" w14:textId="34AD9935" w:rsidR="00434FBA" w:rsidRDefault="005807AB" w:rsidP="00F47686">
            <w:pPr>
              <w:spacing w:after="240"/>
              <w:jc w:val="left"/>
              <w:rPr>
                <w:rFonts w:eastAsia="Calibri" w:cs="Times New Roman"/>
                <w:szCs w:val="24"/>
              </w:rPr>
            </w:pPr>
            <w:r>
              <w:rPr>
                <w:rFonts w:eastAsia="Calibri" w:cs="Times New Roman"/>
                <w:szCs w:val="24"/>
              </w:rPr>
              <w:t>7</w:t>
            </w:r>
            <w:r w:rsidR="00434FBA">
              <w:rPr>
                <w:rFonts w:eastAsia="Calibri" w:cs="Times New Roman"/>
                <w:szCs w:val="24"/>
              </w:rPr>
              <w:t>.</w:t>
            </w:r>
          </w:p>
        </w:tc>
        <w:tc>
          <w:tcPr>
            <w:tcW w:w="6417" w:type="dxa"/>
          </w:tcPr>
          <w:p w14:paraId="237D1470" w14:textId="77777777" w:rsidR="00434FBA" w:rsidRDefault="00434FBA" w:rsidP="00D07139">
            <w:pPr>
              <w:spacing w:after="240"/>
              <w:jc w:val="left"/>
              <w:rPr>
                <w:rFonts w:eastAsia="Calibri" w:cs="Times New Roman"/>
                <w:szCs w:val="24"/>
              </w:rPr>
            </w:pPr>
            <w:r>
              <w:rPr>
                <w:rFonts w:eastAsia="Calibri" w:cs="Times New Roman"/>
                <w:szCs w:val="24"/>
              </w:rPr>
              <w:t>Miljø- og naturmæssige konsekvenser</w:t>
            </w:r>
          </w:p>
        </w:tc>
      </w:tr>
      <w:tr w:rsidR="00434FBA" w14:paraId="46A02804" w14:textId="77777777" w:rsidTr="00D07139">
        <w:tc>
          <w:tcPr>
            <w:tcW w:w="801" w:type="dxa"/>
          </w:tcPr>
          <w:p w14:paraId="7893E11F" w14:textId="02DB644B" w:rsidR="00434FBA" w:rsidRDefault="005807AB" w:rsidP="00F47686">
            <w:pPr>
              <w:spacing w:after="240"/>
              <w:jc w:val="left"/>
              <w:rPr>
                <w:rFonts w:eastAsia="Calibri" w:cs="Times New Roman"/>
                <w:szCs w:val="24"/>
              </w:rPr>
            </w:pPr>
            <w:r>
              <w:rPr>
                <w:rFonts w:eastAsia="Calibri" w:cs="Times New Roman"/>
                <w:szCs w:val="24"/>
              </w:rPr>
              <w:t>8</w:t>
            </w:r>
            <w:r w:rsidR="00434FBA">
              <w:rPr>
                <w:rFonts w:eastAsia="Calibri" w:cs="Times New Roman"/>
                <w:szCs w:val="24"/>
              </w:rPr>
              <w:t>.</w:t>
            </w:r>
          </w:p>
        </w:tc>
        <w:tc>
          <w:tcPr>
            <w:tcW w:w="6417" w:type="dxa"/>
          </w:tcPr>
          <w:p w14:paraId="5C305E57" w14:textId="77777777" w:rsidR="00434FBA" w:rsidRDefault="00434FBA" w:rsidP="00D07139">
            <w:pPr>
              <w:spacing w:after="240"/>
              <w:jc w:val="left"/>
              <w:rPr>
                <w:rFonts w:eastAsia="Calibri" w:cs="Times New Roman"/>
                <w:szCs w:val="24"/>
              </w:rPr>
            </w:pPr>
            <w:r>
              <w:rPr>
                <w:rFonts w:eastAsia="Calibri" w:cs="Times New Roman"/>
                <w:szCs w:val="24"/>
              </w:rPr>
              <w:t>Forholdet til EU-retten</w:t>
            </w:r>
          </w:p>
        </w:tc>
      </w:tr>
      <w:tr w:rsidR="00434FBA" w14:paraId="21444D8F" w14:textId="77777777" w:rsidTr="00D07139">
        <w:tc>
          <w:tcPr>
            <w:tcW w:w="801" w:type="dxa"/>
          </w:tcPr>
          <w:p w14:paraId="092BF753" w14:textId="1AC8F3B3" w:rsidR="00434FBA" w:rsidRDefault="005807AB" w:rsidP="00F47686">
            <w:pPr>
              <w:spacing w:after="240"/>
              <w:jc w:val="left"/>
              <w:rPr>
                <w:rFonts w:eastAsia="Calibri" w:cs="Times New Roman"/>
                <w:szCs w:val="24"/>
              </w:rPr>
            </w:pPr>
            <w:r>
              <w:rPr>
                <w:rFonts w:eastAsia="Calibri" w:cs="Times New Roman"/>
                <w:szCs w:val="24"/>
              </w:rPr>
              <w:t>9</w:t>
            </w:r>
            <w:r w:rsidR="00434FBA">
              <w:rPr>
                <w:rFonts w:eastAsia="Calibri" w:cs="Times New Roman"/>
                <w:szCs w:val="24"/>
              </w:rPr>
              <w:t>.</w:t>
            </w:r>
          </w:p>
        </w:tc>
        <w:tc>
          <w:tcPr>
            <w:tcW w:w="6417" w:type="dxa"/>
          </w:tcPr>
          <w:p w14:paraId="76BBE4C5" w14:textId="77777777" w:rsidR="00434FBA" w:rsidRDefault="00434FBA" w:rsidP="00D07139">
            <w:pPr>
              <w:spacing w:after="240"/>
              <w:jc w:val="left"/>
              <w:rPr>
                <w:rFonts w:eastAsia="Calibri" w:cs="Times New Roman"/>
                <w:szCs w:val="24"/>
              </w:rPr>
            </w:pPr>
            <w:r>
              <w:rPr>
                <w:rFonts w:eastAsia="Calibri" w:cs="Times New Roman"/>
                <w:szCs w:val="24"/>
              </w:rPr>
              <w:t>Hørte myndigheder og organisationer m.v.</w:t>
            </w:r>
          </w:p>
        </w:tc>
      </w:tr>
      <w:tr w:rsidR="00434FBA" w14:paraId="026CD367" w14:textId="77777777" w:rsidTr="00D07139">
        <w:tc>
          <w:tcPr>
            <w:tcW w:w="801" w:type="dxa"/>
          </w:tcPr>
          <w:p w14:paraId="54602151" w14:textId="06C8F612" w:rsidR="00434FBA" w:rsidRDefault="005807AB" w:rsidP="007D3BF4">
            <w:pPr>
              <w:spacing w:after="240"/>
              <w:jc w:val="left"/>
              <w:rPr>
                <w:rFonts w:eastAsia="Calibri" w:cs="Times New Roman"/>
                <w:szCs w:val="24"/>
              </w:rPr>
            </w:pPr>
            <w:r>
              <w:rPr>
                <w:rFonts w:eastAsia="Calibri" w:cs="Times New Roman"/>
                <w:szCs w:val="24"/>
              </w:rPr>
              <w:t>10</w:t>
            </w:r>
            <w:r w:rsidR="00434FBA">
              <w:rPr>
                <w:rFonts w:eastAsia="Calibri" w:cs="Times New Roman"/>
                <w:szCs w:val="24"/>
              </w:rPr>
              <w:t>.</w:t>
            </w:r>
          </w:p>
        </w:tc>
        <w:tc>
          <w:tcPr>
            <w:tcW w:w="6417" w:type="dxa"/>
          </w:tcPr>
          <w:p w14:paraId="06EB0D60" w14:textId="77777777" w:rsidR="00434FBA" w:rsidRDefault="00434FBA" w:rsidP="00D07139">
            <w:pPr>
              <w:spacing w:after="240"/>
              <w:jc w:val="left"/>
              <w:rPr>
                <w:rFonts w:eastAsia="Calibri" w:cs="Times New Roman"/>
                <w:szCs w:val="24"/>
              </w:rPr>
            </w:pPr>
            <w:r>
              <w:rPr>
                <w:rFonts w:eastAsia="Calibri" w:cs="Times New Roman"/>
                <w:szCs w:val="24"/>
              </w:rPr>
              <w:t>Sammenfattende skema</w:t>
            </w:r>
          </w:p>
        </w:tc>
      </w:tr>
    </w:tbl>
    <w:p w14:paraId="205E2166" w14:textId="77777777" w:rsidR="006108C2" w:rsidRPr="007244D5" w:rsidRDefault="006108C2" w:rsidP="006108C2">
      <w:pPr>
        <w:spacing w:after="160"/>
        <w:ind w:firstLine="238"/>
        <w:rPr>
          <w:rFonts w:cs="Times New Roman"/>
          <w:sz w:val="24"/>
          <w:szCs w:val="24"/>
        </w:rPr>
      </w:pPr>
    </w:p>
    <w:p w14:paraId="563405E4" w14:textId="77777777" w:rsidR="006108C2" w:rsidRPr="007244D5" w:rsidRDefault="006108C2" w:rsidP="006108C2">
      <w:pPr>
        <w:pStyle w:val="Overskrift1"/>
        <w:rPr>
          <w:rFonts w:ascii="Times New Roman" w:hAnsi="Times New Roman" w:cs="Times New Roman"/>
          <w:bCs w:val="0"/>
          <w:iCs/>
          <w:sz w:val="24"/>
          <w:szCs w:val="24"/>
        </w:rPr>
      </w:pPr>
      <w:bookmarkStart w:id="2" w:name="_Toc442277386"/>
      <w:bookmarkStart w:id="3" w:name="_Toc442281298"/>
      <w:bookmarkStart w:id="4" w:name="_Toc442281328"/>
      <w:bookmarkStart w:id="5" w:name="_Toc442777834"/>
      <w:bookmarkStart w:id="6" w:name="_Toc442787232"/>
      <w:bookmarkStart w:id="7" w:name="_Toc442787524"/>
      <w:bookmarkStart w:id="8" w:name="_Toc442953229"/>
      <w:bookmarkStart w:id="9" w:name="_Toc443047614"/>
      <w:bookmarkStart w:id="10" w:name="_Toc444095974"/>
      <w:bookmarkStart w:id="11" w:name="_Toc444244500"/>
      <w:bookmarkStart w:id="12" w:name="_Toc498557071"/>
      <w:bookmarkStart w:id="13" w:name="_Toc498557151"/>
      <w:bookmarkStart w:id="14" w:name="_Toc498557218"/>
      <w:bookmarkStart w:id="15" w:name="_Toc498557282"/>
      <w:bookmarkStart w:id="16" w:name="_Toc498590016"/>
      <w:bookmarkStart w:id="17" w:name="_Toc498681499"/>
      <w:bookmarkStart w:id="18" w:name="_Toc499152771"/>
      <w:bookmarkStart w:id="19" w:name="_Toc499158730"/>
      <w:bookmarkStart w:id="20" w:name="_Toc499648599"/>
      <w:bookmarkStart w:id="21" w:name="_Toc499728092"/>
      <w:bookmarkStart w:id="22" w:name="_Toc499732940"/>
      <w:bookmarkStart w:id="23" w:name="_Toc499736971"/>
      <w:bookmarkStart w:id="24" w:name="_Toc499812911"/>
      <w:bookmarkStart w:id="25" w:name="_Toc499813714"/>
      <w:bookmarkStart w:id="26" w:name="_Toc500921460"/>
      <w:bookmarkStart w:id="27" w:name="_Toc500921486"/>
      <w:bookmarkStart w:id="28" w:name="_Toc500921594"/>
      <w:bookmarkStart w:id="29" w:name="_Toc501019204"/>
      <w:bookmarkStart w:id="30" w:name="_Toc504483849"/>
      <w:bookmarkStart w:id="31" w:name="_Toc505180547"/>
      <w:bookmarkStart w:id="32" w:name="_Toc505690192"/>
      <w:bookmarkStart w:id="33" w:name="_Toc505701745"/>
      <w:bookmarkStart w:id="34" w:name="_Toc505759537"/>
      <w:bookmarkStart w:id="35" w:name="_Toc505759554"/>
      <w:bookmarkStart w:id="36" w:name="_Toc505762647"/>
      <w:bookmarkStart w:id="37" w:name="_Toc505785987"/>
      <w:bookmarkStart w:id="38" w:name="_Toc506799572"/>
      <w:bookmarkStart w:id="39" w:name="_Toc506799589"/>
      <w:bookmarkStart w:id="40" w:name="_Toc506894548"/>
      <w:bookmarkStart w:id="41" w:name="_Toc507486285"/>
      <w:bookmarkStart w:id="42" w:name="_Toc515271224"/>
      <w:bookmarkStart w:id="43" w:name="_Toc515271547"/>
      <w:bookmarkStart w:id="44" w:name="_Toc515271575"/>
      <w:bookmarkStart w:id="45" w:name="_Toc515280471"/>
      <w:bookmarkStart w:id="46" w:name="_Toc515280622"/>
      <w:bookmarkStart w:id="47" w:name="_Toc515352774"/>
      <w:bookmarkStart w:id="48" w:name="_Toc515540847"/>
      <w:bookmarkStart w:id="49" w:name="_Toc515543683"/>
      <w:bookmarkStart w:id="50" w:name="_Toc515543868"/>
      <w:bookmarkStart w:id="51" w:name="_Toc515551669"/>
      <w:bookmarkStart w:id="52" w:name="_Toc515627611"/>
      <w:bookmarkStart w:id="53" w:name="_Toc516039921"/>
      <w:bookmarkStart w:id="54" w:name="_Toc516155344"/>
      <w:bookmarkStart w:id="55" w:name="_Toc516490245"/>
      <w:bookmarkStart w:id="56" w:name="_Toc518037927"/>
      <w:bookmarkStart w:id="57" w:name="_Toc524599575"/>
      <w:bookmarkStart w:id="58" w:name="_Toc526154928"/>
      <w:bookmarkStart w:id="59" w:name="_Toc526155474"/>
      <w:bookmarkStart w:id="60" w:name="_Toc526155547"/>
      <w:bookmarkStart w:id="61" w:name="_Toc526253984"/>
      <w:bookmarkStart w:id="62" w:name="_Toc526348408"/>
      <w:bookmarkStart w:id="63" w:name="_Toc526374599"/>
      <w:bookmarkStart w:id="64" w:name="_Toc526374615"/>
      <w:bookmarkStart w:id="65" w:name="_Toc526406478"/>
      <w:bookmarkStart w:id="66" w:name="_Toc526409498"/>
      <w:bookmarkStart w:id="67" w:name="_Toc526491397"/>
      <w:bookmarkStart w:id="68" w:name="_Toc526505509"/>
      <w:bookmarkStart w:id="69" w:name="_Toc526756601"/>
      <w:r w:rsidRPr="007244D5">
        <w:rPr>
          <w:rFonts w:ascii="Times New Roman" w:hAnsi="Times New Roman" w:cs="Times New Roman"/>
          <w:bCs w:val="0"/>
          <w:iCs/>
          <w:sz w:val="24"/>
          <w:szCs w:val="24"/>
        </w:rPr>
        <w:t>1. Indledning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F433D97" w14:textId="77777777" w:rsidR="00D30F1E" w:rsidRDefault="00E94E09" w:rsidP="006108C2">
      <w:pPr>
        <w:spacing w:after="240"/>
        <w:rPr>
          <w:rFonts w:eastAsia="Calibri" w:cs="Times New Roman"/>
          <w:sz w:val="24"/>
          <w:szCs w:val="24"/>
        </w:rPr>
      </w:pPr>
      <w:r w:rsidRPr="00D97C05">
        <w:rPr>
          <w:rFonts w:eastAsia="Calibri" w:cs="Times New Roman"/>
          <w:sz w:val="24"/>
          <w:szCs w:val="24"/>
        </w:rPr>
        <w:t xml:space="preserve">Lovforslaget udmønter en del af den politiske aftale fra </w:t>
      </w:r>
      <w:r w:rsidR="00593CF4">
        <w:rPr>
          <w:rFonts w:eastAsia="Calibri" w:cs="Times New Roman"/>
          <w:sz w:val="24"/>
          <w:szCs w:val="24"/>
        </w:rPr>
        <w:t>oktober</w:t>
      </w:r>
      <w:r w:rsidRPr="00D97C05">
        <w:rPr>
          <w:rFonts w:eastAsia="Calibri" w:cs="Times New Roman"/>
          <w:sz w:val="24"/>
          <w:szCs w:val="24"/>
        </w:rPr>
        <w:t xml:space="preserve"> 2025</w:t>
      </w:r>
      <w:r w:rsidR="00593CF4">
        <w:rPr>
          <w:rFonts w:eastAsia="Calibri" w:cs="Times New Roman"/>
          <w:sz w:val="24"/>
          <w:szCs w:val="24"/>
        </w:rPr>
        <w:t xml:space="preserve"> om en national strategi om asbest og en del af den politiske aftale fra </w:t>
      </w:r>
      <w:r w:rsidR="00E07386">
        <w:rPr>
          <w:rFonts w:eastAsia="Calibri" w:cs="Times New Roman"/>
          <w:sz w:val="24"/>
          <w:szCs w:val="24"/>
        </w:rPr>
        <w:t>oktober</w:t>
      </w:r>
      <w:r w:rsidR="00593CF4">
        <w:rPr>
          <w:rFonts w:eastAsia="Calibri" w:cs="Times New Roman"/>
          <w:sz w:val="24"/>
          <w:szCs w:val="24"/>
        </w:rPr>
        <w:t xml:space="preserve"> 2025 om en styrket indsats</w:t>
      </w:r>
      <w:r w:rsidRPr="00D97C05">
        <w:rPr>
          <w:rFonts w:eastAsia="Calibri" w:cs="Times New Roman"/>
          <w:sz w:val="24"/>
          <w:szCs w:val="24"/>
        </w:rPr>
        <w:t xml:space="preserve"> </w:t>
      </w:r>
      <w:r w:rsidR="00C03E43" w:rsidRPr="00D97C05">
        <w:rPr>
          <w:rFonts w:eastAsia="Calibri" w:cs="Times New Roman"/>
          <w:sz w:val="24"/>
          <w:szCs w:val="24"/>
        </w:rPr>
        <w:t>mod</w:t>
      </w:r>
      <w:r w:rsidR="00A146AD" w:rsidRPr="00D97C05">
        <w:rPr>
          <w:rFonts w:eastAsia="Calibri" w:cs="Times New Roman"/>
          <w:sz w:val="24"/>
          <w:szCs w:val="24"/>
        </w:rPr>
        <w:t xml:space="preserve"> social dumping</w:t>
      </w:r>
      <w:r w:rsidRPr="00D97C05">
        <w:rPr>
          <w:rFonts w:eastAsia="Calibri" w:cs="Times New Roman"/>
          <w:sz w:val="24"/>
          <w:szCs w:val="24"/>
        </w:rPr>
        <w:t xml:space="preserve">. </w:t>
      </w:r>
    </w:p>
    <w:p w14:paraId="7A2AE05E" w14:textId="703B5545" w:rsidR="00A146AD" w:rsidRDefault="00E94E09" w:rsidP="006108C2">
      <w:pPr>
        <w:spacing w:after="240"/>
        <w:rPr>
          <w:rFonts w:eastAsia="Calibri" w:cs="Times New Roman"/>
          <w:color w:val="FF0000"/>
          <w:sz w:val="24"/>
          <w:szCs w:val="24"/>
        </w:rPr>
      </w:pPr>
      <w:r w:rsidRPr="00D97C05">
        <w:rPr>
          <w:rFonts w:eastAsia="Calibri" w:cs="Times New Roman"/>
          <w:sz w:val="24"/>
          <w:szCs w:val="24"/>
        </w:rPr>
        <w:t>Aftalen</w:t>
      </w:r>
      <w:r w:rsidR="00722E17">
        <w:rPr>
          <w:rFonts w:eastAsia="Calibri" w:cs="Times New Roman"/>
          <w:sz w:val="24"/>
          <w:szCs w:val="24"/>
        </w:rPr>
        <w:t xml:space="preserve"> om en national strategi om asbest</w:t>
      </w:r>
      <w:r w:rsidRPr="00D97C05">
        <w:rPr>
          <w:rFonts w:eastAsia="Calibri" w:cs="Times New Roman"/>
          <w:sz w:val="24"/>
          <w:szCs w:val="24"/>
        </w:rPr>
        <w:t xml:space="preserve"> er indgået af regeringen (Socialdemokratiet, Venstre og Moderaterne)</w:t>
      </w:r>
      <w:r w:rsidR="00EA6D56" w:rsidRPr="00EA6D56">
        <w:rPr>
          <w:rFonts w:eastAsia="Calibri" w:cs="Times New Roman"/>
          <w:sz w:val="24"/>
          <w:szCs w:val="24"/>
        </w:rPr>
        <w:t xml:space="preserve">, Socialistisk Folkeparti, Enhedslisten, Radikale Venstre og Alternativet. </w:t>
      </w:r>
    </w:p>
    <w:p w14:paraId="0E9C6586" w14:textId="1C12916F" w:rsidR="00722E17" w:rsidRPr="00722E17" w:rsidRDefault="00722E17" w:rsidP="006108C2">
      <w:pPr>
        <w:spacing w:after="240"/>
        <w:rPr>
          <w:rFonts w:eastAsia="Calibri" w:cs="Times New Roman"/>
          <w:color w:val="FF0000"/>
          <w:sz w:val="24"/>
          <w:szCs w:val="24"/>
        </w:rPr>
      </w:pPr>
      <w:r w:rsidRPr="00D97C05">
        <w:rPr>
          <w:rFonts w:eastAsia="Calibri" w:cs="Times New Roman"/>
          <w:sz w:val="24"/>
          <w:szCs w:val="24"/>
        </w:rPr>
        <w:t xml:space="preserve">Aftalen </w:t>
      </w:r>
      <w:r>
        <w:rPr>
          <w:rFonts w:eastAsia="Calibri" w:cs="Times New Roman"/>
          <w:sz w:val="24"/>
          <w:szCs w:val="24"/>
        </w:rPr>
        <w:t>om en styrket indsats mod social dumping er</w:t>
      </w:r>
      <w:r w:rsidRPr="00D97C05">
        <w:rPr>
          <w:rFonts w:eastAsia="Calibri" w:cs="Times New Roman"/>
          <w:sz w:val="24"/>
          <w:szCs w:val="24"/>
        </w:rPr>
        <w:t xml:space="preserve"> indgået af regeringen (Socialdemokratiet, Venstre og Moderaterne</w:t>
      </w:r>
      <w:bookmarkStart w:id="70" w:name="_Hlk210915515"/>
      <w:r w:rsidRPr="00D97C05">
        <w:rPr>
          <w:rFonts w:eastAsia="Calibri" w:cs="Times New Roman"/>
          <w:sz w:val="24"/>
          <w:szCs w:val="24"/>
        </w:rPr>
        <w:t>)</w:t>
      </w:r>
      <w:r w:rsidR="00EA6D56">
        <w:rPr>
          <w:rFonts w:eastAsia="Calibri" w:cs="Times New Roman"/>
          <w:sz w:val="24"/>
          <w:szCs w:val="24"/>
        </w:rPr>
        <w:t>, Socialistisk Folkeparti, Enhedslisten, Dansk Folkeparti, Radikale Venstre og Alternativet.</w:t>
      </w:r>
      <w:r w:rsidRPr="00D97C05">
        <w:rPr>
          <w:rFonts w:eastAsia="Calibri" w:cs="Times New Roman"/>
          <w:color w:val="FF0000"/>
          <w:sz w:val="24"/>
          <w:szCs w:val="24"/>
        </w:rPr>
        <w:t xml:space="preserve"> </w:t>
      </w:r>
    </w:p>
    <w:bookmarkEnd w:id="70"/>
    <w:p w14:paraId="39141B86" w14:textId="0AA9ADCF" w:rsidR="005C4A8E" w:rsidRDefault="00D30F1E" w:rsidP="005C4A8E">
      <w:pPr>
        <w:rPr>
          <w:sz w:val="24"/>
          <w:szCs w:val="20"/>
        </w:rPr>
      </w:pPr>
      <w:r>
        <w:rPr>
          <w:sz w:val="24"/>
          <w:szCs w:val="20"/>
        </w:rPr>
        <w:t>P</w:t>
      </w:r>
      <w:r w:rsidR="005C4A8E" w:rsidRPr="00696023">
        <w:rPr>
          <w:sz w:val="24"/>
          <w:szCs w:val="20"/>
        </w:rPr>
        <w:t>artierne</w:t>
      </w:r>
      <w:r w:rsidR="005C4A8E">
        <w:rPr>
          <w:sz w:val="24"/>
          <w:szCs w:val="20"/>
        </w:rPr>
        <w:t xml:space="preserve"> bag </w:t>
      </w:r>
      <w:r>
        <w:rPr>
          <w:sz w:val="24"/>
          <w:szCs w:val="20"/>
        </w:rPr>
        <w:t>a</w:t>
      </w:r>
      <w:r w:rsidRPr="00D97C05">
        <w:rPr>
          <w:rFonts w:eastAsia="Calibri" w:cs="Times New Roman"/>
          <w:sz w:val="24"/>
          <w:szCs w:val="24"/>
        </w:rPr>
        <w:t>ftalen</w:t>
      </w:r>
      <w:r>
        <w:rPr>
          <w:rFonts w:eastAsia="Calibri" w:cs="Times New Roman"/>
          <w:sz w:val="24"/>
          <w:szCs w:val="24"/>
        </w:rPr>
        <w:t xml:space="preserve"> om en national strategi om asbest</w:t>
      </w:r>
      <w:r w:rsidRPr="00D97C05">
        <w:rPr>
          <w:rFonts w:eastAsia="Calibri" w:cs="Times New Roman"/>
          <w:sz w:val="24"/>
          <w:szCs w:val="24"/>
        </w:rPr>
        <w:t xml:space="preserve"> </w:t>
      </w:r>
      <w:r w:rsidR="005C4A8E">
        <w:rPr>
          <w:sz w:val="24"/>
          <w:szCs w:val="20"/>
        </w:rPr>
        <w:t>er</w:t>
      </w:r>
      <w:r w:rsidR="005C4A8E" w:rsidRPr="00696023">
        <w:rPr>
          <w:sz w:val="24"/>
          <w:szCs w:val="20"/>
        </w:rPr>
        <w:t xml:space="preserve"> enige om, at der skal indføres en bestemmelse i arbejdsmiljøloven, der giver beskæftigelsesministeren bemyndigelse til at fastsætte nærmere regler </w:t>
      </w:r>
      <w:r w:rsidR="005C4A8E">
        <w:rPr>
          <w:sz w:val="24"/>
          <w:szCs w:val="20"/>
        </w:rPr>
        <w:t>om</w:t>
      </w:r>
      <w:r w:rsidR="005C4A8E" w:rsidRPr="00696023">
        <w:rPr>
          <w:sz w:val="24"/>
          <w:szCs w:val="20"/>
        </w:rPr>
        <w:t>, hvordan en arbejdsgiver skal</w:t>
      </w:r>
      <w:r w:rsidR="005C4A8E">
        <w:rPr>
          <w:sz w:val="24"/>
          <w:szCs w:val="20"/>
        </w:rPr>
        <w:t xml:space="preserve"> sikre, at</w:t>
      </w:r>
      <w:r w:rsidR="005C4A8E" w:rsidRPr="00696023">
        <w:rPr>
          <w:sz w:val="24"/>
          <w:szCs w:val="20"/>
        </w:rPr>
        <w:t xml:space="preserve"> oplysninger </w:t>
      </w:r>
      <w:r w:rsidR="005C4A8E">
        <w:rPr>
          <w:sz w:val="24"/>
          <w:szCs w:val="20"/>
        </w:rPr>
        <w:t xml:space="preserve">direkte </w:t>
      </w:r>
      <w:r w:rsidR="005C4A8E" w:rsidRPr="00696023">
        <w:rPr>
          <w:sz w:val="24"/>
          <w:szCs w:val="20"/>
        </w:rPr>
        <w:t>fra en tredjepart</w:t>
      </w:r>
      <w:r w:rsidR="005C4A8E">
        <w:rPr>
          <w:sz w:val="24"/>
          <w:szCs w:val="20"/>
        </w:rPr>
        <w:t xml:space="preserve"> gøres</w:t>
      </w:r>
      <w:r w:rsidR="005C4A8E" w:rsidRPr="00696023">
        <w:rPr>
          <w:sz w:val="24"/>
          <w:szCs w:val="20"/>
        </w:rPr>
        <w:t xml:space="preserve"> tilgængelige for egne ansatte.</w:t>
      </w:r>
    </w:p>
    <w:p w14:paraId="5370B773" w14:textId="77777777" w:rsidR="005C4A8E" w:rsidRDefault="005C4A8E" w:rsidP="005C4A8E">
      <w:pPr>
        <w:rPr>
          <w:sz w:val="24"/>
          <w:szCs w:val="20"/>
        </w:rPr>
      </w:pPr>
      <w:r w:rsidRPr="00696023">
        <w:rPr>
          <w:sz w:val="24"/>
          <w:szCs w:val="20"/>
        </w:rPr>
        <w:t xml:space="preserve"> </w:t>
      </w:r>
    </w:p>
    <w:p w14:paraId="263A9377" w14:textId="77777777" w:rsidR="005C4A8E" w:rsidRDefault="005C4A8E" w:rsidP="005C4A8E">
      <w:pPr>
        <w:rPr>
          <w:sz w:val="24"/>
          <w:szCs w:val="20"/>
        </w:rPr>
      </w:pPr>
      <w:r>
        <w:rPr>
          <w:sz w:val="24"/>
          <w:szCs w:val="20"/>
        </w:rPr>
        <w:t>Baggrunden er, at d</w:t>
      </w:r>
      <w:r w:rsidRPr="0009695E">
        <w:rPr>
          <w:sz w:val="24"/>
          <w:szCs w:val="20"/>
        </w:rPr>
        <w:t>er</w:t>
      </w:r>
      <w:r>
        <w:rPr>
          <w:sz w:val="24"/>
          <w:szCs w:val="20"/>
        </w:rPr>
        <w:t xml:space="preserve"> gennem tiden har</w:t>
      </w:r>
      <w:r w:rsidRPr="0009695E">
        <w:rPr>
          <w:sz w:val="24"/>
          <w:szCs w:val="20"/>
        </w:rPr>
        <w:t xml:space="preserve"> været eksempler på, at der er </w:t>
      </w:r>
      <w:r>
        <w:rPr>
          <w:sz w:val="24"/>
          <w:szCs w:val="20"/>
        </w:rPr>
        <w:t>sket</w:t>
      </w:r>
      <w:r w:rsidRPr="0009695E">
        <w:rPr>
          <w:sz w:val="24"/>
          <w:szCs w:val="20"/>
        </w:rPr>
        <w:t xml:space="preserve"> forfalskning af prøveresultater, eller at arbejdsgiver ikke </w:t>
      </w:r>
      <w:r>
        <w:rPr>
          <w:sz w:val="24"/>
          <w:szCs w:val="20"/>
        </w:rPr>
        <w:t xml:space="preserve">har </w:t>
      </w:r>
      <w:r w:rsidRPr="0009695E">
        <w:rPr>
          <w:sz w:val="24"/>
          <w:szCs w:val="20"/>
        </w:rPr>
        <w:t xml:space="preserve">oplyst arbejdsmiljøorganisationen eller de ansatte om resultatet </w:t>
      </w:r>
      <w:r>
        <w:rPr>
          <w:sz w:val="24"/>
          <w:szCs w:val="20"/>
        </w:rPr>
        <w:t>af forundersøgelser, som er gennemført ved brug af prøver og analyser, herunder</w:t>
      </w:r>
      <w:r w:rsidRPr="0009695E">
        <w:rPr>
          <w:sz w:val="24"/>
          <w:szCs w:val="20"/>
        </w:rPr>
        <w:t xml:space="preserve"> </w:t>
      </w:r>
      <w:r>
        <w:rPr>
          <w:sz w:val="24"/>
          <w:szCs w:val="20"/>
        </w:rPr>
        <w:t>fx om</w:t>
      </w:r>
      <w:r w:rsidRPr="0009695E">
        <w:rPr>
          <w:sz w:val="24"/>
          <w:szCs w:val="20"/>
        </w:rPr>
        <w:t xml:space="preserve"> asbest. </w:t>
      </w:r>
      <w:r>
        <w:rPr>
          <w:sz w:val="24"/>
          <w:szCs w:val="20"/>
        </w:rPr>
        <w:t xml:space="preserve"> </w:t>
      </w:r>
    </w:p>
    <w:p w14:paraId="30380A28" w14:textId="77777777" w:rsidR="005C4A8E" w:rsidRDefault="005C4A8E" w:rsidP="005C4A8E">
      <w:pPr>
        <w:rPr>
          <w:sz w:val="24"/>
          <w:szCs w:val="20"/>
        </w:rPr>
      </w:pPr>
    </w:p>
    <w:p w14:paraId="70EA76C5" w14:textId="52543F1A" w:rsidR="005C4A8E" w:rsidRDefault="005C4A8E" w:rsidP="005C4A8E">
      <w:pPr>
        <w:rPr>
          <w:sz w:val="24"/>
          <w:szCs w:val="20"/>
        </w:rPr>
      </w:pPr>
      <w:r w:rsidRPr="0009695E">
        <w:rPr>
          <w:sz w:val="24"/>
          <w:szCs w:val="20"/>
        </w:rPr>
        <w:lastRenderedPageBreak/>
        <w:t xml:space="preserve">For at forhindre svindel med </w:t>
      </w:r>
      <w:r>
        <w:rPr>
          <w:sz w:val="24"/>
          <w:szCs w:val="20"/>
        </w:rPr>
        <w:t xml:space="preserve">resultater af </w:t>
      </w:r>
      <w:r w:rsidRPr="0009695E">
        <w:rPr>
          <w:sz w:val="24"/>
          <w:szCs w:val="20"/>
        </w:rPr>
        <w:t>asbestprøver er aftalepartierne</w:t>
      </w:r>
      <w:r w:rsidR="00990450">
        <w:rPr>
          <w:sz w:val="24"/>
          <w:szCs w:val="20"/>
        </w:rPr>
        <w:t xml:space="preserve"> </w:t>
      </w:r>
      <w:r w:rsidRPr="0009695E">
        <w:rPr>
          <w:sz w:val="24"/>
          <w:szCs w:val="20"/>
        </w:rPr>
        <w:t>enige om, at der</w:t>
      </w:r>
      <w:r>
        <w:rPr>
          <w:sz w:val="24"/>
          <w:szCs w:val="20"/>
        </w:rPr>
        <w:t xml:space="preserve"> </w:t>
      </w:r>
      <w:r w:rsidRPr="0009695E">
        <w:rPr>
          <w:sz w:val="24"/>
          <w:szCs w:val="20"/>
        </w:rPr>
        <w:t xml:space="preserve">skal indføres krav om, at </w:t>
      </w:r>
      <w:r>
        <w:rPr>
          <w:sz w:val="24"/>
          <w:szCs w:val="20"/>
        </w:rPr>
        <w:t xml:space="preserve">arbejdsgiver skal sikre, at </w:t>
      </w:r>
      <w:r w:rsidRPr="0009695E">
        <w:rPr>
          <w:sz w:val="24"/>
          <w:szCs w:val="20"/>
        </w:rPr>
        <w:t>arbejdsmiljøorganisationen i virksomheden, eller de ansatte</w:t>
      </w:r>
      <w:r>
        <w:rPr>
          <w:sz w:val="24"/>
          <w:szCs w:val="20"/>
        </w:rPr>
        <w:t>,</w:t>
      </w:r>
      <w:r w:rsidRPr="0009695E">
        <w:rPr>
          <w:sz w:val="24"/>
          <w:szCs w:val="20"/>
        </w:rPr>
        <w:t xml:space="preserve"> modtage</w:t>
      </w:r>
      <w:r>
        <w:rPr>
          <w:sz w:val="24"/>
          <w:szCs w:val="20"/>
        </w:rPr>
        <w:t>r</w:t>
      </w:r>
      <w:r w:rsidRPr="0009695E">
        <w:rPr>
          <w:sz w:val="24"/>
          <w:szCs w:val="20"/>
        </w:rPr>
        <w:t xml:space="preserve"> resultater </w:t>
      </w:r>
      <w:r>
        <w:rPr>
          <w:sz w:val="24"/>
          <w:szCs w:val="20"/>
        </w:rPr>
        <w:t>af</w:t>
      </w:r>
      <w:r w:rsidRPr="0009695E">
        <w:rPr>
          <w:sz w:val="24"/>
          <w:szCs w:val="20"/>
        </w:rPr>
        <w:t xml:space="preserve"> asbestprøver direkte fra de</w:t>
      </w:r>
      <w:r>
        <w:rPr>
          <w:sz w:val="24"/>
          <w:szCs w:val="20"/>
        </w:rPr>
        <w:t>n tredjepart</w:t>
      </w:r>
      <w:r w:rsidRPr="0009695E">
        <w:rPr>
          <w:sz w:val="24"/>
          <w:szCs w:val="20"/>
        </w:rPr>
        <w:t xml:space="preserve">, som </w:t>
      </w:r>
      <w:r>
        <w:rPr>
          <w:sz w:val="24"/>
          <w:szCs w:val="20"/>
        </w:rPr>
        <w:t>har foretaget asbestanalyse og r</w:t>
      </w:r>
      <w:r w:rsidRPr="0009695E">
        <w:rPr>
          <w:sz w:val="24"/>
          <w:szCs w:val="20"/>
        </w:rPr>
        <w:t>apporterer resultate</w:t>
      </w:r>
      <w:r>
        <w:rPr>
          <w:sz w:val="24"/>
          <w:szCs w:val="20"/>
        </w:rPr>
        <w:t xml:space="preserve">t. </w:t>
      </w:r>
    </w:p>
    <w:p w14:paraId="6DDB6664" w14:textId="77777777" w:rsidR="005C4A8E" w:rsidRDefault="005C4A8E" w:rsidP="005C4A8E">
      <w:pPr>
        <w:rPr>
          <w:sz w:val="24"/>
          <w:szCs w:val="20"/>
        </w:rPr>
      </w:pPr>
    </w:p>
    <w:p w14:paraId="14F3E9DD" w14:textId="77777777" w:rsidR="005C4A8E" w:rsidRDefault="005C4A8E" w:rsidP="005C4A8E">
      <w:pPr>
        <w:rPr>
          <w:sz w:val="24"/>
          <w:szCs w:val="20"/>
        </w:rPr>
      </w:pPr>
      <w:r>
        <w:rPr>
          <w:sz w:val="24"/>
          <w:szCs w:val="20"/>
        </w:rPr>
        <w:t xml:space="preserve">For at kunne fastsætte krav til arbejdsgiver om at sikre, at de ansatte kan modtage prøveresultater direkte fra den tredjepart – typisk analysevirksomheden – som på arbejdsgivers foranledning har foretaget asbestanalyse mv., er det nødvendigt med en hjemmel til at fastsætte regler herom i arbejdsmiljøloven.  </w:t>
      </w:r>
    </w:p>
    <w:p w14:paraId="6C5F8D89" w14:textId="77777777" w:rsidR="005C4A8E" w:rsidRDefault="005C4A8E" w:rsidP="005C4A8E">
      <w:pPr>
        <w:rPr>
          <w:sz w:val="24"/>
          <w:szCs w:val="20"/>
        </w:rPr>
      </w:pPr>
    </w:p>
    <w:p w14:paraId="4ACBC921" w14:textId="78071676" w:rsidR="005C4A8E" w:rsidRDefault="005C4A8E" w:rsidP="00F95277">
      <w:pPr>
        <w:rPr>
          <w:sz w:val="24"/>
          <w:szCs w:val="20"/>
        </w:rPr>
      </w:pPr>
      <w:r>
        <w:rPr>
          <w:sz w:val="24"/>
          <w:szCs w:val="20"/>
        </w:rPr>
        <w:t>Det er til enhver tid a</w:t>
      </w:r>
      <w:r w:rsidRPr="0009695E">
        <w:rPr>
          <w:sz w:val="24"/>
          <w:szCs w:val="20"/>
        </w:rPr>
        <w:t>rbejdsgiver</w:t>
      </w:r>
      <w:r>
        <w:rPr>
          <w:sz w:val="24"/>
          <w:szCs w:val="20"/>
        </w:rPr>
        <w:t xml:space="preserve">s </w:t>
      </w:r>
      <w:r w:rsidRPr="0009695E">
        <w:rPr>
          <w:sz w:val="24"/>
          <w:szCs w:val="20"/>
        </w:rPr>
        <w:t>pligt at sikre, at arbejdet kan ske sikker</w:t>
      </w:r>
      <w:r>
        <w:rPr>
          <w:sz w:val="24"/>
          <w:szCs w:val="20"/>
        </w:rPr>
        <w:t>heds-</w:t>
      </w:r>
      <w:r w:rsidRPr="0009695E">
        <w:rPr>
          <w:sz w:val="24"/>
          <w:szCs w:val="20"/>
        </w:rPr>
        <w:t xml:space="preserve"> og sundhedsmæssigt fuldt forsvarligt</w:t>
      </w:r>
      <w:r>
        <w:rPr>
          <w:sz w:val="24"/>
          <w:szCs w:val="20"/>
        </w:rPr>
        <w:t xml:space="preserve">. I den forbindelse er det afgørende, at de ansatte får den nødvendige viden </w:t>
      </w:r>
      <w:r w:rsidRPr="0009695E">
        <w:rPr>
          <w:sz w:val="24"/>
          <w:szCs w:val="20"/>
        </w:rPr>
        <w:t>om</w:t>
      </w:r>
      <w:r>
        <w:rPr>
          <w:sz w:val="24"/>
          <w:szCs w:val="20"/>
        </w:rPr>
        <w:t xml:space="preserve"> resultater af prøver, fx om der i materialeprøver er </w:t>
      </w:r>
      <w:r w:rsidRPr="0009695E">
        <w:rPr>
          <w:sz w:val="24"/>
          <w:szCs w:val="20"/>
        </w:rPr>
        <w:t>konstateret</w:t>
      </w:r>
      <w:r>
        <w:rPr>
          <w:sz w:val="24"/>
          <w:szCs w:val="20"/>
        </w:rPr>
        <w:t xml:space="preserve"> asbest.</w:t>
      </w:r>
    </w:p>
    <w:p w14:paraId="75CDD8AA" w14:textId="77777777" w:rsidR="00D30F1E" w:rsidRDefault="00D30F1E" w:rsidP="00F95277">
      <w:pPr>
        <w:rPr>
          <w:sz w:val="24"/>
          <w:szCs w:val="20"/>
        </w:rPr>
      </w:pPr>
    </w:p>
    <w:p w14:paraId="2CEF139B" w14:textId="7C3D367A" w:rsidR="00D30F1E" w:rsidRDefault="00D30F1E" w:rsidP="00D30F1E">
      <w:pPr>
        <w:spacing w:after="240"/>
        <w:rPr>
          <w:rFonts w:eastAsia="Calibri" w:cs="Times New Roman"/>
          <w:sz w:val="24"/>
          <w:szCs w:val="24"/>
        </w:rPr>
      </w:pPr>
      <w:r w:rsidRPr="00D97C05">
        <w:rPr>
          <w:rFonts w:eastAsia="Calibri" w:cs="Times New Roman"/>
          <w:sz w:val="24"/>
          <w:szCs w:val="24"/>
        </w:rPr>
        <w:t xml:space="preserve">Det fremgår </w:t>
      </w:r>
      <w:r>
        <w:rPr>
          <w:rFonts w:eastAsia="Calibri" w:cs="Times New Roman"/>
          <w:sz w:val="24"/>
          <w:szCs w:val="24"/>
        </w:rPr>
        <w:t xml:space="preserve">desuden </w:t>
      </w:r>
      <w:r w:rsidRPr="00D97C05">
        <w:rPr>
          <w:rFonts w:eastAsia="Calibri" w:cs="Times New Roman"/>
          <w:sz w:val="24"/>
          <w:szCs w:val="24"/>
        </w:rPr>
        <w:t>af aftalen</w:t>
      </w:r>
      <w:r>
        <w:rPr>
          <w:rFonts w:eastAsia="Calibri" w:cs="Times New Roman"/>
          <w:sz w:val="24"/>
          <w:szCs w:val="24"/>
        </w:rPr>
        <w:t xml:space="preserve"> om en national strategi om asbest</w:t>
      </w:r>
      <w:r w:rsidRPr="00D97C05">
        <w:rPr>
          <w:rFonts w:eastAsia="Calibri" w:cs="Times New Roman"/>
          <w:sz w:val="24"/>
          <w:szCs w:val="24"/>
        </w:rPr>
        <w:t>, at der skal være bedre mulighed for fængselsstraf i særligt grove sager om overtrædelse af arbejdsmiljølovgivningen. Det indebærer, at personer i ledelsen i højere grad skal kunne idømmes fængselsstraf, når de har handlet forsætligt eller groft uagtsomt i særligt grove tilfælde om overtrædelse af arbejdsmiljølovgivningen, herunder især ved visse overtrædelser af asbestreglerne og overtrædelser, der har medført ulykke med døden til følge.</w:t>
      </w:r>
    </w:p>
    <w:p w14:paraId="6ACFE2DE" w14:textId="77777777" w:rsidR="00D30F1E" w:rsidRDefault="00D30F1E" w:rsidP="00D30F1E">
      <w:pPr>
        <w:spacing w:after="240"/>
        <w:rPr>
          <w:rFonts w:eastAsia="Calibri" w:cs="Times New Roman"/>
          <w:sz w:val="24"/>
          <w:szCs w:val="24"/>
        </w:rPr>
      </w:pPr>
      <w:r>
        <w:rPr>
          <w:rFonts w:eastAsia="Calibri" w:cs="Times New Roman"/>
          <w:sz w:val="24"/>
          <w:szCs w:val="24"/>
        </w:rPr>
        <w:t xml:space="preserve">Det fremgår af aftalen om en styrket indsats mod social dumping, at bødeniveauet for større virksomheder skal forhøjes dels </w:t>
      </w:r>
      <w:r w:rsidRPr="0095478B">
        <w:rPr>
          <w:rFonts w:eastAsia="Calibri" w:cs="Times New Roman"/>
          <w:sz w:val="24"/>
          <w:szCs w:val="24"/>
        </w:rPr>
        <w:t xml:space="preserve">for </w:t>
      </w:r>
      <w:r>
        <w:rPr>
          <w:rFonts w:eastAsia="Calibri" w:cs="Times New Roman"/>
          <w:sz w:val="24"/>
          <w:szCs w:val="24"/>
        </w:rPr>
        <w:t xml:space="preserve">arbejdsgivers </w:t>
      </w:r>
      <w:r w:rsidRPr="0095478B">
        <w:rPr>
          <w:rFonts w:eastAsia="Calibri" w:cs="Times New Roman"/>
          <w:sz w:val="24"/>
          <w:szCs w:val="24"/>
        </w:rPr>
        <w:t xml:space="preserve">manglende overholdelse af </w:t>
      </w:r>
      <w:r>
        <w:rPr>
          <w:rFonts w:eastAsia="Calibri" w:cs="Times New Roman"/>
          <w:sz w:val="24"/>
          <w:szCs w:val="24"/>
        </w:rPr>
        <w:t>p</w:t>
      </w:r>
      <w:r w:rsidRPr="0095478B">
        <w:rPr>
          <w:rFonts w:eastAsia="Calibri" w:cs="Times New Roman"/>
          <w:sz w:val="24"/>
          <w:szCs w:val="24"/>
        </w:rPr>
        <w:t>ligt</w:t>
      </w:r>
      <w:r>
        <w:rPr>
          <w:rFonts w:eastAsia="Calibri" w:cs="Times New Roman"/>
          <w:sz w:val="24"/>
          <w:szCs w:val="24"/>
        </w:rPr>
        <w:t>en</w:t>
      </w:r>
      <w:r w:rsidRPr="0095478B">
        <w:rPr>
          <w:rFonts w:eastAsia="Calibri" w:cs="Times New Roman"/>
          <w:sz w:val="24"/>
          <w:szCs w:val="24"/>
        </w:rPr>
        <w:t xml:space="preserve"> til </w:t>
      </w:r>
      <w:r>
        <w:rPr>
          <w:rFonts w:eastAsia="Calibri" w:cs="Times New Roman"/>
          <w:sz w:val="24"/>
          <w:szCs w:val="24"/>
        </w:rPr>
        <w:t xml:space="preserve">at </w:t>
      </w:r>
      <w:r w:rsidRPr="0095478B">
        <w:rPr>
          <w:rFonts w:eastAsia="Calibri" w:cs="Times New Roman"/>
          <w:sz w:val="24"/>
          <w:szCs w:val="24"/>
        </w:rPr>
        <w:t>a</w:t>
      </w:r>
      <w:r>
        <w:rPr>
          <w:rFonts w:eastAsia="Calibri" w:cs="Times New Roman"/>
          <w:sz w:val="24"/>
          <w:szCs w:val="24"/>
        </w:rPr>
        <w:t>nmel</w:t>
      </w:r>
      <w:r w:rsidRPr="0095478B">
        <w:rPr>
          <w:rFonts w:eastAsia="Calibri" w:cs="Times New Roman"/>
          <w:sz w:val="24"/>
          <w:szCs w:val="24"/>
        </w:rPr>
        <w:t xml:space="preserve">de arbejdsulykker </w:t>
      </w:r>
      <w:r>
        <w:rPr>
          <w:rFonts w:eastAsia="Calibri" w:cs="Times New Roman"/>
          <w:sz w:val="24"/>
          <w:szCs w:val="24"/>
        </w:rPr>
        <w:t>dels</w:t>
      </w:r>
      <w:r w:rsidRPr="0095478B">
        <w:rPr>
          <w:rFonts w:eastAsia="Calibri" w:cs="Times New Roman"/>
          <w:sz w:val="24"/>
          <w:szCs w:val="24"/>
        </w:rPr>
        <w:t xml:space="preserve"> </w:t>
      </w:r>
      <w:r>
        <w:rPr>
          <w:rFonts w:eastAsia="Calibri" w:cs="Times New Roman"/>
          <w:sz w:val="24"/>
          <w:szCs w:val="24"/>
        </w:rPr>
        <w:t xml:space="preserve">for </w:t>
      </w:r>
      <w:r w:rsidRPr="0095478B">
        <w:rPr>
          <w:rFonts w:eastAsia="Calibri" w:cs="Times New Roman"/>
          <w:sz w:val="24"/>
          <w:szCs w:val="24"/>
        </w:rPr>
        <w:t>bygherres pligt til at udarbejde en plan for sikkerhed og sundhed på byggepladsen</w:t>
      </w:r>
      <w:r>
        <w:rPr>
          <w:rFonts w:eastAsia="Calibri" w:cs="Times New Roman"/>
          <w:sz w:val="24"/>
          <w:szCs w:val="24"/>
        </w:rPr>
        <w:t>. Formålet med bødeforhøjelserne er at tilskynde arbejdsgivere og bygherre til i endnu højere grad at sikre den forebyggende indsats over for arbejdsulykker.</w:t>
      </w:r>
    </w:p>
    <w:p w14:paraId="68760AE0" w14:textId="5137477A" w:rsidR="00C5565E" w:rsidRDefault="0043796C" w:rsidP="006108C2">
      <w:pPr>
        <w:spacing w:after="240"/>
        <w:rPr>
          <w:rFonts w:eastAsia="Calibri" w:cs="Times New Roman"/>
          <w:sz w:val="24"/>
          <w:szCs w:val="24"/>
        </w:rPr>
      </w:pPr>
      <w:r w:rsidRPr="00D97C05">
        <w:rPr>
          <w:rFonts w:eastAsia="Calibri" w:cs="Times New Roman"/>
          <w:sz w:val="24"/>
          <w:szCs w:val="24"/>
        </w:rPr>
        <w:t>Lovforslaget indeholder herudover en forlængelse af revisionsklausulen i lov om udst</w:t>
      </w:r>
      <w:r w:rsidR="00E92553" w:rsidRPr="00D97C05">
        <w:rPr>
          <w:rFonts w:eastAsia="Calibri" w:cs="Times New Roman"/>
          <w:sz w:val="24"/>
          <w:szCs w:val="24"/>
        </w:rPr>
        <w:t>ationering af lønmodtagere m.v.</w:t>
      </w:r>
    </w:p>
    <w:p w14:paraId="1CE1C0AE" w14:textId="04C457B8" w:rsidR="005C4A8E" w:rsidRPr="005C4A8E" w:rsidRDefault="00E86181" w:rsidP="005C4A8E">
      <w:pPr>
        <w:pStyle w:val="Overskrift1"/>
        <w:rPr>
          <w:rFonts w:ascii="Times New Roman" w:hAnsi="Times New Roman" w:cs="Times New Roman"/>
          <w:bCs w:val="0"/>
          <w:iCs/>
          <w:sz w:val="24"/>
          <w:szCs w:val="24"/>
        </w:rPr>
      </w:pPr>
      <w:bookmarkStart w:id="71" w:name="_Toc498557219"/>
      <w:bookmarkStart w:id="72" w:name="_Toc498557283"/>
      <w:bookmarkStart w:id="73" w:name="_Toc498590017"/>
      <w:bookmarkStart w:id="74" w:name="_Toc498681500"/>
      <w:bookmarkStart w:id="75" w:name="_Toc499152772"/>
      <w:bookmarkStart w:id="76" w:name="_Toc499158731"/>
      <w:bookmarkStart w:id="77" w:name="_Toc499648600"/>
      <w:bookmarkStart w:id="78" w:name="_Toc499728093"/>
      <w:bookmarkStart w:id="79" w:name="_Toc499732941"/>
      <w:bookmarkStart w:id="80" w:name="_Toc499736972"/>
      <w:bookmarkStart w:id="81" w:name="_Toc499812912"/>
      <w:bookmarkStart w:id="82" w:name="_Toc499813715"/>
      <w:bookmarkStart w:id="83" w:name="_Toc500921461"/>
      <w:bookmarkStart w:id="84" w:name="_Toc500921487"/>
      <w:bookmarkStart w:id="85" w:name="_Toc500921595"/>
      <w:bookmarkStart w:id="86" w:name="_Toc501019205"/>
      <w:bookmarkStart w:id="87" w:name="_Toc504483850"/>
      <w:bookmarkStart w:id="88" w:name="_Toc505180548"/>
      <w:bookmarkStart w:id="89" w:name="_Toc505690193"/>
      <w:bookmarkStart w:id="90" w:name="_Toc505701746"/>
      <w:bookmarkStart w:id="91" w:name="_Toc505759538"/>
      <w:bookmarkStart w:id="92" w:name="_Toc505759555"/>
      <w:bookmarkStart w:id="93" w:name="_Toc505762648"/>
      <w:bookmarkStart w:id="94" w:name="_Toc505785988"/>
      <w:bookmarkStart w:id="95" w:name="_Toc506799573"/>
      <w:bookmarkStart w:id="96" w:name="_Toc506799590"/>
      <w:bookmarkStart w:id="97" w:name="_Toc506894549"/>
      <w:bookmarkStart w:id="98" w:name="_Toc507486286"/>
      <w:bookmarkStart w:id="99" w:name="_Toc515271225"/>
      <w:bookmarkStart w:id="100" w:name="_Toc515271548"/>
      <w:bookmarkStart w:id="101" w:name="_Toc515271576"/>
      <w:bookmarkStart w:id="102" w:name="_Toc515280472"/>
      <w:bookmarkStart w:id="103" w:name="_Toc515280623"/>
      <w:bookmarkStart w:id="104" w:name="_Toc515352775"/>
      <w:bookmarkStart w:id="105" w:name="_Toc515540848"/>
      <w:bookmarkStart w:id="106" w:name="_Toc515543684"/>
      <w:bookmarkStart w:id="107" w:name="_Toc515543869"/>
      <w:bookmarkStart w:id="108" w:name="_Toc515551670"/>
      <w:bookmarkStart w:id="109" w:name="_Toc515627612"/>
      <w:bookmarkStart w:id="110" w:name="_Toc516039922"/>
      <w:bookmarkStart w:id="111" w:name="_Toc516155345"/>
      <w:bookmarkStart w:id="112" w:name="_Toc516490246"/>
      <w:bookmarkStart w:id="113" w:name="_Toc518037928"/>
      <w:bookmarkStart w:id="114" w:name="_Toc524599576"/>
      <w:bookmarkStart w:id="115" w:name="_Toc526154929"/>
      <w:bookmarkStart w:id="116" w:name="_Toc526155475"/>
      <w:bookmarkStart w:id="117" w:name="_Toc526155548"/>
      <w:bookmarkStart w:id="118" w:name="_Toc526253985"/>
      <w:bookmarkStart w:id="119" w:name="_Toc526348409"/>
      <w:bookmarkStart w:id="120" w:name="_Toc526374600"/>
      <w:bookmarkStart w:id="121" w:name="_Toc526374616"/>
      <w:bookmarkStart w:id="122" w:name="_Toc526406479"/>
      <w:bookmarkStart w:id="123" w:name="_Toc526409499"/>
      <w:bookmarkStart w:id="124" w:name="_Toc526491398"/>
      <w:bookmarkStart w:id="125" w:name="_Toc526505510"/>
      <w:bookmarkStart w:id="126" w:name="_Toc526756602"/>
      <w:r>
        <w:rPr>
          <w:rFonts w:ascii="Times New Roman" w:hAnsi="Times New Roman" w:cs="Times New Roman"/>
          <w:bCs w:val="0"/>
          <w:iCs/>
          <w:sz w:val="24"/>
          <w:szCs w:val="24"/>
        </w:rPr>
        <w:t>2</w:t>
      </w:r>
      <w:r w:rsidR="006108C2" w:rsidRPr="007244D5">
        <w:rPr>
          <w:rFonts w:ascii="Times New Roman" w:hAnsi="Times New Roman" w:cs="Times New Roman"/>
          <w:bCs w:val="0"/>
          <w:iCs/>
          <w:sz w:val="24"/>
          <w:szCs w:val="24"/>
        </w:rPr>
        <w:t>. Lovforslagets hovedpunkt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55745">
        <w:rPr>
          <w:rFonts w:ascii="Times New Roman" w:hAnsi="Times New Roman" w:cs="Times New Roman"/>
          <w:bCs w:val="0"/>
          <w:iCs/>
          <w:sz w:val="24"/>
          <w:szCs w:val="24"/>
        </w:rPr>
        <w:t>er</w:t>
      </w:r>
    </w:p>
    <w:p w14:paraId="2C8D2538" w14:textId="270DC1A2" w:rsidR="000E06AB" w:rsidRDefault="005C4A8E" w:rsidP="000E06AB">
      <w:pPr>
        <w:jc w:val="left"/>
        <w:rPr>
          <w:sz w:val="24"/>
          <w:szCs w:val="20"/>
        </w:rPr>
      </w:pPr>
      <w:bookmarkStart w:id="127" w:name="_Toc526155549"/>
      <w:bookmarkStart w:id="128" w:name="_Toc526253986"/>
      <w:bookmarkStart w:id="129" w:name="_Toc526348411"/>
      <w:bookmarkStart w:id="130" w:name="_Toc526374602"/>
      <w:bookmarkStart w:id="131" w:name="_Toc526374618"/>
      <w:bookmarkStart w:id="132" w:name="_Toc526406481"/>
      <w:bookmarkStart w:id="133" w:name="_Toc526409507"/>
      <w:bookmarkStart w:id="134" w:name="_Toc526491406"/>
      <w:bookmarkStart w:id="135" w:name="_Toc526505518"/>
      <w:bookmarkStart w:id="136" w:name="_Toc526756610"/>
      <w:r w:rsidRPr="00D97C05">
        <w:rPr>
          <w:rFonts w:cs="Times New Roman"/>
          <w:sz w:val="24"/>
          <w:szCs w:val="24"/>
        </w:rPr>
        <w:t>2.1.</w:t>
      </w:r>
      <w:r w:rsidR="000E06AB" w:rsidRPr="000E06AB">
        <w:rPr>
          <w:sz w:val="24"/>
          <w:szCs w:val="20"/>
        </w:rPr>
        <w:t xml:space="preserve"> </w:t>
      </w:r>
      <w:r w:rsidR="0029075F" w:rsidRPr="0029075F">
        <w:rPr>
          <w:sz w:val="24"/>
          <w:szCs w:val="20"/>
        </w:rPr>
        <w:t>Bemyndigelse til at fastsætte nærmere regler om ansattes adgang til oplysninger fra tredjepart om resultater af asbestprøver</w:t>
      </w:r>
    </w:p>
    <w:p w14:paraId="6A195E8E" w14:textId="77777777" w:rsidR="000E06AB" w:rsidRDefault="000E06AB" w:rsidP="000E06AB">
      <w:pPr>
        <w:jc w:val="left"/>
        <w:rPr>
          <w:sz w:val="24"/>
          <w:szCs w:val="20"/>
        </w:rPr>
      </w:pPr>
    </w:p>
    <w:p w14:paraId="236010F7" w14:textId="5EB3499E" w:rsidR="000E06AB" w:rsidRPr="000E06AB" w:rsidRDefault="000E06AB" w:rsidP="000E06AB">
      <w:pPr>
        <w:jc w:val="left"/>
        <w:rPr>
          <w:sz w:val="24"/>
        </w:rPr>
      </w:pPr>
      <w:r w:rsidRPr="000E06AB">
        <w:rPr>
          <w:sz w:val="24"/>
        </w:rPr>
        <w:t>2.1.1. Gældende ret</w:t>
      </w:r>
    </w:p>
    <w:p w14:paraId="646DDF3B" w14:textId="77777777" w:rsidR="000E06AB" w:rsidRDefault="000E06AB" w:rsidP="000E06AB">
      <w:pPr>
        <w:jc w:val="left"/>
        <w:rPr>
          <w:sz w:val="24"/>
          <w:szCs w:val="20"/>
        </w:rPr>
      </w:pPr>
    </w:p>
    <w:p w14:paraId="7B938E41" w14:textId="653E556D" w:rsidR="000E06AB" w:rsidRDefault="000E06AB" w:rsidP="000E06AB">
      <w:pPr>
        <w:jc w:val="left"/>
        <w:rPr>
          <w:sz w:val="24"/>
          <w:szCs w:val="20"/>
        </w:rPr>
      </w:pPr>
      <w:r w:rsidRPr="0009695E">
        <w:rPr>
          <w:sz w:val="24"/>
          <w:szCs w:val="20"/>
        </w:rPr>
        <w:lastRenderedPageBreak/>
        <w:t xml:space="preserve">Det fremgår af § 38 i lov om arbejdsmiljø, jf. lovbekendtgørelse nr. 1108 af 15. september 2025, at arbejdet skal planlægges og tilrettelægges og udføres således, at det er sikkerheds- og sundhedsmæssigt fuldt forsvarligt. </w:t>
      </w:r>
    </w:p>
    <w:p w14:paraId="66C55670" w14:textId="77777777" w:rsidR="000E06AB" w:rsidRDefault="000E06AB" w:rsidP="000E06AB">
      <w:pPr>
        <w:jc w:val="left"/>
        <w:rPr>
          <w:sz w:val="24"/>
          <w:szCs w:val="20"/>
        </w:rPr>
      </w:pPr>
    </w:p>
    <w:p w14:paraId="3B91E639" w14:textId="77777777" w:rsidR="000E06AB" w:rsidRPr="0009695E" w:rsidRDefault="000E06AB" w:rsidP="000E06AB">
      <w:pPr>
        <w:jc w:val="left"/>
        <w:rPr>
          <w:sz w:val="24"/>
          <w:szCs w:val="20"/>
        </w:rPr>
      </w:pPr>
      <w:r>
        <w:rPr>
          <w:sz w:val="24"/>
          <w:szCs w:val="20"/>
        </w:rPr>
        <w:t>I</w:t>
      </w:r>
      <w:r w:rsidRPr="0009695E">
        <w:rPr>
          <w:sz w:val="24"/>
          <w:szCs w:val="20"/>
        </w:rPr>
        <w:t xml:space="preserve"> </w:t>
      </w:r>
      <w:r>
        <w:rPr>
          <w:sz w:val="24"/>
          <w:szCs w:val="20"/>
        </w:rPr>
        <w:t xml:space="preserve">arbejdsmiljølovens </w:t>
      </w:r>
      <w:r w:rsidRPr="0009695E">
        <w:rPr>
          <w:sz w:val="24"/>
          <w:szCs w:val="20"/>
        </w:rPr>
        <w:t xml:space="preserve">§ 39 fremgår det desuden, at beskæftigelsesministeren kan fastsætte nærmere regler om, hvilke krav der skal være opfyldt for, at arbejdet kan anses for fuldt forsvarligt planlagt, tilrettelagt og udført. Herunder om sikkerheds- og sundhedsmæssige foranstaltninger vedrørende arbejder, arbejdsprocesser og -metoder, forbud mod særligt farlige arbejder, arbejdsprocesser og -metoder, og krav til opslag og egnet markering. </w:t>
      </w:r>
    </w:p>
    <w:p w14:paraId="6739E2E2" w14:textId="77777777" w:rsidR="000E06AB" w:rsidRPr="0009695E" w:rsidRDefault="000E06AB" w:rsidP="000E06AB">
      <w:pPr>
        <w:jc w:val="left"/>
        <w:rPr>
          <w:sz w:val="24"/>
          <w:szCs w:val="20"/>
        </w:rPr>
      </w:pPr>
    </w:p>
    <w:p w14:paraId="32C1F190" w14:textId="77777777" w:rsidR="000E06AB" w:rsidRDefault="000E06AB" w:rsidP="000E06AB">
      <w:pPr>
        <w:jc w:val="left"/>
        <w:rPr>
          <w:sz w:val="24"/>
          <w:szCs w:val="20"/>
        </w:rPr>
      </w:pPr>
      <w:r>
        <w:rPr>
          <w:sz w:val="24"/>
          <w:szCs w:val="20"/>
        </w:rPr>
        <w:t>Arbejdstilsynet har i bekendtgørelse nr. 744 af 18. juni 2025 om asbest i arbejdsmiljøet (asbestbekendtgørelsen) fastsat nærmere regler om, at p</w:t>
      </w:r>
      <w:r w:rsidRPr="0009695E">
        <w:rPr>
          <w:sz w:val="24"/>
          <w:szCs w:val="20"/>
        </w:rPr>
        <w:t>røvetagning og analyse til at bestemme, om der er asbest i en materialeprøve, geltapeprøve mv., skal foretages i overensstemmelse med egnede, anerkendte metoder</w:t>
      </w:r>
      <w:r>
        <w:rPr>
          <w:sz w:val="24"/>
          <w:szCs w:val="20"/>
        </w:rPr>
        <w:t>, og at p</w:t>
      </w:r>
      <w:r w:rsidRPr="0009695E">
        <w:rPr>
          <w:sz w:val="24"/>
          <w:szCs w:val="20"/>
        </w:rPr>
        <w:t>røvetagningen, herunder valg af prøvetagningssteder, skal være repræsentativ i forhold til formålet med en undersøgelse for asbest.</w:t>
      </w:r>
      <w:r>
        <w:rPr>
          <w:sz w:val="24"/>
          <w:szCs w:val="20"/>
        </w:rPr>
        <w:t xml:space="preserve"> Samtidig er der krav om, at p</w:t>
      </w:r>
      <w:r w:rsidRPr="0009695E">
        <w:rPr>
          <w:sz w:val="24"/>
          <w:szCs w:val="20"/>
        </w:rPr>
        <w:t>ersoner, som tilrettelægger materialeprøver, geltapeprøver mv., og personer, som forestår prøvetagning, asbestanalyse</w:t>
      </w:r>
      <w:r>
        <w:rPr>
          <w:sz w:val="24"/>
          <w:szCs w:val="20"/>
        </w:rPr>
        <w:t xml:space="preserve"> </w:t>
      </w:r>
      <w:r w:rsidRPr="0009695E">
        <w:rPr>
          <w:sz w:val="24"/>
          <w:szCs w:val="20"/>
        </w:rPr>
        <w:t>og rapportering af resultatet, skal have de nødvendige kvalifikationer.</w:t>
      </w:r>
    </w:p>
    <w:p w14:paraId="555CE5A5" w14:textId="77777777" w:rsidR="000E06AB" w:rsidRPr="0009695E" w:rsidRDefault="000E06AB" w:rsidP="000E06AB">
      <w:pPr>
        <w:jc w:val="left"/>
        <w:rPr>
          <w:sz w:val="24"/>
          <w:szCs w:val="20"/>
        </w:rPr>
      </w:pPr>
    </w:p>
    <w:p w14:paraId="67E2DDF4" w14:textId="77777777" w:rsidR="000E06AB" w:rsidRDefault="000E06AB" w:rsidP="000E06AB">
      <w:pPr>
        <w:jc w:val="left"/>
        <w:rPr>
          <w:sz w:val="24"/>
          <w:szCs w:val="20"/>
        </w:rPr>
      </w:pPr>
      <w:r>
        <w:rPr>
          <w:sz w:val="24"/>
          <w:szCs w:val="20"/>
        </w:rPr>
        <w:t>Det fremgår af</w:t>
      </w:r>
      <w:r w:rsidRPr="0009695E">
        <w:rPr>
          <w:sz w:val="24"/>
          <w:szCs w:val="20"/>
        </w:rPr>
        <w:t xml:space="preserve"> </w:t>
      </w:r>
      <w:r>
        <w:rPr>
          <w:sz w:val="24"/>
          <w:szCs w:val="20"/>
        </w:rPr>
        <w:t>asbestbekendtgørelsens § 10, at det inden nedrivning, reparation eller vedligeholdelse påbegyndes ved en forundersøgelse skal være fastslået, hvilke materialer der kan formodes at indeholde asbest.</w:t>
      </w:r>
      <w:r w:rsidRPr="0009695E">
        <w:rPr>
          <w:sz w:val="24"/>
          <w:szCs w:val="20"/>
        </w:rPr>
        <w:t xml:space="preserve"> Forundersøgelsen kan understøttes af oplysninger fra eksempelvis ejerne. Hvis der er den mindste grund til mistanke om forekomst af asbest i et materiale eller en bygning, skal arbejdet betragtes som et asbestarbejde og udføres efter reglerne i asbestbekendtgørelsen.</w:t>
      </w:r>
    </w:p>
    <w:p w14:paraId="0569D2E1" w14:textId="77777777" w:rsidR="000E06AB" w:rsidRPr="0009695E" w:rsidRDefault="000E06AB" w:rsidP="000E06AB">
      <w:pPr>
        <w:jc w:val="left"/>
        <w:rPr>
          <w:sz w:val="24"/>
          <w:szCs w:val="20"/>
        </w:rPr>
      </w:pPr>
    </w:p>
    <w:p w14:paraId="47CBB12B" w14:textId="77777777" w:rsidR="000E06AB" w:rsidRDefault="000E06AB" w:rsidP="000E06AB">
      <w:pPr>
        <w:jc w:val="left"/>
        <w:rPr>
          <w:sz w:val="24"/>
          <w:szCs w:val="20"/>
        </w:rPr>
      </w:pPr>
      <w:r w:rsidRPr="008B128C">
        <w:rPr>
          <w:sz w:val="24"/>
          <w:szCs w:val="20"/>
        </w:rPr>
        <w:t xml:space="preserve">Når det er nødvendigt for at fastslå, hvilke materialer </w:t>
      </w:r>
      <w:r w:rsidRPr="0009695E">
        <w:rPr>
          <w:sz w:val="24"/>
          <w:szCs w:val="20"/>
        </w:rPr>
        <w:t>der kan formodes at indeholde asbest, skal der i forbindelse med forundersøgelsen tages prøver af relevante materialer med henblik på asbestanalyse.</w:t>
      </w:r>
      <w:r>
        <w:rPr>
          <w:sz w:val="24"/>
          <w:szCs w:val="20"/>
        </w:rPr>
        <w:t xml:space="preserve"> </w:t>
      </w:r>
      <w:r w:rsidRPr="0009695E">
        <w:rPr>
          <w:sz w:val="24"/>
          <w:szCs w:val="20"/>
        </w:rPr>
        <w:t>Prøveresultater fra en forundersøgelse skal på arbejdsstedet være tilgængelige for de ansatte.</w:t>
      </w:r>
    </w:p>
    <w:p w14:paraId="6C5897A2" w14:textId="77777777" w:rsidR="000E06AB" w:rsidRDefault="000E06AB" w:rsidP="000E06AB">
      <w:pPr>
        <w:jc w:val="left"/>
        <w:rPr>
          <w:sz w:val="24"/>
          <w:szCs w:val="20"/>
        </w:rPr>
      </w:pPr>
    </w:p>
    <w:p w14:paraId="1DBE19F7" w14:textId="77777777" w:rsidR="000E06AB" w:rsidRDefault="000E06AB" w:rsidP="000E06AB">
      <w:pPr>
        <w:jc w:val="left"/>
        <w:rPr>
          <w:sz w:val="24"/>
          <w:szCs w:val="20"/>
        </w:rPr>
      </w:pPr>
      <w:r>
        <w:rPr>
          <w:sz w:val="24"/>
          <w:szCs w:val="20"/>
        </w:rPr>
        <w:t xml:space="preserve">En arbejdsgiver er i henhold til reglerne således ikke forpligtet til at få foretaget prøver og analyser, hvis det fx ved en besigtigelse af bygningen vurderes, at der er tale om asbestholdigt materiale. </w:t>
      </w:r>
    </w:p>
    <w:p w14:paraId="20F6D2CD" w14:textId="77777777" w:rsidR="000E06AB" w:rsidRDefault="000E06AB" w:rsidP="000E06AB">
      <w:pPr>
        <w:jc w:val="left"/>
        <w:rPr>
          <w:sz w:val="24"/>
          <w:szCs w:val="20"/>
        </w:rPr>
      </w:pPr>
    </w:p>
    <w:p w14:paraId="3801D38C" w14:textId="77777777" w:rsidR="000E06AB" w:rsidRDefault="000E06AB" w:rsidP="000E06AB">
      <w:pPr>
        <w:jc w:val="left"/>
        <w:rPr>
          <w:sz w:val="24"/>
          <w:szCs w:val="20"/>
        </w:rPr>
      </w:pPr>
      <w:r>
        <w:rPr>
          <w:sz w:val="24"/>
          <w:szCs w:val="20"/>
        </w:rPr>
        <w:lastRenderedPageBreak/>
        <w:t>Arbejdsmiljøloven</w:t>
      </w:r>
      <w:r w:rsidRPr="006C3DFD">
        <w:rPr>
          <w:sz w:val="24"/>
          <w:szCs w:val="20"/>
        </w:rPr>
        <w:t xml:space="preserve"> indeholder </w:t>
      </w:r>
      <w:r>
        <w:rPr>
          <w:sz w:val="24"/>
          <w:szCs w:val="20"/>
        </w:rPr>
        <w:t xml:space="preserve">i dag </w:t>
      </w:r>
      <w:r w:rsidRPr="006C3DFD">
        <w:rPr>
          <w:sz w:val="24"/>
          <w:szCs w:val="20"/>
        </w:rPr>
        <w:t xml:space="preserve">ikke hjemmel til at pålægge arbejdsgiveren pligt </w:t>
      </w:r>
      <w:r>
        <w:rPr>
          <w:sz w:val="24"/>
          <w:szCs w:val="20"/>
        </w:rPr>
        <w:t xml:space="preserve">til </w:t>
      </w:r>
      <w:r w:rsidRPr="006C3DFD">
        <w:rPr>
          <w:sz w:val="24"/>
          <w:szCs w:val="20"/>
        </w:rPr>
        <w:t xml:space="preserve">at </w:t>
      </w:r>
      <w:r>
        <w:rPr>
          <w:sz w:val="24"/>
          <w:szCs w:val="20"/>
        </w:rPr>
        <w:t>sikre, at ansatte får adgang til prøveresultater d</w:t>
      </w:r>
      <w:r w:rsidRPr="0009695E">
        <w:rPr>
          <w:sz w:val="24"/>
          <w:szCs w:val="20"/>
        </w:rPr>
        <w:t>irekte fra den ansvarlige for udførelse og rapportering af asbestanalyse.</w:t>
      </w:r>
      <w:r>
        <w:rPr>
          <w:sz w:val="24"/>
          <w:szCs w:val="20"/>
        </w:rPr>
        <w:t xml:space="preserve"> Der er derfor heller ikke fastsat regler om, på hvilken måde de ansatte skal få adgang til disse oplysninger</w:t>
      </w:r>
      <w:r w:rsidRPr="0009695E">
        <w:rPr>
          <w:sz w:val="24"/>
          <w:szCs w:val="20"/>
        </w:rPr>
        <w:t xml:space="preserve">. </w:t>
      </w:r>
    </w:p>
    <w:p w14:paraId="0A149D4D" w14:textId="36646171" w:rsidR="00E86181" w:rsidRDefault="00E86181" w:rsidP="006108C2">
      <w:pPr>
        <w:pStyle w:val="Overskrift2"/>
        <w:rPr>
          <w:rFonts w:cs="Times New Roman"/>
          <w:sz w:val="24"/>
          <w:szCs w:val="24"/>
        </w:rPr>
      </w:pPr>
    </w:p>
    <w:p w14:paraId="3896911D" w14:textId="77777777" w:rsidR="000E06AB" w:rsidRPr="00D97C05" w:rsidRDefault="000E06AB" w:rsidP="000E06AB">
      <w:pPr>
        <w:spacing w:after="240"/>
        <w:rPr>
          <w:sz w:val="24"/>
        </w:rPr>
      </w:pPr>
      <w:r w:rsidRPr="00D97C05">
        <w:rPr>
          <w:sz w:val="24"/>
        </w:rPr>
        <w:t>2.1.2. Beskæftigelsesministeriets overvejelser</w:t>
      </w:r>
    </w:p>
    <w:p w14:paraId="28BC8857" w14:textId="4D8CFD00" w:rsidR="000E06AB" w:rsidRDefault="000E06AB" w:rsidP="000E06AB">
      <w:pPr>
        <w:rPr>
          <w:sz w:val="24"/>
          <w:szCs w:val="20"/>
        </w:rPr>
      </w:pPr>
      <w:r w:rsidRPr="00D45CB5">
        <w:rPr>
          <w:sz w:val="24"/>
          <w:szCs w:val="20"/>
        </w:rPr>
        <w:t xml:space="preserve">Forslaget </w:t>
      </w:r>
      <w:r w:rsidR="00990450">
        <w:rPr>
          <w:sz w:val="24"/>
          <w:szCs w:val="20"/>
        </w:rPr>
        <w:t xml:space="preserve">har </w:t>
      </w:r>
      <w:r>
        <w:rPr>
          <w:sz w:val="24"/>
          <w:szCs w:val="20"/>
        </w:rPr>
        <w:t xml:space="preserve">baggrund </w:t>
      </w:r>
      <w:r w:rsidR="00990450">
        <w:rPr>
          <w:sz w:val="24"/>
          <w:szCs w:val="20"/>
        </w:rPr>
        <w:t>i</w:t>
      </w:r>
      <w:r>
        <w:rPr>
          <w:sz w:val="24"/>
          <w:szCs w:val="20"/>
        </w:rPr>
        <w:t xml:space="preserve"> </w:t>
      </w:r>
      <w:r w:rsidRPr="00D45CB5">
        <w:rPr>
          <w:sz w:val="24"/>
          <w:szCs w:val="20"/>
        </w:rPr>
        <w:t>aftale</w:t>
      </w:r>
      <w:r w:rsidR="009658BE">
        <w:rPr>
          <w:sz w:val="24"/>
          <w:szCs w:val="20"/>
        </w:rPr>
        <w:t>n</w:t>
      </w:r>
      <w:r w:rsidRPr="00D45CB5">
        <w:rPr>
          <w:sz w:val="24"/>
          <w:szCs w:val="20"/>
        </w:rPr>
        <w:t xml:space="preserve"> </w:t>
      </w:r>
      <w:r>
        <w:rPr>
          <w:sz w:val="24"/>
          <w:szCs w:val="20"/>
        </w:rPr>
        <w:t>fra oktober 2025 o</w:t>
      </w:r>
      <w:r w:rsidRPr="00D45CB5">
        <w:rPr>
          <w:sz w:val="24"/>
          <w:szCs w:val="20"/>
        </w:rPr>
        <w:t xml:space="preserve">m </w:t>
      </w:r>
      <w:r w:rsidR="009658BE">
        <w:rPr>
          <w:rFonts w:eastAsia="Calibri" w:cs="Times New Roman"/>
          <w:sz w:val="24"/>
          <w:szCs w:val="24"/>
        </w:rPr>
        <w:t>en national strategi om asbest</w:t>
      </w:r>
      <w:r>
        <w:rPr>
          <w:sz w:val="24"/>
          <w:szCs w:val="20"/>
        </w:rPr>
        <w:t>, hvor et af</w:t>
      </w:r>
      <w:r w:rsidRPr="00D45CB5">
        <w:rPr>
          <w:sz w:val="24"/>
          <w:szCs w:val="20"/>
        </w:rPr>
        <w:t xml:space="preserve"> initiativ</w:t>
      </w:r>
      <w:r>
        <w:rPr>
          <w:sz w:val="24"/>
          <w:szCs w:val="20"/>
        </w:rPr>
        <w:t>erne</w:t>
      </w:r>
      <w:r w:rsidRPr="00D45CB5">
        <w:rPr>
          <w:sz w:val="24"/>
          <w:szCs w:val="20"/>
        </w:rPr>
        <w:t xml:space="preserve"> </w:t>
      </w:r>
      <w:r>
        <w:rPr>
          <w:sz w:val="24"/>
          <w:szCs w:val="20"/>
        </w:rPr>
        <w:t xml:space="preserve">handler om, at </w:t>
      </w:r>
      <w:r w:rsidRPr="00D45CB5">
        <w:rPr>
          <w:sz w:val="24"/>
          <w:szCs w:val="20"/>
        </w:rPr>
        <w:t>arbejdsgiver</w:t>
      </w:r>
      <w:r>
        <w:rPr>
          <w:sz w:val="24"/>
          <w:szCs w:val="20"/>
        </w:rPr>
        <w:t xml:space="preserve"> skal forpligtes til at sikre, at arbejdsmiljøorganisationen eller, hvis der ikke er krav om en sådan, </w:t>
      </w:r>
      <w:r w:rsidRPr="00D45CB5">
        <w:rPr>
          <w:sz w:val="24"/>
          <w:szCs w:val="20"/>
        </w:rPr>
        <w:t xml:space="preserve">de </w:t>
      </w:r>
      <w:r>
        <w:rPr>
          <w:sz w:val="24"/>
          <w:szCs w:val="20"/>
        </w:rPr>
        <w:t>a</w:t>
      </w:r>
      <w:r w:rsidRPr="00D45CB5">
        <w:rPr>
          <w:sz w:val="24"/>
          <w:szCs w:val="20"/>
        </w:rPr>
        <w:t xml:space="preserve">nsatte, </w:t>
      </w:r>
      <w:r>
        <w:rPr>
          <w:sz w:val="24"/>
          <w:szCs w:val="20"/>
        </w:rPr>
        <w:t xml:space="preserve">får oplysninger om resultater af asbestprøver direkte fra den tredjepart, som på arbejdsgivers foranledning har foretaget asbestanalyse. </w:t>
      </w:r>
      <w:r w:rsidRPr="00D45CB5">
        <w:rPr>
          <w:sz w:val="24"/>
          <w:szCs w:val="20"/>
        </w:rPr>
        <w:t xml:space="preserve">På denne måde sikres det, at arbejdsgiveren </w:t>
      </w:r>
      <w:r>
        <w:rPr>
          <w:sz w:val="24"/>
          <w:szCs w:val="20"/>
        </w:rPr>
        <w:t>eller andre ikke har mulighed for at forfalske resultaterne eller på anden måde afholde de ansatte fra at få viden om, at der er tale om asbest i arbejdsmiljøet</w:t>
      </w:r>
      <w:r w:rsidRPr="00D45CB5">
        <w:rPr>
          <w:sz w:val="24"/>
          <w:szCs w:val="20"/>
        </w:rPr>
        <w:t>.</w:t>
      </w:r>
      <w:r>
        <w:rPr>
          <w:sz w:val="24"/>
          <w:szCs w:val="20"/>
        </w:rPr>
        <w:t xml:space="preserve"> </w:t>
      </w:r>
    </w:p>
    <w:p w14:paraId="63C72E25" w14:textId="77777777" w:rsidR="000E06AB" w:rsidRDefault="000E06AB" w:rsidP="000E06AB">
      <w:pPr>
        <w:rPr>
          <w:sz w:val="24"/>
          <w:szCs w:val="20"/>
        </w:rPr>
      </w:pPr>
    </w:p>
    <w:p w14:paraId="6B4238A6" w14:textId="77777777" w:rsidR="000E06AB" w:rsidRDefault="000E06AB" w:rsidP="000E06AB">
      <w:pPr>
        <w:rPr>
          <w:sz w:val="24"/>
          <w:szCs w:val="20"/>
        </w:rPr>
      </w:pPr>
      <w:r>
        <w:rPr>
          <w:sz w:val="24"/>
          <w:szCs w:val="20"/>
        </w:rPr>
        <w:t>Da det er op til den enkelte analysevirksomhed, hvordan de vil gøre oplysningerne tilgængelige, vil det med forslaget blive muligt at stille nærmere krav i asbestbekendtgørelsen til, hvilket format arbejdsgiveren skal sikre, at analysevirksomheden formidler resultaterne til de ansatte på. Det kunne fx være i form af</w:t>
      </w:r>
      <w:r w:rsidRPr="00696023">
        <w:rPr>
          <w:sz w:val="24"/>
          <w:szCs w:val="20"/>
        </w:rPr>
        <w:t xml:space="preserve"> QR-kode, </w:t>
      </w:r>
      <w:r>
        <w:rPr>
          <w:sz w:val="24"/>
          <w:szCs w:val="20"/>
        </w:rPr>
        <w:t>som peger direkte ind i virksomhedens analyseresultat for det enkelte arbejdssted, herunder med angivelse af stedet for prøvetagningen mv</w:t>
      </w:r>
      <w:r w:rsidRPr="00696023">
        <w:rPr>
          <w:sz w:val="24"/>
          <w:szCs w:val="20"/>
        </w:rPr>
        <w:t>.</w:t>
      </w:r>
      <w:r>
        <w:rPr>
          <w:sz w:val="24"/>
          <w:szCs w:val="20"/>
        </w:rPr>
        <w:t xml:space="preserve"> Det mest afgørende er imidlertid, at der anvendes en metode, som sikrer, at oplysninger gives direkte fra tredjeparten til de ansatte eller arbejdsmiljøorganisationen, hvis der er krav om en sådan, uden at arbejdsgiveren har indflydelse på resultatet. </w:t>
      </w:r>
    </w:p>
    <w:p w14:paraId="66843821" w14:textId="77777777" w:rsidR="000E06AB" w:rsidRDefault="000E06AB" w:rsidP="000E06AB">
      <w:pPr>
        <w:rPr>
          <w:sz w:val="24"/>
          <w:szCs w:val="20"/>
        </w:rPr>
      </w:pPr>
    </w:p>
    <w:p w14:paraId="2035B781" w14:textId="40FA52DC" w:rsidR="000E06AB" w:rsidRDefault="000E06AB" w:rsidP="00F95277">
      <w:pPr>
        <w:rPr>
          <w:sz w:val="24"/>
          <w:szCs w:val="24"/>
        </w:rPr>
      </w:pPr>
      <w:r>
        <w:rPr>
          <w:sz w:val="24"/>
          <w:szCs w:val="20"/>
        </w:rPr>
        <w:t>Af hensyn til den teknologiske udvikling og de enkelte analysevirksomheders virksomhedsmetoder mv. finder Be</w:t>
      </w:r>
      <w:r w:rsidRPr="0078384F">
        <w:rPr>
          <w:sz w:val="24"/>
        </w:rPr>
        <w:t>skæftigelsesministeriet det derfor hensigtsmæssigt, at</w:t>
      </w:r>
      <w:r>
        <w:rPr>
          <w:sz w:val="24"/>
        </w:rPr>
        <w:t xml:space="preserve"> resultaterne sikres videregivet til de ansatte direkte fra analysevirksomheden på en sådan måde, at der er tale om entydig identifikation af analyserne foretaget i forbindelse med arbejdsgivers forundersøgelse. Det er vigtigt, at de ansatte </w:t>
      </w:r>
      <w:r w:rsidRPr="004E6B52">
        <w:rPr>
          <w:sz w:val="24"/>
          <w:szCs w:val="24"/>
        </w:rPr>
        <w:t>kende</w:t>
      </w:r>
      <w:r>
        <w:rPr>
          <w:sz w:val="24"/>
          <w:szCs w:val="24"/>
        </w:rPr>
        <w:t>r evt.</w:t>
      </w:r>
      <w:r w:rsidRPr="004E6B52">
        <w:rPr>
          <w:sz w:val="24"/>
          <w:szCs w:val="24"/>
        </w:rPr>
        <w:t xml:space="preserve"> prøveresultater</w:t>
      </w:r>
      <w:r>
        <w:rPr>
          <w:sz w:val="24"/>
          <w:szCs w:val="24"/>
        </w:rPr>
        <w:t xml:space="preserve"> fra asbestprøver</w:t>
      </w:r>
      <w:r w:rsidRPr="004E6B52">
        <w:rPr>
          <w:sz w:val="24"/>
          <w:szCs w:val="24"/>
        </w:rPr>
        <w:t xml:space="preserve">, før arbejdet påbegyndes, for at sikre egen beskyttelse under udførelse af arbejdet. </w:t>
      </w:r>
    </w:p>
    <w:p w14:paraId="58A3A141" w14:textId="77777777" w:rsidR="000E06AB" w:rsidRPr="000E06AB" w:rsidRDefault="000E06AB" w:rsidP="000E06AB">
      <w:pPr>
        <w:rPr>
          <w:sz w:val="24"/>
          <w:szCs w:val="24"/>
        </w:rPr>
      </w:pPr>
    </w:p>
    <w:p w14:paraId="07B4A13B" w14:textId="01BF37B4" w:rsidR="000E06AB" w:rsidRPr="00D97C05" w:rsidRDefault="000E06AB" w:rsidP="000E06AB">
      <w:pPr>
        <w:spacing w:after="240"/>
        <w:rPr>
          <w:sz w:val="24"/>
        </w:rPr>
      </w:pPr>
      <w:r w:rsidRPr="00D97C05">
        <w:rPr>
          <w:sz w:val="24"/>
        </w:rPr>
        <w:t>2.1.</w:t>
      </w:r>
      <w:r>
        <w:rPr>
          <w:sz w:val="24"/>
        </w:rPr>
        <w:t>3</w:t>
      </w:r>
      <w:r w:rsidRPr="00D97C05">
        <w:rPr>
          <w:sz w:val="24"/>
        </w:rPr>
        <w:t xml:space="preserve">. </w:t>
      </w:r>
      <w:r>
        <w:rPr>
          <w:sz w:val="24"/>
        </w:rPr>
        <w:t>Den foreslåede ordning</w:t>
      </w:r>
    </w:p>
    <w:p w14:paraId="56839EB3" w14:textId="489C255D" w:rsidR="000E06AB" w:rsidRDefault="000E06AB" w:rsidP="000E06AB">
      <w:pPr>
        <w:spacing w:after="240"/>
        <w:rPr>
          <w:rFonts w:eastAsia="Calibri" w:cs="Times New Roman"/>
          <w:sz w:val="24"/>
          <w:szCs w:val="24"/>
        </w:rPr>
      </w:pPr>
      <w:r>
        <w:rPr>
          <w:rFonts w:eastAsia="Calibri" w:cs="Times New Roman"/>
          <w:sz w:val="24"/>
          <w:szCs w:val="24"/>
        </w:rPr>
        <w:lastRenderedPageBreak/>
        <w:t>I dag er der krav</w:t>
      </w:r>
      <w:r w:rsidRPr="00E40310">
        <w:rPr>
          <w:rFonts w:eastAsia="Calibri" w:cs="Times New Roman"/>
          <w:sz w:val="24"/>
          <w:szCs w:val="24"/>
        </w:rPr>
        <w:t xml:space="preserve"> om, at prøveresultater fra en forundersøgelse om asbest skal være tilgængelige på arbejdsstedet for de ansatte</w:t>
      </w:r>
      <w:r w:rsidR="00722E17">
        <w:rPr>
          <w:rFonts w:eastAsia="Calibri" w:cs="Times New Roman"/>
          <w:sz w:val="24"/>
          <w:szCs w:val="24"/>
        </w:rPr>
        <w:t>.</w:t>
      </w:r>
      <w:r w:rsidRPr="00E40310">
        <w:rPr>
          <w:rFonts w:eastAsia="Calibri" w:cs="Times New Roman"/>
          <w:sz w:val="24"/>
          <w:szCs w:val="24"/>
        </w:rPr>
        <w:t xml:space="preserve"> Der er imidlertid eksempler på, at</w:t>
      </w:r>
      <w:r>
        <w:rPr>
          <w:rFonts w:eastAsia="Calibri" w:cs="Times New Roman"/>
          <w:sz w:val="24"/>
          <w:szCs w:val="24"/>
        </w:rPr>
        <w:t xml:space="preserve"> </w:t>
      </w:r>
      <w:r w:rsidRPr="00E40310">
        <w:rPr>
          <w:rFonts w:eastAsia="Calibri" w:cs="Times New Roman"/>
          <w:sz w:val="24"/>
          <w:szCs w:val="24"/>
        </w:rPr>
        <w:t xml:space="preserve">arbejdsgivere </w:t>
      </w:r>
      <w:r>
        <w:rPr>
          <w:rFonts w:eastAsia="Calibri" w:cs="Times New Roman"/>
          <w:sz w:val="24"/>
          <w:szCs w:val="24"/>
        </w:rPr>
        <w:t xml:space="preserve">har </w:t>
      </w:r>
      <w:r w:rsidRPr="00E40310">
        <w:rPr>
          <w:rFonts w:eastAsia="Calibri" w:cs="Times New Roman"/>
          <w:sz w:val="24"/>
          <w:szCs w:val="24"/>
        </w:rPr>
        <w:t>forfalske</w:t>
      </w:r>
      <w:r>
        <w:rPr>
          <w:rFonts w:eastAsia="Calibri" w:cs="Times New Roman"/>
          <w:sz w:val="24"/>
          <w:szCs w:val="24"/>
        </w:rPr>
        <w:t>t</w:t>
      </w:r>
      <w:r w:rsidRPr="00E40310">
        <w:rPr>
          <w:rFonts w:eastAsia="Calibri" w:cs="Times New Roman"/>
          <w:sz w:val="24"/>
          <w:szCs w:val="24"/>
        </w:rPr>
        <w:t xml:space="preserve"> resultaterne, før de gøres tilgængelige for de ansatte. </w:t>
      </w:r>
    </w:p>
    <w:p w14:paraId="126C2274" w14:textId="77777777" w:rsidR="000E06AB" w:rsidRDefault="000E06AB" w:rsidP="000E06AB">
      <w:pPr>
        <w:rPr>
          <w:sz w:val="24"/>
          <w:szCs w:val="20"/>
        </w:rPr>
      </w:pPr>
      <w:r w:rsidRPr="00E40310">
        <w:rPr>
          <w:rFonts w:eastAsia="Calibri" w:cs="Times New Roman"/>
          <w:sz w:val="24"/>
          <w:szCs w:val="24"/>
        </w:rPr>
        <w:t xml:space="preserve">Den foreslåede ordning vil medføre, at </w:t>
      </w:r>
      <w:r w:rsidRPr="00E40310">
        <w:rPr>
          <w:sz w:val="24"/>
          <w:szCs w:val="20"/>
        </w:rPr>
        <w:t>beskæftigelsesministeren får bemyndigelse til at fastsætte nærmere regler</w:t>
      </w:r>
      <w:r>
        <w:rPr>
          <w:sz w:val="24"/>
          <w:szCs w:val="20"/>
        </w:rPr>
        <w:t xml:space="preserve"> om, at arbejdsgiver</w:t>
      </w:r>
      <w:r w:rsidRPr="00E40310">
        <w:rPr>
          <w:sz w:val="24"/>
          <w:szCs w:val="20"/>
        </w:rPr>
        <w:t xml:space="preserve"> skal sikre, at</w:t>
      </w:r>
      <w:r>
        <w:rPr>
          <w:sz w:val="24"/>
          <w:szCs w:val="20"/>
        </w:rPr>
        <w:t xml:space="preserve"> ansatte får adgang til</w:t>
      </w:r>
      <w:r w:rsidRPr="00E40310">
        <w:rPr>
          <w:sz w:val="24"/>
          <w:szCs w:val="20"/>
        </w:rPr>
        <w:t xml:space="preserve"> resultater af </w:t>
      </w:r>
      <w:r>
        <w:rPr>
          <w:sz w:val="24"/>
          <w:szCs w:val="20"/>
        </w:rPr>
        <w:t>asbest</w:t>
      </w:r>
      <w:r w:rsidRPr="00E40310">
        <w:rPr>
          <w:sz w:val="24"/>
          <w:szCs w:val="20"/>
        </w:rPr>
        <w:t>prøve</w:t>
      </w:r>
      <w:r>
        <w:rPr>
          <w:sz w:val="24"/>
          <w:szCs w:val="20"/>
        </w:rPr>
        <w:t xml:space="preserve">r </w:t>
      </w:r>
      <w:r w:rsidRPr="00E40310">
        <w:rPr>
          <w:sz w:val="24"/>
          <w:szCs w:val="20"/>
        </w:rPr>
        <w:t>direkte fra den ansvarlige for analyse og rapportering.</w:t>
      </w:r>
      <w:r w:rsidRPr="00AA414A">
        <w:rPr>
          <w:sz w:val="24"/>
          <w:szCs w:val="20"/>
        </w:rPr>
        <w:t xml:space="preserve"> </w:t>
      </w:r>
      <w:r>
        <w:rPr>
          <w:sz w:val="24"/>
          <w:szCs w:val="20"/>
        </w:rPr>
        <w:t xml:space="preserve">Bestemmelsen sigter således til at sikre adgang for de ansatte til analyseresultater af asbestprøver, som har betydning for deres arbejde. Det vil typisk være resultater af prøver, der er foretaget som led i forundersøgelser for asbest, men det kan også være resultater af asbestprøver fra senere processer i arbejdet.  </w:t>
      </w:r>
    </w:p>
    <w:p w14:paraId="5972856B" w14:textId="77777777" w:rsidR="000E06AB" w:rsidRDefault="000E06AB" w:rsidP="000E06AB">
      <w:pPr>
        <w:rPr>
          <w:sz w:val="24"/>
          <w:szCs w:val="20"/>
        </w:rPr>
      </w:pPr>
    </w:p>
    <w:p w14:paraId="19754C70" w14:textId="77777777" w:rsidR="000E06AB" w:rsidRDefault="000E06AB" w:rsidP="000E06AB">
      <w:pPr>
        <w:rPr>
          <w:sz w:val="24"/>
          <w:szCs w:val="20"/>
        </w:rPr>
      </w:pPr>
      <w:r>
        <w:rPr>
          <w:sz w:val="24"/>
          <w:szCs w:val="20"/>
        </w:rPr>
        <w:t>I</w:t>
      </w:r>
      <w:r w:rsidRPr="00696023">
        <w:rPr>
          <w:sz w:val="24"/>
          <w:szCs w:val="20"/>
        </w:rPr>
        <w:t xml:space="preserve"> små virksomheder med under 10 ansatte, hvor der ikke skal oprettes en arbejdsmiljøorganisation i virksomheden</w:t>
      </w:r>
      <w:r>
        <w:rPr>
          <w:sz w:val="24"/>
          <w:szCs w:val="20"/>
        </w:rPr>
        <w:t xml:space="preserve"> i henhold til de gældende regler i arbejdsmiljølovgivningen</w:t>
      </w:r>
      <w:r w:rsidRPr="00696023">
        <w:rPr>
          <w:sz w:val="24"/>
          <w:szCs w:val="20"/>
        </w:rPr>
        <w:t xml:space="preserve">, vil det være de ansatte, der skal modtage analyseresultaterne. </w:t>
      </w:r>
    </w:p>
    <w:p w14:paraId="4402341D" w14:textId="77777777" w:rsidR="000E06AB" w:rsidRDefault="000E06AB" w:rsidP="000E06AB">
      <w:pPr>
        <w:rPr>
          <w:sz w:val="24"/>
          <w:szCs w:val="20"/>
        </w:rPr>
      </w:pPr>
    </w:p>
    <w:p w14:paraId="239604B1" w14:textId="77777777" w:rsidR="000E06AB" w:rsidRDefault="000E06AB" w:rsidP="000E06AB">
      <w:pPr>
        <w:spacing w:after="240"/>
        <w:rPr>
          <w:sz w:val="24"/>
          <w:szCs w:val="20"/>
        </w:rPr>
      </w:pPr>
      <w:r w:rsidRPr="004E6B52">
        <w:rPr>
          <w:sz w:val="24"/>
          <w:szCs w:val="24"/>
        </w:rPr>
        <w:t xml:space="preserve">Det foreslås at afgrænse </w:t>
      </w:r>
      <w:r>
        <w:rPr>
          <w:sz w:val="24"/>
          <w:szCs w:val="24"/>
        </w:rPr>
        <w:t xml:space="preserve">kravet til at </w:t>
      </w:r>
      <w:r w:rsidRPr="00E40310">
        <w:rPr>
          <w:sz w:val="24"/>
          <w:szCs w:val="20"/>
        </w:rPr>
        <w:t xml:space="preserve">omfatte prøveresultater </w:t>
      </w:r>
      <w:r>
        <w:rPr>
          <w:sz w:val="24"/>
          <w:szCs w:val="20"/>
        </w:rPr>
        <w:t xml:space="preserve">af de asbestprøver, </w:t>
      </w:r>
      <w:r w:rsidRPr="00E40310">
        <w:rPr>
          <w:sz w:val="24"/>
          <w:szCs w:val="20"/>
        </w:rPr>
        <w:t>som arbejdsgiveren</w:t>
      </w:r>
      <w:r>
        <w:rPr>
          <w:sz w:val="24"/>
          <w:szCs w:val="20"/>
        </w:rPr>
        <w:t xml:space="preserve"> s</w:t>
      </w:r>
      <w:r w:rsidRPr="00E40310">
        <w:rPr>
          <w:sz w:val="24"/>
          <w:szCs w:val="20"/>
        </w:rPr>
        <w:t>elv får udført</w:t>
      </w:r>
      <w:r>
        <w:rPr>
          <w:sz w:val="24"/>
          <w:szCs w:val="20"/>
        </w:rPr>
        <w:t xml:space="preserve">, typisk under en </w:t>
      </w:r>
      <w:r w:rsidRPr="00E40310">
        <w:rPr>
          <w:sz w:val="24"/>
          <w:szCs w:val="20"/>
        </w:rPr>
        <w:t>forundersøgelse.</w:t>
      </w:r>
      <w:r>
        <w:rPr>
          <w:sz w:val="24"/>
          <w:szCs w:val="20"/>
        </w:rPr>
        <w:t xml:space="preserve"> Det skyldes, at arbejdsgiver kun kan råde over de resultater, som vedkommende selv har bestilt hos fx en tredjepart. Hvis arbejdsgiveren får foretaget analyser af asbestprøver på andre tidspunkter under arbejdet, skal disse resultater også videregives til de ansatte direkte fra tredjeparten.</w:t>
      </w:r>
    </w:p>
    <w:p w14:paraId="3BE4F2B0" w14:textId="6047C4F2" w:rsidR="005C4A8E" w:rsidRPr="000E06AB" w:rsidRDefault="000E06AB" w:rsidP="000E06AB">
      <w:pPr>
        <w:spacing w:after="240"/>
        <w:rPr>
          <w:rFonts w:eastAsia="Calibri" w:cs="Times New Roman"/>
          <w:b/>
          <w:sz w:val="24"/>
          <w:szCs w:val="24"/>
        </w:rPr>
      </w:pPr>
      <w:r w:rsidRPr="00E40310">
        <w:rPr>
          <w:sz w:val="24"/>
          <w:szCs w:val="20"/>
        </w:rPr>
        <w:t xml:space="preserve">For at sikre, at resultaterne af analyserne ikke forfalskes eller på anden måde ændres af arbejdsgiveren eller andre, der kunne have en interesse heri, foreslås det, at der kan fastsættes nærmere regler </w:t>
      </w:r>
      <w:r>
        <w:rPr>
          <w:sz w:val="24"/>
          <w:szCs w:val="20"/>
        </w:rPr>
        <w:t>om,</w:t>
      </w:r>
      <w:r w:rsidRPr="00E40310">
        <w:rPr>
          <w:sz w:val="24"/>
          <w:szCs w:val="20"/>
        </w:rPr>
        <w:t xml:space="preserve"> hvordan arbejdsgiver skal sikre, at de ansatte eller arbejdsmiljøorganisationen</w:t>
      </w:r>
      <w:r>
        <w:rPr>
          <w:sz w:val="24"/>
          <w:szCs w:val="20"/>
        </w:rPr>
        <w:t>, hvis der er krav om en sådan,</w:t>
      </w:r>
      <w:r w:rsidRPr="00E40310">
        <w:rPr>
          <w:sz w:val="24"/>
          <w:szCs w:val="20"/>
        </w:rPr>
        <w:t xml:space="preserve"> får adgang til </w:t>
      </w:r>
      <w:r>
        <w:rPr>
          <w:sz w:val="24"/>
          <w:szCs w:val="20"/>
        </w:rPr>
        <w:t>prøve</w:t>
      </w:r>
      <w:r w:rsidRPr="00E40310">
        <w:rPr>
          <w:sz w:val="24"/>
          <w:szCs w:val="20"/>
        </w:rPr>
        <w:t xml:space="preserve">resultater </w:t>
      </w:r>
      <w:r>
        <w:rPr>
          <w:sz w:val="24"/>
          <w:szCs w:val="20"/>
        </w:rPr>
        <w:t xml:space="preserve">direkte </w:t>
      </w:r>
      <w:r w:rsidRPr="00E40310">
        <w:rPr>
          <w:sz w:val="24"/>
          <w:szCs w:val="20"/>
        </w:rPr>
        <w:t xml:space="preserve">fra den tredjemand, der har </w:t>
      </w:r>
      <w:r>
        <w:rPr>
          <w:sz w:val="24"/>
          <w:szCs w:val="20"/>
        </w:rPr>
        <w:t>analyseret asbestprøverne</w:t>
      </w:r>
      <w:r w:rsidRPr="00E40310">
        <w:rPr>
          <w:sz w:val="24"/>
          <w:szCs w:val="20"/>
        </w:rPr>
        <w:t xml:space="preserve">. En sådan entydig identifikation kunne fx være i form af en QR-kode, som muliggør adgang direkte ind i analysevirksomhedens register med resultater. Det kan også være andre typer eller metoder, der </w:t>
      </w:r>
      <w:r>
        <w:rPr>
          <w:sz w:val="24"/>
          <w:szCs w:val="20"/>
        </w:rPr>
        <w:t>sikrer, at</w:t>
      </w:r>
      <w:r w:rsidRPr="00E40310">
        <w:rPr>
          <w:sz w:val="24"/>
          <w:szCs w:val="20"/>
        </w:rPr>
        <w:t xml:space="preserve"> resultatet</w:t>
      </w:r>
      <w:r>
        <w:rPr>
          <w:sz w:val="24"/>
          <w:szCs w:val="20"/>
        </w:rPr>
        <w:t xml:space="preserve"> fra tredjepartens analyser</w:t>
      </w:r>
      <w:r w:rsidRPr="00E40310">
        <w:rPr>
          <w:sz w:val="24"/>
          <w:szCs w:val="20"/>
        </w:rPr>
        <w:t xml:space="preserve"> ikke er </w:t>
      </w:r>
      <w:r>
        <w:rPr>
          <w:sz w:val="24"/>
          <w:szCs w:val="20"/>
        </w:rPr>
        <w:t>kompromitteret af arbejdsgiver eller andre, når det videregives til arbejdsmiljøorganisationen eller de ansatte</w:t>
      </w:r>
      <w:r w:rsidRPr="00E40310">
        <w:rPr>
          <w:sz w:val="24"/>
          <w:szCs w:val="20"/>
        </w:rPr>
        <w:t>.</w:t>
      </w:r>
    </w:p>
    <w:p w14:paraId="129A4AA5" w14:textId="013AFD4B" w:rsidR="00CB6C4E" w:rsidRPr="00D97C05" w:rsidRDefault="00CB6C4E" w:rsidP="00CB6C4E">
      <w:pPr>
        <w:pStyle w:val="Overskrift2"/>
        <w:rPr>
          <w:rFonts w:cs="Times New Roman"/>
          <w:sz w:val="24"/>
          <w:szCs w:val="24"/>
        </w:rPr>
      </w:pPr>
      <w:r w:rsidRPr="00D97C05">
        <w:rPr>
          <w:rFonts w:cs="Times New Roman"/>
          <w:sz w:val="24"/>
          <w:szCs w:val="24"/>
        </w:rPr>
        <w:t>2.</w:t>
      </w:r>
      <w:r w:rsidR="000E06AB">
        <w:rPr>
          <w:rFonts w:cs="Times New Roman"/>
          <w:sz w:val="24"/>
          <w:szCs w:val="24"/>
        </w:rPr>
        <w:t>2</w:t>
      </w:r>
      <w:r w:rsidRPr="00D97C05">
        <w:rPr>
          <w:rFonts w:cs="Times New Roman"/>
          <w:sz w:val="24"/>
          <w:szCs w:val="24"/>
        </w:rPr>
        <w:t xml:space="preserve">. </w:t>
      </w:r>
      <w:r w:rsidR="00F05A72" w:rsidRPr="00D97C05">
        <w:rPr>
          <w:rFonts w:cs="Times New Roman"/>
          <w:sz w:val="24"/>
          <w:szCs w:val="24"/>
        </w:rPr>
        <w:t xml:space="preserve">Fængselsstraf </w:t>
      </w:r>
      <w:r w:rsidR="00724B03" w:rsidRPr="00D97C05">
        <w:rPr>
          <w:rFonts w:cs="Times New Roman"/>
          <w:sz w:val="24"/>
          <w:szCs w:val="24"/>
        </w:rPr>
        <w:t xml:space="preserve">til </w:t>
      </w:r>
      <w:r w:rsidR="008D1A01" w:rsidRPr="00D97C05">
        <w:rPr>
          <w:rFonts w:cs="Times New Roman"/>
          <w:sz w:val="24"/>
          <w:szCs w:val="24"/>
        </w:rPr>
        <w:t>personer i ledelsen</w:t>
      </w:r>
    </w:p>
    <w:p w14:paraId="0F4BA9D2" w14:textId="48D37186" w:rsidR="00F05A72" w:rsidRPr="00D97C05" w:rsidRDefault="00CB6C4E" w:rsidP="000E06AB">
      <w:pPr>
        <w:pStyle w:val="Undertitel"/>
        <w:spacing w:after="0"/>
      </w:pPr>
      <w:r w:rsidRPr="00D97C05">
        <w:rPr>
          <w:sz w:val="24"/>
        </w:rPr>
        <w:t>2.</w:t>
      </w:r>
      <w:r w:rsidR="000E06AB">
        <w:rPr>
          <w:sz w:val="24"/>
        </w:rPr>
        <w:t>2</w:t>
      </w:r>
      <w:r w:rsidRPr="00D97C05">
        <w:rPr>
          <w:sz w:val="24"/>
        </w:rPr>
        <w:t>.1. Gældende ret</w:t>
      </w:r>
    </w:p>
    <w:p w14:paraId="6AD1825F" w14:textId="72B70974" w:rsidR="00A535BA" w:rsidRPr="00D97C05" w:rsidRDefault="00A535BA" w:rsidP="00CB6C4E">
      <w:pPr>
        <w:spacing w:after="240"/>
        <w:rPr>
          <w:i/>
          <w:iCs/>
          <w:sz w:val="24"/>
        </w:rPr>
      </w:pPr>
      <w:bookmarkStart w:id="137" w:name="_Hlk208745550"/>
      <w:r w:rsidRPr="00D97C05">
        <w:rPr>
          <w:i/>
          <w:iCs/>
          <w:sz w:val="24"/>
        </w:rPr>
        <w:t>2.</w:t>
      </w:r>
      <w:r w:rsidR="000E06AB">
        <w:rPr>
          <w:i/>
          <w:iCs/>
          <w:sz w:val="24"/>
        </w:rPr>
        <w:t>2</w:t>
      </w:r>
      <w:r w:rsidRPr="00D97C05">
        <w:rPr>
          <w:i/>
          <w:iCs/>
          <w:sz w:val="24"/>
        </w:rPr>
        <w:t>.1.1</w:t>
      </w:r>
      <w:r w:rsidR="00D609EA" w:rsidRPr="00D97C05">
        <w:rPr>
          <w:i/>
          <w:iCs/>
          <w:sz w:val="24"/>
        </w:rPr>
        <w:t>.</w:t>
      </w:r>
      <w:r w:rsidRPr="00D97C05">
        <w:rPr>
          <w:i/>
          <w:iCs/>
          <w:sz w:val="24"/>
        </w:rPr>
        <w:t xml:space="preserve"> Fængselsstraf efter § 82, stk. 1</w:t>
      </w:r>
      <w:r w:rsidR="004F5E6B" w:rsidRPr="00D97C05">
        <w:rPr>
          <w:i/>
          <w:iCs/>
          <w:sz w:val="24"/>
        </w:rPr>
        <w:t xml:space="preserve"> og </w:t>
      </w:r>
      <w:r w:rsidR="00A25B14" w:rsidRPr="00D97C05">
        <w:rPr>
          <w:i/>
          <w:iCs/>
          <w:sz w:val="24"/>
        </w:rPr>
        <w:t>2</w:t>
      </w:r>
    </w:p>
    <w:bookmarkEnd w:id="137"/>
    <w:p w14:paraId="08296089" w14:textId="31597164" w:rsidR="00022D18" w:rsidRPr="00D97C05" w:rsidRDefault="00022D18" w:rsidP="00CB6C4E">
      <w:pPr>
        <w:spacing w:after="240"/>
        <w:rPr>
          <w:sz w:val="24"/>
        </w:rPr>
      </w:pPr>
      <w:r w:rsidRPr="00D97C05">
        <w:rPr>
          <w:sz w:val="24"/>
        </w:rPr>
        <w:lastRenderedPageBreak/>
        <w:t xml:space="preserve">Arbejdsmiljølovens § 82, stk. 1, </w:t>
      </w:r>
      <w:r w:rsidR="00700448" w:rsidRPr="00D97C05">
        <w:rPr>
          <w:sz w:val="24"/>
        </w:rPr>
        <w:t xml:space="preserve">giver mulighed for </w:t>
      </w:r>
      <w:r w:rsidR="00C24074" w:rsidRPr="00D97C05">
        <w:rPr>
          <w:sz w:val="24"/>
        </w:rPr>
        <w:t>fængselsstraf</w:t>
      </w:r>
      <w:r w:rsidRPr="00D97C05">
        <w:rPr>
          <w:sz w:val="24"/>
        </w:rPr>
        <w:t xml:space="preserve"> i indtil 1 år, i de situationer der nævnt under nr. 1-4, herunder den som:</w:t>
      </w:r>
    </w:p>
    <w:p w14:paraId="7DF9386D" w14:textId="77777777" w:rsidR="00022D18" w:rsidRPr="00D97C05" w:rsidRDefault="00022D18" w:rsidP="00022D18">
      <w:pPr>
        <w:spacing w:after="240"/>
        <w:rPr>
          <w:sz w:val="24"/>
        </w:rPr>
      </w:pPr>
      <w:r w:rsidRPr="00D97C05">
        <w:rPr>
          <w:sz w:val="24"/>
        </w:rPr>
        <w:t>1) overtræder § 15, § 15 a, § 16, § 17, stk. 1 og 2, § 18, § 19, § 20, stk. 1, § 20 a, stk. 1, § 21, stk. 1, § 23, §§ 25-34, § 37, stk. 1 og 6, § 38, stk. 1, § 42, stk. 1, § 45, stk. 1, § 48, stk. 1, § 63, stk. 5, § 75, stk. 4, § 76, stk. 1, eller de af Det Europæiske Fællesskabs forordninger vedrørende forhold omfattet af denne lov,</w:t>
      </w:r>
    </w:p>
    <w:p w14:paraId="5CF6B3DE" w14:textId="77777777" w:rsidR="00022D18" w:rsidRPr="00D97C05" w:rsidRDefault="00022D18" w:rsidP="00022D18">
      <w:pPr>
        <w:spacing w:after="240"/>
        <w:rPr>
          <w:sz w:val="24"/>
        </w:rPr>
      </w:pPr>
      <w:r w:rsidRPr="00D97C05">
        <w:rPr>
          <w:sz w:val="24"/>
        </w:rPr>
        <w:t>2) lader arbejde udføre i strid med kapitel 9 og 10, leder eller fører tilsyn med sådant arbejde eller udfører arbejde i strid med kapitel 9,</w:t>
      </w:r>
    </w:p>
    <w:p w14:paraId="7F5F38AA" w14:textId="77777777" w:rsidR="00022D18" w:rsidRPr="00D97C05" w:rsidRDefault="00022D18" w:rsidP="00022D18">
      <w:pPr>
        <w:spacing w:after="240"/>
        <w:rPr>
          <w:sz w:val="24"/>
        </w:rPr>
      </w:pPr>
      <w:r w:rsidRPr="00D97C05">
        <w:rPr>
          <w:sz w:val="24"/>
        </w:rPr>
        <w:t>3) ikke efterkommer påbud efter § 77, § 77 a, stk. 1 eller</w:t>
      </w:r>
    </w:p>
    <w:p w14:paraId="030DDCFB" w14:textId="77777777" w:rsidR="00022D18" w:rsidRPr="00D97C05" w:rsidRDefault="00022D18" w:rsidP="00022D18">
      <w:pPr>
        <w:spacing w:after="240"/>
        <w:rPr>
          <w:sz w:val="24"/>
        </w:rPr>
      </w:pPr>
      <w:r w:rsidRPr="00D97C05">
        <w:rPr>
          <w:sz w:val="24"/>
        </w:rPr>
        <w:t>4) undlader at meddele oplysninger efter § 22, stk. 2.</w:t>
      </w:r>
    </w:p>
    <w:p w14:paraId="18DEB007" w14:textId="4F5FE1F8" w:rsidR="00AB6FC0" w:rsidRPr="00D97C05" w:rsidRDefault="00022D18" w:rsidP="00402D92">
      <w:pPr>
        <w:spacing w:after="240"/>
        <w:rPr>
          <w:sz w:val="24"/>
        </w:rPr>
      </w:pPr>
      <w:r w:rsidRPr="00D97C05">
        <w:rPr>
          <w:sz w:val="24"/>
        </w:rPr>
        <w:t xml:space="preserve">Arbejdsmiljølovens § 82, stk. 2, </w:t>
      </w:r>
      <w:r w:rsidR="00700448" w:rsidRPr="00D97C05">
        <w:rPr>
          <w:sz w:val="24"/>
        </w:rPr>
        <w:t>giver mulighed for</w:t>
      </w:r>
      <w:r w:rsidR="00C24074" w:rsidRPr="00D97C05">
        <w:rPr>
          <w:sz w:val="24"/>
        </w:rPr>
        <w:t xml:space="preserve"> fængselsstraf</w:t>
      </w:r>
      <w:r w:rsidRPr="00D97C05">
        <w:rPr>
          <w:sz w:val="24"/>
        </w:rPr>
        <w:t xml:space="preserve"> i indtil </w:t>
      </w:r>
      <w:r w:rsidR="00C609E5" w:rsidRPr="00D97C05">
        <w:rPr>
          <w:sz w:val="24"/>
        </w:rPr>
        <w:t>2</w:t>
      </w:r>
      <w:r w:rsidRPr="00D97C05">
        <w:rPr>
          <w:sz w:val="24"/>
        </w:rPr>
        <w:t xml:space="preserve"> år, </w:t>
      </w:r>
      <w:r w:rsidR="00C609E5" w:rsidRPr="00D97C05">
        <w:rPr>
          <w:sz w:val="24"/>
        </w:rPr>
        <w:t>når overtrædelsen har medført en ulykke med alvorlig personskade eller døden til følge.</w:t>
      </w:r>
    </w:p>
    <w:p w14:paraId="04ECEC07" w14:textId="72F296EE" w:rsidR="00F56B70" w:rsidRPr="00D97C05" w:rsidRDefault="00A535BA" w:rsidP="00CB6C4E">
      <w:pPr>
        <w:spacing w:after="240"/>
        <w:rPr>
          <w:i/>
          <w:iCs/>
          <w:sz w:val="24"/>
        </w:rPr>
      </w:pPr>
      <w:r w:rsidRPr="00D97C05">
        <w:rPr>
          <w:i/>
          <w:iCs/>
          <w:sz w:val="24"/>
        </w:rPr>
        <w:t>2.</w:t>
      </w:r>
      <w:r w:rsidR="000E06AB">
        <w:rPr>
          <w:i/>
          <w:iCs/>
          <w:sz w:val="24"/>
        </w:rPr>
        <w:t>2</w:t>
      </w:r>
      <w:r w:rsidRPr="00D97C05">
        <w:rPr>
          <w:i/>
          <w:iCs/>
          <w:sz w:val="24"/>
        </w:rPr>
        <w:t>.1.</w:t>
      </w:r>
      <w:r w:rsidR="00A25B14" w:rsidRPr="00D97C05">
        <w:rPr>
          <w:i/>
          <w:iCs/>
          <w:sz w:val="24"/>
        </w:rPr>
        <w:t>2</w:t>
      </w:r>
      <w:r w:rsidR="00D609EA" w:rsidRPr="00D97C05">
        <w:rPr>
          <w:i/>
          <w:iCs/>
          <w:sz w:val="24"/>
        </w:rPr>
        <w:t>.</w:t>
      </w:r>
      <w:r w:rsidRPr="00D97C05">
        <w:rPr>
          <w:i/>
          <w:iCs/>
          <w:sz w:val="24"/>
        </w:rPr>
        <w:t xml:space="preserve"> Arbejdsgivers </w:t>
      </w:r>
      <w:r w:rsidR="00D609EA" w:rsidRPr="00D97C05">
        <w:rPr>
          <w:i/>
          <w:iCs/>
          <w:sz w:val="24"/>
        </w:rPr>
        <w:t xml:space="preserve">overordnede </w:t>
      </w:r>
      <w:r w:rsidRPr="00D97C05">
        <w:rPr>
          <w:i/>
          <w:iCs/>
          <w:sz w:val="24"/>
        </w:rPr>
        <w:t>ansvar</w:t>
      </w:r>
    </w:p>
    <w:p w14:paraId="611133F8" w14:textId="34D2DA84" w:rsidR="00402D92" w:rsidRPr="00D97C05" w:rsidRDefault="00046840" w:rsidP="00402D92">
      <w:pPr>
        <w:spacing w:after="240"/>
        <w:rPr>
          <w:sz w:val="24"/>
        </w:rPr>
      </w:pPr>
      <w:bookmarkStart w:id="138" w:name="_Hlk208818974"/>
      <w:r w:rsidRPr="00D97C05">
        <w:rPr>
          <w:sz w:val="24"/>
        </w:rPr>
        <w:t>E</w:t>
      </w:r>
      <w:r w:rsidR="00402D92" w:rsidRPr="00D97C05">
        <w:rPr>
          <w:sz w:val="24"/>
        </w:rPr>
        <w:t>fter arbejdsmiljølovgivningen har arbejdsgiveren det overordnede ansvar for, at arbejdsforholdene</w:t>
      </w:r>
      <w:r w:rsidR="00C03E43" w:rsidRPr="00D97C05">
        <w:rPr>
          <w:sz w:val="24"/>
        </w:rPr>
        <w:t xml:space="preserve"> er</w:t>
      </w:r>
      <w:r w:rsidR="00402D92" w:rsidRPr="00D97C05">
        <w:rPr>
          <w:sz w:val="24"/>
        </w:rPr>
        <w:t xml:space="preserve"> sikkerheds- og sundhedsmæssigt fuldt forsvarlige. </w:t>
      </w:r>
      <w:r w:rsidR="00A30DD5" w:rsidRPr="00D97C05">
        <w:rPr>
          <w:sz w:val="24"/>
        </w:rPr>
        <w:t>Det indebærer, at de fleste pligter, der gælder efter arbejdsmiljølovgivningen</w:t>
      </w:r>
      <w:r w:rsidR="00237046" w:rsidRPr="00D97C05">
        <w:rPr>
          <w:sz w:val="24"/>
        </w:rPr>
        <w:t>,</w:t>
      </w:r>
      <w:r w:rsidR="00A30DD5" w:rsidRPr="00D97C05">
        <w:rPr>
          <w:sz w:val="24"/>
        </w:rPr>
        <w:t xml:space="preserve"> er pålagt arbejder</w:t>
      </w:r>
      <w:r w:rsidR="008F1F75">
        <w:rPr>
          <w:sz w:val="24"/>
        </w:rPr>
        <w:t>giveren</w:t>
      </w:r>
      <w:r w:rsidR="00A30DD5" w:rsidRPr="00D97C05">
        <w:rPr>
          <w:sz w:val="24"/>
        </w:rPr>
        <w:t xml:space="preserve">. </w:t>
      </w:r>
      <w:r w:rsidR="00402D92" w:rsidRPr="00D97C05">
        <w:rPr>
          <w:sz w:val="24"/>
        </w:rPr>
        <w:t>Det betyder</w:t>
      </w:r>
      <w:r w:rsidR="00A30DD5" w:rsidRPr="00D97C05">
        <w:rPr>
          <w:sz w:val="24"/>
        </w:rPr>
        <w:t xml:space="preserve"> også</w:t>
      </w:r>
      <w:r w:rsidR="00402D92" w:rsidRPr="00D97C05">
        <w:rPr>
          <w:sz w:val="24"/>
        </w:rPr>
        <w:t xml:space="preserve">, at langt </w:t>
      </w:r>
      <w:r w:rsidR="005766FC" w:rsidRPr="00D97C05">
        <w:rPr>
          <w:sz w:val="24"/>
        </w:rPr>
        <w:t xml:space="preserve">den </w:t>
      </w:r>
      <w:r w:rsidR="00402D92" w:rsidRPr="00D97C05">
        <w:rPr>
          <w:sz w:val="24"/>
        </w:rPr>
        <w:t>overvejende del af straffesager</w:t>
      </w:r>
      <w:r w:rsidR="009A3BA6" w:rsidRPr="00D97C05">
        <w:rPr>
          <w:sz w:val="24"/>
        </w:rPr>
        <w:t xml:space="preserve"> om overtrædelse af arbejdsmiljølovgivningen</w:t>
      </w:r>
      <w:r w:rsidR="00402D92" w:rsidRPr="00D97C05">
        <w:rPr>
          <w:sz w:val="24"/>
        </w:rPr>
        <w:t xml:space="preserve"> rettes mod arbejdsgiveren.</w:t>
      </w:r>
    </w:p>
    <w:bookmarkEnd w:id="138"/>
    <w:p w14:paraId="140DFB45" w14:textId="4C3494F3" w:rsidR="0059008F" w:rsidRPr="00D97C05" w:rsidRDefault="0059008F" w:rsidP="0059008F">
      <w:pPr>
        <w:spacing w:after="240"/>
        <w:rPr>
          <w:sz w:val="24"/>
        </w:rPr>
      </w:pPr>
      <w:r w:rsidRPr="00D97C05">
        <w:rPr>
          <w:sz w:val="24"/>
        </w:rPr>
        <w:t>Arbejdsgivere</w:t>
      </w:r>
      <w:r w:rsidR="00A30DD5" w:rsidRPr="00D97C05">
        <w:rPr>
          <w:sz w:val="24"/>
        </w:rPr>
        <w:t>n</w:t>
      </w:r>
      <w:r w:rsidRPr="00D97C05">
        <w:rPr>
          <w:sz w:val="24"/>
        </w:rPr>
        <w:t xml:space="preserve"> kan enten være en juridisk person</w:t>
      </w:r>
      <w:r w:rsidR="00A931D4" w:rsidRPr="00D97C05">
        <w:rPr>
          <w:sz w:val="24"/>
        </w:rPr>
        <w:t xml:space="preserve"> (fx et aktieselskab mv.) </w:t>
      </w:r>
      <w:r w:rsidRPr="00D97C05">
        <w:rPr>
          <w:sz w:val="24"/>
        </w:rPr>
        <w:t xml:space="preserve">eller en personligt ejet virksomhed. </w:t>
      </w:r>
    </w:p>
    <w:p w14:paraId="70D14097" w14:textId="2F6A80C6" w:rsidR="003543F2" w:rsidRPr="00D97C05" w:rsidRDefault="003543F2" w:rsidP="00A931D4">
      <w:pPr>
        <w:spacing w:after="240"/>
        <w:rPr>
          <w:sz w:val="24"/>
        </w:rPr>
      </w:pPr>
      <w:r w:rsidRPr="00D97C05">
        <w:rPr>
          <w:sz w:val="24"/>
        </w:rPr>
        <w:t xml:space="preserve">Ifølge arbejdsmiljølovens § 86, 1. pkt., kan der pålægges selskaber m.v. (juridiske personer) strafansvar efter reglerne i straffelovens 5. kapitel. </w:t>
      </w:r>
    </w:p>
    <w:p w14:paraId="72F63849" w14:textId="5F9528F6" w:rsidR="00D609EA" w:rsidRPr="00D97C05" w:rsidRDefault="00D609EA" w:rsidP="00046840">
      <w:pPr>
        <w:spacing w:after="240"/>
        <w:rPr>
          <w:i/>
          <w:iCs/>
          <w:sz w:val="24"/>
        </w:rPr>
      </w:pPr>
      <w:r w:rsidRPr="00D97C05">
        <w:rPr>
          <w:i/>
          <w:iCs/>
          <w:sz w:val="24"/>
        </w:rPr>
        <w:t>2.</w:t>
      </w:r>
      <w:r w:rsidR="000E06AB">
        <w:rPr>
          <w:i/>
          <w:iCs/>
          <w:sz w:val="24"/>
        </w:rPr>
        <w:t>2</w:t>
      </w:r>
      <w:r w:rsidRPr="00D97C05">
        <w:rPr>
          <w:i/>
          <w:iCs/>
          <w:sz w:val="24"/>
        </w:rPr>
        <w:t>.1.</w:t>
      </w:r>
      <w:r w:rsidR="00A25B14" w:rsidRPr="00D97C05">
        <w:rPr>
          <w:i/>
          <w:iCs/>
          <w:sz w:val="24"/>
        </w:rPr>
        <w:t>3</w:t>
      </w:r>
      <w:r w:rsidRPr="00D97C05">
        <w:rPr>
          <w:i/>
          <w:iCs/>
          <w:sz w:val="24"/>
        </w:rPr>
        <w:t>. Valg af ansvarssubjekt</w:t>
      </w:r>
      <w:r w:rsidR="00172337" w:rsidRPr="00D97C05">
        <w:rPr>
          <w:i/>
          <w:iCs/>
          <w:sz w:val="24"/>
        </w:rPr>
        <w:t xml:space="preserve"> hvor arbejdsgiver er en juridisk person</w:t>
      </w:r>
      <w:r w:rsidRPr="00D97C05">
        <w:rPr>
          <w:i/>
          <w:iCs/>
          <w:sz w:val="24"/>
        </w:rPr>
        <w:t xml:space="preserve"> </w:t>
      </w:r>
    </w:p>
    <w:p w14:paraId="179DA550" w14:textId="07062F42" w:rsidR="00046840" w:rsidRPr="00D97C05" w:rsidRDefault="00046840" w:rsidP="00046840">
      <w:pPr>
        <w:spacing w:after="240"/>
        <w:rPr>
          <w:sz w:val="24"/>
          <w:highlight w:val="yellow"/>
        </w:rPr>
      </w:pPr>
      <w:bookmarkStart w:id="139" w:name="_Hlk208818865"/>
      <w:r w:rsidRPr="00D97C05">
        <w:rPr>
          <w:sz w:val="24"/>
        </w:rPr>
        <w:t>Udgangspunktet ved valg af ansvarssubjekt i særlovgivningen er, at tiltalen rejses mod den juridiske person.</w:t>
      </w:r>
      <w:r w:rsidR="00491CE9" w:rsidRPr="00D97C05">
        <w:rPr>
          <w:sz w:val="24"/>
        </w:rPr>
        <w:t xml:space="preserve"> </w:t>
      </w:r>
      <w:bookmarkEnd w:id="139"/>
      <w:r w:rsidR="00491CE9" w:rsidRPr="00D97C05">
        <w:rPr>
          <w:sz w:val="24"/>
        </w:rPr>
        <w:t>Det følger af Rigsadvokatmeddelelsen af 17. april 2015</w:t>
      </w:r>
      <w:r w:rsidR="00F56B70" w:rsidRPr="00D97C05">
        <w:rPr>
          <w:sz w:val="24"/>
        </w:rPr>
        <w:t xml:space="preserve"> om </w:t>
      </w:r>
      <w:r w:rsidR="00F56B70" w:rsidRPr="00D97C05">
        <w:rPr>
          <w:i/>
          <w:sz w:val="24"/>
        </w:rPr>
        <w:t>j</w:t>
      </w:r>
      <w:r w:rsidR="00491CE9" w:rsidRPr="00D97C05">
        <w:rPr>
          <w:i/>
          <w:sz w:val="24"/>
        </w:rPr>
        <w:t>uridiske personer – strafansvar for juridiske personer</w:t>
      </w:r>
      <w:r w:rsidR="00491CE9" w:rsidRPr="00D97C05">
        <w:rPr>
          <w:sz w:val="24"/>
        </w:rPr>
        <w:t>. Dette udgangspunkt følger Arbejdstilsynet i tilsynets behandling af straffesager for overtrædelse af arbejdsmiljølovgivningen</w:t>
      </w:r>
      <w:r w:rsidR="00B709DC" w:rsidRPr="00D97C05">
        <w:rPr>
          <w:sz w:val="24"/>
        </w:rPr>
        <w:t xml:space="preserve">, herunder også </w:t>
      </w:r>
      <w:r w:rsidR="00491CE9" w:rsidRPr="00D97C05">
        <w:rPr>
          <w:sz w:val="24"/>
        </w:rPr>
        <w:t>over for arbejdsgivere</w:t>
      </w:r>
      <w:r w:rsidR="00B709DC" w:rsidRPr="00D97C05">
        <w:rPr>
          <w:sz w:val="24"/>
        </w:rPr>
        <w:t>.</w:t>
      </w:r>
      <w:r w:rsidR="00491CE9" w:rsidRPr="00D97C05">
        <w:rPr>
          <w:sz w:val="24"/>
          <w:highlight w:val="yellow"/>
        </w:rPr>
        <w:t xml:space="preserve"> </w:t>
      </w:r>
    </w:p>
    <w:p w14:paraId="345CD39D" w14:textId="77777777" w:rsidR="002F5F30" w:rsidRPr="00D97C05" w:rsidRDefault="00491CE9" w:rsidP="00046840">
      <w:pPr>
        <w:spacing w:after="240"/>
        <w:rPr>
          <w:sz w:val="24"/>
        </w:rPr>
      </w:pPr>
      <w:r w:rsidRPr="00D97C05">
        <w:rPr>
          <w:sz w:val="24"/>
        </w:rPr>
        <w:lastRenderedPageBreak/>
        <w:t>En juridisk person kan kun straffes med bøde, og der kan ikke fastsættes forvandlingsstraf. </w:t>
      </w:r>
      <w:r w:rsidR="00F56B70" w:rsidRPr="00D97C05">
        <w:rPr>
          <w:sz w:val="24"/>
        </w:rPr>
        <w:t xml:space="preserve"> </w:t>
      </w:r>
    </w:p>
    <w:p w14:paraId="515FF59F" w14:textId="6DD08D1A" w:rsidR="005D4C33" w:rsidRPr="00D97C05" w:rsidRDefault="00F56B70" w:rsidP="00046840">
      <w:pPr>
        <w:spacing w:after="240"/>
        <w:rPr>
          <w:sz w:val="24"/>
        </w:rPr>
      </w:pPr>
      <w:r w:rsidRPr="00D97C05">
        <w:rPr>
          <w:sz w:val="24"/>
        </w:rPr>
        <w:t xml:space="preserve">Da langt de fleste arbejdsgivere udgør juridiske personer, vil arbejdsgiveren som sådan normalt ikke kunne straffes med fængsel. </w:t>
      </w:r>
    </w:p>
    <w:p w14:paraId="565BE22A" w14:textId="534C9C6D" w:rsidR="00491CE9" w:rsidRPr="00D97C05" w:rsidRDefault="00F56B70" w:rsidP="00046840">
      <w:pPr>
        <w:spacing w:after="240"/>
        <w:rPr>
          <w:sz w:val="24"/>
        </w:rPr>
      </w:pPr>
      <w:bookmarkStart w:id="140" w:name="_Hlk208819270"/>
      <w:r w:rsidRPr="00D97C05">
        <w:rPr>
          <w:sz w:val="24"/>
        </w:rPr>
        <w:t xml:space="preserve">Det følger videre af Rigsadvokatmeddelelsen af 17. april 2015 om </w:t>
      </w:r>
      <w:r w:rsidRPr="00D97C05">
        <w:rPr>
          <w:i/>
          <w:sz w:val="24"/>
        </w:rPr>
        <w:t>juridiske personer – strafansvar for juridiske personer</w:t>
      </w:r>
      <w:r w:rsidRPr="00D97C05">
        <w:rPr>
          <w:sz w:val="24"/>
        </w:rPr>
        <w:t>, at der</w:t>
      </w:r>
      <w:r w:rsidR="00491CE9" w:rsidRPr="00D97C05">
        <w:rPr>
          <w:sz w:val="24"/>
        </w:rPr>
        <w:t xml:space="preserve"> i en række tilfælde </w:t>
      </w:r>
      <w:r w:rsidR="008A6A6F" w:rsidRPr="00D97C05">
        <w:rPr>
          <w:sz w:val="24"/>
        </w:rPr>
        <w:t xml:space="preserve">kan </w:t>
      </w:r>
      <w:r w:rsidR="00491CE9" w:rsidRPr="00D97C05">
        <w:rPr>
          <w:sz w:val="24"/>
        </w:rPr>
        <w:t>være anledning til – ud over tiltalen mod den juridiske person – tillige at rejse tiltale mod en eller flere fysiske personer, såfremt den eller de pågældende har handlet forsætligt eller udvist grov uagtsomhed.</w:t>
      </w:r>
    </w:p>
    <w:bookmarkEnd w:id="140"/>
    <w:p w14:paraId="08ADABE4" w14:textId="40D9D727" w:rsidR="00F56B70" w:rsidRPr="00D97C05" w:rsidRDefault="008A6A6F" w:rsidP="008A6A6F">
      <w:pPr>
        <w:spacing w:after="240"/>
        <w:rPr>
          <w:sz w:val="24"/>
        </w:rPr>
      </w:pPr>
      <w:r w:rsidRPr="00D97C05">
        <w:rPr>
          <w:sz w:val="24"/>
        </w:rPr>
        <w:t xml:space="preserve">Efter arbejdsmiljøloven </w:t>
      </w:r>
      <w:r w:rsidR="004B3EEE" w:rsidRPr="00D97C05">
        <w:rPr>
          <w:sz w:val="24"/>
        </w:rPr>
        <w:t xml:space="preserve">har </w:t>
      </w:r>
      <w:r w:rsidRPr="00D97C05">
        <w:rPr>
          <w:sz w:val="24"/>
        </w:rPr>
        <w:t>virksomhedsledere, jf. § 23</w:t>
      </w:r>
      <w:r w:rsidR="00B709DC" w:rsidRPr="00D97C05">
        <w:rPr>
          <w:sz w:val="24"/>
        </w:rPr>
        <w:t>,</w:t>
      </w:r>
      <w:r w:rsidRPr="00D97C05">
        <w:rPr>
          <w:sz w:val="24"/>
        </w:rPr>
        <w:t xml:space="preserve"> og arbejdsledere, jf. § 26</w:t>
      </w:r>
      <w:r w:rsidR="00B709DC" w:rsidRPr="00D97C05">
        <w:rPr>
          <w:sz w:val="24"/>
        </w:rPr>
        <w:t>,</w:t>
      </w:r>
      <w:r w:rsidRPr="00D97C05">
        <w:rPr>
          <w:sz w:val="24"/>
        </w:rPr>
        <w:t xml:space="preserve"> </w:t>
      </w:r>
      <w:r w:rsidR="004B3EEE" w:rsidRPr="00D97C05">
        <w:rPr>
          <w:sz w:val="24"/>
        </w:rPr>
        <w:t>pligter efter loven</w:t>
      </w:r>
      <w:r w:rsidRPr="00D97C05">
        <w:rPr>
          <w:sz w:val="24"/>
        </w:rPr>
        <w:t xml:space="preserve">. </w:t>
      </w:r>
    </w:p>
    <w:p w14:paraId="4A04560B" w14:textId="14313702" w:rsidR="001C09A5" w:rsidRPr="00D97C05" w:rsidRDefault="001C09A5" w:rsidP="008A6A6F">
      <w:pPr>
        <w:spacing w:after="240"/>
        <w:rPr>
          <w:sz w:val="24"/>
        </w:rPr>
      </w:pPr>
      <w:r w:rsidRPr="00D97C05">
        <w:rPr>
          <w:sz w:val="24"/>
        </w:rPr>
        <w:t xml:space="preserve">Det betyder, at der efter gældende regler - udover at rejse en straffesag mod arbejdsgiveren som sådan </w:t>
      </w:r>
      <w:r w:rsidR="00ED042C" w:rsidRPr="00D97C05">
        <w:rPr>
          <w:sz w:val="24"/>
        </w:rPr>
        <w:t>–</w:t>
      </w:r>
      <w:r w:rsidRPr="00D97C05">
        <w:rPr>
          <w:sz w:val="24"/>
        </w:rPr>
        <w:t xml:space="preserve"> </w:t>
      </w:r>
      <w:r w:rsidR="00ED042C" w:rsidRPr="00D97C05">
        <w:rPr>
          <w:sz w:val="24"/>
        </w:rPr>
        <w:t xml:space="preserve">er særskilt hjemmel til at </w:t>
      </w:r>
      <w:r w:rsidRPr="00D97C05">
        <w:rPr>
          <w:sz w:val="24"/>
        </w:rPr>
        <w:t xml:space="preserve">rejse tiltale mod en fysisk person fra ledelsen, herunder fx direktøren i et selskab eller </w:t>
      </w:r>
      <w:r w:rsidR="0049308C" w:rsidRPr="00D97C05">
        <w:rPr>
          <w:sz w:val="24"/>
        </w:rPr>
        <w:t xml:space="preserve">en </w:t>
      </w:r>
      <w:r w:rsidRPr="00D97C05">
        <w:rPr>
          <w:sz w:val="24"/>
        </w:rPr>
        <w:t>mellemleder</w:t>
      </w:r>
      <w:r w:rsidR="00FA28B1" w:rsidRPr="00D97C05">
        <w:rPr>
          <w:sz w:val="24"/>
        </w:rPr>
        <w:t>.</w:t>
      </w:r>
    </w:p>
    <w:p w14:paraId="3F2D4699" w14:textId="785152FC" w:rsidR="00D609EA" w:rsidRPr="00D97C05" w:rsidRDefault="00D609EA" w:rsidP="008A6A6F">
      <w:pPr>
        <w:spacing w:after="240"/>
        <w:rPr>
          <w:i/>
          <w:iCs/>
          <w:sz w:val="24"/>
        </w:rPr>
      </w:pPr>
      <w:r w:rsidRPr="00D97C05">
        <w:rPr>
          <w:i/>
          <w:iCs/>
          <w:sz w:val="24"/>
        </w:rPr>
        <w:t>2.</w:t>
      </w:r>
      <w:r w:rsidR="000E06AB">
        <w:rPr>
          <w:i/>
          <w:iCs/>
          <w:sz w:val="24"/>
        </w:rPr>
        <w:t>2</w:t>
      </w:r>
      <w:r w:rsidRPr="00D97C05">
        <w:rPr>
          <w:i/>
          <w:iCs/>
          <w:sz w:val="24"/>
        </w:rPr>
        <w:t>.1.</w:t>
      </w:r>
      <w:r w:rsidR="00A25B14" w:rsidRPr="00D97C05">
        <w:rPr>
          <w:i/>
          <w:iCs/>
          <w:sz w:val="24"/>
        </w:rPr>
        <w:t>4</w:t>
      </w:r>
      <w:r w:rsidRPr="00D97C05">
        <w:rPr>
          <w:i/>
          <w:iCs/>
          <w:sz w:val="24"/>
        </w:rPr>
        <w:t>. Virksomhedslederes ansvar</w:t>
      </w:r>
      <w:r w:rsidR="00882A1A" w:rsidRPr="00D97C05">
        <w:rPr>
          <w:i/>
          <w:iCs/>
          <w:sz w:val="24"/>
        </w:rPr>
        <w:t xml:space="preserve"> efter § 23</w:t>
      </w:r>
    </w:p>
    <w:p w14:paraId="28AC44BE" w14:textId="77777777" w:rsidR="00F92948" w:rsidRPr="00D97C05" w:rsidRDefault="008A6A6F" w:rsidP="0085129A">
      <w:pPr>
        <w:spacing w:after="240"/>
        <w:rPr>
          <w:sz w:val="24"/>
        </w:rPr>
      </w:pPr>
      <w:bookmarkStart w:id="141" w:name="_Hlk209422357"/>
      <w:r w:rsidRPr="00D97C05">
        <w:rPr>
          <w:sz w:val="24"/>
        </w:rPr>
        <w:t>Det følger af § 23, at lovens bestemmelser om arbejdsgiverens pligter også gælder for den, som leder eller deltager i ledelsen af virksomheden.</w:t>
      </w:r>
      <w:r w:rsidR="0085129A" w:rsidRPr="00D97C05">
        <w:rPr>
          <w:sz w:val="24"/>
        </w:rPr>
        <w:t xml:space="preserve"> Bestemmelsen blev indført ved L 380/1990. </w:t>
      </w:r>
      <w:bookmarkEnd w:id="141"/>
    </w:p>
    <w:p w14:paraId="1E7694FC" w14:textId="13C932BD" w:rsidR="0085129A" w:rsidRPr="00647A29" w:rsidRDefault="0085129A" w:rsidP="0085129A">
      <w:pPr>
        <w:spacing w:after="240"/>
        <w:rPr>
          <w:sz w:val="24"/>
          <w:highlight w:val="yellow"/>
        </w:rPr>
      </w:pPr>
      <w:r w:rsidRPr="00D97C05">
        <w:rPr>
          <w:sz w:val="24"/>
        </w:rPr>
        <w:t xml:space="preserve">Det fremgår af lovbemærkningerne til § 23, at bestemmelsen i praksis i første række få betydning for direktører, herunder administrerende direktører, medlemmerne af et selskabs bestyrelse m.v. og andre personer med en tilsvarende almindelig ledelseskompetence i forhold til virksomheden. </w:t>
      </w:r>
    </w:p>
    <w:p w14:paraId="27F8E3D0" w14:textId="1F0D9276" w:rsidR="0085129A" w:rsidRPr="00D97C05" w:rsidRDefault="0085129A" w:rsidP="0085129A">
      <w:pPr>
        <w:spacing w:after="240"/>
        <w:rPr>
          <w:sz w:val="24"/>
        </w:rPr>
      </w:pPr>
      <w:r w:rsidRPr="00D97C05">
        <w:rPr>
          <w:sz w:val="24"/>
        </w:rPr>
        <w:t xml:space="preserve">Det fremgår videre af lovbemærkningerne, at der med forslaget ikke </w:t>
      </w:r>
      <w:r w:rsidR="00632F92" w:rsidRPr="00D97C05">
        <w:rPr>
          <w:sz w:val="24"/>
        </w:rPr>
        <w:t xml:space="preserve">er </w:t>
      </w:r>
      <w:r w:rsidRPr="00D97C05">
        <w:rPr>
          <w:sz w:val="24"/>
        </w:rPr>
        <w:t>tilsigtet nogen ændringer i ansvaret for arbejdsledere eller den nærmere forståelse af udtrykket »arbejdsleder«, jf. herved §§ 24-26 i loven.</w:t>
      </w:r>
    </w:p>
    <w:p w14:paraId="0CC9845F" w14:textId="5B70B134" w:rsidR="00D865FC" w:rsidRPr="00D97C05" w:rsidRDefault="00D865FC" w:rsidP="008A6A6F">
      <w:pPr>
        <w:spacing w:after="240"/>
        <w:rPr>
          <w:sz w:val="24"/>
        </w:rPr>
      </w:pPr>
      <w:r w:rsidRPr="00D97C05">
        <w:rPr>
          <w:sz w:val="24"/>
        </w:rPr>
        <w:t>Overtrædelse af § 23 er strafbelagt efter arbejdsmiljølovens § 82, stk. 1, nr. 1. Virksomhedslederen ifalder et personligt strafansvar</w:t>
      </w:r>
      <w:r w:rsidR="00ED042C" w:rsidRPr="00D97C05">
        <w:rPr>
          <w:sz w:val="24"/>
        </w:rPr>
        <w:t xml:space="preserve">. </w:t>
      </w:r>
      <w:r w:rsidR="0085129A" w:rsidRPr="00D97C05">
        <w:rPr>
          <w:sz w:val="24"/>
        </w:rPr>
        <w:t xml:space="preserve">Det betyder, at </w:t>
      </w:r>
      <w:r w:rsidRPr="00D97C05">
        <w:rPr>
          <w:sz w:val="24"/>
        </w:rPr>
        <w:t xml:space="preserve">det er en betingelse, at overtrædelsen kan tilregnes </w:t>
      </w:r>
      <w:r w:rsidR="0049308C" w:rsidRPr="00D97C05">
        <w:rPr>
          <w:sz w:val="24"/>
        </w:rPr>
        <w:t>vedkommende</w:t>
      </w:r>
      <w:r w:rsidRPr="00D97C05">
        <w:rPr>
          <w:sz w:val="24"/>
        </w:rPr>
        <w:t xml:space="preserve"> som forsætlig eller uagtsom.</w:t>
      </w:r>
    </w:p>
    <w:p w14:paraId="0A2AC461" w14:textId="4FCA1E05" w:rsidR="008A6A6F" w:rsidRPr="00647A29" w:rsidRDefault="008A6A6F" w:rsidP="008A6A6F">
      <w:pPr>
        <w:spacing w:after="240"/>
        <w:rPr>
          <w:sz w:val="24"/>
          <w:highlight w:val="yellow"/>
        </w:rPr>
      </w:pPr>
      <w:r w:rsidRPr="00D97C05">
        <w:rPr>
          <w:sz w:val="24"/>
        </w:rPr>
        <w:t>Ved en virksomhedsleder forstås bestyrelsesmedlemmer, administrerende direktører eller andre ledende personer med tilsvarende generel kompetence. Der er således tale om virksomhedens øverste ledelse.</w:t>
      </w:r>
      <w:r w:rsidR="009269C9" w:rsidRPr="00647A29">
        <w:rPr>
          <w:sz w:val="24"/>
          <w:highlight w:val="yellow"/>
        </w:rPr>
        <w:t xml:space="preserve"> </w:t>
      </w:r>
    </w:p>
    <w:p w14:paraId="629C7DB3" w14:textId="798CDD8F" w:rsidR="009269C9" w:rsidRPr="00D97C05" w:rsidRDefault="009269C9" w:rsidP="00D865FC">
      <w:pPr>
        <w:spacing w:after="240"/>
        <w:rPr>
          <w:sz w:val="24"/>
        </w:rPr>
      </w:pPr>
      <w:bookmarkStart w:id="142" w:name="_Hlk208814999"/>
      <w:r w:rsidRPr="00D97C05">
        <w:rPr>
          <w:sz w:val="24"/>
        </w:rPr>
        <w:lastRenderedPageBreak/>
        <w:t>Et strafansvar forudsætter, at det kan dokumenteres, at virksomhedslederen var bekendt med overtrædelsen, og at virksomhedslederen enten aktivt har medvirket til overtrædelsen eller har undladt at gribe ind over for overtrædelsen.</w:t>
      </w:r>
    </w:p>
    <w:bookmarkEnd w:id="142"/>
    <w:p w14:paraId="160FC2C3" w14:textId="02AEB75D" w:rsidR="009269C9" w:rsidRPr="00D97C05" w:rsidRDefault="009269C9" w:rsidP="00D865FC">
      <w:pPr>
        <w:spacing w:after="240"/>
        <w:rPr>
          <w:sz w:val="24"/>
        </w:rPr>
      </w:pPr>
      <w:r w:rsidRPr="00D97C05">
        <w:rPr>
          <w:sz w:val="24"/>
        </w:rPr>
        <w:t>De oplysninger, der efter Arbejdstilsynets praksis indhentes ved konstatering af grove overtrædelser</w:t>
      </w:r>
      <w:r w:rsidR="0049308C" w:rsidRPr="00D97C05">
        <w:rPr>
          <w:sz w:val="24"/>
        </w:rPr>
        <w:t>,</w:t>
      </w:r>
      <w:r w:rsidRPr="00D97C05">
        <w:rPr>
          <w:sz w:val="24"/>
        </w:rPr>
        <w:t xml:space="preserve"> vil sjældent indeholde </w:t>
      </w:r>
      <w:r w:rsidR="004D55C5" w:rsidRPr="00D97C05">
        <w:rPr>
          <w:sz w:val="24"/>
        </w:rPr>
        <w:t>indikationer</w:t>
      </w:r>
      <w:r w:rsidRPr="00D97C05">
        <w:rPr>
          <w:sz w:val="24"/>
        </w:rPr>
        <w:t xml:space="preserve"> for placering af et strafansvar hos virksomhedslederen, da oplysningerne vedrører det konkrete arbejdes planlægning, tilrettelæggelse og udførelse, hvilket sjældent er et anliggende, der direkte involverer </w:t>
      </w:r>
      <w:r w:rsidR="0049308C" w:rsidRPr="00D97C05">
        <w:rPr>
          <w:sz w:val="24"/>
        </w:rPr>
        <w:t>virksomhedens øverste</w:t>
      </w:r>
      <w:r w:rsidRPr="00D97C05">
        <w:rPr>
          <w:sz w:val="24"/>
        </w:rPr>
        <w:t xml:space="preserve"> ledelse.</w:t>
      </w:r>
    </w:p>
    <w:p w14:paraId="3778F5D3" w14:textId="77777777" w:rsidR="00237046" w:rsidRPr="00D97C05" w:rsidRDefault="00ED042C" w:rsidP="008A6A6F">
      <w:pPr>
        <w:spacing w:after="240"/>
        <w:rPr>
          <w:rFonts w:eastAsia="Times New Roman" w:cs="Times New Roman"/>
          <w:sz w:val="24"/>
          <w:szCs w:val="24"/>
          <w:lang w:eastAsia="da-DK"/>
        </w:rPr>
      </w:pPr>
      <w:r w:rsidRPr="00D97C05">
        <w:rPr>
          <w:rFonts w:eastAsia="Times New Roman" w:cs="Times New Roman"/>
          <w:sz w:val="24"/>
          <w:szCs w:val="24"/>
          <w:lang w:eastAsia="da-DK"/>
        </w:rPr>
        <w:t xml:space="preserve">Bestemmelsen i § 23 om virksomhedsledere er møntet på personer, der ikke i sig selv kan anses som arbejdsgivere. Det betyder, at arbejdsgivere i personligt ejede virksomheder ikke kan anses for at være </w:t>
      </w:r>
      <w:r w:rsidR="004F5E6B" w:rsidRPr="00D97C05">
        <w:rPr>
          <w:rFonts w:eastAsia="Times New Roman" w:cs="Times New Roman"/>
          <w:sz w:val="24"/>
          <w:szCs w:val="24"/>
          <w:lang w:eastAsia="da-DK"/>
        </w:rPr>
        <w:t>virksomhedsledere efter § 23</w:t>
      </w:r>
      <w:r w:rsidRPr="00D97C05">
        <w:rPr>
          <w:rFonts w:eastAsia="Times New Roman" w:cs="Times New Roman"/>
          <w:sz w:val="24"/>
          <w:szCs w:val="24"/>
          <w:lang w:eastAsia="da-DK"/>
        </w:rPr>
        <w:t>.</w:t>
      </w:r>
    </w:p>
    <w:p w14:paraId="0371E5E0" w14:textId="62E983C8" w:rsidR="00F92948" w:rsidRPr="00D97C05" w:rsidRDefault="00F92948" w:rsidP="008A6A6F">
      <w:pPr>
        <w:spacing w:after="240"/>
        <w:rPr>
          <w:i/>
          <w:iCs/>
          <w:sz w:val="24"/>
        </w:rPr>
      </w:pPr>
      <w:r w:rsidRPr="00D97C05">
        <w:rPr>
          <w:i/>
          <w:iCs/>
          <w:sz w:val="24"/>
        </w:rPr>
        <w:t>2.</w:t>
      </w:r>
      <w:r w:rsidR="002D2F4A">
        <w:rPr>
          <w:i/>
          <w:iCs/>
          <w:sz w:val="24"/>
        </w:rPr>
        <w:t>2</w:t>
      </w:r>
      <w:r w:rsidRPr="00D97C05">
        <w:rPr>
          <w:i/>
          <w:iCs/>
          <w:sz w:val="24"/>
        </w:rPr>
        <w:t>.1.</w:t>
      </w:r>
      <w:r w:rsidR="00A25B14" w:rsidRPr="00D97C05">
        <w:rPr>
          <w:i/>
          <w:iCs/>
          <w:sz w:val="24"/>
        </w:rPr>
        <w:t>5</w:t>
      </w:r>
      <w:r w:rsidRPr="00D97C05">
        <w:rPr>
          <w:i/>
          <w:iCs/>
          <w:sz w:val="24"/>
        </w:rPr>
        <w:t>. Ansvar for arbejdsgivere i personligt ejede virksomheder</w:t>
      </w:r>
    </w:p>
    <w:p w14:paraId="46408415" w14:textId="4AA04EDE" w:rsidR="00F92948" w:rsidRPr="00D97C05" w:rsidRDefault="00F92948" w:rsidP="00F92948">
      <w:pPr>
        <w:spacing w:after="240"/>
        <w:rPr>
          <w:sz w:val="24"/>
        </w:rPr>
      </w:pPr>
      <w:r w:rsidRPr="00D97C05">
        <w:rPr>
          <w:sz w:val="24"/>
        </w:rPr>
        <w:t xml:space="preserve">Arbejdsgivere i personligt ejede virksomheder er som udgangspunkt ikke omfattet af selskabsansvaret efter arbejdsmiljølovens § 86, 1. pkt., og straffelovens kapitel 5. </w:t>
      </w:r>
    </w:p>
    <w:p w14:paraId="3417FF88" w14:textId="02FE650E" w:rsidR="00F92948" w:rsidRPr="00647A29" w:rsidRDefault="00F92948" w:rsidP="00F92948">
      <w:pPr>
        <w:spacing w:after="240"/>
        <w:rPr>
          <w:sz w:val="24"/>
          <w:highlight w:val="yellow"/>
        </w:rPr>
      </w:pPr>
      <w:r w:rsidRPr="00D97C05">
        <w:rPr>
          <w:sz w:val="24"/>
        </w:rPr>
        <w:t xml:space="preserve">For disse arbejdsgivere gælder arbejdsmiljølovens § 83, stk. 1, hvorefter der for overtrædelse af § 15, § 15 a, § 16, § 38, stk. 1, § 42, stk. 1, § 45, stk. 1, § 48, stk. 1, og § 83, stk. 1, nr. 2 og 3, kan pålægges </w:t>
      </w:r>
      <w:r w:rsidR="008D5BDA" w:rsidRPr="00D97C05">
        <w:rPr>
          <w:sz w:val="24"/>
        </w:rPr>
        <w:t xml:space="preserve">en </w:t>
      </w:r>
      <w:r w:rsidRPr="00D97C05">
        <w:rPr>
          <w:sz w:val="24"/>
        </w:rPr>
        <w:t xml:space="preserve">arbejdsgiver bødeansvar, selv om overtrædelsen ikke kan tilregnes arbejdsgiveren som forsætlig eller uagtsom. Det er en betingelse for strafansvaret, at overtrædelsen kan tilregnes en eller flere til virksomheden knyttede personer eller virksomheden som sådan. </w:t>
      </w:r>
    </w:p>
    <w:p w14:paraId="4432E67D" w14:textId="74778BB8" w:rsidR="00F92948" w:rsidRPr="00D97C05" w:rsidRDefault="00F92948" w:rsidP="00F92948">
      <w:pPr>
        <w:spacing w:after="240"/>
        <w:rPr>
          <w:sz w:val="24"/>
        </w:rPr>
      </w:pPr>
      <w:r w:rsidRPr="00D97C05">
        <w:rPr>
          <w:sz w:val="24"/>
        </w:rPr>
        <w:t>Arbejdsgiveransvar efter § 83, stk. 1, er således ikke betinget af, at overtrædelsen kan tilregnes arbejdsgiveren som forsætlig eller uagtsom. Betingelserne for at pålægge arbejdsgivere i personligt ejede virksomheder strafansvar er således de samme som for juridiske personer.</w:t>
      </w:r>
    </w:p>
    <w:p w14:paraId="60FECE13" w14:textId="5B5B9D98" w:rsidR="00F92948" w:rsidRPr="00D97C05" w:rsidRDefault="00F92948" w:rsidP="00F92948">
      <w:pPr>
        <w:spacing w:after="240"/>
        <w:rPr>
          <w:sz w:val="24"/>
        </w:rPr>
      </w:pPr>
      <w:r w:rsidRPr="00D97C05">
        <w:rPr>
          <w:sz w:val="24"/>
        </w:rPr>
        <w:t xml:space="preserve">Tiltalesubjektet efter § 83, stk. 1, er den fysiske person som arbejdsgiver og ikke virksomheden som sådan. I straffesager, hvor arbejdsgiveren idømmes en bøde efter arbejdsmiljølovens § 83, stk. 1, fastsættes der ingen forvandlingsstraf. Bøder, der ikke betales, kan således ikke omsættes til fængsel for arbejdsgiveren. </w:t>
      </w:r>
    </w:p>
    <w:p w14:paraId="2A348F09" w14:textId="67803C6F" w:rsidR="00F92948" w:rsidRPr="00D97C05" w:rsidRDefault="00F92948" w:rsidP="00F92948">
      <w:pPr>
        <w:spacing w:after="240"/>
        <w:rPr>
          <w:sz w:val="24"/>
        </w:rPr>
      </w:pPr>
      <w:r w:rsidRPr="00D97C05">
        <w:rPr>
          <w:sz w:val="24"/>
        </w:rPr>
        <w:t>Efter straffelovens § 26, stk. 2</w:t>
      </w:r>
      <w:r w:rsidR="008D5BDA" w:rsidRPr="00D97C05">
        <w:rPr>
          <w:sz w:val="24"/>
        </w:rPr>
        <w:t>,</w:t>
      </w:r>
      <w:r w:rsidRPr="00D97C05">
        <w:rPr>
          <w:sz w:val="24"/>
        </w:rPr>
        <w:t xml:space="preserve"> er det også en mulighed for at straffe personligt ejede virksomheder som juridiske personer, hvis virksomheden på grund </w:t>
      </w:r>
      <w:r w:rsidRPr="00D97C05">
        <w:rPr>
          <w:sz w:val="24"/>
        </w:rPr>
        <w:lastRenderedPageBreak/>
        <w:t xml:space="preserve">af dens størrelse og organisation kan sidestilles med de i stk. 1 nævnte selskaber. </w:t>
      </w:r>
    </w:p>
    <w:p w14:paraId="65ACA857" w14:textId="77777777" w:rsidR="00F92948" w:rsidRPr="00647A29" w:rsidRDefault="00F92948" w:rsidP="00F92948">
      <w:pPr>
        <w:spacing w:after="240"/>
        <w:rPr>
          <w:sz w:val="24"/>
          <w:highlight w:val="yellow"/>
        </w:rPr>
      </w:pPr>
      <w:r w:rsidRPr="00D97C05">
        <w:rPr>
          <w:sz w:val="24"/>
        </w:rPr>
        <w:t xml:space="preserve">Rigsadvokaten har i interne retningslinjer fastsat, hvornår straffelovens § 26, stk. 2, finder anvendelse, herunder at bestemmelsen umiddelbart kan anvendes i virksomheder med over 20 ansatte. </w:t>
      </w:r>
    </w:p>
    <w:p w14:paraId="2BC30ED0" w14:textId="03893BC1" w:rsidR="00F92948" w:rsidRPr="00D97C05" w:rsidRDefault="00F92948" w:rsidP="00F92948">
      <w:pPr>
        <w:spacing w:after="240"/>
        <w:rPr>
          <w:sz w:val="24"/>
        </w:rPr>
      </w:pPr>
      <w:r w:rsidRPr="00D97C05">
        <w:rPr>
          <w:sz w:val="24"/>
        </w:rPr>
        <w:t>Hvis det af sagen fremgår, at den personligt ejede virksomhed har flere end 20 ansatte, gør Arbejdstilsynet derfor opmærksom på straffelovens § 26, stk. 2</w:t>
      </w:r>
      <w:r w:rsidR="008D5BDA" w:rsidRPr="00D97C05">
        <w:rPr>
          <w:sz w:val="24"/>
        </w:rPr>
        <w:t>,</w:t>
      </w:r>
      <w:r w:rsidRPr="00D97C05">
        <w:rPr>
          <w:sz w:val="24"/>
        </w:rPr>
        <w:t xml:space="preserve"> i forbindelse med fremsendelse af tiltaleindstilling</w:t>
      </w:r>
      <w:r w:rsidR="001367C1" w:rsidRPr="00D97C05">
        <w:rPr>
          <w:sz w:val="24"/>
        </w:rPr>
        <w:t xml:space="preserve"> til politiet</w:t>
      </w:r>
      <w:r w:rsidRPr="00D97C05">
        <w:rPr>
          <w:sz w:val="24"/>
        </w:rPr>
        <w:t xml:space="preserve">. </w:t>
      </w:r>
    </w:p>
    <w:p w14:paraId="6AAEEB28" w14:textId="620987A9" w:rsidR="00F92948" w:rsidRPr="00D97C05" w:rsidRDefault="00F92948" w:rsidP="00F92948">
      <w:pPr>
        <w:spacing w:after="240"/>
        <w:rPr>
          <w:sz w:val="24"/>
        </w:rPr>
      </w:pPr>
      <w:r w:rsidRPr="00D97C05">
        <w:rPr>
          <w:sz w:val="24"/>
        </w:rPr>
        <w:t xml:space="preserve">Hvis arbejdsgiveren i en personligt ejet virksomhed selv begår den strafbare handling, rejses sagen efter den subjektive strafbestemmelse i arbejdsmiljølovens § 82, stk. 1. </w:t>
      </w:r>
    </w:p>
    <w:p w14:paraId="34177561" w14:textId="337181C6" w:rsidR="00D609EA" w:rsidRPr="00D97C05" w:rsidRDefault="00D609EA" w:rsidP="008A6A6F">
      <w:pPr>
        <w:spacing w:after="240"/>
        <w:rPr>
          <w:i/>
          <w:iCs/>
          <w:sz w:val="24"/>
        </w:rPr>
      </w:pPr>
      <w:r w:rsidRPr="00D97C05">
        <w:rPr>
          <w:i/>
          <w:iCs/>
          <w:sz w:val="24"/>
        </w:rPr>
        <w:t>2.</w:t>
      </w:r>
      <w:r w:rsidR="002D2F4A">
        <w:rPr>
          <w:i/>
          <w:iCs/>
          <w:sz w:val="24"/>
        </w:rPr>
        <w:t>2</w:t>
      </w:r>
      <w:r w:rsidRPr="00D97C05">
        <w:rPr>
          <w:i/>
          <w:iCs/>
          <w:sz w:val="24"/>
        </w:rPr>
        <w:t>.1.</w:t>
      </w:r>
      <w:r w:rsidR="00A25B14" w:rsidRPr="00D97C05">
        <w:rPr>
          <w:i/>
          <w:iCs/>
          <w:sz w:val="24"/>
        </w:rPr>
        <w:t>6</w:t>
      </w:r>
      <w:r w:rsidRPr="00D97C05">
        <w:rPr>
          <w:i/>
          <w:iCs/>
          <w:sz w:val="24"/>
        </w:rPr>
        <w:t>. Arbejdslederes ansvar</w:t>
      </w:r>
      <w:r w:rsidR="00882A1A" w:rsidRPr="00D97C05">
        <w:rPr>
          <w:i/>
          <w:iCs/>
          <w:sz w:val="24"/>
        </w:rPr>
        <w:t xml:space="preserve"> efter </w:t>
      </w:r>
      <w:r w:rsidR="00933A44" w:rsidRPr="00D97C05">
        <w:rPr>
          <w:i/>
          <w:iCs/>
          <w:sz w:val="24"/>
        </w:rPr>
        <w:t xml:space="preserve">arbejdsmiljølovens </w:t>
      </w:r>
      <w:r w:rsidR="00882A1A" w:rsidRPr="00D97C05">
        <w:rPr>
          <w:i/>
          <w:iCs/>
          <w:sz w:val="24"/>
        </w:rPr>
        <w:t>§ 26</w:t>
      </w:r>
    </w:p>
    <w:p w14:paraId="56469886" w14:textId="4CA0D22B" w:rsidR="004F5E6B" w:rsidRPr="00D97C05" w:rsidRDefault="008A6A6F" w:rsidP="008A6A6F">
      <w:pPr>
        <w:spacing w:after="240"/>
        <w:rPr>
          <w:sz w:val="24"/>
        </w:rPr>
      </w:pPr>
      <w:r w:rsidRPr="00D97C05">
        <w:rPr>
          <w:sz w:val="24"/>
        </w:rPr>
        <w:t xml:space="preserve">Det følger af </w:t>
      </w:r>
      <w:r w:rsidR="00933A44" w:rsidRPr="00D97C05">
        <w:rPr>
          <w:sz w:val="24"/>
        </w:rPr>
        <w:t xml:space="preserve">arbejdsmiljølovens </w:t>
      </w:r>
      <w:r w:rsidRPr="00D97C05">
        <w:rPr>
          <w:sz w:val="24"/>
        </w:rPr>
        <w:t>§ 26</w:t>
      </w:r>
      <w:r w:rsidR="004B3EEE" w:rsidRPr="00D97C05">
        <w:rPr>
          <w:sz w:val="24"/>
        </w:rPr>
        <w:t>, stk. 1</w:t>
      </w:r>
      <w:r w:rsidR="002D6A76" w:rsidRPr="00D97C05">
        <w:rPr>
          <w:sz w:val="24"/>
        </w:rPr>
        <w:t>,</w:t>
      </w:r>
      <w:r w:rsidR="004B3EEE" w:rsidRPr="00D97C05">
        <w:rPr>
          <w:sz w:val="24"/>
        </w:rPr>
        <w:t xml:space="preserve"> </w:t>
      </w:r>
      <w:r w:rsidRPr="00D97C05">
        <w:rPr>
          <w:sz w:val="24"/>
        </w:rPr>
        <w:t xml:space="preserve">at arbejdslederen skal medvirke til, at arbejdsforholdene </w:t>
      </w:r>
      <w:r w:rsidR="002D6A76" w:rsidRPr="00D97C05">
        <w:rPr>
          <w:sz w:val="24"/>
        </w:rPr>
        <w:t xml:space="preserve">er </w:t>
      </w:r>
      <w:r w:rsidRPr="00D97C05">
        <w:rPr>
          <w:sz w:val="24"/>
        </w:rPr>
        <w:t>sikkerheds- og sundhedsmæssigt fuldt forsvarlige inden for det arbejdsområde, som denne leder</w:t>
      </w:r>
      <w:r w:rsidR="004B3EEE" w:rsidRPr="00D97C05">
        <w:rPr>
          <w:sz w:val="24"/>
        </w:rPr>
        <w:t>, og at a</w:t>
      </w:r>
      <w:r w:rsidRPr="00D97C05">
        <w:rPr>
          <w:sz w:val="24"/>
        </w:rPr>
        <w:t>rbejdslederen skal påse, at de foranstaltninger, der træffes for at fremme sikkerhed og sundhed, virker efter deres hensigt.</w:t>
      </w:r>
      <w:r w:rsidR="004B3EEE" w:rsidRPr="00D97C05">
        <w:rPr>
          <w:sz w:val="24"/>
        </w:rPr>
        <w:t xml:space="preserve"> </w:t>
      </w:r>
    </w:p>
    <w:p w14:paraId="0751D3D2" w14:textId="02496F7C" w:rsidR="008A6A6F" w:rsidRPr="00D97C05" w:rsidRDefault="004B3EEE" w:rsidP="008A6A6F">
      <w:pPr>
        <w:spacing w:after="240"/>
        <w:rPr>
          <w:sz w:val="24"/>
        </w:rPr>
      </w:pPr>
      <w:r w:rsidRPr="00D97C05">
        <w:rPr>
          <w:sz w:val="24"/>
        </w:rPr>
        <w:t>Det følger videre af § 26, stk. 2, at b</w:t>
      </w:r>
      <w:r w:rsidR="008A6A6F" w:rsidRPr="00D97C05">
        <w:rPr>
          <w:sz w:val="24"/>
        </w:rPr>
        <w:t>liver arbejdslederen bekendt med fejl eller mangler, som kan medføre fare for ulykker eller sygdom, skal arbejdslederen sørge for at afværge faren. Kan faren ikke afværges ved arbejdslederens indgriben på stedet, skal denne straks gøre arbejdsgiveren bekendt med forholdet.</w:t>
      </w:r>
    </w:p>
    <w:p w14:paraId="5F2C30B6" w14:textId="29824A38" w:rsidR="00D865FC" w:rsidRPr="00D97C05" w:rsidRDefault="00D865FC" w:rsidP="008A6A6F">
      <w:pPr>
        <w:spacing w:after="240"/>
        <w:rPr>
          <w:sz w:val="24"/>
        </w:rPr>
      </w:pPr>
      <w:r w:rsidRPr="00D97C05">
        <w:rPr>
          <w:sz w:val="24"/>
        </w:rPr>
        <w:t xml:space="preserve">Overtrædelse af § 26 er strafbelagt efter arbejdsmiljølovens § 82, stk. 1, nr. 1. Arbejdslederen ifalder et personligt strafansvar, og det er en betingelse, at overtrædelsen kan tilregnes </w:t>
      </w:r>
      <w:r w:rsidR="0006130E" w:rsidRPr="00D97C05">
        <w:rPr>
          <w:sz w:val="24"/>
        </w:rPr>
        <w:t>vedkommende</w:t>
      </w:r>
      <w:r w:rsidRPr="00D97C05">
        <w:rPr>
          <w:sz w:val="24"/>
        </w:rPr>
        <w:t xml:space="preserve"> som forsætlig eller uagtsom.</w:t>
      </w:r>
    </w:p>
    <w:p w14:paraId="1842230D" w14:textId="3A39B1B5" w:rsidR="004B3EEE" w:rsidRPr="00D97C05" w:rsidRDefault="004B3EEE" w:rsidP="008A6A6F">
      <w:pPr>
        <w:spacing w:after="240"/>
        <w:rPr>
          <w:sz w:val="24"/>
        </w:rPr>
      </w:pPr>
      <w:r w:rsidRPr="00D97C05">
        <w:rPr>
          <w:sz w:val="24"/>
        </w:rPr>
        <w:t>Ved arbejdsleder forstås den, hvis arbejde udelukkende eller i det væsentlige består i på arbejdsgiverens vegne at lede eller føre tilsyn med arbejdet i en virksomhed eller en del deraf. Det følger af lovens § 24.</w:t>
      </w:r>
    </w:p>
    <w:p w14:paraId="6DAC1C1A" w14:textId="2CDE92F4" w:rsidR="0073754D" w:rsidRPr="00D97C05" w:rsidRDefault="0073754D" w:rsidP="0073754D">
      <w:pPr>
        <w:spacing w:after="240"/>
        <w:rPr>
          <w:sz w:val="24"/>
        </w:rPr>
      </w:pPr>
      <w:r w:rsidRPr="00D97C05">
        <w:rPr>
          <w:sz w:val="24"/>
        </w:rPr>
        <w:t>Et strafansvar forudsætter, at det kan dokumenteres, at arbejdslederen var bekendt med overtrædelsen, og at arbejdslederen enten aktivt har medvirket til overtrædelsen eller har undladt at gribe ind over for overtrædelsen.</w:t>
      </w:r>
    </w:p>
    <w:p w14:paraId="4FA8C79C" w14:textId="066611BA" w:rsidR="00C12D1F" w:rsidRPr="00D97C05" w:rsidRDefault="004A1AC5" w:rsidP="00210A8D">
      <w:pPr>
        <w:spacing w:after="240"/>
        <w:rPr>
          <w:sz w:val="24"/>
        </w:rPr>
      </w:pPr>
      <w:r w:rsidRPr="00D97C05">
        <w:rPr>
          <w:sz w:val="24"/>
        </w:rPr>
        <w:t xml:space="preserve">I praksis </w:t>
      </w:r>
      <w:r w:rsidR="00DA1566" w:rsidRPr="00D97C05">
        <w:rPr>
          <w:sz w:val="24"/>
        </w:rPr>
        <w:t>er</w:t>
      </w:r>
      <w:r w:rsidRPr="00D97C05">
        <w:rPr>
          <w:sz w:val="24"/>
        </w:rPr>
        <w:t xml:space="preserve"> der </w:t>
      </w:r>
      <w:r w:rsidR="00DA1566" w:rsidRPr="00D97C05">
        <w:rPr>
          <w:sz w:val="24"/>
        </w:rPr>
        <w:t>relativt få</w:t>
      </w:r>
      <w:r w:rsidRPr="00D97C05">
        <w:rPr>
          <w:sz w:val="24"/>
        </w:rPr>
        <w:t xml:space="preserve"> straffesager, hvor en arbejdsleder er indstillet til straf for overtrædelse af arbejdsmiljølovgivningen. I disse</w:t>
      </w:r>
      <w:r w:rsidR="002D6A76" w:rsidRPr="00D97C05">
        <w:rPr>
          <w:sz w:val="24"/>
        </w:rPr>
        <w:t xml:space="preserve"> få</w:t>
      </w:r>
      <w:r w:rsidRPr="00D97C05">
        <w:rPr>
          <w:sz w:val="24"/>
        </w:rPr>
        <w:t xml:space="preserve"> sager er arbejdslederen indstillet til bødestraf</w:t>
      </w:r>
      <w:r w:rsidR="002D6A76" w:rsidRPr="00D97C05">
        <w:rPr>
          <w:sz w:val="24"/>
        </w:rPr>
        <w:t xml:space="preserve"> og ikke fængselsstraf</w:t>
      </w:r>
      <w:r w:rsidRPr="00D97C05">
        <w:rPr>
          <w:sz w:val="24"/>
        </w:rPr>
        <w:t>.</w:t>
      </w:r>
      <w:r w:rsidR="002D6A76" w:rsidRPr="00D97C05">
        <w:rPr>
          <w:sz w:val="24"/>
        </w:rPr>
        <w:t xml:space="preserve"> </w:t>
      </w:r>
      <w:r w:rsidR="00C12D1F" w:rsidRPr="00D97C05">
        <w:rPr>
          <w:sz w:val="24"/>
        </w:rPr>
        <w:t xml:space="preserve">Arbejdstilsynets </w:t>
      </w:r>
      <w:r w:rsidR="00C12D1F" w:rsidRPr="00D97C05">
        <w:rPr>
          <w:sz w:val="24"/>
        </w:rPr>
        <w:lastRenderedPageBreak/>
        <w:t>praksis for at rejse straffesager mod arbejdsledere er beskrevet i bemærkningerne til lov nr. 331 af 16. maj 2001, der indførte hjemmel til brug af administrative bøder i Arbejdstilsynet. Af bemærkningerne til lovforslaget fremgår, at arbejdsledere fremover straffes, hvis de på trods af arbejdsgiverens instrukser og kontrol undlader at bruge de personlige værnemidler og det sikkerhedsudstyr, som arbejdsgiveren har stillet til rådighed. Det er således en betingelse for at straffe arbejdslederen, at arbejdsgiveren har opfyldt sine forpligtelser m.h.t. udstyr, instruktion og effektivt tilsyn</w:t>
      </w:r>
      <w:r w:rsidR="007A4096" w:rsidRPr="00D97C05">
        <w:rPr>
          <w:sz w:val="24"/>
        </w:rPr>
        <w:t>.</w:t>
      </w:r>
    </w:p>
    <w:p w14:paraId="30BF1601" w14:textId="1775C436" w:rsidR="007A4096" w:rsidRPr="00D97C05" w:rsidRDefault="00957AC2" w:rsidP="007A4096">
      <w:pPr>
        <w:spacing w:after="240"/>
        <w:rPr>
          <w:sz w:val="24"/>
        </w:rPr>
      </w:pPr>
      <w:r w:rsidRPr="00D97C05">
        <w:rPr>
          <w:sz w:val="24"/>
        </w:rPr>
        <w:t>D</w:t>
      </w:r>
      <w:r w:rsidR="007A4096" w:rsidRPr="00D97C05">
        <w:rPr>
          <w:sz w:val="24"/>
        </w:rPr>
        <w:t xml:space="preserve">er </w:t>
      </w:r>
      <w:r w:rsidR="004F5E6B" w:rsidRPr="00D97C05">
        <w:rPr>
          <w:sz w:val="24"/>
        </w:rPr>
        <w:t xml:space="preserve">er </w:t>
      </w:r>
      <w:r w:rsidR="007A4096" w:rsidRPr="00D97C05">
        <w:rPr>
          <w:sz w:val="24"/>
        </w:rPr>
        <w:t>mulighed for at rejse tiltale mod en arbejdsleder, hvis arbejdslederen har begået en overtrædelse, der har resulteret i en arbejdsulykke, hvor en ansat er kommet til skade. Det fremgår af bemærkningerne til lov nr. 1395 af 27. december 2008, der bl.a. indførte skærpet straf for overtrædelser, der har medført en ulykke med alvorlig personskade eller døden til følge.</w:t>
      </w:r>
    </w:p>
    <w:p w14:paraId="0FF4226F" w14:textId="223CE8C5" w:rsidR="00957AC2" w:rsidRPr="00D97C05" w:rsidRDefault="007A4096" w:rsidP="007A4096">
      <w:pPr>
        <w:spacing w:after="240"/>
        <w:rPr>
          <w:sz w:val="24"/>
        </w:rPr>
      </w:pPr>
      <w:r w:rsidRPr="00D97C05">
        <w:rPr>
          <w:sz w:val="24"/>
        </w:rPr>
        <w:t xml:space="preserve">Straffesager mod en arbejdsleder </w:t>
      </w:r>
      <w:r w:rsidR="00957AC2" w:rsidRPr="00D97C05">
        <w:rPr>
          <w:sz w:val="24"/>
        </w:rPr>
        <w:t>vil</w:t>
      </w:r>
      <w:r w:rsidRPr="00D97C05">
        <w:rPr>
          <w:sz w:val="24"/>
        </w:rPr>
        <w:t xml:space="preserve"> ofte </w:t>
      </w:r>
      <w:r w:rsidR="00957AC2" w:rsidRPr="00D97C05">
        <w:rPr>
          <w:sz w:val="24"/>
        </w:rPr>
        <w:t xml:space="preserve">være </w:t>
      </w:r>
      <w:r w:rsidRPr="00D97C05">
        <w:rPr>
          <w:sz w:val="24"/>
        </w:rPr>
        <w:t xml:space="preserve">forbundet med bevismæssige vanskeligheder, da der sjældent foreligger de nødvendige oplysninger om, hvem der har været ansvarlig for f.eks. en fejlagtig eller manglende instruktion eller et mangelfuldt tilsyn. </w:t>
      </w:r>
    </w:p>
    <w:p w14:paraId="0E272D1D" w14:textId="248C54E9" w:rsidR="00D609EA" w:rsidRPr="00D97C05" w:rsidRDefault="00D609EA" w:rsidP="008A6A6F">
      <w:pPr>
        <w:spacing w:after="240"/>
        <w:rPr>
          <w:i/>
          <w:iCs/>
          <w:sz w:val="24"/>
        </w:rPr>
      </w:pPr>
      <w:r w:rsidRPr="00D97C05">
        <w:rPr>
          <w:i/>
          <w:iCs/>
          <w:sz w:val="24"/>
        </w:rPr>
        <w:t>2.</w:t>
      </w:r>
      <w:r w:rsidR="002D2F4A">
        <w:rPr>
          <w:i/>
          <w:iCs/>
          <w:sz w:val="24"/>
        </w:rPr>
        <w:t>2</w:t>
      </w:r>
      <w:r w:rsidRPr="00D97C05">
        <w:rPr>
          <w:i/>
          <w:iCs/>
          <w:sz w:val="24"/>
        </w:rPr>
        <w:t>.1.</w:t>
      </w:r>
      <w:r w:rsidR="00A25B14" w:rsidRPr="00D97C05">
        <w:rPr>
          <w:i/>
          <w:iCs/>
          <w:sz w:val="24"/>
        </w:rPr>
        <w:t>7</w:t>
      </w:r>
      <w:r w:rsidRPr="00D97C05">
        <w:rPr>
          <w:i/>
          <w:iCs/>
          <w:sz w:val="24"/>
        </w:rPr>
        <w:t>. Retspraksis for fængselsstraf over</w:t>
      </w:r>
      <w:r w:rsidR="002D6A76" w:rsidRPr="00D97C05">
        <w:rPr>
          <w:i/>
          <w:iCs/>
          <w:sz w:val="24"/>
        </w:rPr>
        <w:t xml:space="preserve"> </w:t>
      </w:r>
      <w:r w:rsidRPr="00D97C05">
        <w:rPr>
          <w:i/>
          <w:iCs/>
          <w:sz w:val="24"/>
        </w:rPr>
        <w:t xml:space="preserve">for </w:t>
      </w:r>
      <w:r w:rsidR="009913F0" w:rsidRPr="00D97C05">
        <w:rPr>
          <w:i/>
          <w:iCs/>
          <w:sz w:val="24"/>
        </w:rPr>
        <w:t>personer i ledelsen</w:t>
      </w:r>
    </w:p>
    <w:p w14:paraId="2F2C6462" w14:textId="368D4620" w:rsidR="00D609EA" w:rsidRPr="00D97C05" w:rsidRDefault="00B709DC" w:rsidP="008A6A6F">
      <w:pPr>
        <w:spacing w:after="240"/>
        <w:rPr>
          <w:sz w:val="24"/>
        </w:rPr>
      </w:pPr>
      <w:r w:rsidRPr="00D97C05">
        <w:rPr>
          <w:sz w:val="24"/>
        </w:rPr>
        <w:t>D</w:t>
      </w:r>
      <w:r w:rsidR="00BE04BD" w:rsidRPr="00D97C05">
        <w:rPr>
          <w:sz w:val="24"/>
        </w:rPr>
        <w:t>er kan ikke henvises til domme, hvor virksomhedsledere</w:t>
      </w:r>
      <w:r w:rsidR="009913F0" w:rsidRPr="00D97C05">
        <w:rPr>
          <w:sz w:val="24"/>
        </w:rPr>
        <w:t>,</w:t>
      </w:r>
      <w:r w:rsidR="000233B4" w:rsidRPr="00D97C05">
        <w:rPr>
          <w:sz w:val="24"/>
        </w:rPr>
        <w:t xml:space="preserve"> </w:t>
      </w:r>
      <w:r w:rsidR="009913F0" w:rsidRPr="00D97C05">
        <w:rPr>
          <w:sz w:val="24"/>
        </w:rPr>
        <w:t xml:space="preserve">arbejdsgivere i personligt ejede virksomheder </w:t>
      </w:r>
      <w:r w:rsidR="008D1A01" w:rsidRPr="00D97C05">
        <w:rPr>
          <w:sz w:val="24"/>
        </w:rPr>
        <w:t xml:space="preserve">eller arbejdsledere </w:t>
      </w:r>
      <w:r w:rsidR="00BE04BD" w:rsidRPr="00D97C05">
        <w:rPr>
          <w:sz w:val="24"/>
        </w:rPr>
        <w:t xml:space="preserve">er idømt fængselsstraf for overtrædelse af arbejdsmiljølovgivningen. </w:t>
      </w:r>
    </w:p>
    <w:p w14:paraId="2FEFE0EB" w14:textId="00F89F90" w:rsidR="00B709DC" w:rsidRPr="00D97C05" w:rsidRDefault="00B709DC" w:rsidP="008A6A6F">
      <w:pPr>
        <w:spacing w:after="240"/>
        <w:rPr>
          <w:sz w:val="24"/>
        </w:rPr>
      </w:pPr>
      <w:r w:rsidRPr="00D97C05">
        <w:rPr>
          <w:sz w:val="24"/>
        </w:rPr>
        <w:t>Niveauet for fængselsstraf er ikke nærmere beskrevet i lovbemærkningerne til straffebestemmelserne i arbejdsmiljøloven.</w:t>
      </w:r>
    </w:p>
    <w:p w14:paraId="0BAC7B87" w14:textId="36A2292A" w:rsidR="00CB6C4E" w:rsidRPr="00D97C05" w:rsidRDefault="00CB6C4E" w:rsidP="00CB6C4E">
      <w:pPr>
        <w:spacing w:after="240"/>
        <w:rPr>
          <w:sz w:val="24"/>
        </w:rPr>
      </w:pPr>
      <w:r w:rsidRPr="00D97C05">
        <w:rPr>
          <w:sz w:val="24"/>
        </w:rPr>
        <w:t>2.</w:t>
      </w:r>
      <w:r w:rsidR="002D2F4A">
        <w:rPr>
          <w:sz w:val="24"/>
        </w:rPr>
        <w:t>2</w:t>
      </w:r>
      <w:r w:rsidRPr="00D97C05">
        <w:rPr>
          <w:sz w:val="24"/>
        </w:rPr>
        <w:t>.2. Beskæftigelsesministeriets overvejelser</w:t>
      </w:r>
    </w:p>
    <w:p w14:paraId="7FC3425F" w14:textId="4413BF66" w:rsidR="009D1E81" w:rsidRPr="00D97C05" w:rsidRDefault="00827EF8" w:rsidP="00F01C5F">
      <w:pPr>
        <w:spacing w:after="240"/>
        <w:rPr>
          <w:sz w:val="24"/>
        </w:rPr>
      </w:pPr>
      <w:bookmarkStart w:id="143" w:name="_Hlk208747779"/>
      <w:r w:rsidRPr="00D97C05">
        <w:rPr>
          <w:sz w:val="24"/>
        </w:rPr>
        <w:t>Hvis</w:t>
      </w:r>
      <w:r w:rsidR="009D1E81" w:rsidRPr="00D97C05">
        <w:rPr>
          <w:sz w:val="24"/>
        </w:rPr>
        <w:t xml:space="preserve"> ansatte udsættes for asbeststøv</w:t>
      </w:r>
      <w:r w:rsidR="00A04A35" w:rsidRPr="00D97C05">
        <w:rPr>
          <w:sz w:val="24"/>
        </w:rPr>
        <w:t xml:space="preserve"> i forbindelse med </w:t>
      </w:r>
      <w:r w:rsidR="0060746E" w:rsidRPr="00D97C05">
        <w:rPr>
          <w:sz w:val="24"/>
        </w:rPr>
        <w:t>arbejde</w:t>
      </w:r>
      <w:r w:rsidR="00A04A35" w:rsidRPr="00D97C05">
        <w:rPr>
          <w:sz w:val="24"/>
        </w:rPr>
        <w:t>t</w:t>
      </w:r>
      <w:r w:rsidR="0060746E" w:rsidRPr="00D97C05">
        <w:rPr>
          <w:sz w:val="24"/>
        </w:rPr>
        <w:t>,</w:t>
      </w:r>
      <w:r w:rsidR="009D1E81" w:rsidRPr="00D97C05">
        <w:rPr>
          <w:sz w:val="24"/>
        </w:rPr>
        <w:t xml:space="preserve"> kan det have alvorlige konsekvenser i form af farlige arbejdsrelaterede sygdomme som fx lungehindekræft og asbestose. </w:t>
      </w:r>
    </w:p>
    <w:p w14:paraId="4C3B4B4E" w14:textId="2C035F50" w:rsidR="009D1E81" w:rsidRPr="00D97C05" w:rsidRDefault="009913F0" w:rsidP="00F01C5F">
      <w:pPr>
        <w:spacing w:after="240"/>
        <w:rPr>
          <w:sz w:val="24"/>
          <w:highlight w:val="yellow"/>
        </w:rPr>
      </w:pPr>
      <w:r w:rsidRPr="00D97C05">
        <w:rPr>
          <w:sz w:val="24"/>
        </w:rPr>
        <w:t>Hvis</w:t>
      </w:r>
      <w:r w:rsidR="009D1E81" w:rsidRPr="00D97C05">
        <w:rPr>
          <w:sz w:val="24"/>
        </w:rPr>
        <w:t xml:space="preserve"> ansatte </w:t>
      </w:r>
      <w:r w:rsidR="0060746E" w:rsidRPr="00D97C05">
        <w:rPr>
          <w:sz w:val="24"/>
        </w:rPr>
        <w:t xml:space="preserve">i øvrigt </w:t>
      </w:r>
      <w:r w:rsidR="009D1E81" w:rsidRPr="00D97C05">
        <w:rPr>
          <w:sz w:val="24"/>
        </w:rPr>
        <w:t>udsættes for stor fare</w:t>
      </w:r>
      <w:r w:rsidR="00A04A35" w:rsidRPr="00D97C05">
        <w:rPr>
          <w:sz w:val="24"/>
        </w:rPr>
        <w:t xml:space="preserve"> i forbindelse med arbejdet</w:t>
      </w:r>
      <w:r w:rsidR="0060746E" w:rsidRPr="00D97C05">
        <w:rPr>
          <w:sz w:val="24"/>
        </w:rPr>
        <w:t>,</w:t>
      </w:r>
      <w:r w:rsidR="009D1E81" w:rsidRPr="00D97C05">
        <w:rPr>
          <w:sz w:val="24"/>
        </w:rPr>
        <w:t xml:space="preserve"> kan det </w:t>
      </w:r>
      <w:r w:rsidR="0060746E" w:rsidRPr="00D97C05">
        <w:rPr>
          <w:sz w:val="24"/>
        </w:rPr>
        <w:t xml:space="preserve">i </w:t>
      </w:r>
      <w:r w:rsidR="009D1E81" w:rsidRPr="00D97C05">
        <w:rPr>
          <w:sz w:val="24"/>
        </w:rPr>
        <w:t>yderste konsekvens resultere i en arbejdsulykke med døden til følge.</w:t>
      </w:r>
    </w:p>
    <w:p w14:paraId="668E69BC" w14:textId="09776A0F" w:rsidR="00A925C6" w:rsidRPr="00D97C05" w:rsidRDefault="00A925C6" w:rsidP="00F01C5F">
      <w:pPr>
        <w:spacing w:after="240"/>
        <w:rPr>
          <w:sz w:val="24"/>
        </w:rPr>
      </w:pPr>
      <w:r w:rsidRPr="00D97C05">
        <w:rPr>
          <w:sz w:val="24"/>
        </w:rPr>
        <w:t>Særligt grove asbestovertrædelser</w:t>
      </w:r>
      <w:r w:rsidR="00397CBC" w:rsidRPr="00D97C05">
        <w:rPr>
          <w:sz w:val="24"/>
        </w:rPr>
        <w:t>, hvor ansatte udsættes for asbeststøv,</w:t>
      </w:r>
      <w:r w:rsidR="00E01FDD" w:rsidRPr="00D97C05">
        <w:rPr>
          <w:sz w:val="24"/>
        </w:rPr>
        <w:t xml:space="preserve"> </w:t>
      </w:r>
      <w:r w:rsidRPr="00D97C05">
        <w:rPr>
          <w:sz w:val="24"/>
        </w:rPr>
        <w:t>og overtrædelser, der medfører en ulykke med døden til følge</w:t>
      </w:r>
      <w:r w:rsidR="00E01FDD" w:rsidRPr="00D97C05">
        <w:rPr>
          <w:sz w:val="24"/>
        </w:rPr>
        <w:t>,</w:t>
      </w:r>
      <w:r w:rsidRPr="00D97C05">
        <w:rPr>
          <w:sz w:val="24"/>
        </w:rPr>
        <w:t xml:space="preserve"> skal </w:t>
      </w:r>
      <w:r w:rsidR="008E539A" w:rsidRPr="00D97C05">
        <w:rPr>
          <w:sz w:val="24"/>
        </w:rPr>
        <w:t xml:space="preserve">kunne </w:t>
      </w:r>
      <w:r w:rsidR="00397CBC" w:rsidRPr="00D97C05">
        <w:rPr>
          <w:sz w:val="24"/>
        </w:rPr>
        <w:t>resultere i en følelig straf</w:t>
      </w:r>
      <w:r w:rsidR="00E01FDD" w:rsidRPr="00D97C05">
        <w:rPr>
          <w:sz w:val="24"/>
        </w:rPr>
        <w:t xml:space="preserve"> for personer i ledelsen, der har haft kendskab til </w:t>
      </w:r>
      <w:r w:rsidR="007960DC" w:rsidRPr="00D97C05">
        <w:rPr>
          <w:sz w:val="24"/>
        </w:rPr>
        <w:t xml:space="preserve">groft </w:t>
      </w:r>
      <w:r w:rsidR="00E01FDD" w:rsidRPr="00D97C05">
        <w:rPr>
          <w:sz w:val="24"/>
        </w:rPr>
        <w:t>uforsvarlige forhold uden at handle på det</w:t>
      </w:r>
      <w:r w:rsidR="000233B4" w:rsidRPr="00D97C05">
        <w:rPr>
          <w:sz w:val="24"/>
        </w:rPr>
        <w:t>.</w:t>
      </w:r>
    </w:p>
    <w:p w14:paraId="1331DF02" w14:textId="3FD0AEB7" w:rsidR="00397CBC" w:rsidRPr="00D97C05" w:rsidRDefault="009D1E81" w:rsidP="00F01C5F">
      <w:pPr>
        <w:spacing w:after="240"/>
        <w:rPr>
          <w:sz w:val="24"/>
        </w:rPr>
      </w:pPr>
      <w:r w:rsidRPr="00D97C05">
        <w:rPr>
          <w:sz w:val="24"/>
        </w:rPr>
        <w:lastRenderedPageBreak/>
        <w:t>Det er arbejdsgiverens ansvar at sikre, at de ansatte kan udføre arbejdet sikkerheds- og sundhedsmæssigt fuldt forsvarligt.</w:t>
      </w:r>
      <w:r w:rsidR="00397CBC" w:rsidRPr="00D97C05">
        <w:rPr>
          <w:sz w:val="24"/>
        </w:rPr>
        <w:t xml:space="preserve"> Bødeniveauet for arbejdsmiljøovertrædelser</w:t>
      </w:r>
      <w:r w:rsidR="000E425A">
        <w:rPr>
          <w:sz w:val="24"/>
        </w:rPr>
        <w:t>, herunder også overtrædelser som arbejdsgiveren har været ansvarligt for,</w:t>
      </w:r>
      <w:r w:rsidR="00397CBC" w:rsidRPr="00D97C05">
        <w:rPr>
          <w:sz w:val="24"/>
        </w:rPr>
        <w:t xml:space="preserve"> har </w:t>
      </w:r>
      <w:r w:rsidR="0053091C" w:rsidRPr="00D97C05">
        <w:rPr>
          <w:sz w:val="24"/>
        </w:rPr>
        <w:t xml:space="preserve">senest </w:t>
      </w:r>
      <w:r w:rsidR="00397CBC" w:rsidRPr="00D97C05">
        <w:rPr>
          <w:sz w:val="24"/>
        </w:rPr>
        <w:t xml:space="preserve">gennem </w:t>
      </w:r>
      <w:r w:rsidR="008E539A" w:rsidRPr="00D97C05">
        <w:rPr>
          <w:sz w:val="24"/>
        </w:rPr>
        <w:t xml:space="preserve">lovændringer i </w:t>
      </w:r>
      <w:r w:rsidR="007960DC" w:rsidRPr="00D97C05">
        <w:rPr>
          <w:sz w:val="24"/>
        </w:rPr>
        <w:t xml:space="preserve">arbejdsmiljøloven </w:t>
      </w:r>
      <w:r w:rsidR="000E425A">
        <w:rPr>
          <w:sz w:val="24"/>
        </w:rPr>
        <w:t xml:space="preserve">ved lov nr. 1554 af 27. december </w:t>
      </w:r>
      <w:r w:rsidR="008E539A" w:rsidRPr="00D97C05">
        <w:rPr>
          <w:sz w:val="24"/>
        </w:rPr>
        <w:t xml:space="preserve">2019 og </w:t>
      </w:r>
      <w:r w:rsidR="000E425A">
        <w:rPr>
          <w:sz w:val="24"/>
        </w:rPr>
        <w:t xml:space="preserve">lov nr. 340 af 3. april </w:t>
      </w:r>
      <w:r w:rsidR="008E539A" w:rsidRPr="00D97C05">
        <w:rPr>
          <w:sz w:val="24"/>
        </w:rPr>
        <w:t>202</w:t>
      </w:r>
      <w:r w:rsidR="000E425A">
        <w:rPr>
          <w:sz w:val="24"/>
        </w:rPr>
        <w:t>5</w:t>
      </w:r>
      <w:r w:rsidR="008E539A" w:rsidRPr="00D97C05">
        <w:rPr>
          <w:sz w:val="24"/>
        </w:rPr>
        <w:t xml:space="preserve"> medført forhøjede bødeniveauer</w:t>
      </w:r>
      <w:r w:rsidR="000E425A">
        <w:rPr>
          <w:sz w:val="24"/>
        </w:rPr>
        <w:t xml:space="preserve"> for materielle overtrædelser af arbejdsmiljølovgivningen. Bødeforhøjelserne har </w:t>
      </w:r>
      <w:r w:rsidR="008E539A" w:rsidRPr="00D97C05">
        <w:rPr>
          <w:sz w:val="24"/>
        </w:rPr>
        <w:t xml:space="preserve">både </w:t>
      </w:r>
      <w:r w:rsidR="000E425A">
        <w:rPr>
          <w:sz w:val="24"/>
        </w:rPr>
        <w:t>omfattet</w:t>
      </w:r>
      <w:r w:rsidR="008E539A" w:rsidRPr="00D97C05">
        <w:rPr>
          <w:sz w:val="24"/>
        </w:rPr>
        <w:t xml:space="preserve"> overtrædelser </w:t>
      </w:r>
      <w:r w:rsidR="000E425A">
        <w:rPr>
          <w:sz w:val="24"/>
        </w:rPr>
        <w:t xml:space="preserve">af asbestreglerne </w:t>
      </w:r>
      <w:r w:rsidR="008E539A" w:rsidRPr="00D97C05">
        <w:rPr>
          <w:sz w:val="24"/>
        </w:rPr>
        <w:t>og overtrædelser, der har medført en ulykke med døden til følge.</w:t>
      </w:r>
    </w:p>
    <w:p w14:paraId="69DBC462" w14:textId="41811BAB" w:rsidR="009C30FD" w:rsidRPr="00D97C05" w:rsidRDefault="007A62D6" w:rsidP="00F01C5F">
      <w:pPr>
        <w:spacing w:after="240"/>
        <w:rPr>
          <w:sz w:val="24"/>
        </w:rPr>
      </w:pPr>
      <w:bookmarkStart w:id="144" w:name="_Hlk209105417"/>
      <w:r w:rsidRPr="00D97C05">
        <w:rPr>
          <w:sz w:val="24"/>
        </w:rPr>
        <w:t xml:space="preserve">Ved </w:t>
      </w:r>
      <w:r w:rsidR="00302CA3" w:rsidRPr="00D97C05">
        <w:rPr>
          <w:sz w:val="24"/>
        </w:rPr>
        <w:t xml:space="preserve">særligt grove </w:t>
      </w:r>
      <w:r w:rsidRPr="00D97C05">
        <w:rPr>
          <w:sz w:val="24"/>
        </w:rPr>
        <w:t>arbejdsmiljøovertrædelse</w:t>
      </w:r>
      <w:r w:rsidR="00302CA3" w:rsidRPr="00D97C05">
        <w:rPr>
          <w:sz w:val="24"/>
        </w:rPr>
        <w:t>r</w:t>
      </w:r>
      <w:r w:rsidRPr="00D97C05">
        <w:rPr>
          <w:sz w:val="24"/>
        </w:rPr>
        <w:t xml:space="preserve">, </w:t>
      </w:r>
      <w:r w:rsidR="00302CA3" w:rsidRPr="00D97C05">
        <w:rPr>
          <w:sz w:val="24"/>
        </w:rPr>
        <w:t xml:space="preserve">herunder især overtrædelser, hvor ansatte er blevet </w:t>
      </w:r>
      <w:r w:rsidRPr="00D97C05">
        <w:rPr>
          <w:sz w:val="24"/>
        </w:rPr>
        <w:t>uds</w:t>
      </w:r>
      <w:r w:rsidR="00302CA3" w:rsidRPr="00D97C05">
        <w:rPr>
          <w:sz w:val="24"/>
        </w:rPr>
        <w:t>at</w:t>
      </w:r>
      <w:r w:rsidRPr="00D97C05">
        <w:rPr>
          <w:sz w:val="24"/>
        </w:rPr>
        <w:t xml:space="preserve"> for asbeststøv, </w:t>
      </w:r>
      <w:r w:rsidR="00302CA3" w:rsidRPr="00D97C05">
        <w:rPr>
          <w:sz w:val="24"/>
        </w:rPr>
        <w:t xml:space="preserve">eller overtrædelser der har medført en ulykke med døden til </w:t>
      </w:r>
      <w:bookmarkEnd w:id="144"/>
      <w:r w:rsidR="00302CA3" w:rsidRPr="00D97C05">
        <w:rPr>
          <w:sz w:val="24"/>
        </w:rPr>
        <w:t>følge</w:t>
      </w:r>
      <w:r w:rsidR="005B63F1" w:rsidRPr="00D97C05">
        <w:rPr>
          <w:sz w:val="24"/>
        </w:rPr>
        <w:t xml:space="preserve">, </w:t>
      </w:r>
      <w:r w:rsidR="00A17825" w:rsidRPr="00D97C05">
        <w:rPr>
          <w:sz w:val="24"/>
        </w:rPr>
        <w:t>er</w:t>
      </w:r>
      <w:r w:rsidRPr="00D97C05">
        <w:rPr>
          <w:sz w:val="24"/>
        </w:rPr>
        <w:t xml:space="preserve"> der behov for </w:t>
      </w:r>
      <w:r w:rsidR="00437AC9" w:rsidRPr="00D97C05">
        <w:rPr>
          <w:sz w:val="24"/>
        </w:rPr>
        <w:t xml:space="preserve">- </w:t>
      </w:r>
      <w:r w:rsidR="00302CA3" w:rsidRPr="00D97C05">
        <w:rPr>
          <w:sz w:val="24"/>
        </w:rPr>
        <w:t xml:space="preserve">ud over at pålægge et </w:t>
      </w:r>
      <w:r w:rsidR="00437AC9" w:rsidRPr="00D97C05">
        <w:rPr>
          <w:sz w:val="24"/>
        </w:rPr>
        <w:t>straffe</w:t>
      </w:r>
      <w:r w:rsidR="00302CA3" w:rsidRPr="00D97C05">
        <w:rPr>
          <w:sz w:val="24"/>
        </w:rPr>
        <w:t xml:space="preserve">ansvar for arbejdsgiveren som sådan </w:t>
      </w:r>
      <w:r w:rsidR="00437AC9" w:rsidRPr="00D97C05">
        <w:rPr>
          <w:sz w:val="24"/>
        </w:rPr>
        <w:t xml:space="preserve">- </w:t>
      </w:r>
      <w:r w:rsidRPr="00D97C05">
        <w:rPr>
          <w:sz w:val="24"/>
        </w:rPr>
        <w:t xml:space="preserve">også </w:t>
      </w:r>
      <w:r w:rsidR="00302CA3" w:rsidRPr="00D97C05">
        <w:rPr>
          <w:sz w:val="24"/>
        </w:rPr>
        <w:t xml:space="preserve">at </w:t>
      </w:r>
      <w:r w:rsidR="00A17825" w:rsidRPr="00D97C05">
        <w:rPr>
          <w:sz w:val="24"/>
        </w:rPr>
        <w:t xml:space="preserve">kunne </w:t>
      </w:r>
      <w:r w:rsidR="00302CA3" w:rsidRPr="00D97C05">
        <w:rPr>
          <w:sz w:val="24"/>
        </w:rPr>
        <w:t xml:space="preserve">gøre et straffeansvar gældende overfor fysiske personer i ledelsen, herunder </w:t>
      </w:r>
      <w:r w:rsidRPr="00D97C05">
        <w:rPr>
          <w:sz w:val="24"/>
        </w:rPr>
        <w:t>virksomhedsleder</w:t>
      </w:r>
      <w:r w:rsidR="008D1A01" w:rsidRPr="00D97C05">
        <w:rPr>
          <w:sz w:val="24"/>
        </w:rPr>
        <w:t>, arbejdsgiver i personligt ejede virksomheder</w:t>
      </w:r>
      <w:r w:rsidRPr="00D97C05">
        <w:rPr>
          <w:sz w:val="24"/>
        </w:rPr>
        <w:t xml:space="preserve"> eller en arbejdsleder</w:t>
      </w:r>
      <w:r w:rsidR="00302CA3" w:rsidRPr="00D97C05">
        <w:rPr>
          <w:sz w:val="24"/>
        </w:rPr>
        <w:t>, der i forbindelse med overtrædelsen</w:t>
      </w:r>
      <w:r w:rsidRPr="00D97C05">
        <w:rPr>
          <w:sz w:val="24"/>
        </w:rPr>
        <w:t xml:space="preserve"> forsætligt eller groft uagtsomt har tilsidesat deres pligter efter loven på en sådan måde, at fængselsstraf </w:t>
      </w:r>
      <w:r w:rsidR="00A17825" w:rsidRPr="00D97C05">
        <w:rPr>
          <w:sz w:val="24"/>
        </w:rPr>
        <w:t>kan komme på tale</w:t>
      </w:r>
      <w:r w:rsidRPr="00D97C05">
        <w:rPr>
          <w:sz w:val="24"/>
        </w:rPr>
        <w:t>.</w:t>
      </w:r>
    </w:p>
    <w:p w14:paraId="117BD171" w14:textId="3EE200CA" w:rsidR="00F45F99" w:rsidRPr="00D97C05" w:rsidRDefault="00F45F99" w:rsidP="00E3472C">
      <w:pPr>
        <w:spacing w:after="240"/>
        <w:rPr>
          <w:sz w:val="24"/>
        </w:rPr>
      </w:pPr>
      <w:bookmarkStart w:id="145" w:name="_Hlk208562487"/>
      <w:bookmarkEnd w:id="143"/>
      <w:r w:rsidRPr="00D97C05">
        <w:rPr>
          <w:sz w:val="24"/>
        </w:rPr>
        <w:t xml:space="preserve">Arbejdsmiljølovens straffebestemmelser giver i dag mulighed for op til </w:t>
      </w:r>
      <w:r w:rsidR="00336C36" w:rsidRPr="00D97C05">
        <w:rPr>
          <w:sz w:val="24"/>
        </w:rPr>
        <w:t xml:space="preserve">1 års eller </w:t>
      </w:r>
      <w:r w:rsidRPr="00D97C05">
        <w:rPr>
          <w:sz w:val="24"/>
        </w:rPr>
        <w:t xml:space="preserve">2 års fængsel </w:t>
      </w:r>
      <w:r w:rsidR="00336C36" w:rsidRPr="00D97C05">
        <w:rPr>
          <w:sz w:val="24"/>
        </w:rPr>
        <w:t>for</w:t>
      </w:r>
      <w:r w:rsidRPr="00D97C05">
        <w:rPr>
          <w:sz w:val="24"/>
        </w:rPr>
        <w:t xml:space="preserve"> overtrædelser arbejdsmiljølovgivningen</w:t>
      </w:r>
      <w:r w:rsidR="00336C36" w:rsidRPr="00D97C05">
        <w:rPr>
          <w:sz w:val="24"/>
        </w:rPr>
        <w:t xml:space="preserve"> afhængig af omstændighederne ved overtrædelsen</w:t>
      </w:r>
      <w:r w:rsidRPr="00D97C05">
        <w:rPr>
          <w:sz w:val="24"/>
        </w:rPr>
        <w:t>. Siden strafbestemmelse</w:t>
      </w:r>
      <w:r w:rsidR="00336C36" w:rsidRPr="00D97C05">
        <w:rPr>
          <w:sz w:val="24"/>
        </w:rPr>
        <w:t>r</w:t>
      </w:r>
      <w:r w:rsidRPr="00D97C05">
        <w:rPr>
          <w:sz w:val="24"/>
        </w:rPr>
        <w:t>n</w:t>
      </w:r>
      <w:r w:rsidR="00336C36" w:rsidRPr="00D97C05">
        <w:rPr>
          <w:sz w:val="24"/>
        </w:rPr>
        <w:t>e</w:t>
      </w:r>
      <w:r w:rsidRPr="00D97C05">
        <w:rPr>
          <w:sz w:val="24"/>
        </w:rPr>
        <w:t>s indfør</w:t>
      </w:r>
      <w:r w:rsidR="00336C36" w:rsidRPr="00D97C05">
        <w:rPr>
          <w:sz w:val="24"/>
        </w:rPr>
        <w:t>el</w:t>
      </w:r>
      <w:r w:rsidRPr="00D97C05">
        <w:rPr>
          <w:sz w:val="24"/>
        </w:rPr>
        <w:t xml:space="preserve">se er der ikke </w:t>
      </w:r>
      <w:r w:rsidR="00336C36" w:rsidRPr="00D97C05">
        <w:rPr>
          <w:sz w:val="24"/>
        </w:rPr>
        <w:t xml:space="preserve">i </w:t>
      </w:r>
      <w:r w:rsidRPr="00D97C05">
        <w:rPr>
          <w:sz w:val="24"/>
        </w:rPr>
        <w:t xml:space="preserve">praksis blevet idømt fængselsstraf for overtrædelse af arbejdsmiljølovgivningen. </w:t>
      </w:r>
    </w:p>
    <w:p w14:paraId="56CB382C" w14:textId="06327F63" w:rsidR="00DA1566" w:rsidRPr="00647A29" w:rsidRDefault="006057C7" w:rsidP="00882A1A">
      <w:pPr>
        <w:rPr>
          <w:sz w:val="24"/>
          <w:highlight w:val="yellow"/>
        </w:rPr>
      </w:pPr>
      <w:r w:rsidRPr="00D97C05">
        <w:rPr>
          <w:sz w:val="24"/>
        </w:rPr>
        <w:t xml:space="preserve">Når </w:t>
      </w:r>
      <w:r w:rsidR="008E539A" w:rsidRPr="00D97C05">
        <w:rPr>
          <w:sz w:val="24"/>
        </w:rPr>
        <w:t>enkeltpersoner</w:t>
      </w:r>
      <w:r w:rsidR="009D1E81" w:rsidRPr="00D97C05">
        <w:rPr>
          <w:sz w:val="24"/>
        </w:rPr>
        <w:t xml:space="preserve"> </w:t>
      </w:r>
      <w:r w:rsidR="00B64C39" w:rsidRPr="00D97C05">
        <w:rPr>
          <w:sz w:val="24"/>
        </w:rPr>
        <w:t xml:space="preserve">i virksomhedens ledelse </w:t>
      </w:r>
      <w:r w:rsidR="00F45F99" w:rsidRPr="00D97C05">
        <w:rPr>
          <w:sz w:val="24"/>
        </w:rPr>
        <w:t xml:space="preserve">har handlet forsætligt eller groft uagtsomt </w:t>
      </w:r>
      <w:bookmarkStart w:id="146" w:name="_Hlk208817040"/>
      <w:r w:rsidR="00F45F99" w:rsidRPr="00D97C05">
        <w:rPr>
          <w:sz w:val="24"/>
        </w:rPr>
        <w:t xml:space="preserve">i særligt grove </w:t>
      </w:r>
      <w:r w:rsidR="00783398" w:rsidRPr="00D97C05">
        <w:rPr>
          <w:sz w:val="24"/>
        </w:rPr>
        <w:t>tilfælde</w:t>
      </w:r>
      <w:r w:rsidR="00C75988" w:rsidRPr="00D97C05">
        <w:rPr>
          <w:sz w:val="24"/>
        </w:rPr>
        <w:t xml:space="preserve"> fx</w:t>
      </w:r>
      <w:r w:rsidR="00F45F99" w:rsidRPr="00D97C05">
        <w:rPr>
          <w:sz w:val="24"/>
        </w:rPr>
        <w:t xml:space="preserve"> vedrørende</w:t>
      </w:r>
      <w:r w:rsidR="00C75988" w:rsidRPr="00D97C05">
        <w:rPr>
          <w:sz w:val="24"/>
        </w:rPr>
        <w:t xml:space="preserve"> </w:t>
      </w:r>
      <w:r w:rsidR="0032589E" w:rsidRPr="00D97C05">
        <w:rPr>
          <w:sz w:val="24"/>
        </w:rPr>
        <w:t xml:space="preserve">visse </w:t>
      </w:r>
      <w:r w:rsidR="00C5754D" w:rsidRPr="00D97C05">
        <w:rPr>
          <w:sz w:val="24"/>
        </w:rPr>
        <w:t>overtrædelse</w:t>
      </w:r>
      <w:r w:rsidR="0032589E" w:rsidRPr="00D97C05">
        <w:rPr>
          <w:sz w:val="24"/>
        </w:rPr>
        <w:t>r</w:t>
      </w:r>
      <w:r w:rsidR="00C5754D" w:rsidRPr="00D97C05">
        <w:rPr>
          <w:sz w:val="24"/>
        </w:rPr>
        <w:t xml:space="preserve"> af </w:t>
      </w:r>
      <w:r w:rsidR="00F45F99" w:rsidRPr="00D97C05">
        <w:rPr>
          <w:sz w:val="24"/>
        </w:rPr>
        <w:t>asbest</w:t>
      </w:r>
      <w:r w:rsidR="00C5754D" w:rsidRPr="00D97C05">
        <w:rPr>
          <w:sz w:val="24"/>
        </w:rPr>
        <w:t>reglerne</w:t>
      </w:r>
      <w:r w:rsidR="00F45F99" w:rsidRPr="00D97C05">
        <w:rPr>
          <w:sz w:val="24"/>
        </w:rPr>
        <w:t xml:space="preserve"> eller </w:t>
      </w:r>
      <w:r w:rsidR="00C75988" w:rsidRPr="00D97C05">
        <w:rPr>
          <w:sz w:val="24"/>
        </w:rPr>
        <w:t>ved</w:t>
      </w:r>
      <w:r w:rsidR="00F45F99" w:rsidRPr="00D97C05">
        <w:rPr>
          <w:sz w:val="24"/>
        </w:rPr>
        <w:t xml:space="preserve"> </w:t>
      </w:r>
      <w:r w:rsidR="00AA6B07" w:rsidRPr="00D97C05">
        <w:rPr>
          <w:sz w:val="24"/>
        </w:rPr>
        <w:t xml:space="preserve">overtrædelser, der har medført en </w:t>
      </w:r>
      <w:r w:rsidR="00F45F99" w:rsidRPr="00D97C05">
        <w:rPr>
          <w:sz w:val="24"/>
        </w:rPr>
        <w:t>ulykke</w:t>
      </w:r>
      <w:r w:rsidR="00A25B14" w:rsidRPr="00D97C05">
        <w:rPr>
          <w:sz w:val="24"/>
        </w:rPr>
        <w:t xml:space="preserve"> med døden til følge</w:t>
      </w:r>
      <w:r w:rsidRPr="00D97C05">
        <w:rPr>
          <w:sz w:val="24"/>
        </w:rPr>
        <w:t>, vil en fastsættelsen af retningslinjer for, hvad udgangspunktet for fængselsstraf forudsættes at være, kunne tydeliggøre området for brugen af fængselsstraf for overtrædelse af arbejdsmiljølovgivningen</w:t>
      </w:r>
      <w:r w:rsidR="00F45F99" w:rsidRPr="00D97C05">
        <w:rPr>
          <w:sz w:val="24"/>
        </w:rPr>
        <w:t xml:space="preserve">. </w:t>
      </w:r>
    </w:p>
    <w:bookmarkEnd w:id="146"/>
    <w:p w14:paraId="0C8E9CB6" w14:textId="77777777" w:rsidR="00DA1566" w:rsidRPr="00647A29" w:rsidRDefault="00DA1566" w:rsidP="00882A1A">
      <w:pPr>
        <w:rPr>
          <w:sz w:val="24"/>
          <w:highlight w:val="yellow"/>
        </w:rPr>
      </w:pPr>
    </w:p>
    <w:p w14:paraId="6CF550BD" w14:textId="1A1B192B" w:rsidR="000450F8" w:rsidRPr="00D97C05" w:rsidRDefault="00AA6B07" w:rsidP="00882A1A">
      <w:pPr>
        <w:rPr>
          <w:sz w:val="24"/>
        </w:rPr>
      </w:pPr>
      <w:r w:rsidRPr="00D97C05">
        <w:rPr>
          <w:sz w:val="24"/>
        </w:rPr>
        <w:t>F</w:t>
      </w:r>
      <w:r w:rsidR="00A925C6" w:rsidRPr="00D97C05">
        <w:rPr>
          <w:sz w:val="24"/>
        </w:rPr>
        <w:t xml:space="preserve">ængselsstraf </w:t>
      </w:r>
      <w:r w:rsidRPr="00D97C05">
        <w:rPr>
          <w:sz w:val="24"/>
        </w:rPr>
        <w:t>forventes at</w:t>
      </w:r>
      <w:r w:rsidR="00C75988" w:rsidRPr="00D97C05">
        <w:rPr>
          <w:sz w:val="24"/>
        </w:rPr>
        <w:t xml:space="preserve"> kunne</w:t>
      </w:r>
      <w:r w:rsidRPr="00D97C05">
        <w:rPr>
          <w:sz w:val="24"/>
        </w:rPr>
        <w:t xml:space="preserve"> blive brugt </w:t>
      </w:r>
      <w:r w:rsidR="000450F8" w:rsidRPr="00D97C05">
        <w:rPr>
          <w:sz w:val="24"/>
        </w:rPr>
        <w:t>over</w:t>
      </w:r>
      <w:r w:rsidR="00827EF8" w:rsidRPr="00D97C05">
        <w:rPr>
          <w:sz w:val="24"/>
        </w:rPr>
        <w:t xml:space="preserve"> </w:t>
      </w:r>
      <w:r w:rsidR="000450F8" w:rsidRPr="00D97C05">
        <w:rPr>
          <w:sz w:val="24"/>
        </w:rPr>
        <w:t>for virksomhedsledere</w:t>
      </w:r>
      <w:r w:rsidR="002C02FF" w:rsidRPr="00D97C05">
        <w:rPr>
          <w:sz w:val="24"/>
        </w:rPr>
        <w:t>, arbejdsgivere i personligt ejede virksomheder</w:t>
      </w:r>
      <w:r w:rsidR="000450F8" w:rsidRPr="00D97C05">
        <w:rPr>
          <w:sz w:val="24"/>
        </w:rPr>
        <w:t xml:space="preserve"> og arbejdsledere</w:t>
      </w:r>
      <w:r w:rsidR="00A17825" w:rsidRPr="00D97C05">
        <w:rPr>
          <w:sz w:val="24"/>
        </w:rPr>
        <w:t>, der</w:t>
      </w:r>
      <w:r w:rsidR="000450F8" w:rsidRPr="00D97C05">
        <w:rPr>
          <w:sz w:val="24"/>
        </w:rPr>
        <w:t xml:space="preserve"> </w:t>
      </w:r>
      <w:r w:rsidR="00A925C6" w:rsidRPr="00D97C05">
        <w:rPr>
          <w:sz w:val="24"/>
        </w:rPr>
        <w:t>i særlige tilfælde</w:t>
      </w:r>
      <w:r w:rsidR="000450F8" w:rsidRPr="00D97C05">
        <w:rPr>
          <w:sz w:val="24"/>
        </w:rPr>
        <w:t xml:space="preserve"> </w:t>
      </w:r>
      <w:r w:rsidR="00A17825" w:rsidRPr="00D97C05">
        <w:rPr>
          <w:sz w:val="24"/>
        </w:rPr>
        <w:t>har tilsidesat deres pligter efter arbejdsmiljøloven</w:t>
      </w:r>
      <w:r w:rsidR="002C02FF" w:rsidRPr="00D97C05">
        <w:rPr>
          <w:sz w:val="24"/>
        </w:rPr>
        <w:t xml:space="preserve">. Fængselsstraf </w:t>
      </w:r>
      <w:r w:rsidR="00D951BC" w:rsidRPr="00D97C05">
        <w:rPr>
          <w:sz w:val="24"/>
        </w:rPr>
        <w:t>over</w:t>
      </w:r>
      <w:r w:rsidR="001F2CE7" w:rsidRPr="00D97C05">
        <w:rPr>
          <w:sz w:val="24"/>
        </w:rPr>
        <w:t xml:space="preserve"> </w:t>
      </w:r>
      <w:r w:rsidR="00D951BC" w:rsidRPr="00D97C05">
        <w:rPr>
          <w:sz w:val="24"/>
        </w:rPr>
        <w:t xml:space="preserve">for enkeltpersoner i ledelsen </w:t>
      </w:r>
      <w:r w:rsidR="002C02FF" w:rsidRPr="00D97C05">
        <w:rPr>
          <w:sz w:val="24"/>
        </w:rPr>
        <w:t xml:space="preserve">forudsættes normalt at </w:t>
      </w:r>
      <w:r w:rsidR="00D951BC" w:rsidRPr="00D97C05">
        <w:rPr>
          <w:sz w:val="24"/>
        </w:rPr>
        <w:t>blive anvendt</w:t>
      </w:r>
      <w:r w:rsidR="002C02FF" w:rsidRPr="00D97C05">
        <w:rPr>
          <w:sz w:val="24"/>
        </w:rPr>
        <w:t xml:space="preserve"> </w:t>
      </w:r>
      <w:r w:rsidR="000450F8" w:rsidRPr="00D97C05">
        <w:rPr>
          <w:sz w:val="24"/>
        </w:rPr>
        <w:t>samtidig med</w:t>
      </w:r>
      <w:r w:rsidR="00827EF8" w:rsidRPr="00D97C05">
        <w:rPr>
          <w:sz w:val="24"/>
        </w:rPr>
        <w:t>,</w:t>
      </w:r>
      <w:r w:rsidR="000450F8" w:rsidRPr="00D97C05">
        <w:rPr>
          <w:sz w:val="24"/>
        </w:rPr>
        <w:t xml:space="preserve"> at der pålægges et straffeansvar over</w:t>
      </w:r>
      <w:r w:rsidR="00783398" w:rsidRPr="00D97C05">
        <w:rPr>
          <w:sz w:val="24"/>
        </w:rPr>
        <w:t xml:space="preserve"> </w:t>
      </w:r>
      <w:r w:rsidR="000450F8" w:rsidRPr="00D97C05">
        <w:rPr>
          <w:sz w:val="24"/>
        </w:rPr>
        <w:t>for arbejdsgiveren som sådan</w:t>
      </w:r>
      <w:r w:rsidR="00DE136B" w:rsidRPr="00D97C05">
        <w:rPr>
          <w:sz w:val="24"/>
        </w:rPr>
        <w:t xml:space="preserve">, dvs. samtidig med at arbejdsgiveren </w:t>
      </w:r>
      <w:r w:rsidR="008B1B72" w:rsidRPr="00D97C05">
        <w:rPr>
          <w:sz w:val="24"/>
        </w:rPr>
        <w:t xml:space="preserve">– enten som juridisk person eller som personligt ejet virksomhed - </w:t>
      </w:r>
      <w:r w:rsidR="00DE136B" w:rsidRPr="00D97C05">
        <w:rPr>
          <w:sz w:val="24"/>
        </w:rPr>
        <w:t>får en bøde</w:t>
      </w:r>
      <w:r w:rsidR="008B1B72" w:rsidRPr="00D97C05">
        <w:rPr>
          <w:sz w:val="24"/>
        </w:rPr>
        <w:t xml:space="preserve"> efter de bødeniveauer, som allerede er gældende</w:t>
      </w:r>
      <w:r w:rsidR="000450F8" w:rsidRPr="00D97C05">
        <w:rPr>
          <w:sz w:val="24"/>
        </w:rPr>
        <w:t>.</w:t>
      </w:r>
    </w:p>
    <w:p w14:paraId="60D83024" w14:textId="77777777" w:rsidR="00DA1566" w:rsidRPr="00D97C05" w:rsidRDefault="00DA1566" w:rsidP="00882A1A">
      <w:pPr>
        <w:rPr>
          <w:sz w:val="24"/>
        </w:rPr>
      </w:pPr>
    </w:p>
    <w:p w14:paraId="4967B895" w14:textId="286A159F" w:rsidR="00882A1A" w:rsidRPr="00D97C05" w:rsidRDefault="00A925C6" w:rsidP="00882A1A">
      <w:pPr>
        <w:rPr>
          <w:sz w:val="24"/>
        </w:rPr>
      </w:pPr>
      <w:r w:rsidRPr="00D97C05">
        <w:rPr>
          <w:sz w:val="24"/>
        </w:rPr>
        <w:lastRenderedPageBreak/>
        <w:t xml:space="preserve">Et øget fokus for muligheden for fængselsstraf </w:t>
      </w:r>
      <w:r w:rsidR="002C02FF" w:rsidRPr="00D97C05">
        <w:rPr>
          <w:sz w:val="24"/>
        </w:rPr>
        <w:t xml:space="preserve">for personer i ledelsen i særlige tilfælde </w:t>
      </w:r>
      <w:r w:rsidR="00882A1A" w:rsidRPr="00D97C05">
        <w:rPr>
          <w:sz w:val="24"/>
        </w:rPr>
        <w:t>forventes at kunne have en forebyggende effekt.</w:t>
      </w:r>
    </w:p>
    <w:bookmarkEnd w:id="145"/>
    <w:p w14:paraId="599A30A0" w14:textId="77777777" w:rsidR="00F05A72" w:rsidRPr="00D97C05" w:rsidRDefault="00F05A72" w:rsidP="00CB6C4E">
      <w:pPr>
        <w:pStyle w:val="Undertitel"/>
        <w:spacing w:after="0"/>
        <w:rPr>
          <w:sz w:val="24"/>
        </w:rPr>
      </w:pPr>
    </w:p>
    <w:p w14:paraId="6A703B15" w14:textId="061204C8" w:rsidR="00CB6C4E" w:rsidRPr="00D97C05" w:rsidRDefault="00CB6C4E" w:rsidP="00CB6C4E">
      <w:pPr>
        <w:pStyle w:val="Undertitel"/>
        <w:spacing w:after="0"/>
        <w:rPr>
          <w:sz w:val="24"/>
        </w:rPr>
      </w:pPr>
      <w:r w:rsidRPr="00D97C05">
        <w:rPr>
          <w:sz w:val="24"/>
        </w:rPr>
        <w:t>2.</w:t>
      </w:r>
      <w:r w:rsidR="002D2F4A">
        <w:rPr>
          <w:sz w:val="24"/>
        </w:rPr>
        <w:t>2</w:t>
      </w:r>
      <w:r w:rsidRPr="00D97C05">
        <w:rPr>
          <w:sz w:val="24"/>
        </w:rPr>
        <w:t>.3. Den foreslåede ordning</w:t>
      </w:r>
    </w:p>
    <w:p w14:paraId="590FEF11" w14:textId="632D65BF" w:rsidR="0041301E" w:rsidRPr="00D97C05" w:rsidRDefault="005B3D06" w:rsidP="00302F42">
      <w:pPr>
        <w:spacing w:after="240"/>
        <w:rPr>
          <w:sz w:val="24"/>
        </w:rPr>
      </w:pPr>
      <w:r w:rsidRPr="00647A29">
        <w:rPr>
          <w:sz w:val="24"/>
          <w:highlight w:val="yellow"/>
        </w:rPr>
        <w:br/>
      </w:r>
      <w:r w:rsidR="00747E36" w:rsidRPr="00D97C05">
        <w:rPr>
          <w:sz w:val="24"/>
        </w:rPr>
        <w:t>Beskæftigelsesministeriet ønsker</w:t>
      </w:r>
      <w:r w:rsidR="0041301E" w:rsidRPr="00D97C05">
        <w:rPr>
          <w:sz w:val="24"/>
        </w:rPr>
        <w:t>,</w:t>
      </w:r>
      <w:r w:rsidR="00747E36" w:rsidRPr="00D97C05">
        <w:rPr>
          <w:sz w:val="24"/>
        </w:rPr>
        <w:t xml:space="preserve"> at </w:t>
      </w:r>
      <w:r w:rsidR="00A04A35" w:rsidRPr="00D97C05">
        <w:rPr>
          <w:sz w:val="24"/>
        </w:rPr>
        <w:t xml:space="preserve">det </w:t>
      </w:r>
      <w:r w:rsidR="009E6568" w:rsidRPr="00D97C05">
        <w:rPr>
          <w:sz w:val="24"/>
        </w:rPr>
        <w:t xml:space="preserve">gennem et vejledende niveau </w:t>
      </w:r>
      <w:r w:rsidR="00A04A35" w:rsidRPr="00D97C05">
        <w:rPr>
          <w:sz w:val="24"/>
        </w:rPr>
        <w:t>skal tydeliggøres</w:t>
      </w:r>
      <w:r w:rsidR="00372228" w:rsidRPr="00D97C05">
        <w:rPr>
          <w:sz w:val="24"/>
        </w:rPr>
        <w:t>,</w:t>
      </w:r>
      <w:r w:rsidR="00A04A35" w:rsidRPr="00D97C05">
        <w:rPr>
          <w:sz w:val="24"/>
        </w:rPr>
        <w:t xml:space="preserve"> at</w:t>
      </w:r>
      <w:r w:rsidR="00747E36" w:rsidRPr="00D97C05">
        <w:rPr>
          <w:sz w:val="24"/>
        </w:rPr>
        <w:t xml:space="preserve"> fængselsstraf</w:t>
      </w:r>
      <w:r w:rsidR="00A04A35" w:rsidRPr="00D97C05">
        <w:rPr>
          <w:sz w:val="24"/>
        </w:rPr>
        <w:t xml:space="preserve"> </w:t>
      </w:r>
      <w:r w:rsidR="009B136B" w:rsidRPr="00D97C05">
        <w:rPr>
          <w:sz w:val="24"/>
        </w:rPr>
        <w:t xml:space="preserve">kan bruges </w:t>
      </w:r>
      <w:r w:rsidR="009E6568" w:rsidRPr="00D97C05">
        <w:rPr>
          <w:sz w:val="24"/>
        </w:rPr>
        <w:t>i praksis overfor enkelte personer i virksomhedens ledelse</w:t>
      </w:r>
      <w:r w:rsidR="00724B03" w:rsidRPr="00D97C05">
        <w:rPr>
          <w:sz w:val="24"/>
        </w:rPr>
        <w:t xml:space="preserve"> </w:t>
      </w:r>
      <w:r w:rsidR="00783398" w:rsidRPr="00D97C05">
        <w:rPr>
          <w:sz w:val="24"/>
        </w:rPr>
        <w:t>ved</w:t>
      </w:r>
      <w:r w:rsidR="00372228" w:rsidRPr="00D97C05">
        <w:rPr>
          <w:sz w:val="24"/>
        </w:rPr>
        <w:t xml:space="preserve"> særligt grove overtrædelser af arbejdsmiljølovgivningen.</w:t>
      </w:r>
      <w:r w:rsidR="00A925C6" w:rsidRPr="00D97C05">
        <w:rPr>
          <w:sz w:val="24"/>
        </w:rPr>
        <w:t xml:space="preserve"> </w:t>
      </w:r>
      <w:r w:rsidR="001F2CE7" w:rsidRPr="00D97C05">
        <w:rPr>
          <w:sz w:val="24"/>
        </w:rPr>
        <w:t>Med særligt grove overtrædelser af arbejdsmiljølovgivningen menes</w:t>
      </w:r>
      <w:r w:rsidR="00DD4C73" w:rsidRPr="00D97C05">
        <w:rPr>
          <w:sz w:val="24"/>
        </w:rPr>
        <w:t xml:space="preserve"> særligt grove overtrædelser af a</w:t>
      </w:r>
      <w:r w:rsidR="0041301E" w:rsidRPr="00D97C05">
        <w:rPr>
          <w:sz w:val="24"/>
        </w:rPr>
        <w:t xml:space="preserve">sbestreglerne </w:t>
      </w:r>
      <w:r w:rsidR="00DD4C73" w:rsidRPr="00D97C05">
        <w:rPr>
          <w:sz w:val="24"/>
        </w:rPr>
        <w:t xml:space="preserve">eller </w:t>
      </w:r>
      <w:r w:rsidR="00783398" w:rsidRPr="00D97C05">
        <w:rPr>
          <w:sz w:val="24"/>
        </w:rPr>
        <w:t>ved</w:t>
      </w:r>
      <w:r w:rsidR="00DD4C73" w:rsidRPr="00D97C05">
        <w:rPr>
          <w:sz w:val="24"/>
        </w:rPr>
        <w:t xml:space="preserve"> overtrædelser, der har medført en ulykke med døden til følge</w:t>
      </w:r>
      <w:r w:rsidR="0041301E" w:rsidRPr="00D97C05">
        <w:rPr>
          <w:sz w:val="24"/>
        </w:rPr>
        <w:t xml:space="preserve"> eller andre meget alvorlige følger</w:t>
      </w:r>
      <w:r w:rsidR="00DD4C73" w:rsidRPr="00D97C05">
        <w:rPr>
          <w:sz w:val="24"/>
        </w:rPr>
        <w:t xml:space="preserve">. </w:t>
      </w:r>
    </w:p>
    <w:p w14:paraId="26ED70DE" w14:textId="57F8FF16" w:rsidR="00302F42" w:rsidRPr="00D97C05" w:rsidRDefault="00302F42" w:rsidP="00302F42">
      <w:pPr>
        <w:spacing w:after="240"/>
        <w:rPr>
          <w:sz w:val="24"/>
        </w:rPr>
      </w:pPr>
      <w:r w:rsidRPr="00D97C05">
        <w:rPr>
          <w:sz w:val="24"/>
        </w:rPr>
        <w:t xml:space="preserve">Med forslaget sigtes der </w:t>
      </w:r>
      <w:r w:rsidR="008A204C" w:rsidRPr="00D97C05">
        <w:rPr>
          <w:sz w:val="24"/>
        </w:rPr>
        <w:t xml:space="preserve">efter, </w:t>
      </w:r>
      <w:r w:rsidRPr="00D97C05">
        <w:rPr>
          <w:sz w:val="24"/>
        </w:rPr>
        <w:t>at der i særlig</w:t>
      </w:r>
      <w:r w:rsidR="00437AC9" w:rsidRPr="00D97C05">
        <w:rPr>
          <w:sz w:val="24"/>
        </w:rPr>
        <w:t>t</w:t>
      </w:r>
      <w:r w:rsidRPr="00D97C05">
        <w:rPr>
          <w:sz w:val="24"/>
        </w:rPr>
        <w:t xml:space="preserve"> </w:t>
      </w:r>
      <w:r w:rsidR="008A204C" w:rsidRPr="00D97C05">
        <w:rPr>
          <w:sz w:val="24"/>
        </w:rPr>
        <w:t xml:space="preserve">grove </w:t>
      </w:r>
      <w:r w:rsidRPr="00D97C05">
        <w:rPr>
          <w:sz w:val="24"/>
        </w:rPr>
        <w:t xml:space="preserve">tilfælde </w:t>
      </w:r>
      <w:r w:rsidR="008A204C" w:rsidRPr="00D97C05">
        <w:rPr>
          <w:sz w:val="24"/>
        </w:rPr>
        <w:t xml:space="preserve">af overtrædelse af arbejdsmiljølovgivningen </w:t>
      </w:r>
      <w:r w:rsidRPr="00D97C05">
        <w:rPr>
          <w:sz w:val="24"/>
        </w:rPr>
        <w:t xml:space="preserve">kan være anledning til – ud over tiltalen mod </w:t>
      </w:r>
      <w:r w:rsidR="008A204C" w:rsidRPr="00D97C05">
        <w:rPr>
          <w:sz w:val="24"/>
        </w:rPr>
        <w:t>arbejdsgiveren som sådan</w:t>
      </w:r>
      <w:r w:rsidRPr="00D97C05">
        <w:rPr>
          <w:sz w:val="24"/>
        </w:rPr>
        <w:t xml:space="preserve"> – tillige at rejse tiltale mod en eller flere fysiske personer, såfremt den eller de pågældende har handlet forsætligt eller udvist grov uagtsomhed.</w:t>
      </w:r>
    </w:p>
    <w:p w14:paraId="355AC41B" w14:textId="7E2B066E" w:rsidR="008A204C" w:rsidRPr="00D97C05" w:rsidRDefault="008A204C" w:rsidP="00A925C6">
      <w:pPr>
        <w:spacing w:after="240"/>
        <w:rPr>
          <w:sz w:val="24"/>
        </w:rPr>
      </w:pPr>
      <w:r w:rsidRPr="00D97C05">
        <w:rPr>
          <w:sz w:val="24"/>
        </w:rPr>
        <w:t xml:space="preserve">De fysiske personer </w:t>
      </w:r>
      <w:r w:rsidR="00B64C39" w:rsidRPr="00D97C05">
        <w:rPr>
          <w:sz w:val="24"/>
        </w:rPr>
        <w:t xml:space="preserve">vil være personer i virksomhedens ledelse, herunder </w:t>
      </w:r>
      <w:r w:rsidRPr="00D97C05">
        <w:rPr>
          <w:sz w:val="24"/>
        </w:rPr>
        <w:t>virksomhedsledere</w:t>
      </w:r>
      <w:r w:rsidR="00632F92" w:rsidRPr="00D97C05">
        <w:rPr>
          <w:sz w:val="24"/>
        </w:rPr>
        <w:t>,</w:t>
      </w:r>
      <w:r w:rsidR="00B64C39" w:rsidRPr="00D97C05">
        <w:rPr>
          <w:sz w:val="24"/>
        </w:rPr>
        <w:t xml:space="preserve"> </w:t>
      </w:r>
      <w:r w:rsidR="002C02FF" w:rsidRPr="00D97C05">
        <w:rPr>
          <w:sz w:val="24"/>
        </w:rPr>
        <w:t>arbejdsgivere i personlig</w:t>
      </w:r>
      <w:r w:rsidR="00C817E1">
        <w:rPr>
          <w:sz w:val="24"/>
        </w:rPr>
        <w:t>t</w:t>
      </w:r>
      <w:r w:rsidR="002C02FF" w:rsidRPr="00D97C05">
        <w:rPr>
          <w:sz w:val="24"/>
        </w:rPr>
        <w:t xml:space="preserve"> ejede virksomheder </w:t>
      </w:r>
      <w:r w:rsidR="00B64C39" w:rsidRPr="00D97C05">
        <w:rPr>
          <w:sz w:val="24"/>
        </w:rPr>
        <w:t xml:space="preserve">og </w:t>
      </w:r>
      <w:r w:rsidRPr="00D97C05">
        <w:rPr>
          <w:sz w:val="24"/>
        </w:rPr>
        <w:t>arbejdsledere</w:t>
      </w:r>
      <w:r w:rsidR="00B64C39" w:rsidRPr="00D97C05">
        <w:rPr>
          <w:sz w:val="24"/>
        </w:rPr>
        <w:t>.</w:t>
      </w:r>
    </w:p>
    <w:p w14:paraId="723299E8" w14:textId="78C026E8" w:rsidR="008F4107" w:rsidRPr="00D97C05" w:rsidRDefault="008F4107" w:rsidP="00A925C6">
      <w:pPr>
        <w:spacing w:after="240"/>
        <w:rPr>
          <w:sz w:val="24"/>
        </w:rPr>
      </w:pPr>
      <w:bookmarkStart w:id="147" w:name="_Hlk209684987"/>
      <w:r w:rsidRPr="00D97C05">
        <w:rPr>
          <w:sz w:val="24"/>
        </w:rPr>
        <w:t xml:space="preserve">Med forslaget sigtes der ikke på at ændre, at langt den overvejende del af straffesagerne om overtrædelse af arbejdsmiljølovgivningen rettes mod arbejdsgiveren som sådan. Det betyder, at arbejdsgiveren – enten som juridisk person eller som personligt ejet virksomhed - får en bøde </w:t>
      </w:r>
      <w:r w:rsidR="006057C7" w:rsidRPr="00D97C05">
        <w:rPr>
          <w:sz w:val="24"/>
        </w:rPr>
        <w:t>samtidig med</w:t>
      </w:r>
      <w:r w:rsidR="00C817E1">
        <w:rPr>
          <w:sz w:val="24"/>
        </w:rPr>
        <w:t>,</w:t>
      </w:r>
      <w:r w:rsidR="006057C7" w:rsidRPr="00D97C05">
        <w:rPr>
          <w:sz w:val="24"/>
        </w:rPr>
        <w:t xml:space="preserve"> at enkeltpersoner kan idømmes fængselsstraf. </w:t>
      </w:r>
    </w:p>
    <w:bookmarkEnd w:id="147"/>
    <w:p w14:paraId="578BEE3D" w14:textId="76DF6DC5" w:rsidR="008A204C" w:rsidRPr="00647A29" w:rsidRDefault="008A204C" w:rsidP="00A925C6">
      <w:pPr>
        <w:spacing w:after="240"/>
        <w:rPr>
          <w:sz w:val="24"/>
          <w:highlight w:val="yellow"/>
        </w:rPr>
      </w:pPr>
      <w:r w:rsidRPr="00D97C05">
        <w:rPr>
          <w:sz w:val="24"/>
        </w:rPr>
        <w:t xml:space="preserve">Med forslaget forudsættes det, at bødeniveauet for virksomheders overtrædelse af arbejdsmiljølovgivningen </w:t>
      </w:r>
      <w:r w:rsidR="007960DC" w:rsidRPr="00D97C05">
        <w:rPr>
          <w:sz w:val="24"/>
        </w:rPr>
        <w:t>forbliver uændret</w:t>
      </w:r>
      <w:r w:rsidR="00827EF8" w:rsidRPr="00D97C05">
        <w:rPr>
          <w:sz w:val="24"/>
        </w:rPr>
        <w:t>,</w:t>
      </w:r>
      <w:r w:rsidRPr="00D97C05">
        <w:rPr>
          <w:sz w:val="24"/>
        </w:rPr>
        <w:t xml:space="preserve"> </w:t>
      </w:r>
      <w:r w:rsidR="007960DC" w:rsidRPr="00D97C05">
        <w:rPr>
          <w:sz w:val="24"/>
        </w:rPr>
        <w:t>og</w:t>
      </w:r>
      <w:r w:rsidRPr="00D97C05">
        <w:rPr>
          <w:sz w:val="24"/>
        </w:rPr>
        <w:t xml:space="preserve"> følger de </w:t>
      </w:r>
      <w:r w:rsidR="00BE6791">
        <w:rPr>
          <w:sz w:val="24"/>
        </w:rPr>
        <w:t>bøde</w:t>
      </w:r>
      <w:r w:rsidRPr="00D97C05">
        <w:rPr>
          <w:sz w:val="24"/>
        </w:rPr>
        <w:t xml:space="preserve">niveauer der </w:t>
      </w:r>
      <w:r w:rsidR="00BE6791">
        <w:rPr>
          <w:sz w:val="24"/>
        </w:rPr>
        <w:t xml:space="preserve">tidligere </w:t>
      </w:r>
      <w:r w:rsidR="006057C7" w:rsidRPr="00D97C05">
        <w:rPr>
          <w:sz w:val="24"/>
        </w:rPr>
        <w:t xml:space="preserve">er fastsat </w:t>
      </w:r>
      <w:r w:rsidRPr="00D97C05">
        <w:rPr>
          <w:sz w:val="24"/>
        </w:rPr>
        <w:t>ved lovændring</w:t>
      </w:r>
      <w:r w:rsidR="007960DC" w:rsidRPr="00D97C05">
        <w:rPr>
          <w:sz w:val="24"/>
        </w:rPr>
        <w:t>er af arbejdsmiljøloven</w:t>
      </w:r>
      <w:r w:rsidR="00BE6791">
        <w:rPr>
          <w:sz w:val="24"/>
        </w:rPr>
        <w:t xml:space="preserve">, herunder senest ved lov nr. 1554 af 27. december </w:t>
      </w:r>
      <w:r w:rsidRPr="00D97C05">
        <w:rPr>
          <w:sz w:val="24"/>
        </w:rPr>
        <w:t>2019</w:t>
      </w:r>
      <w:r w:rsidR="00BE6791">
        <w:rPr>
          <w:sz w:val="24"/>
        </w:rPr>
        <w:t xml:space="preserve">, </w:t>
      </w:r>
      <w:r w:rsidR="00BE6791" w:rsidRPr="00BE6791">
        <w:rPr>
          <w:sz w:val="24"/>
        </w:rPr>
        <w:t xml:space="preserve">lov nr. 629 af 11. juni 2024 og lov nr. 340 af 3. april </w:t>
      </w:r>
      <w:r w:rsidRPr="00D97C05">
        <w:rPr>
          <w:sz w:val="24"/>
        </w:rPr>
        <w:t>202</w:t>
      </w:r>
      <w:r w:rsidR="00BE6791">
        <w:rPr>
          <w:sz w:val="24"/>
        </w:rPr>
        <w:t>5</w:t>
      </w:r>
      <w:r w:rsidRPr="00D97C05">
        <w:rPr>
          <w:sz w:val="24"/>
        </w:rPr>
        <w:t>.</w:t>
      </w:r>
      <w:r w:rsidRPr="00647A29">
        <w:rPr>
          <w:sz w:val="24"/>
          <w:highlight w:val="yellow"/>
        </w:rPr>
        <w:t xml:space="preserve"> </w:t>
      </w:r>
    </w:p>
    <w:p w14:paraId="6C9DF32F" w14:textId="58375CC6" w:rsidR="00AA6B07" w:rsidRPr="00D97C05" w:rsidRDefault="00AA6B07" w:rsidP="00AA6B07">
      <w:pPr>
        <w:spacing w:after="240"/>
        <w:rPr>
          <w:sz w:val="24"/>
        </w:rPr>
      </w:pPr>
      <w:r w:rsidRPr="00D97C05">
        <w:rPr>
          <w:sz w:val="24"/>
        </w:rPr>
        <w:t>Derved vil det vejledende bødeniveau for virksomheder, herunder for arbejdsgivere mv. fortsat følge de vejledende bødeniveauer, som er fastsat i tidligere lovbemærkninger til § 82, stk. 1- 6</w:t>
      </w:r>
      <w:r w:rsidR="003F3B69">
        <w:rPr>
          <w:sz w:val="24"/>
        </w:rPr>
        <w:t>, og § 82 b</w:t>
      </w:r>
      <w:r w:rsidRPr="00D97C05">
        <w:rPr>
          <w:sz w:val="24"/>
        </w:rPr>
        <w:t>.</w:t>
      </w:r>
    </w:p>
    <w:p w14:paraId="062EDC06" w14:textId="0FF63877" w:rsidR="00CB08DC" w:rsidRPr="00D97C05" w:rsidRDefault="00A925C6" w:rsidP="00A925C6">
      <w:pPr>
        <w:spacing w:after="240"/>
        <w:rPr>
          <w:sz w:val="24"/>
        </w:rPr>
      </w:pPr>
      <w:r w:rsidRPr="00D97C05">
        <w:rPr>
          <w:sz w:val="24"/>
        </w:rPr>
        <w:t xml:space="preserve">Det vurderes mest hensigtsmæssigt, at </w:t>
      </w:r>
      <w:r w:rsidR="00FA28B1" w:rsidRPr="00D97C05">
        <w:rPr>
          <w:sz w:val="24"/>
        </w:rPr>
        <w:t xml:space="preserve">der i arbejdsmiljølovens straffebestemmelser, jf. § 82, stk. 1 og stk. 2, foretages </w:t>
      </w:r>
      <w:r w:rsidR="00D53D55" w:rsidRPr="00D97C05">
        <w:rPr>
          <w:sz w:val="24"/>
        </w:rPr>
        <w:t xml:space="preserve">en </w:t>
      </w:r>
      <w:r w:rsidR="00FA28B1" w:rsidRPr="00D97C05">
        <w:rPr>
          <w:sz w:val="24"/>
        </w:rPr>
        <w:t xml:space="preserve">mindre sproglig ændring med henblik på </w:t>
      </w:r>
      <w:r w:rsidR="00CB08DC" w:rsidRPr="00D97C05">
        <w:rPr>
          <w:sz w:val="24"/>
        </w:rPr>
        <w:t xml:space="preserve">alene </w:t>
      </w:r>
      <w:r w:rsidR="00FA28B1" w:rsidRPr="00D97C05">
        <w:rPr>
          <w:sz w:val="24"/>
        </w:rPr>
        <w:t xml:space="preserve">at åbne lovbemærkningerne for at </w:t>
      </w:r>
      <w:r w:rsidR="00CB08DC" w:rsidRPr="00D97C05">
        <w:rPr>
          <w:sz w:val="24"/>
        </w:rPr>
        <w:t xml:space="preserve">kunne fastsætte et </w:t>
      </w:r>
      <w:r w:rsidR="001F2CE7" w:rsidRPr="00D97C05">
        <w:rPr>
          <w:sz w:val="24"/>
        </w:rPr>
        <w:lastRenderedPageBreak/>
        <w:t>vejled</w:t>
      </w:r>
      <w:r w:rsidR="008B1B72" w:rsidRPr="00D97C05">
        <w:rPr>
          <w:sz w:val="24"/>
        </w:rPr>
        <w:t>ende</w:t>
      </w:r>
      <w:r w:rsidR="001F2CE7" w:rsidRPr="00D97C05">
        <w:rPr>
          <w:sz w:val="24"/>
        </w:rPr>
        <w:t xml:space="preserve"> niveau for </w:t>
      </w:r>
      <w:r w:rsidR="00CB08DC" w:rsidRPr="00D97C05">
        <w:rPr>
          <w:sz w:val="24"/>
        </w:rPr>
        <w:t xml:space="preserve">fængselsstraf for </w:t>
      </w:r>
      <w:r w:rsidR="00D53D55" w:rsidRPr="00D97C05">
        <w:rPr>
          <w:sz w:val="24"/>
        </w:rPr>
        <w:t>virksomhedsledere</w:t>
      </w:r>
      <w:r w:rsidR="00632F92" w:rsidRPr="00D97C05">
        <w:rPr>
          <w:sz w:val="24"/>
        </w:rPr>
        <w:t>, arbejdsgivere i personligt ejede virksomheder</w:t>
      </w:r>
      <w:r w:rsidR="00D53D55" w:rsidRPr="00D97C05">
        <w:rPr>
          <w:sz w:val="24"/>
        </w:rPr>
        <w:t xml:space="preserve"> og arbejdsledere</w:t>
      </w:r>
      <w:r w:rsidR="00AA6B07" w:rsidRPr="00D97C05">
        <w:rPr>
          <w:sz w:val="24"/>
        </w:rPr>
        <w:t xml:space="preserve">. </w:t>
      </w:r>
    </w:p>
    <w:p w14:paraId="64F16F78" w14:textId="151C314D" w:rsidR="000450F8" w:rsidRDefault="00B86F94" w:rsidP="000450F8">
      <w:pPr>
        <w:spacing w:after="240"/>
        <w:rPr>
          <w:sz w:val="24"/>
          <w:highlight w:val="yellow"/>
        </w:rPr>
      </w:pPr>
      <w:r w:rsidRPr="00D97C05">
        <w:rPr>
          <w:sz w:val="24"/>
        </w:rPr>
        <w:t>Der kan som nævnt ovenfor under punkt 2.1.1.7. ikke henvises til domme, hvor virksomhedsledere</w:t>
      </w:r>
      <w:r w:rsidR="000245DD" w:rsidRPr="00D97C05">
        <w:rPr>
          <w:sz w:val="24"/>
        </w:rPr>
        <w:t>, arbejdsgivere i personligt ejede virksomheder</w:t>
      </w:r>
      <w:r w:rsidRPr="00D97C05">
        <w:rPr>
          <w:sz w:val="24"/>
        </w:rPr>
        <w:t xml:space="preserve"> eller arbejdsledere er idømt fængselsstraf for overtrædelse af arbejdsmiljølovgivningen.</w:t>
      </w:r>
      <w:r w:rsidR="00827EF8" w:rsidRPr="00D97C05">
        <w:rPr>
          <w:sz w:val="24"/>
        </w:rPr>
        <w:t xml:space="preserve"> </w:t>
      </w:r>
      <w:r w:rsidRPr="00D97C05">
        <w:rPr>
          <w:sz w:val="24"/>
        </w:rPr>
        <w:t>Den retstilstand bør efter Beskæftigelsesministeriets opfattelse ændres</w:t>
      </w:r>
      <w:r w:rsidR="00827EF8" w:rsidRPr="00D97C05">
        <w:rPr>
          <w:sz w:val="24"/>
        </w:rPr>
        <w:t>,</w:t>
      </w:r>
      <w:r w:rsidRPr="00D97C05">
        <w:rPr>
          <w:sz w:val="24"/>
        </w:rPr>
        <w:t xml:space="preserve"> og </w:t>
      </w:r>
      <w:bookmarkStart w:id="148" w:name="_Hlk209594624"/>
      <w:r w:rsidRPr="00D97C05">
        <w:rPr>
          <w:sz w:val="24"/>
        </w:rPr>
        <w:t xml:space="preserve">der bør fastsættes et vejledende niveau for fængselsstraf af </w:t>
      </w:r>
      <w:r w:rsidR="00632F92" w:rsidRPr="00D97C05">
        <w:rPr>
          <w:sz w:val="24"/>
        </w:rPr>
        <w:t xml:space="preserve">fysiske </w:t>
      </w:r>
      <w:r w:rsidRPr="00D97C05">
        <w:rPr>
          <w:sz w:val="24"/>
        </w:rPr>
        <w:t>personer</w:t>
      </w:r>
      <w:r w:rsidR="00B64C39" w:rsidRPr="00D97C05">
        <w:rPr>
          <w:sz w:val="24"/>
        </w:rPr>
        <w:t xml:space="preserve"> i virksomheders ledelse</w:t>
      </w:r>
      <w:r w:rsidR="00AA6B07" w:rsidRPr="00D97C05">
        <w:rPr>
          <w:sz w:val="24"/>
        </w:rPr>
        <w:t>.</w:t>
      </w:r>
      <w:r w:rsidR="00AA6B07" w:rsidRPr="00647A29">
        <w:rPr>
          <w:sz w:val="24"/>
          <w:highlight w:val="yellow"/>
        </w:rPr>
        <w:t xml:space="preserve"> </w:t>
      </w:r>
    </w:p>
    <w:p w14:paraId="6880B699" w14:textId="12F89AFE" w:rsidR="009616EA" w:rsidRPr="00D97C05" w:rsidRDefault="009616EA" w:rsidP="009616EA">
      <w:pPr>
        <w:spacing w:after="240"/>
        <w:rPr>
          <w:sz w:val="24"/>
        </w:rPr>
      </w:pPr>
      <w:r w:rsidRPr="00D97C05">
        <w:rPr>
          <w:sz w:val="24"/>
        </w:rPr>
        <w:t xml:space="preserve">Fysiske personer i form af virksomhedsledere kan fx være </w:t>
      </w:r>
      <w:bookmarkStart w:id="149" w:name="_Hlk209689933"/>
      <w:r w:rsidRPr="00D97C05">
        <w:rPr>
          <w:sz w:val="24"/>
        </w:rPr>
        <w:t xml:space="preserve">administrerende direktører eller andre ledende personer med tilsvarende generel kompetence. </w:t>
      </w:r>
    </w:p>
    <w:bookmarkEnd w:id="148"/>
    <w:bookmarkEnd w:id="149"/>
    <w:p w14:paraId="33CDDED5" w14:textId="676B2320" w:rsidR="000233B4" w:rsidRPr="00D97C05" w:rsidRDefault="000245DD" w:rsidP="000233B4">
      <w:pPr>
        <w:spacing w:after="240"/>
        <w:rPr>
          <w:sz w:val="24"/>
        </w:rPr>
      </w:pPr>
      <w:r w:rsidRPr="00D97C05">
        <w:rPr>
          <w:sz w:val="24"/>
        </w:rPr>
        <w:t xml:space="preserve">I forhold til virksomhedsledere </w:t>
      </w:r>
      <w:r w:rsidR="000233B4" w:rsidRPr="00D97C05">
        <w:rPr>
          <w:sz w:val="24"/>
        </w:rPr>
        <w:t xml:space="preserve">kan </w:t>
      </w:r>
      <w:r w:rsidRPr="00D97C05">
        <w:rPr>
          <w:sz w:val="24"/>
        </w:rPr>
        <w:t xml:space="preserve">det </w:t>
      </w:r>
      <w:r w:rsidR="000233B4" w:rsidRPr="00D97C05">
        <w:rPr>
          <w:sz w:val="24"/>
        </w:rPr>
        <w:t>fx være tilfælde, hvor ansatte arbejder</w:t>
      </w:r>
      <w:r w:rsidR="00AE10D5">
        <w:rPr>
          <w:sz w:val="24"/>
        </w:rPr>
        <w:t>,</w:t>
      </w:r>
      <w:r w:rsidR="000233B4" w:rsidRPr="00D97C05">
        <w:rPr>
          <w:sz w:val="24"/>
        </w:rPr>
        <w:t xml:space="preserve"> uden at asbestreglerne følges, </w:t>
      </w:r>
      <w:r w:rsidR="00C75988" w:rsidRPr="00D97C05">
        <w:rPr>
          <w:sz w:val="24"/>
        </w:rPr>
        <w:t xml:space="preserve">selv om der foreligger oplysninger om forekomst af asbest i arbejdsområdet, </w:t>
      </w:r>
      <w:r w:rsidR="000233B4" w:rsidRPr="00D97C05">
        <w:rPr>
          <w:sz w:val="24"/>
        </w:rPr>
        <w:t xml:space="preserve">og hvor arbejdet foregår på en måde, så asbeststøv udvikles, og hvor de ansatte arbejder tæt på støvudviklingen. </w:t>
      </w:r>
      <w:r w:rsidR="00C75988" w:rsidRPr="00D97C05">
        <w:rPr>
          <w:sz w:val="24"/>
        </w:rPr>
        <w:t xml:space="preserve"> </w:t>
      </w:r>
      <w:r w:rsidR="00DA4454" w:rsidRPr="00D97C05">
        <w:rPr>
          <w:sz w:val="24"/>
        </w:rPr>
        <w:t xml:space="preserve">Og hvor </w:t>
      </w:r>
      <w:r w:rsidR="000233B4" w:rsidRPr="00D97C05">
        <w:rPr>
          <w:sz w:val="24"/>
        </w:rPr>
        <w:t>virksomhedslederen</w:t>
      </w:r>
      <w:r w:rsidR="00DA4454" w:rsidRPr="00D97C05">
        <w:rPr>
          <w:sz w:val="24"/>
        </w:rPr>
        <w:t xml:space="preserve"> samtidig har</w:t>
      </w:r>
      <w:r w:rsidR="000233B4" w:rsidRPr="00D97C05">
        <w:rPr>
          <w:sz w:val="24"/>
        </w:rPr>
        <w:t xml:space="preserve"> besluttet at lade de ansatte arbejde i området, selv om virksomhedslederen kendte til forekomsten af asbest.</w:t>
      </w:r>
    </w:p>
    <w:p w14:paraId="375EBF40" w14:textId="553B02B3" w:rsidR="007960DC" w:rsidRPr="00D97C05" w:rsidRDefault="007960DC" w:rsidP="000233B4">
      <w:pPr>
        <w:spacing w:after="240"/>
        <w:rPr>
          <w:sz w:val="24"/>
        </w:rPr>
      </w:pPr>
      <w:r w:rsidRPr="00D97C05">
        <w:rPr>
          <w:sz w:val="24"/>
        </w:rPr>
        <w:t>Eksemplet ovenfor kunne også være tilfælde, hvor arbejdsgivere i personligt ejede virksomheder på samme måde har besluttet at lade de ansatte arbejde i området, selv om arbejdsgiveren i den personligt ejede virksomhed kendte til forekomsten af asbest.</w:t>
      </w:r>
    </w:p>
    <w:p w14:paraId="68A4D198" w14:textId="28BCF8F6" w:rsidR="000233B4" w:rsidRPr="00D97C05" w:rsidRDefault="000233B4" w:rsidP="000233B4">
      <w:pPr>
        <w:spacing w:after="240"/>
        <w:rPr>
          <w:sz w:val="24"/>
        </w:rPr>
      </w:pPr>
      <w:bookmarkStart w:id="150" w:name="_Hlk209526837"/>
      <w:r w:rsidRPr="00D97C05">
        <w:rPr>
          <w:sz w:val="24"/>
        </w:rPr>
        <w:t xml:space="preserve">Det kan fx også være tilfælde, hvor der sker en dødsulykke i forbindelse med </w:t>
      </w:r>
      <w:bookmarkStart w:id="151" w:name="_Hlk209526951"/>
      <w:r w:rsidRPr="00D97C05">
        <w:rPr>
          <w:sz w:val="24"/>
        </w:rPr>
        <w:t>anvendelse af et automatisk styret anlæg, og der foreligger oplysninger om, at ulykken skyldes alvorlige fejl og mangler, som indebærer en nærliggende risiko for alvorlig personskade eller død ved fortsat brug</w:t>
      </w:r>
      <w:r w:rsidR="00DA4454" w:rsidRPr="00D97C05">
        <w:rPr>
          <w:sz w:val="24"/>
        </w:rPr>
        <w:t>,</w:t>
      </w:r>
      <w:r w:rsidRPr="00D97C05">
        <w:rPr>
          <w:sz w:val="24"/>
        </w:rPr>
        <w:t xml:space="preserve"> og</w:t>
      </w:r>
      <w:r w:rsidR="00DA4454" w:rsidRPr="00D97C05">
        <w:rPr>
          <w:sz w:val="24"/>
        </w:rPr>
        <w:t xml:space="preserve"> </w:t>
      </w:r>
      <w:r w:rsidRPr="00D97C05">
        <w:rPr>
          <w:sz w:val="24"/>
        </w:rPr>
        <w:t xml:space="preserve">at virksomhedslederen har besluttet at fortsætte anvendelsen af </w:t>
      </w:r>
      <w:r w:rsidR="003E7382" w:rsidRPr="00D97C05">
        <w:rPr>
          <w:sz w:val="24"/>
        </w:rPr>
        <w:t>anlægget</w:t>
      </w:r>
      <w:r w:rsidRPr="00D97C05">
        <w:rPr>
          <w:sz w:val="24"/>
        </w:rPr>
        <w:t xml:space="preserve">, selvom virksomhedslederen </w:t>
      </w:r>
      <w:r w:rsidR="002A4C35" w:rsidRPr="00D97C05">
        <w:rPr>
          <w:sz w:val="24"/>
        </w:rPr>
        <w:t xml:space="preserve">kendte til </w:t>
      </w:r>
      <w:r w:rsidR="003E7382" w:rsidRPr="00D97C05">
        <w:rPr>
          <w:sz w:val="24"/>
        </w:rPr>
        <w:t>anlæggets</w:t>
      </w:r>
      <w:r w:rsidRPr="00D97C05">
        <w:rPr>
          <w:sz w:val="24"/>
        </w:rPr>
        <w:t xml:space="preserve"> fejl og mangler samt risikoen ved at fortsætte anvendelsen.</w:t>
      </w:r>
      <w:bookmarkEnd w:id="151"/>
    </w:p>
    <w:p w14:paraId="27B7E379" w14:textId="74A7AE89" w:rsidR="007960DC" w:rsidRPr="00D97C05" w:rsidRDefault="007960DC" w:rsidP="000233B4">
      <w:pPr>
        <w:spacing w:after="240"/>
        <w:rPr>
          <w:sz w:val="24"/>
        </w:rPr>
      </w:pPr>
      <w:r w:rsidRPr="00D97C05">
        <w:rPr>
          <w:sz w:val="24"/>
        </w:rPr>
        <w:t>Eksemplet ovenfor om en dødsulykke kunne også være tilfælde, hvor arbejdsgivere i personligt ejede virksomheder på samme måde har besluttet at fortsætte anvendelsen af anlægget, selvom arbejdsgiveren i den personligt ejede virksomhed kendte til anlæggets fejl og mangler samt risikoen ved at fortsætte anvendelsen.</w:t>
      </w:r>
    </w:p>
    <w:bookmarkEnd w:id="150"/>
    <w:p w14:paraId="4CBF999F" w14:textId="34D686B7" w:rsidR="009616EA" w:rsidRPr="00D97C05" w:rsidRDefault="009616EA" w:rsidP="000450F8">
      <w:pPr>
        <w:spacing w:after="240"/>
        <w:rPr>
          <w:sz w:val="24"/>
        </w:rPr>
      </w:pPr>
      <w:r w:rsidRPr="00D97C05">
        <w:rPr>
          <w:sz w:val="24"/>
        </w:rPr>
        <w:lastRenderedPageBreak/>
        <w:t>Fysiske personer i form af arbejdsledere kan inden for byggeri og håndværk fx være formanden for et sjak (en gruppe håndværkere, der udgør et arbejdshold), eller en mellemleder i en virksomhed med et fast</w:t>
      </w:r>
      <w:r w:rsidR="00980C23" w:rsidRPr="00D97C05">
        <w:rPr>
          <w:sz w:val="24"/>
        </w:rPr>
        <w:t xml:space="preserve"> </w:t>
      </w:r>
      <w:r w:rsidRPr="00D97C05">
        <w:rPr>
          <w:sz w:val="24"/>
        </w:rPr>
        <w:t>arbejdssted fx et slagteri.</w:t>
      </w:r>
    </w:p>
    <w:p w14:paraId="3BEB0E05" w14:textId="3B627F6F" w:rsidR="003E7382" w:rsidRPr="00D97C05" w:rsidRDefault="000245DD" w:rsidP="000450F8">
      <w:pPr>
        <w:spacing w:after="240"/>
        <w:rPr>
          <w:sz w:val="24"/>
        </w:rPr>
      </w:pPr>
      <w:r w:rsidRPr="00D97C05">
        <w:rPr>
          <w:sz w:val="24"/>
        </w:rPr>
        <w:t>I forhold til arbejdsledere kan det fx være tilfælde, hvor</w:t>
      </w:r>
      <w:r w:rsidR="002F5692" w:rsidRPr="00D97C05">
        <w:rPr>
          <w:sz w:val="24"/>
        </w:rPr>
        <w:t xml:space="preserve"> en </w:t>
      </w:r>
      <w:bookmarkStart w:id="152" w:name="_Hlk209526879"/>
      <w:r w:rsidR="002F5692" w:rsidRPr="00D97C05">
        <w:rPr>
          <w:sz w:val="24"/>
        </w:rPr>
        <w:t xml:space="preserve">arbejdsleder tilsidesætter en generel instruktion </w:t>
      </w:r>
      <w:r w:rsidR="00C0136F" w:rsidRPr="00D97C05">
        <w:rPr>
          <w:sz w:val="24"/>
        </w:rPr>
        <w:t xml:space="preserve">givet af arbejdsgiveren indenfor det område, som arbejdslederen leder, </w:t>
      </w:r>
      <w:r w:rsidR="002F5692" w:rsidRPr="00D97C05">
        <w:rPr>
          <w:sz w:val="24"/>
        </w:rPr>
        <w:t xml:space="preserve">og selvstændigt medvirker til, at ansatte </w:t>
      </w:r>
      <w:bookmarkEnd w:id="152"/>
      <w:r w:rsidR="002F5692" w:rsidRPr="00D97C05">
        <w:rPr>
          <w:sz w:val="24"/>
        </w:rPr>
        <w:t>arbejder i et område med forekomst af asbest på en måde, så asbeststøv udvikles, og hvor de ansatte arbejder tæt på støvudviklingen, selvom arbejdslederen havde kendskab til forekomst</w:t>
      </w:r>
      <w:r w:rsidR="00230346" w:rsidRPr="00D97C05">
        <w:rPr>
          <w:sz w:val="24"/>
        </w:rPr>
        <w:t xml:space="preserve"> af asbest.</w:t>
      </w:r>
    </w:p>
    <w:p w14:paraId="33D6CA3C" w14:textId="3D1722A8" w:rsidR="00AB6FC0" w:rsidRPr="00D97C05" w:rsidRDefault="00230346" w:rsidP="00286668">
      <w:pPr>
        <w:spacing w:after="240"/>
        <w:rPr>
          <w:sz w:val="24"/>
        </w:rPr>
      </w:pPr>
      <w:r w:rsidRPr="00D97C05">
        <w:rPr>
          <w:sz w:val="24"/>
        </w:rPr>
        <w:t xml:space="preserve">Det kan fx også være tilfælde, hvor der sker en dødsulykke i forbindelse med anvendelse af et automatisk styret anlæg, og arbejdslederen tilsidesætter en generel instruktion givet af arbejdsgiveren indenfor det område, som arbejdslederen leder, og selvstændigt medvirker til, at ansatte fortsætter </w:t>
      </w:r>
      <w:r w:rsidR="003E7382" w:rsidRPr="00D97C05">
        <w:rPr>
          <w:sz w:val="24"/>
        </w:rPr>
        <w:t>anvendelse af et automatisk styret anlæg, selvom arbejdslederen havde kendskab til anlæggets alvorlige fejl og mangler, som indebærer en nærliggende risiko for alvorlig personskade eller død ved fortsat brug</w:t>
      </w:r>
      <w:r w:rsidR="00D951BC" w:rsidRPr="00D97C05">
        <w:rPr>
          <w:sz w:val="24"/>
        </w:rPr>
        <w:t>.</w:t>
      </w:r>
      <w:bookmarkStart w:id="153" w:name="_Hlk208899417"/>
    </w:p>
    <w:p w14:paraId="76AE7BCA" w14:textId="6E5218D8" w:rsidR="00286668" w:rsidRPr="00D97C05" w:rsidRDefault="00286668" w:rsidP="00286668">
      <w:pPr>
        <w:spacing w:after="240"/>
        <w:rPr>
          <w:sz w:val="24"/>
        </w:rPr>
      </w:pPr>
      <w:r w:rsidRPr="00D97C05">
        <w:rPr>
          <w:sz w:val="24"/>
        </w:rPr>
        <w:t xml:space="preserve">Niveauet for fængselsstraf for </w:t>
      </w:r>
      <w:r w:rsidR="006118B1" w:rsidRPr="00D97C05">
        <w:rPr>
          <w:sz w:val="24"/>
        </w:rPr>
        <w:t>personer i ledelsen, som</w:t>
      </w:r>
      <w:r w:rsidRPr="00D97C05">
        <w:rPr>
          <w:sz w:val="24"/>
        </w:rPr>
        <w:t xml:space="preserve"> forsætlig</w:t>
      </w:r>
      <w:r w:rsidR="006118B1" w:rsidRPr="00D97C05">
        <w:rPr>
          <w:sz w:val="24"/>
        </w:rPr>
        <w:t>t</w:t>
      </w:r>
      <w:r w:rsidRPr="00D97C05">
        <w:rPr>
          <w:sz w:val="24"/>
        </w:rPr>
        <w:t xml:space="preserve"> </w:t>
      </w:r>
      <w:r w:rsidR="006118B1" w:rsidRPr="00D97C05">
        <w:rPr>
          <w:sz w:val="24"/>
        </w:rPr>
        <w:t>eller</w:t>
      </w:r>
      <w:r w:rsidRPr="00D97C05">
        <w:rPr>
          <w:sz w:val="24"/>
        </w:rPr>
        <w:t xml:space="preserve"> groft uagtsom</w:t>
      </w:r>
      <w:r w:rsidR="006118B1" w:rsidRPr="00D97C05">
        <w:rPr>
          <w:sz w:val="24"/>
        </w:rPr>
        <w:t>t</w:t>
      </w:r>
      <w:r w:rsidRPr="00D97C05">
        <w:rPr>
          <w:sz w:val="24"/>
        </w:rPr>
        <w:t xml:space="preserve"> overtræde</w:t>
      </w:r>
      <w:r w:rsidR="006118B1" w:rsidRPr="00D97C05">
        <w:rPr>
          <w:sz w:val="24"/>
        </w:rPr>
        <w:t>r</w:t>
      </w:r>
      <w:r w:rsidRPr="00D97C05">
        <w:rPr>
          <w:sz w:val="24"/>
        </w:rPr>
        <w:t xml:space="preserve"> arbejdsmiljølovgivningen</w:t>
      </w:r>
      <w:r w:rsidR="006118B1" w:rsidRPr="00D97C05">
        <w:rPr>
          <w:sz w:val="24"/>
        </w:rPr>
        <w:t>, hvor ansatte</w:t>
      </w:r>
      <w:r w:rsidR="00587E2A" w:rsidRPr="00D97C05">
        <w:rPr>
          <w:sz w:val="24"/>
        </w:rPr>
        <w:t xml:space="preserve"> </w:t>
      </w:r>
      <w:r w:rsidRPr="00D97C05">
        <w:rPr>
          <w:sz w:val="24"/>
        </w:rPr>
        <w:t>udsætte</w:t>
      </w:r>
      <w:r w:rsidR="00587E2A" w:rsidRPr="00D97C05">
        <w:rPr>
          <w:sz w:val="24"/>
        </w:rPr>
        <w:t>s</w:t>
      </w:r>
      <w:r w:rsidRPr="00D97C05">
        <w:rPr>
          <w:sz w:val="24"/>
        </w:rPr>
        <w:t xml:space="preserve"> for </w:t>
      </w:r>
      <w:r w:rsidR="006118B1" w:rsidRPr="00D97C05">
        <w:rPr>
          <w:sz w:val="24"/>
        </w:rPr>
        <w:t xml:space="preserve">fx </w:t>
      </w:r>
      <w:r w:rsidRPr="00D97C05">
        <w:rPr>
          <w:sz w:val="24"/>
        </w:rPr>
        <w:t>asbeststøv</w:t>
      </w:r>
      <w:r w:rsidR="004E6AC8" w:rsidRPr="00D97C05">
        <w:rPr>
          <w:sz w:val="24"/>
        </w:rPr>
        <w:t>,</w:t>
      </w:r>
      <w:r w:rsidRPr="00D97C05">
        <w:rPr>
          <w:sz w:val="24"/>
        </w:rPr>
        <w:t xml:space="preserve"> forudsættes som udgangspunkt at være i omegnen af 4</w:t>
      </w:r>
      <w:r w:rsidR="006118B1" w:rsidRPr="00D97C05">
        <w:rPr>
          <w:sz w:val="24"/>
        </w:rPr>
        <w:t>-6</w:t>
      </w:r>
      <w:r w:rsidRPr="00D97C05">
        <w:rPr>
          <w:sz w:val="24"/>
        </w:rPr>
        <w:t xml:space="preserve"> måneder. </w:t>
      </w:r>
    </w:p>
    <w:p w14:paraId="5CB52315" w14:textId="5175DD07" w:rsidR="00594F75" w:rsidRPr="00D97C05" w:rsidRDefault="00594F75" w:rsidP="00B86F94">
      <w:pPr>
        <w:spacing w:after="240"/>
        <w:rPr>
          <w:sz w:val="24"/>
        </w:rPr>
      </w:pPr>
      <w:r w:rsidRPr="00D97C05">
        <w:rPr>
          <w:sz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4DE79683" w14:textId="57511590" w:rsidR="00286668" w:rsidRPr="00D97C05" w:rsidRDefault="004E457F" w:rsidP="00B86F94">
      <w:pPr>
        <w:spacing w:after="240"/>
        <w:rPr>
          <w:sz w:val="24"/>
        </w:rPr>
      </w:pPr>
      <w:r w:rsidRPr="00D97C05">
        <w:rPr>
          <w:sz w:val="24"/>
        </w:rPr>
        <w:t xml:space="preserve">Niveauet for fængselsstraf for </w:t>
      </w:r>
      <w:r w:rsidR="00587E2A" w:rsidRPr="00D97C05">
        <w:rPr>
          <w:sz w:val="24"/>
        </w:rPr>
        <w:t xml:space="preserve">personer i ledelsen, som </w:t>
      </w:r>
      <w:r w:rsidRPr="00D97C05">
        <w:rPr>
          <w:sz w:val="24"/>
        </w:rPr>
        <w:t>forsætlig</w:t>
      </w:r>
      <w:r w:rsidR="00587E2A" w:rsidRPr="00D97C05">
        <w:rPr>
          <w:sz w:val="24"/>
        </w:rPr>
        <w:t>t</w:t>
      </w:r>
      <w:r w:rsidRPr="00D97C05">
        <w:rPr>
          <w:sz w:val="24"/>
        </w:rPr>
        <w:t xml:space="preserve"> </w:t>
      </w:r>
      <w:r w:rsidR="00587E2A" w:rsidRPr="00D97C05">
        <w:rPr>
          <w:sz w:val="24"/>
        </w:rPr>
        <w:t>eller</w:t>
      </w:r>
      <w:r w:rsidRPr="00D97C05">
        <w:rPr>
          <w:sz w:val="24"/>
        </w:rPr>
        <w:t xml:space="preserve"> groft uagtsom</w:t>
      </w:r>
      <w:r w:rsidR="00587E2A" w:rsidRPr="00D97C05">
        <w:rPr>
          <w:sz w:val="24"/>
        </w:rPr>
        <w:t>t</w:t>
      </w:r>
      <w:r w:rsidRPr="00D97C05">
        <w:rPr>
          <w:sz w:val="24"/>
        </w:rPr>
        <w:t xml:space="preserve"> overtræder arbejdsmiljølovgivningen</w:t>
      </w:r>
      <w:r w:rsidR="00587E2A" w:rsidRPr="00D97C05">
        <w:rPr>
          <w:sz w:val="24"/>
        </w:rPr>
        <w:t>, som har medført en ulykke med døden til følge forudsættes</w:t>
      </w:r>
      <w:r w:rsidRPr="00D97C05">
        <w:rPr>
          <w:sz w:val="24"/>
        </w:rPr>
        <w:t xml:space="preserve"> som udgangspunkt at være i omegnen af </w:t>
      </w:r>
      <w:r w:rsidR="006118B1" w:rsidRPr="00D97C05">
        <w:rPr>
          <w:sz w:val="24"/>
        </w:rPr>
        <w:t>8-10</w:t>
      </w:r>
      <w:r w:rsidRPr="00D97C05">
        <w:rPr>
          <w:sz w:val="24"/>
        </w:rPr>
        <w:t xml:space="preserve"> måneder. </w:t>
      </w:r>
    </w:p>
    <w:bookmarkEnd w:id="153"/>
    <w:p w14:paraId="57107C59" w14:textId="692B3C98" w:rsidR="00CB6C4E" w:rsidRPr="00F95277" w:rsidRDefault="00722202" w:rsidP="00F95277">
      <w:pPr>
        <w:spacing w:after="240"/>
        <w:rPr>
          <w:sz w:val="24"/>
        </w:rPr>
      </w:pPr>
      <w:r w:rsidRPr="00D97C05">
        <w:rPr>
          <w:sz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2209B85C" w14:textId="7C4E1BEF" w:rsidR="006108C2" w:rsidRPr="007244D5" w:rsidRDefault="00E86181" w:rsidP="006108C2">
      <w:pPr>
        <w:pStyle w:val="Overskrift2"/>
        <w:rPr>
          <w:rFonts w:cs="Times New Roman"/>
          <w:sz w:val="24"/>
          <w:szCs w:val="24"/>
        </w:rPr>
      </w:pPr>
      <w:r>
        <w:rPr>
          <w:rFonts w:cs="Times New Roman"/>
          <w:sz w:val="24"/>
          <w:szCs w:val="24"/>
        </w:rPr>
        <w:lastRenderedPageBreak/>
        <w:t>2</w:t>
      </w:r>
      <w:r w:rsidR="0043796C">
        <w:rPr>
          <w:rFonts w:cs="Times New Roman"/>
          <w:sz w:val="24"/>
          <w:szCs w:val="24"/>
        </w:rPr>
        <w:t>.</w:t>
      </w:r>
      <w:r w:rsidR="002D2F4A">
        <w:rPr>
          <w:rFonts w:cs="Times New Roman"/>
          <w:sz w:val="24"/>
          <w:szCs w:val="24"/>
        </w:rPr>
        <w:t>3</w:t>
      </w:r>
      <w:r w:rsidR="006108C2" w:rsidRPr="007244D5">
        <w:rPr>
          <w:rFonts w:cs="Times New Roman"/>
          <w:sz w:val="24"/>
          <w:szCs w:val="24"/>
        </w:rPr>
        <w:t xml:space="preserve">. </w:t>
      </w:r>
      <w:bookmarkEnd w:id="127"/>
      <w:bookmarkEnd w:id="128"/>
      <w:bookmarkEnd w:id="129"/>
      <w:bookmarkEnd w:id="130"/>
      <w:bookmarkEnd w:id="131"/>
      <w:bookmarkEnd w:id="132"/>
      <w:bookmarkEnd w:id="133"/>
      <w:bookmarkEnd w:id="134"/>
      <w:bookmarkEnd w:id="135"/>
      <w:bookmarkEnd w:id="136"/>
      <w:r w:rsidR="00C5565E">
        <w:rPr>
          <w:rFonts w:cs="Times New Roman"/>
          <w:sz w:val="24"/>
          <w:szCs w:val="24"/>
        </w:rPr>
        <w:t>Forhøjede bøder ved udvalgte formelle overtrædelser</w:t>
      </w:r>
    </w:p>
    <w:p w14:paraId="69F2672E" w14:textId="7A9EAA1F" w:rsidR="006108C2" w:rsidRPr="007244D5" w:rsidRDefault="00E86181" w:rsidP="006108C2">
      <w:pPr>
        <w:pStyle w:val="Undertitel"/>
        <w:spacing w:after="0"/>
        <w:rPr>
          <w:sz w:val="24"/>
        </w:rPr>
      </w:pPr>
      <w:bookmarkStart w:id="154" w:name="_Toc505690195"/>
      <w:bookmarkStart w:id="155" w:name="_Toc505701748"/>
      <w:bookmarkStart w:id="156" w:name="_Toc505759540"/>
      <w:bookmarkStart w:id="157" w:name="_Toc505759557"/>
      <w:bookmarkStart w:id="158" w:name="_Toc505762650"/>
      <w:bookmarkStart w:id="159" w:name="_Toc505785990"/>
      <w:bookmarkStart w:id="160" w:name="_Toc506799575"/>
      <w:bookmarkStart w:id="161" w:name="_Toc506799592"/>
      <w:bookmarkStart w:id="162" w:name="_Toc506894551"/>
      <w:bookmarkStart w:id="163" w:name="_Toc507486288"/>
      <w:bookmarkStart w:id="164" w:name="_Toc515271227"/>
      <w:bookmarkStart w:id="165" w:name="_Toc515271550"/>
      <w:bookmarkStart w:id="166" w:name="_Toc515271578"/>
      <w:bookmarkStart w:id="167" w:name="_Toc515280474"/>
      <w:bookmarkStart w:id="168" w:name="_Toc515280625"/>
      <w:bookmarkStart w:id="169" w:name="_Toc515352777"/>
      <w:bookmarkStart w:id="170" w:name="_Toc515540850"/>
      <w:bookmarkStart w:id="171" w:name="_Toc515543686"/>
      <w:bookmarkStart w:id="172" w:name="_Toc515543871"/>
      <w:bookmarkStart w:id="173" w:name="_Toc515551672"/>
      <w:bookmarkStart w:id="174" w:name="_Toc515627614"/>
      <w:bookmarkStart w:id="175" w:name="_Toc516039924"/>
      <w:bookmarkStart w:id="176" w:name="_Toc516155347"/>
      <w:bookmarkStart w:id="177" w:name="_Toc516490248"/>
      <w:bookmarkStart w:id="178" w:name="_Toc518037930"/>
      <w:bookmarkStart w:id="179" w:name="_Toc524599578"/>
      <w:bookmarkStart w:id="180" w:name="_Toc526154931"/>
      <w:bookmarkStart w:id="181" w:name="_Toc526155477"/>
      <w:bookmarkStart w:id="182" w:name="_Toc526155550"/>
      <w:bookmarkStart w:id="183" w:name="_Toc526253987"/>
      <w:bookmarkStart w:id="184" w:name="_Toc526348412"/>
      <w:bookmarkStart w:id="185" w:name="_Toc526374603"/>
      <w:bookmarkStart w:id="186" w:name="_Toc526374619"/>
      <w:bookmarkStart w:id="187" w:name="_Toc526406482"/>
      <w:bookmarkStart w:id="188" w:name="_Toc526409508"/>
      <w:bookmarkStart w:id="189" w:name="_Toc526491407"/>
      <w:bookmarkStart w:id="190" w:name="_Toc526505519"/>
      <w:bookmarkStart w:id="191" w:name="_Toc526756611"/>
      <w:r>
        <w:rPr>
          <w:sz w:val="24"/>
        </w:rPr>
        <w:t>2</w:t>
      </w:r>
      <w:r w:rsidR="0043796C">
        <w:rPr>
          <w:sz w:val="24"/>
        </w:rPr>
        <w:t>.</w:t>
      </w:r>
      <w:r w:rsidR="002D2F4A">
        <w:rPr>
          <w:sz w:val="24"/>
        </w:rPr>
        <w:t>3</w:t>
      </w:r>
      <w:r w:rsidR="006108C2" w:rsidRPr="007244D5">
        <w:rPr>
          <w:sz w:val="24"/>
        </w:rPr>
        <w:t>.1. Gældende ret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AA4BB14" w14:textId="1C5502D1" w:rsidR="00583466" w:rsidRDefault="003F42FB" w:rsidP="00934B9D">
      <w:pPr>
        <w:spacing w:after="240"/>
        <w:rPr>
          <w:rFonts w:eastAsia="Calibri" w:cs="Times New Roman"/>
          <w:sz w:val="24"/>
          <w:szCs w:val="24"/>
        </w:rPr>
      </w:pPr>
      <w:r>
        <w:rPr>
          <w:rFonts w:eastAsia="Calibri" w:cs="Times New Roman"/>
          <w:sz w:val="24"/>
          <w:szCs w:val="24"/>
        </w:rPr>
        <w:br/>
      </w:r>
      <w:r w:rsidR="00583466" w:rsidRPr="00583466">
        <w:rPr>
          <w:rFonts w:eastAsia="Calibri" w:cs="Times New Roman"/>
          <w:sz w:val="24"/>
          <w:szCs w:val="24"/>
        </w:rPr>
        <w:t xml:space="preserve">Grundbøden for arbejdsgivers </w:t>
      </w:r>
      <w:r w:rsidR="00FB75EB">
        <w:rPr>
          <w:rFonts w:eastAsia="Calibri" w:cs="Times New Roman"/>
          <w:sz w:val="24"/>
          <w:szCs w:val="24"/>
        </w:rPr>
        <w:t xml:space="preserve">formelle </w:t>
      </w:r>
      <w:r w:rsidR="00583466" w:rsidRPr="00583466">
        <w:rPr>
          <w:rFonts w:eastAsia="Calibri" w:cs="Times New Roman"/>
          <w:sz w:val="24"/>
          <w:szCs w:val="24"/>
        </w:rPr>
        <w:t>overtrædelse</w:t>
      </w:r>
      <w:r w:rsidR="00FB75EB">
        <w:rPr>
          <w:rFonts w:eastAsia="Calibri" w:cs="Times New Roman"/>
          <w:sz w:val="24"/>
          <w:szCs w:val="24"/>
        </w:rPr>
        <w:t>r</w:t>
      </w:r>
      <w:r w:rsidR="005F0D42">
        <w:rPr>
          <w:rFonts w:eastAsia="Calibri" w:cs="Times New Roman"/>
          <w:sz w:val="24"/>
          <w:szCs w:val="24"/>
        </w:rPr>
        <w:t xml:space="preserve"> af </w:t>
      </w:r>
      <w:r w:rsidR="00583466" w:rsidRPr="00583466">
        <w:rPr>
          <w:rFonts w:eastAsia="Calibri" w:cs="Times New Roman"/>
          <w:sz w:val="24"/>
          <w:szCs w:val="24"/>
        </w:rPr>
        <w:t>arbejdsmiljølov</w:t>
      </w:r>
      <w:r w:rsidR="001D7C26">
        <w:rPr>
          <w:rFonts w:eastAsia="Calibri" w:cs="Times New Roman"/>
          <w:sz w:val="24"/>
          <w:szCs w:val="24"/>
        </w:rPr>
        <w:t>givning</w:t>
      </w:r>
      <w:r w:rsidR="00583466" w:rsidRPr="00583466">
        <w:rPr>
          <w:rFonts w:eastAsia="Calibri" w:cs="Times New Roman"/>
          <w:sz w:val="24"/>
          <w:szCs w:val="24"/>
        </w:rPr>
        <w:t>en er på 10.000 kr.</w:t>
      </w:r>
      <w:r w:rsidR="00583466">
        <w:rPr>
          <w:rFonts w:eastAsia="Calibri" w:cs="Times New Roman"/>
          <w:sz w:val="24"/>
          <w:szCs w:val="24"/>
        </w:rPr>
        <w:t xml:space="preserve"> </w:t>
      </w:r>
      <w:r w:rsidR="00934B9D">
        <w:rPr>
          <w:rFonts w:eastAsia="Calibri" w:cs="Times New Roman"/>
          <w:sz w:val="24"/>
          <w:szCs w:val="24"/>
        </w:rPr>
        <w:t xml:space="preserve">Det følger af </w:t>
      </w:r>
      <w:r w:rsidR="006A53F0" w:rsidRPr="006A53F0">
        <w:rPr>
          <w:rFonts w:eastAsia="Calibri" w:cs="Times New Roman"/>
          <w:sz w:val="24"/>
          <w:szCs w:val="24"/>
        </w:rPr>
        <w:t>bemærkningerne</w:t>
      </w:r>
      <w:r w:rsidR="00934B9D">
        <w:rPr>
          <w:rFonts w:eastAsia="Calibri" w:cs="Times New Roman"/>
          <w:sz w:val="24"/>
          <w:szCs w:val="24"/>
        </w:rPr>
        <w:t>,</w:t>
      </w:r>
      <w:r w:rsidR="006A53F0" w:rsidRPr="006A53F0">
        <w:rPr>
          <w:rFonts w:eastAsia="Calibri" w:cs="Times New Roman"/>
          <w:sz w:val="24"/>
          <w:szCs w:val="24"/>
        </w:rPr>
        <w:t xml:space="preserve"> jf. Folketingstidende 20</w:t>
      </w:r>
      <w:r w:rsidR="00934B9D">
        <w:rPr>
          <w:rFonts w:eastAsia="Calibri" w:cs="Times New Roman"/>
          <w:sz w:val="24"/>
          <w:szCs w:val="24"/>
        </w:rPr>
        <w:t>2</w:t>
      </w:r>
      <w:r w:rsidR="006A53F0" w:rsidRPr="006A53F0">
        <w:rPr>
          <w:rFonts w:eastAsia="Calibri" w:cs="Times New Roman"/>
          <w:sz w:val="24"/>
          <w:szCs w:val="24"/>
        </w:rPr>
        <w:t>4-</w:t>
      </w:r>
      <w:r w:rsidR="00934B9D">
        <w:rPr>
          <w:rFonts w:eastAsia="Calibri" w:cs="Times New Roman"/>
          <w:sz w:val="24"/>
          <w:szCs w:val="24"/>
        </w:rPr>
        <w:t>25</w:t>
      </w:r>
      <w:r w:rsidR="006A53F0" w:rsidRPr="006A53F0">
        <w:rPr>
          <w:rFonts w:eastAsia="Calibri" w:cs="Times New Roman"/>
          <w:sz w:val="24"/>
          <w:szCs w:val="24"/>
        </w:rPr>
        <w:t xml:space="preserve"> (1. samling), tillæg A, L</w:t>
      </w:r>
      <w:r w:rsidR="00934B9D">
        <w:rPr>
          <w:rFonts w:eastAsia="Calibri" w:cs="Times New Roman"/>
          <w:sz w:val="24"/>
          <w:szCs w:val="24"/>
        </w:rPr>
        <w:t xml:space="preserve">SF 115 </w:t>
      </w:r>
      <w:r w:rsidR="00934B9D" w:rsidRPr="00934B9D">
        <w:rPr>
          <w:rFonts w:eastAsia="Calibri" w:cs="Times New Roman"/>
          <w:sz w:val="24"/>
          <w:szCs w:val="24"/>
        </w:rPr>
        <w:t>om ændring af lov om arbejdsmiljø</w:t>
      </w:r>
      <w:r w:rsidR="00934B9D">
        <w:rPr>
          <w:rFonts w:eastAsia="Calibri" w:cs="Times New Roman"/>
          <w:sz w:val="24"/>
          <w:szCs w:val="24"/>
        </w:rPr>
        <w:t xml:space="preserve">, </w:t>
      </w:r>
      <w:r w:rsidR="006A53F0" w:rsidRPr="006A53F0">
        <w:rPr>
          <w:rFonts w:eastAsia="Calibri" w:cs="Times New Roman"/>
          <w:sz w:val="24"/>
          <w:szCs w:val="24"/>
        </w:rPr>
        <w:t xml:space="preserve">som fremsat, side </w:t>
      </w:r>
      <w:r w:rsidR="00E35E89">
        <w:rPr>
          <w:rFonts w:eastAsia="Calibri" w:cs="Times New Roman"/>
          <w:sz w:val="24"/>
          <w:szCs w:val="24"/>
        </w:rPr>
        <w:t>21, spalte 2 og side 22, spalte 2.</w:t>
      </w:r>
    </w:p>
    <w:p w14:paraId="6DBCC82E" w14:textId="186A8EAB" w:rsidR="00583466" w:rsidRDefault="00583466" w:rsidP="0066454A">
      <w:pPr>
        <w:spacing w:after="240"/>
        <w:rPr>
          <w:rFonts w:eastAsia="Calibri" w:cs="Times New Roman"/>
          <w:sz w:val="24"/>
          <w:szCs w:val="24"/>
        </w:rPr>
      </w:pPr>
      <w:r w:rsidRPr="00583466">
        <w:rPr>
          <w:rFonts w:eastAsia="Calibri" w:cs="Times New Roman"/>
          <w:sz w:val="24"/>
          <w:szCs w:val="24"/>
        </w:rPr>
        <w:t xml:space="preserve">Grundbøden for </w:t>
      </w:r>
      <w:r>
        <w:rPr>
          <w:rFonts w:eastAsia="Calibri" w:cs="Times New Roman"/>
          <w:sz w:val="24"/>
          <w:szCs w:val="24"/>
        </w:rPr>
        <w:t xml:space="preserve">bygherres </w:t>
      </w:r>
      <w:r w:rsidR="00FB75EB">
        <w:rPr>
          <w:rFonts w:eastAsia="Calibri" w:cs="Times New Roman"/>
          <w:sz w:val="24"/>
          <w:szCs w:val="24"/>
        </w:rPr>
        <w:t xml:space="preserve">formelle </w:t>
      </w:r>
      <w:r w:rsidR="005F0D42">
        <w:rPr>
          <w:rFonts w:eastAsia="Calibri" w:cs="Times New Roman"/>
          <w:sz w:val="24"/>
          <w:szCs w:val="24"/>
        </w:rPr>
        <w:t>overtrædelse</w:t>
      </w:r>
      <w:r w:rsidR="00FB75EB">
        <w:rPr>
          <w:rFonts w:eastAsia="Calibri" w:cs="Times New Roman"/>
          <w:sz w:val="24"/>
          <w:szCs w:val="24"/>
        </w:rPr>
        <w:t>r</w:t>
      </w:r>
      <w:r w:rsidR="00AA31F1">
        <w:rPr>
          <w:rFonts w:eastAsia="Calibri" w:cs="Times New Roman"/>
          <w:sz w:val="24"/>
          <w:szCs w:val="24"/>
        </w:rPr>
        <w:t xml:space="preserve"> </w:t>
      </w:r>
      <w:r w:rsidR="005F0D42">
        <w:rPr>
          <w:rFonts w:eastAsia="Calibri" w:cs="Times New Roman"/>
          <w:sz w:val="24"/>
          <w:szCs w:val="24"/>
        </w:rPr>
        <w:t xml:space="preserve">af </w:t>
      </w:r>
      <w:r w:rsidRPr="00583466">
        <w:rPr>
          <w:rFonts w:eastAsia="Calibri" w:cs="Times New Roman"/>
          <w:sz w:val="24"/>
          <w:szCs w:val="24"/>
        </w:rPr>
        <w:t>arbejdsmiljølov</w:t>
      </w:r>
      <w:r w:rsidR="005A08E0">
        <w:rPr>
          <w:rFonts w:eastAsia="Calibri" w:cs="Times New Roman"/>
          <w:sz w:val="24"/>
          <w:szCs w:val="24"/>
        </w:rPr>
        <w:t>givning</w:t>
      </w:r>
      <w:r w:rsidRPr="00583466">
        <w:rPr>
          <w:rFonts w:eastAsia="Calibri" w:cs="Times New Roman"/>
          <w:sz w:val="24"/>
          <w:szCs w:val="24"/>
        </w:rPr>
        <w:t xml:space="preserve">en er på 10.000 kr. Det følger af </w:t>
      </w:r>
      <w:r>
        <w:rPr>
          <w:rFonts w:eastAsia="Calibri" w:cs="Times New Roman"/>
          <w:sz w:val="24"/>
          <w:szCs w:val="24"/>
        </w:rPr>
        <w:t>retspraksis.</w:t>
      </w:r>
    </w:p>
    <w:p w14:paraId="00D44F2C" w14:textId="5DAAE897" w:rsidR="00583466" w:rsidRDefault="00583466" w:rsidP="0066454A">
      <w:pPr>
        <w:spacing w:after="240"/>
        <w:rPr>
          <w:rFonts w:eastAsia="Calibri" w:cs="Times New Roman"/>
          <w:sz w:val="24"/>
          <w:szCs w:val="24"/>
        </w:rPr>
      </w:pPr>
      <w:r w:rsidRPr="00583466">
        <w:rPr>
          <w:rFonts w:eastAsia="Calibri" w:cs="Times New Roman"/>
          <w:sz w:val="24"/>
          <w:szCs w:val="24"/>
        </w:rPr>
        <w:t xml:space="preserve">En formel overtrædelse </w:t>
      </w:r>
      <w:r w:rsidR="006A21C7">
        <w:rPr>
          <w:rFonts w:eastAsia="Calibri" w:cs="Times New Roman"/>
          <w:sz w:val="24"/>
          <w:szCs w:val="24"/>
        </w:rPr>
        <w:t xml:space="preserve">af arbejdsmiljølovgivningen </w:t>
      </w:r>
      <w:r w:rsidRPr="00583466">
        <w:rPr>
          <w:rFonts w:eastAsia="Calibri" w:cs="Times New Roman"/>
          <w:sz w:val="24"/>
          <w:szCs w:val="24"/>
        </w:rPr>
        <w:t>er en overtrædelse, der ikke er direkte forbundet med en sikkerheds- eller sundhedsfare</w:t>
      </w:r>
      <w:r w:rsidR="009A09FB">
        <w:rPr>
          <w:rFonts w:eastAsia="Calibri" w:cs="Times New Roman"/>
          <w:sz w:val="24"/>
          <w:szCs w:val="24"/>
        </w:rPr>
        <w:t xml:space="preserve">. Det kan </w:t>
      </w:r>
      <w:r w:rsidRPr="00583466">
        <w:rPr>
          <w:rFonts w:eastAsia="Calibri" w:cs="Times New Roman"/>
          <w:sz w:val="24"/>
          <w:szCs w:val="24"/>
        </w:rPr>
        <w:t>f</w:t>
      </w:r>
      <w:r w:rsidR="009A09FB">
        <w:rPr>
          <w:rFonts w:eastAsia="Calibri" w:cs="Times New Roman"/>
          <w:sz w:val="24"/>
          <w:szCs w:val="24"/>
        </w:rPr>
        <w:t>.eks. være a</w:t>
      </w:r>
      <w:r>
        <w:rPr>
          <w:rFonts w:eastAsia="Calibri" w:cs="Times New Roman"/>
          <w:sz w:val="24"/>
          <w:szCs w:val="24"/>
        </w:rPr>
        <w:t xml:space="preserve">rbejdsgivers </w:t>
      </w:r>
      <w:r w:rsidRPr="00583466">
        <w:rPr>
          <w:rFonts w:eastAsia="Calibri" w:cs="Times New Roman"/>
          <w:sz w:val="24"/>
          <w:szCs w:val="24"/>
        </w:rPr>
        <w:t xml:space="preserve">manglende </w:t>
      </w:r>
      <w:r>
        <w:rPr>
          <w:rFonts w:eastAsia="Calibri" w:cs="Times New Roman"/>
          <w:sz w:val="24"/>
          <w:szCs w:val="24"/>
        </w:rPr>
        <w:t xml:space="preserve">anmeldelse af </w:t>
      </w:r>
      <w:r w:rsidR="006A21C7">
        <w:rPr>
          <w:rFonts w:eastAsia="Calibri" w:cs="Times New Roman"/>
          <w:sz w:val="24"/>
          <w:szCs w:val="24"/>
        </w:rPr>
        <w:t xml:space="preserve">en </w:t>
      </w:r>
      <w:r>
        <w:rPr>
          <w:rFonts w:eastAsia="Calibri" w:cs="Times New Roman"/>
          <w:sz w:val="24"/>
          <w:szCs w:val="24"/>
        </w:rPr>
        <w:t>arbejdsulykke</w:t>
      </w:r>
      <w:r w:rsidR="001555CC">
        <w:rPr>
          <w:rFonts w:eastAsia="Calibri" w:cs="Times New Roman"/>
          <w:sz w:val="24"/>
          <w:szCs w:val="24"/>
        </w:rPr>
        <w:t xml:space="preserve"> til Arbejdstilsynet</w:t>
      </w:r>
      <w:r>
        <w:rPr>
          <w:rFonts w:eastAsia="Calibri" w:cs="Times New Roman"/>
          <w:sz w:val="24"/>
          <w:szCs w:val="24"/>
        </w:rPr>
        <w:t xml:space="preserve">, og bygherres overtrædelse af reglerne om </w:t>
      </w:r>
      <w:r w:rsidRPr="00583466">
        <w:rPr>
          <w:rFonts w:eastAsia="Calibri" w:cs="Times New Roman"/>
          <w:sz w:val="24"/>
          <w:szCs w:val="24"/>
        </w:rPr>
        <w:t>at udarbejde en plan for sikkerhed og sundhed på byggepladsen</w:t>
      </w:r>
      <w:r>
        <w:rPr>
          <w:rFonts w:eastAsia="Calibri" w:cs="Times New Roman"/>
          <w:sz w:val="24"/>
          <w:szCs w:val="24"/>
        </w:rPr>
        <w:t>.</w:t>
      </w:r>
    </w:p>
    <w:p w14:paraId="1A3FBC78" w14:textId="4EE53F7F" w:rsidR="0065137E" w:rsidRDefault="0065137E" w:rsidP="0066454A">
      <w:pPr>
        <w:spacing w:after="240"/>
        <w:rPr>
          <w:rFonts w:eastAsia="Calibri" w:cs="Times New Roman"/>
          <w:sz w:val="24"/>
          <w:szCs w:val="24"/>
        </w:rPr>
      </w:pPr>
      <w:r>
        <w:rPr>
          <w:rFonts w:eastAsia="Calibri" w:cs="Times New Roman"/>
          <w:sz w:val="24"/>
          <w:szCs w:val="24"/>
        </w:rPr>
        <w:t>Det fremgår af arbejdsmiljølovens § 75,</w:t>
      </w:r>
      <w:r w:rsidR="005F0D42">
        <w:rPr>
          <w:rFonts w:eastAsia="Calibri" w:cs="Times New Roman"/>
          <w:sz w:val="24"/>
          <w:szCs w:val="24"/>
        </w:rPr>
        <w:t xml:space="preserve"> stk. 1,</w:t>
      </w:r>
      <w:r>
        <w:rPr>
          <w:rFonts w:eastAsia="Calibri" w:cs="Times New Roman"/>
          <w:sz w:val="24"/>
          <w:szCs w:val="24"/>
        </w:rPr>
        <w:t xml:space="preserve"> at </w:t>
      </w:r>
      <w:r w:rsidR="00224E8B">
        <w:rPr>
          <w:rFonts w:eastAsia="Calibri" w:cs="Times New Roman"/>
          <w:sz w:val="24"/>
          <w:szCs w:val="24"/>
        </w:rPr>
        <w:t>b</w:t>
      </w:r>
      <w:r w:rsidR="00224E8B" w:rsidRPr="00224E8B">
        <w:rPr>
          <w:rFonts w:eastAsia="Calibri" w:cs="Times New Roman"/>
          <w:sz w:val="24"/>
          <w:szCs w:val="24"/>
        </w:rPr>
        <w:t>eskæftigelsesministeren kan fastsætte regler om pligt til anmeldelse af arbejdsulykker, forgiftningstilfælde, erhvervssygdomme og andre forhold af arbejdsmiljømæssig betydning.</w:t>
      </w:r>
      <w:r w:rsidR="00224E8B">
        <w:rPr>
          <w:rFonts w:eastAsia="Calibri" w:cs="Times New Roman"/>
          <w:sz w:val="24"/>
          <w:szCs w:val="24"/>
        </w:rPr>
        <w:t xml:space="preserve"> De nærmere regler om arbejdsgivers anmeldepligt </w:t>
      </w:r>
      <w:r w:rsidR="00DD3171">
        <w:rPr>
          <w:rFonts w:eastAsia="Calibri" w:cs="Times New Roman"/>
          <w:sz w:val="24"/>
          <w:szCs w:val="24"/>
        </w:rPr>
        <w:t xml:space="preserve">til Arbejdstilsynet </w:t>
      </w:r>
      <w:r w:rsidR="00224E8B">
        <w:rPr>
          <w:rFonts w:eastAsia="Calibri" w:cs="Times New Roman"/>
          <w:sz w:val="24"/>
          <w:szCs w:val="24"/>
        </w:rPr>
        <w:t>fremgår af b</w:t>
      </w:r>
      <w:r w:rsidR="00224E8B" w:rsidRPr="00224E8B">
        <w:rPr>
          <w:rFonts w:eastAsia="Calibri" w:cs="Times New Roman"/>
          <w:sz w:val="24"/>
          <w:szCs w:val="24"/>
        </w:rPr>
        <w:t>ekendtgørelse om anmeldelse af arbejdsulykker m.v. til Arbejdstilsynet</w:t>
      </w:r>
      <w:r w:rsidR="00224E8B">
        <w:rPr>
          <w:rFonts w:eastAsia="Calibri" w:cs="Times New Roman"/>
          <w:sz w:val="24"/>
          <w:szCs w:val="24"/>
        </w:rPr>
        <w:t>.</w:t>
      </w:r>
    </w:p>
    <w:p w14:paraId="0B972366" w14:textId="32AEAFCC" w:rsidR="0065137E" w:rsidRDefault="0065137E" w:rsidP="0066454A">
      <w:pPr>
        <w:spacing w:after="240"/>
        <w:rPr>
          <w:rFonts w:eastAsia="Calibri" w:cs="Times New Roman"/>
          <w:sz w:val="24"/>
          <w:szCs w:val="24"/>
        </w:rPr>
      </w:pPr>
      <w:r>
        <w:rPr>
          <w:rFonts w:eastAsia="Calibri" w:cs="Times New Roman"/>
          <w:sz w:val="24"/>
          <w:szCs w:val="24"/>
        </w:rPr>
        <w:t>Det fremgår af arbejdsmiljølovens § 37, stk. 2, nr. 2, at</w:t>
      </w:r>
      <w:r w:rsidR="00224E8B">
        <w:rPr>
          <w:rFonts w:eastAsia="Calibri" w:cs="Times New Roman"/>
          <w:sz w:val="24"/>
          <w:szCs w:val="24"/>
        </w:rPr>
        <w:t xml:space="preserve"> b</w:t>
      </w:r>
      <w:r w:rsidR="00224E8B" w:rsidRPr="00224E8B">
        <w:rPr>
          <w:rFonts w:eastAsia="Calibri" w:cs="Times New Roman"/>
          <w:sz w:val="24"/>
          <w:szCs w:val="24"/>
        </w:rPr>
        <w:t>eskæftigelsesministeren fastsætter nærmere regler om bygherrens pligter, herunder om udarbejdelse og vedligeholdelse af en plan for sikkerhed og sundhed</w:t>
      </w:r>
      <w:r w:rsidR="00224E8B">
        <w:rPr>
          <w:rFonts w:eastAsia="Calibri" w:cs="Times New Roman"/>
          <w:sz w:val="24"/>
          <w:szCs w:val="24"/>
        </w:rPr>
        <w:t xml:space="preserve"> for byggepladsen. De nærmere regler om bygherres u</w:t>
      </w:r>
      <w:r w:rsidR="00224E8B" w:rsidRPr="00224E8B">
        <w:rPr>
          <w:rFonts w:eastAsia="Calibri" w:cs="Times New Roman"/>
          <w:sz w:val="24"/>
          <w:szCs w:val="24"/>
        </w:rPr>
        <w:t>darbejdelse og vedligeholdelse af en plan for sikkerhed og sundhed for byggepladsen</w:t>
      </w:r>
      <w:r w:rsidR="00224E8B">
        <w:rPr>
          <w:rFonts w:eastAsia="Calibri" w:cs="Times New Roman"/>
          <w:sz w:val="24"/>
          <w:szCs w:val="24"/>
        </w:rPr>
        <w:t xml:space="preserve"> fremgår af b</w:t>
      </w:r>
      <w:r w:rsidR="00224E8B" w:rsidRPr="00224E8B">
        <w:rPr>
          <w:rFonts w:eastAsia="Calibri" w:cs="Times New Roman"/>
          <w:sz w:val="24"/>
          <w:szCs w:val="24"/>
        </w:rPr>
        <w:t>ekendtgørelse om bygherrens pligter</w:t>
      </w:r>
      <w:r w:rsidR="00EF6E9F">
        <w:rPr>
          <w:rFonts w:eastAsia="Calibri" w:cs="Times New Roman"/>
          <w:sz w:val="24"/>
          <w:szCs w:val="24"/>
        </w:rPr>
        <w:t>.</w:t>
      </w:r>
    </w:p>
    <w:p w14:paraId="7EAAF5BE" w14:textId="2EDDB9F7" w:rsidR="00583466" w:rsidRDefault="00583466" w:rsidP="0066454A">
      <w:pPr>
        <w:spacing w:after="240"/>
        <w:rPr>
          <w:rFonts w:eastAsia="Calibri" w:cs="Times New Roman"/>
          <w:sz w:val="24"/>
          <w:szCs w:val="24"/>
        </w:rPr>
      </w:pPr>
      <w:r>
        <w:rPr>
          <w:rFonts w:eastAsia="Calibri" w:cs="Times New Roman"/>
          <w:sz w:val="24"/>
          <w:szCs w:val="24"/>
        </w:rPr>
        <w:t>Arbejdsmiljølovgivningen indeholde</w:t>
      </w:r>
      <w:r w:rsidR="009A09FB">
        <w:rPr>
          <w:rFonts w:eastAsia="Calibri" w:cs="Times New Roman"/>
          <w:sz w:val="24"/>
          <w:szCs w:val="24"/>
        </w:rPr>
        <w:t xml:space="preserve">r en række </w:t>
      </w:r>
      <w:r>
        <w:rPr>
          <w:rFonts w:eastAsia="Calibri" w:cs="Times New Roman"/>
          <w:sz w:val="24"/>
          <w:szCs w:val="24"/>
        </w:rPr>
        <w:t>andre formelle pligter</w:t>
      </w:r>
      <w:r w:rsidR="00916921">
        <w:rPr>
          <w:rFonts w:eastAsia="Calibri" w:cs="Times New Roman"/>
          <w:sz w:val="24"/>
          <w:szCs w:val="24"/>
        </w:rPr>
        <w:t xml:space="preserve"> for </w:t>
      </w:r>
      <w:r w:rsidR="005A08E0">
        <w:rPr>
          <w:rFonts w:eastAsia="Calibri" w:cs="Times New Roman"/>
          <w:sz w:val="24"/>
          <w:szCs w:val="24"/>
        </w:rPr>
        <w:t xml:space="preserve">både </w:t>
      </w:r>
      <w:r w:rsidR="00916921">
        <w:rPr>
          <w:rFonts w:eastAsia="Calibri" w:cs="Times New Roman"/>
          <w:sz w:val="24"/>
          <w:szCs w:val="24"/>
        </w:rPr>
        <w:t xml:space="preserve">arbejdsgiver og bygherre. </w:t>
      </w:r>
      <w:r w:rsidR="009A09FB">
        <w:rPr>
          <w:rFonts w:eastAsia="Calibri" w:cs="Times New Roman"/>
          <w:sz w:val="24"/>
          <w:szCs w:val="24"/>
        </w:rPr>
        <w:t>D</w:t>
      </w:r>
      <w:r w:rsidR="00916921">
        <w:rPr>
          <w:rFonts w:eastAsia="Calibri" w:cs="Times New Roman"/>
          <w:sz w:val="24"/>
          <w:szCs w:val="24"/>
        </w:rPr>
        <w:t xml:space="preserve">isse </w:t>
      </w:r>
      <w:r w:rsidR="007D3BF4">
        <w:rPr>
          <w:rFonts w:eastAsia="Calibri" w:cs="Times New Roman"/>
          <w:sz w:val="24"/>
          <w:szCs w:val="24"/>
        </w:rPr>
        <w:t xml:space="preserve">andre formelle </w:t>
      </w:r>
      <w:r w:rsidR="00916921">
        <w:rPr>
          <w:rFonts w:eastAsia="Calibri" w:cs="Times New Roman"/>
          <w:sz w:val="24"/>
          <w:szCs w:val="24"/>
        </w:rPr>
        <w:t xml:space="preserve">pligter er ikke </w:t>
      </w:r>
      <w:r w:rsidR="00E14683">
        <w:rPr>
          <w:rFonts w:eastAsia="Calibri" w:cs="Times New Roman"/>
          <w:sz w:val="24"/>
          <w:szCs w:val="24"/>
        </w:rPr>
        <w:t xml:space="preserve">beskrevet </w:t>
      </w:r>
      <w:r w:rsidR="00842B47">
        <w:rPr>
          <w:rFonts w:eastAsia="Calibri" w:cs="Times New Roman"/>
          <w:sz w:val="24"/>
          <w:szCs w:val="24"/>
        </w:rPr>
        <w:t>nærmere</w:t>
      </w:r>
      <w:r w:rsidR="00916921">
        <w:rPr>
          <w:rFonts w:eastAsia="Calibri" w:cs="Times New Roman"/>
          <w:sz w:val="24"/>
          <w:szCs w:val="24"/>
        </w:rPr>
        <w:t xml:space="preserve">, idet forslagets ændring af bødeniveauet </w:t>
      </w:r>
      <w:r w:rsidR="005A08E0">
        <w:rPr>
          <w:rFonts w:eastAsia="Calibri" w:cs="Times New Roman"/>
          <w:sz w:val="24"/>
          <w:szCs w:val="24"/>
        </w:rPr>
        <w:t xml:space="preserve">er begrænset til </w:t>
      </w:r>
      <w:r w:rsidR="005A08E0" w:rsidRPr="005A08E0">
        <w:rPr>
          <w:rFonts w:eastAsia="Calibri" w:cs="Times New Roman"/>
          <w:sz w:val="24"/>
          <w:szCs w:val="24"/>
        </w:rPr>
        <w:t>arbejdsgivers manglende anmeldelse af arbejdsulykker</w:t>
      </w:r>
      <w:r w:rsidR="00224E8B">
        <w:rPr>
          <w:rFonts w:eastAsia="Calibri" w:cs="Times New Roman"/>
          <w:sz w:val="24"/>
          <w:szCs w:val="24"/>
        </w:rPr>
        <w:t xml:space="preserve"> m.v.</w:t>
      </w:r>
      <w:r w:rsidR="00EC7811">
        <w:rPr>
          <w:rFonts w:eastAsia="Calibri" w:cs="Times New Roman"/>
          <w:sz w:val="24"/>
          <w:szCs w:val="24"/>
        </w:rPr>
        <w:t xml:space="preserve"> </w:t>
      </w:r>
      <w:r w:rsidR="0065137E">
        <w:rPr>
          <w:rFonts w:eastAsia="Calibri" w:cs="Times New Roman"/>
          <w:sz w:val="24"/>
          <w:szCs w:val="24"/>
        </w:rPr>
        <w:t>til Arbejdstilsynet</w:t>
      </w:r>
      <w:r w:rsidR="005A08E0" w:rsidRPr="005A08E0">
        <w:rPr>
          <w:rFonts w:eastAsia="Calibri" w:cs="Times New Roman"/>
          <w:sz w:val="24"/>
          <w:szCs w:val="24"/>
        </w:rPr>
        <w:t xml:space="preserve">, og bygherres overtrædelse af reglerne om at udarbejde </w:t>
      </w:r>
      <w:r w:rsidR="00224E8B">
        <w:rPr>
          <w:rFonts w:eastAsia="Calibri" w:cs="Times New Roman"/>
          <w:sz w:val="24"/>
          <w:szCs w:val="24"/>
        </w:rPr>
        <w:t xml:space="preserve">og vedligeholde </w:t>
      </w:r>
      <w:r w:rsidR="005A08E0" w:rsidRPr="005A08E0">
        <w:rPr>
          <w:rFonts w:eastAsia="Calibri" w:cs="Times New Roman"/>
          <w:sz w:val="24"/>
          <w:szCs w:val="24"/>
        </w:rPr>
        <w:t>en plan for sikkerhed og sundhed på byggepladsen</w:t>
      </w:r>
      <w:r w:rsidR="005A08E0">
        <w:rPr>
          <w:rFonts w:eastAsia="Calibri" w:cs="Times New Roman"/>
          <w:sz w:val="24"/>
          <w:szCs w:val="24"/>
        </w:rPr>
        <w:t>.</w:t>
      </w:r>
    </w:p>
    <w:p w14:paraId="50FB6214" w14:textId="390CEFE2" w:rsidR="009A09FB" w:rsidRDefault="00EC32FE" w:rsidP="00EC32FE">
      <w:pPr>
        <w:spacing w:after="240"/>
        <w:rPr>
          <w:rFonts w:eastAsia="Calibri" w:cs="Times New Roman"/>
          <w:sz w:val="24"/>
          <w:szCs w:val="24"/>
        </w:rPr>
      </w:pPr>
      <w:r w:rsidRPr="00EC32FE">
        <w:rPr>
          <w:rFonts w:eastAsia="Calibri" w:cs="Times New Roman"/>
          <w:sz w:val="24"/>
          <w:szCs w:val="24"/>
        </w:rPr>
        <w:t xml:space="preserve">Ved formelle overtrædelser er bøden </w:t>
      </w:r>
      <w:r w:rsidR="006043BA">
        <w:rPr>
          <w:rFonts w:eastAsia="Calibri" w:cs="Times New Roman"/>
          <w:sz w:val="24"/>
          <w:szCs w:val="24"/>
        </w:rPr>
        <w:t>10.000 kr.</w:t>
      </w:r>
      <w:r w:rsidRPr="00EC32FE">
        <w:rPr>
          <w:rFonts w:eastAsia="Calibri" w:cs="Times New Roman"/>
          <w:sz w:val="24"/>
          <w:szCs w:val="24"/>
        </w:rPr>
        <w:t xml:space="preserve"> uanset virksomhedens størrelse.</w:t>
      </w:r>
      <w:r w:rsidR="00916921">
        <w:rPr>
          <w:rFonts w:eastAsia="Calibri" w:cs="Times New Roman"/>
          <w:sz w:val="24"/>
          <w:szCs w:val="24"/>
        </w:rPr>
        <w:t xml:space="preserve"> </w:t>
      </w:r>
      <w:r w:rsidR="002F5532">
        <w:rPr>
          <w:rFonts w:eastAsia="Calibri" w:cs="Times New Roman"/>
          <w:sz w:val="24"/>
          <w:szCs w:val="24"/>
        </w:rPr>
        <w:t xml:space="preserve">Det betyder, at </w:t>
      </w:r>
      <w:r w:rsidR="003D026C">
        <w:rPr>
          <w:rFonts w:eastAsia="Calibri" w:cs="Times New Roman"/>
          <w:sz w:val="24"/>
          <w:szCs w:val="24"/>
        </w:rPr>
        <w:t xml:space="preserve">der ved udmåling af bøden ikke lægges vægt på virksomhedens størrelse. Det gælder både for bødefastsættelsen for </w:t>
      </w:r>
      <w:r w:rsidR="009A09FB">
        <w:rPr>
          <w:rFonts w:eastAsia="Calibri" w:cs="Times New Roman"/>
          <w:sz w:val="24"/>
          <w:szCs w:val="24"/>
        </w:rPr>
        <w:t>arbejdsgivers formelle overtrædelser og bygherres formelle overtrædelser.</w:t>
      </w:r>
    </w:p>
    <w:p w14:paraId="522A417A" w14:textId="5FC82673" w:rsidR="00E91785" w:rsidRDefault="00E91785" w:rsidP="00EC32FE">
      <w:pPr>
        <w:spacing w:after="240"/>
        <w:rPr>
          <w:rFonts w:eastAsia="Calibri" w:cs="Times New Roman"/>
          <w:sz w:val="24"/>
          <w:szCs w:val="24"/>
        </w:rPr>
      </w:pPr>
      <w:r w:rsidRPr="00E91785">
        <w:rPr>
          <w:rFonts w:eastAsia="Calibri" w:cs="Times New Roman"/>
          <w:sz w:val="24"/>
          <w:szCs w:val="24"/>
        </w:rPr>
        <w:lastRenderedPageBreak/>
        <w:t xml:space="preserve">Efter den gældende bestemmelse i arbejdsmiljølovens § 82, stk. 6, </w:t>
      </w:r>
      <w:r>
        <w:rPr>
          <w:rFonts w:eastAsia="Calibri" w:cs="Times New Roman"/>
          <w:sz w:val="24"/>
          <w:szCs w:val="24"/>
        </w:rPr>
        <w:t>differentieres bøden med henvisning til virksomhedens størrelse</w:t>
      </w:r>
      <w:r w:rsidR="00D70816">
        <w:rPr>
          <w:rFonts w:eastAsia="Calibri" w:cs="Times New Roman"/>
          <w:sz w:val="24"/>
          <w:szCs w:val="24"/>
        </w:rPr>
        <w:t>, når det drejer sig om</w:t>
      </w:r>
      <w:r w:rsidRPr="00E91785">
        <w:rPr>
          <w:rFonts w:eastAsia="Calibri" w:cs="Times New Roman"/>
          <w:sz w:val="24"/>
          <w:szCs w:val="24"/>
        </w:rPr>
        <w:t xml:space="preserve"> arbejdsgiverens </w:t>
      </w:r>
      <w:r>
        <w:rPr>
          <w:rFonts w:eastAsia="Calibri" w:cs="Times New Roman"/>
          <w:sz w:val="24"/>
          <w:szCs w:val="24"/>
        </w:rPr>
        <w:t xml:space="preserve">materielle </w:t>
      </w:r>
      <w:r w:rsidRPr="00E91785">
        <w:rPr>
          <w:rFonts w:eastAsia="Calibri" w:cs="Times New Roman"/>
          <w:sz w:val="24"/>
          <w:szCs w:val="24"/>
        </w:rPr>
        <w:t>overtrædelse</w:t>
      </w:r>
      <w:r>
        <w:rPr>
          <w:rFonts w:eastAsia="Calibri" w:cs="Times New Roman"/>
          <w:sz w:val="24"/>
          <w:szCs w:val="24"/>
        </w:rPr>
        <w:t>r.</w:t>
      </w:r>
    </w:p>
    <w:p w14:paraId="0E325B69" w14:textId="58AD4CF0" w:rsidR="00E91785" w:rsidRDefault="00E91785" w:rsidP="00EC32FE">
      <w:pPr>
        <w:spacing w:after="240"/>
        <w:rPr>
          <w:rFonts w:eastAsia="Calibri" w:cs="Times New Roman"/>
          <w:sz w:val="24"/>
          <w:szCs w:val="24"/>
        </w:rPr>
      </w:pPr>
      <w:r w:rsidRPr="00E91785">
        <w:rPr>
          <w:rFonts w:eastAsia="Calibri" w:cs="Times New Roman"/>
          <w:sz w:val="24"/>
          <w:szCs w:val="24"/>
        </w:rPr>
        <w:t xml:space="preserve">Materielle overtrædelser er overtrædelser, der indebærer en direkte risiko for sikkerhed eller sundhed. Det kan f.eks. være svejsning uden brug af udsugning eller arbejde i højden uden sikring mod faren for nedstyrtning.  </w:t>
      </w:r>
    </w:p>
    <w:p w14:paraId="5E7DF0C8" w14:textId="04296251" w:rsidR="006108C2" w:rsidRPr="007244D5" w:rsidRDefault="00E86181" w:rsidP="00AA31F1">
      <w:pPr>
        <w:spacing w:after="240"/>
        <w:rPr>
          <w:sz w:val="24"/>
        </w:rPr>
      </w:pPr>
      <w:bookmarkStart w:id="192" w:name="_Toc505690196"/>
      <w:bookmarkStart w:id="193" w:name="_Toc505701749"/>
      <w:bookmarkStart w:id="194" w:name="_Toc505759541"/>
      <w:bookmarkStart w:id="195" w:name="_Toc505759558"/>
      <w:bookmarkStart w:id="196" w:name="_Toc505762651"/>
      <w:bookmarkStart w:id="197" w:name="_Toc505785991"/>
      <w:bookmarkStart w:id="198" w:name="_Toc506799576"/>
      <w:bookmarkStart w:id="199" w:name="_Toc506799593"/>
      <w:bookmarkStart w:id="200" w:name="_Toc506894552"/>
      <w:bookmarkStart w:id="201" w:name="_Toc507486289"/>
      <w:bookmarkStart w:id="202" w:name="_Toc515271228"/>
      <w:bookmarkStart w:id="203" w:name="_Toc515271551"/>
      <w:bookmarkStart w:id="204" w:name="_Toc515271579"/>
      <w:bookmarkStart w:id="205" w:name="_Toc515280475"/>
      <w:bookmarkStart w:id="206" w:name="_Toc515280626"/>
      <w:bookmarkStart w:id="207" w:name="_Toc515352778"/>
      <w:bookmarkStart w:id="208" w:name="_Toc515540851"/>
      <w:bookmarkStart w:id="209" w:name="_Toc515543687"/>
      <w:bookmarkStart w:id="210" w:name="_Toc515543872"/>
      <w:bookmarkStart w:id="211" w:name="_Toc515551673"/>
      <w:bookmarkStart w:id="212" w:name="_Toc515627615"/>
      <w:bookmarkStart w:id="213" w:name="_Toc516039925"/>
      <w:bookmarkStart w:id="214" w:name="_Toc516155348"/>
      <w:bookmarkStart w:id="215" w:name="_Toc516490249"/>
      <w:bookmarkStart w:id="216" w:name="_Toc518037931"/>
      <w:bookmarkStart w:id="217" w:name="_Toc524599579"/>
      <w:bookmarkStart w:id="218" w:name="_Toc526154932"/>
      <w:bookmarkStart w:id="219" w:name="_Toc526155478"/>
      <w:bookmarkStart w:id="220" w:name="_Toc526155551"/>
      <w:bookmarkStart w:id="221" w:name="_Toc526253988"/>
      <w:bookmarkStart w:id="222" w:name="_Toc526348413"/>
      <w:bookmarkStart w:id="223" w:name="_Toc526374604"/>
      <w:bookmarkStart w:id="224" w:name="_Toc526374620"/>
      <w:bookmarkStart w:id="225" w:name="_Toc526406483"/>
      <w:bookmarkStart w:id="226" w:name="_Toc526409509"/>
      <w:bookmarkStart w:id="227" w:name="_Toc526491408"/>
      <w:bookmarkStart w:id="228" w:name="_Toc526505520"/>
      <w:bookmarkStart w:id="229" w:name="_Toc526756612"/>
      <w:r>
        <w:rPr>
          <w:sz w:val="24"/>
        </w:rPr>
        <w:t>2</w:t>
      </w:r>
      <w:r w:rsidR="006108C2" w:rsidRPr="007244D5">
        <w:rPr>
          <w:sz w:val="24"/>
        </w:rPr>
        <w:t>.</w:t>
      </w:r>
      <w:r w:rsidR="002D2F4A">
        <w:rPr>
          <w:sz w:val="24"/>
        </w:rPr>
        <w:t>3</w:t>
      </w:r>
      <w:r w:rsidR="006108C2" w:rsidRPr="007244D5">
        <w:rPr>
          <w:sz w:val="24"/>
        </w:rPr>
        <w:t xml:space="preserve">.2. </w:t>
      </w:r>
      <w:r>
        <w:rPr>
          <w:sz w:val="24"/>
        </w:rPr>
        <w:t>Beskæftigelsesmini</w:t>
      </w:r>
      <w:r w:rsidR="006108C2" w:rsidRPr="007244D5">
        <w:rPr>
          <w:sz w:val="24"/>
        </w:rPr>
        <w:t>s</w:t>
      </w:r>
      <w:r w:rsidR="00653966">
        <w:rPr>
          <w:sz w:val="24"/>
        </w:rPr>
        <w:t>teriets</w:t>
      </w:r>
      <w:r w:rsidR="006108C2" w:rsidRPr="007244D5">
        <w:rPr>
          <w:sz w:val="24"/>
        </w:rPr>
        <w:t xml:space="preserve"> overvejelser</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65A63CFB" w14:textId="05F38E87" w:rsidR="00842571" w:rsidRDefault="00842571" w:rsidP="006108C2">
      <w:pPr>
        <w:spacing w:after="240"/>
        <w:rPr>
          <w:rFonts w:eastAsia="Calibri" w:cs="Times New Roman"/>
          <w:sz w:val="24"/>
          <w:szCs w:val="24"/>
        </w:rPr>
      </w:pPr>
      <w:r w:rsidRPr="00842571">
        <w:rPr>
          <w:rFonts w:eastAsia="Calibri" w:cs="Times New Roman"/>
          <w:sz w:val="24"/>
          <w:szCs w:val="24"/>
        </w:rPr>
        <w:t xml:space="preserve">I aftale om en styrket indsats mod social dumping er aftalepartierne enige om, at </w:t>
      </w:r>
      <w:r w:rsidR="00CB6C4E">
        <w:rPr>
          <w:rFonts w:eastAsia="Calibri" w:cs="Times New Roman"/>
          <w:sz w:val="24"/>
          <w:szCs w:val="24"/>
        </w:rPr>
        <w:t xml:space="preserve">forhøjes </w:t>
      </w:r>
      <w:r w:rsidRPr="00842571">
        <w:rPr>
          <w:rFonts w:eastAsia="Calibri" w:cs="Times New Roman"/>
          <w:sz w:val="24"/>
          <w:szCs w:val="24"/>
        </w:rPr>
        <w:t>bøden for manglende overholdelse af arbejdsgiverens pligt til anmeldelse af arbejdsulykker og bygherres pligt til at udarbejde en plan for sikkerhed og sundhed på byggepladsen</w:t>
      </w:r>
      <w:r w:rsidR="00627355">
        <w:rPr>
          <w:rFonts w:eastAsia="Calibri" w:cs="Times New Roman"/>
          <w:sz w:val="24"/>
          <w:szCs w:val="24"/>
        </w:rPr>
        <w:t xml:space="preserve">. Bøden skal alene forhøjes </w:t>
      </w:r>
      <w:r w:rsidRPr="00842571">
        <w:rPr>
          <w:rFonts w:eastAsia="Calibri" w:cs="Times New Roman"/>
          <w:sz w:val="24"/>
          <w:szCs w:val="24"/>
        </w:rPr>
        <w:t>for virksomheder med 35 ansatte eller flere</w:t>
      </w:r>
      <w:r>
        <w:rPr>
          <w:rFonts w:eastAsia="Calibri" w:cs="Times New Roman"/>
          <w:sz w:val="24"/>
          <w:szCs w:val="24"/>
        </w:rPr>
        <w:t>.</w:t>
      </w:r>
    </w:p>
    <w:p w14:paraId="3B7F6BBA" w14:textId="422552FD" w:rsidR="006043BA" w:rsidRPr="006A21C7" w:rsidRDefault="006043BA" w:rsidP="006108C2">
      <w:pPr>
        <w:spacing w:after="240"/>
        <w:rPr>
          <w:rFonts w:eastAsia="Calibri" w:cs="Times New Roman"/>
          <w:sz w:val="24"/>
          <w:szCs w:val="24"/>
        </w:rPr>
      </w:pPr>
      <w:r w:rsidRPr="006A21C7">
        <w:rPr>
          <w:rFonts w:eastAsia="Calibri" w:cs="Times New Roman"/>
          <w:sz w:val="24"/>
          <w:szCs w:val="24"/>
        </w:rPr>
        <w:t xml:space="preserve">Arbejdsgivere og bygherrer </w:t>
      </w:r>
      <w:r w:rsidR="0070598B">
        <w:rPr>
          <w:rFonts w:eastAsia="Calibri" w:cs="Times New Roman"/>
          <w:sz w:val="24"/>
          <w:szCs w:val="24"/>
        </w:rPr>
        <w:t>bør</w:t>
      </w:r>
      <w:r w:rsidRPr="006A21C7">
        <w:rPr>
          <w:rFonts w:eastAsia="Calibri" w:cs="Times New Roman"/>
          <w:sz w:val="24"/>
          <w:szCs w:val="24"/>
        </w:rPr>
        <w:t xml:space="preserve"> tilskyndes til i endnu højere grad at sikre </w:t>
      </w:r>
      <w:r w:rsidR="00E14683" w:rsidRPr="00E14683">
        <w:rPr>
          <w:rFonts w:eastAsia="Calibri" w:cs="Times New Roman"/>
          <w:sz w:val="24"/>
          <w:szCs w:val="24"/>
        </w:rPr>
        <w:t>den forebyggende indsats over for arbejdsulykker</w:t>
      </w:r>
      <w:r w:rsidR="00E14683">
        <w:rPr>
          <w:rFonts w:eastAsia="Calibri" w:cs="Times New Roman"/>
          <w:sz w:val="24"/>
          <w:szCs w:val="24"/>
        </w:rPr>
        <w:t>, hvorfor b</w:t>
      </w:r>
      <w:r w:rsidRPr="006A21C7">
        <w:rPr>
          <w:rFonts w:eastAsia="Calibri" w:cs="Times New Roman"/>
          <w:sz w:val="24"/>
          <w:szCs w:val="24"/>
        </w:rPr>
        <w:t xml:space="preserve">ødeniveauet for </w:t>
      </w:r>
      <w:r w:rsidR="00842571">
        <w:rPr>
          <w:rFonts w:eastAsia="Calibri" w:cs="Times New Roman"/>
          <w:sz w:val="24"/>
          <w:szCs w:val="24"/>
        </w:rPr>
        <w:t xml:space="preserve">de </w:t>
      </w:r>
      <w:r w:rsidRPr="006A21C7">
        <w:rPr>
          <w:rFonts w:eastAsia="Calibri" w:cs="Times New Roman"/>
          <w:sz w:val="24"/>
          <w:szCs w:val="24"/>
        </w:rPr>
        <w:t>udvalgte alvorlige formelle overtrædelser af arbejdsmiljølov</w:t>
      </w:r>
      <w:r w:rsidR="007E3766">
        <w:rPr>
          <w:rFonts w:eastAsia="Calibri" w:cs="Times New Roman"/>
          <w:sz w:val="24"/>
          <w:szCs w:val="24"/>
        </w:rPr>
        <w:t>givning</w:t>
      </w:r>
      <w:r w:rsidRPr="006A21C7">
        <w:rPr>
          <w:rFonts w:eastAsia="Calibri" w:cs="Times New Roman"/>
          <w:sz w:val="24"/>
          <w:szCs w:val="24"/>
        </w:rPr>
        <w:t xml:space="preserve">en </w:t>
      </w:r>
      <w:r w:rsidR="0070598B">
        <w:rPr>
          <w:rFonts w:eastAsia="Calibri" w:cs="Times New Roman"/>
          <w:sz w:val="24"/>
          <w:szCs w:val="24"/>
        </w:rPr>
        <w:t>bør</w:t>
      </w:r>
      <w:r w:rsidR="00D85166">
        <w:rPr>
          <w:rFonts w:eastAsia="Calibri" w:cs="Times New Roman"/>
          <w:sz w:val="24"/>
          <w:szCs w:val="24"/>
        </w:rPr>
        <w:t xml:space="preserve"> forhøjes. Det gælder </w:t>
      </w:r>
      <w:r w:rsidR="00AD39A0">
        <w:rPr>
          <w:rFonts w:eastAsia="Calibri" w:cs="Times New Roman"/>
          <w:sz w:val="24"/>
          <w:szCs w:val="24"/>
        </w:rPr>
        <w:t>særligt</w:t>
      </w:r>
      <w:r w:rsidR="00D85166">
        <w:rPr>
          <w:rFonts w:eastAsia="Calibri" w:cs="Times New Roman"/>
          <w:sz w:val="24"/>
          <w:szCs w:val="24"/>
        </w:rPr>
        <w:t xml:space="preserve"> for virksomheder af en vis størrelse, dvs. arbejdsgivere og bygherre, der har mange ansatte, og som derfor har ansvaret for mange ansatte.</w:t>
      </w:r>
    </w:p>
    <w:p w14:paraId="68C0DAAE" w14:textId="249C4D05" w:rsidR="00BE2AD5" w:rsidRPr="006A21C7" w:rsidRDefault="005847EC" w:rsidP="00BE2AD5">
      <w:pPr>
        <w:spacing w:after="240"/>
        <w:rPr>
          <w:rFonts w:eastAsia="Calibri" w:cs="Times New Roman"/>
          <w:sz w:val="24"/>
          <w:szCs w:val="24"/>
        </w:rPr>
      </w:pPr>
      <w:r w:rsidRPr="006A21C7">
        <w:rPr>
          <w:rFonts w:eastAsia="Calibri" w:cs="Times New Roman"/>
          <w:sz w:val="24"/>
          <w:szCs w:val="24"/>
        </w:rPr>
        <w:t xml:space="preserve">Det er arbejdsgivers ansvar, at </w:t>
      </w:r>
      <w:r w:rsidR="00851F84">
        <w:rPr>
          <w:rFonts w:eastAsia="Calibri" w:cs="Times New Roman"/>
          <w:sz w:val="24"/>
          <w:szCs w:val="24"/>
        </w:rPr>
        <w:t xml:space="preserve">anmelde </w:t>
      </w:r>
      <w:r w:rsidRPr="006A21C7">
        <w:rPr>
          <w:rFonts w:eastAsia="Calibri" w:cs="Times New Roman"/>
          <w:sz w:val="24"/>
          <w:szCs w:val="24"/>
        </w:rPr>
        <w:t>arbejdsulykke</w:t>
      </w:r>
      <w:r w:rsidR="00851F84">
        <w:rPr>
          <w:rFonts w:eastAsia="Calibri" w:cs="Times New Roman"/>
          <w:sz w:val="24"/>
          <w:szCs w:val="24"/>
        </w:rPr>
        <w:t>r</w:t>
      </w:r>
      <w:r w:rsidR="00EC7811">
        <w:rPr>
          <w:rFonts w:eastAsia="Calibri" w:cs="Times New Roman"/>
          <w:sz w:val="24"/>
          <w:szCs w:val="24"/>
        </w:rPr>
        <w:t xml:space="preserve"> m</w:t>
      </w:r>
      <w:r w:rsidR="00224E8B">
        <w:rPr>
          <w:rFonts w:eastAsia="Calibri" w:cs="Times New Roman"/>
          <w:sz w:val="24"/>
          <w:szCs w:val="24"/>
        </w:rPr>
        <w:t>.</w:t>
      </w:r>
      <w:r w:rsidR="00EC7811">
        <w:rPr>
          <w:rFonts w:eastAsia="Calibri" w:cs="Times New Roman"/>
          <w:sz w:val="24"/>
          <w:szCs w:val="24"/>
        </w:rPr>
        <w:t xml:space="preserve">v. </w:t>
      </w:r>
      <w:r w:rsidRPr="006A21C7">
        <w:rPr>
          <w:rFonts w:eastAsia="Calibri" w:cs="Times New Roman"/>
          <w:sz w:val="24"/>
          <w:szCs w:val="24"/>
        </w:rPr>
        <w:t xml:space="preserve">til Arbejdstilsynet. </w:t>
      </w:r>
      <w:r w:rsidR="00EC7811">
        <w:rPr>
          <w:rFonts w:eastAsia="Calibri" w:cs="Times New Roman"/>
          <w:sz w:val="24"/>
          <w:szCs w:val="24"/>
        </w:rPr>
        <w:t xml:space="preserve">Reglerne om arbejdsgivers </w:t>
      </w:r>
      <w:r w:rsidR="00224E8B">
        <w:rPr>
          <w:rFonts w:eastAsia="Calibri" w:cs="Times New Roman"/>
          <w:sz w:val="24"/>
          <w:szCs w:val="24"/>
        </w:rPr>
        <w:t>anmeldep</w:t>
      </w:r>
      <w:r w:rsidR="00EC7811">
        <w:rPr>
          <w:rFonts w:eastAsia="Calibri" w:cs="Times New Roman"/>
          <w:sz w:val="24"/>
          <w:szCs w:val="24"/>
        </w:rPr>
        <w:t xml:space="preserve">ligt til </w:t>
      </w:r>
      <w:r w:rsidR="00224E8B">
        <w:rPr>
          <w:rFonts w:eastAsia="Calibri" w:cs="Times New Roman"/>
          <w:sz w:val="24"/>
          <w:szCs w:val="24"/>
        </w:rPr>
        <w:t xml:space="preserve">Arbejdstilsynet fremgår af </w:t>
      </w:r>
      <w:r w:rsidR="00224E8B" w:rsidRPr="00473487">
        <w:rPr>
          <w:rFonts w:eastAsia="Calibri" w:cs="Times New Roman"/>
          <w:i/>
          <w:sz w:val="24"/>
          <w:szCs w:val="24"/>
        </w:rPr>
        <w:t>bekendtgørelse om anmeldelse af arbejdsulykker m.v. til Arbejdstilsynet</w:t>
      </w:r>
      <w:r w:rsidR="00224E8B">
        <w:rPr>
          <w:rFonts w:eastAsia="Calibri" w:cs="Times New Roman"/>
          <w:sz w:val="24"/>
          <w:szCs w:val="24"/>
        </w:rPr>
        <w:t xml:space="preserve">. </w:t>
      </w:r>
      <w:r w:rsidRPr="006A21C7">
        <w:rPr>
          <w:rFonts w:eastAsia="Calibri" w:cs="Times New Roman"/>
          <w:sz w:val="24"/>
          <w:szCs w:val="24"/>
        </w:rPr>
        <w:t xml:space="preserve">Arbejdstilsynet bruger anmeldelserne til at beskrive skadesbilledet på danske arbejdspladser, </w:t>
      </w:r>
      <w:r w:rsidR="00842B47">
        <w:rPr>
          <w:rFonts w:eastAsia="Calibri" w:cs="Times New Roman"/>
          <w:sz w:val="24"/>
          <w:szCs w:val="24"/>
        </w:rPr>
        <w:t xml:space="preserve">til </w:t>
      </w:r>
      <w:r w:rsidRPr="006A21C7">
        <w:rPr>
          <w:rFonts w:eastAsia="Calibri" w:cs="Times New Roman"/>
          <w:sz w:val="24"/>
          <w:szCs w:val="24"/>
        </w:rPr>
        <w:t xml:space="preserve">at prioritere indsatsområder i den forebyggende arbejdsmiljøindsats, </w:t>
      </w:r>
      <w:r w:rsidR="00842B47">
        <w:rPr>
          <w:rFonts w:eastAsia="Calibri" w:cs="Times New Roman"/>
          <w:sz w:val="24"/>
          <w:szCs w:val="24"/>
        </w:rPr>
        <w:t xml:space="preserve">til </w:t>
      </w:r>
      <w:r w:rsidRPr="006A21C7">
        <w:rPr>
          <w:rFonts w:eastAsia="Calibri" w:cs="Times New Roman"/>
          <w:sz w:val="24"/>
          <w:szCs w:val="24"/>
        </w:rPr>
        <w:t xml:space="preserve">at opbygge viden om arbejdsulykker og </w:t>
      </w:r>
      <w:r w:rsidR="00842B47">
        <w:rPr>
          <w:rFonts w:eastAsia="Calibri" w:cs="Times New Roman"/>
          <w:sz w:val="24"/>
          <w:szCs w:val="24"/>
        </w:rPr>
        <w:t xml:space="preserve">til </w:t>
      </w:r>
      <w:r w:rsidRPr="006A21C7">
        <w:rPr>
          <w:rFonts w:eastAsia="Calibri" w:cs="Times New Roman"/>
          <w:sz w:val="24"/>
          <w:szCs w:val="24"/>
        </w:rPr>
        <w:t>at udtage arbejdspladser til tilsyn. Arbejdsgiveres ulykkesanmeldelser til Arbejdstilsynet giver derfor et væsentligt bidrag til den forebyggende indsats over for arbejdsulykker.</w:t>
      </w:r>
    </w:p>
    <w:p w14:paraId="4972882C" w14:textId="728FDDDA" w:rsidR="00BE2AD5" w:rsidRPr="006A21C7" w:rsidRDefault="00BE2AD5" w:rsidP="006108C2">
      <w:pPr>
        <w:spacing w:after="240"/>
        <w:rPr>
          <w:rFonts w:eastAsia="Calibri" w:cs="Times New Roman"/>
          <w:sz w:val="24"/>
          <w:szCs w:val="24"/>
        </w:rPr>
      </w:pPr>
      <w:r w:rsidRPr="006A21C7">
        <w:rPr>
          <w:rFonts w:eastAsia="Calibri" w:cs="Times New Roman"/>
          <w:sz w:val="24"/>
          <w:szCs w:val="24"/>
        </w:rPr>
        <w:t>Det er bygherrens ansvar, at der under projekteringen af bygge- eller anlægsprojekter af en vis størrelse udarbejdes en plan for sikkerhed og sundhed</w:t>
      </w:r>
      <w:r w:rsidR="006A21C7">
        <w:rPr>
          <w:rFonts w:eastAsia="Calibri" w:cs="Times New Roman"/>
          <w:sz w:val="24"/>
          <w:szCs w:val="24"/>
        </w:rPr>
        <w:t xml:space="preserve"> (PSS)</w:t>
      </w:r>
      <w:r w:rsidRPr="006A21C7">
        <w:rPr>
          <w:rFonts w:eastAsia="Calibri" w:cs="Times New Roman"/>
          <w:sz w:val="24"/>
          <w:szCs w:val="24"/>
        </w:rPr>
        <w:t xml:space="preserve">. </w:t>
      </w:r>
      <w:r w:rsidR="00473487" w:rsidRPr="00473487">
        <w:rPr>
          <w:rFonts w:eastAsia="Calibri" w:cs="Times New Roman"/>
          <w:sz w:val="24"/>
          <w:szCs w:val="24"/>
        </w:rPr>
        <w:t xml:space="preserve">Reglerne om </w:t>
      </w:r>
      <w:r w:rsidR="00473487">
        <w:rPr>
          <w:rFonts w:eastAsia="Calibri" w:cs="Times New Roman"/>
          <w:sz w:val="24"/>
          <w:szCs w:val="24"/>
        </w:rPr>
        <w:t>bygherres pligt til at udarbejde og</w:t>
      </w:r>
      <w:r w:rsidR="00154914">
        <w:rPr>
          <w:rFonts w:eastAsia="Calibri" w:cs="Times New Roman"/>
          <w:sz w:val="24"/>
          <w:szCs w:val="24"/>
        </w:rPr>
        <w:t xml:space="preserve"> vedligeholde en PSS fremgår af </w:t>
      </w:r>
      <w:r w:rsidR="00154914" w:rsidRPr="00154914">
        <w:rPr>
          <w:rFonts w:eastAsia="Calibri" w:cs="Times New Roman"/>
          <w:i/>
          <w:sz w:val="24"/>
          <w:szCs w:val="24"/>
        </w:rPr>
        <w:t>bekendtgørelse om bygherres pligter</w:t>
      </w:r>
      <w:r w:rsidR="00154914">
        <w:rPr>
          <w:rFonts w:eastAsia="Calibri" w:cs="Times New Roman"/>
          <w:sz w:val="24"/>
          <w:szCs w:val="24"/>
        </w:rPr>
        <w:t xml:space="preserve">. </w:t>
      </w:r>
      <w:r w:rsidR="00B66139">
        <w:rPr>
          <w:rFonts w:eastAsia="Calibri" w:cs="Times New Roman"/>
          <w:sz w:val="24"/>
          <w:szCs w:val="24"/>
        </w:rPr>
        <w:t>E</w:t>
      </w:r>
      <w:r w:rsidR="00154914">
        <w:rPr>
          <w:rFonts w:eastAsia="Calibri" w:cs="Times New Roman"/>
          <w:sz w:val="24"/>
          <w:szCs w:val="24"/>
        </w:rPr>
        <w:t>n plan for sikkerhed og sundhed</w:t>
      </w:r>
      <w:r w:rsidRPr="006A21C7">
        <w:rPr>
          <w:rFonts w:eastAsia="Calibri" w:cs="Times New Roman"/>
          <w:sz w:val="24"/>
          <w:szCs w:val="24"/>
        </w:rPr>
        <w:t xml:space="preserve"> skal danne grundlag for at sikre et godt arbejdsmiljø for alle, der skal arbejde på byggepladsen. P</w:t>
      </w:r>
      <w:r w:rsidR="00B66139">
        <w:rPr>
          <w:rFonts w:eastAsia="Calibri" w:cs="Times New Roman"/>
          <w:sz w:val="24"/>
          <w:szCs w:val="24"/>
        </w:rPr>
        <w:t>lanen</w:t>
      </w:r>
      <w:r w:rsidRPr="006A21C7">
        <w:rPr>
          <w:rFonts w:eastAsia="Calibri" w:cs="Times New Roman"/>
          <w:sz w:val="24"/>
          <w:szCs w:val="24"/>
        </w:rPr>
        <w:t xml:space="preserve"> fungerer som et styringsredskab for det fælles arbejdsmiljøarbejde på byggepladsen.</w:t>
      </w:r>
      <w:r w:rsidR="0022297A">
        <w:rPr>
          <w:rFonts w:eastAsia="Calibri" w:cs="Times New Roman"/>
          <w:sz w:val="24"/>
          <w:szCs w:val="24"/>
        </w:rPr>
        <w:t xml:space="preserve"> </w:t>
      </w:r>
      <w:proofErr w:type="spellStart"/>
      <w:r w:rsidR="0022297A">
        <w:rPr>
          <w:rFonts w:eastAsia="Calibri" w:cs="Times New Roman"/>
          <w:sz w:val="24"/>
          <w:szCs w:val="24"/>
        </w:rPr>
        <w:t>P</w:t>
      </w:r>
      <w:r w:rsidR="00B66139">
        <w:rPr>
          <w:rFonts w:eastAsia="Calibri" w:cs="Times New Roman"/>
          <w:sz w:val="24"/>
          <w:szCs w:val="24"/>
        </w:rPr>
        <w:t>SS’en</w:t>
      </w:r>
      <w:proofErr w:type="spellEnd"/>
      <w:r w:rsidR="00154914">
        <w:rPr>
          <w:rFonts w:eastAsia="Calibri" w:cs="Times New Roman"/>
          <w:sz w:val="24"/>
          <w:szCs w:val="24"/>
        </w:rPr>
        <w:t xml:space="preserve"> </w:t>
      </w:r>
      <w:r w:rsidR="0022297A">
        <w:rPr>
          <w:rFonts w:eastAsia="Calibri" w:cs="Times New Roman"/>
          <w:sz w:val="24"/>
          <w:szCs w:val="24"/>
        </w:rPr>
        <w:t xml:space="preserve">udgør derfor </w:t>
      </w:r>
      <w:r w:rsidR="0022297A" w:rsidRPr="0022297A">
        <w:rPr>
          <w:rFonts w:eastAsia="Calibri" w:cs="Times New Roman"/>
          <w:sz w:val="24"/>
          <w:szCs w:val="24"/>
        </w:rPr>
        <w:t>et væsentligt bidrag til den forebyggende indsats over for arbejdsulykker</w:t>
      </w:r>
      <w:r w:rsidR="007D3BF4">
        <w:rPr>
          <w:rFonts w:eastAsia="Calibri" w:cs="Times New Roman"/>
          <w:sz w:val="24"/>
          <w:szCs w:val="24"/>
        </w:rPr>
        <w:t>.</w:t>
      </w:r>
      <w:r w:rsidR="004507C9">
        <w:rPr>
          <w:rFonts w:eastAsia="Calibri" w:cs="Times New Roman"/>
          <w:sz w:val="24"/>
          <w:szCs w:val="24"/>
        </w:rPr>
        <w:t xml:space="preserve"> Større virksomheder skal i højere grad være opmærksom på disse pligter.</w:t>
      </w:r>
    </w:p>
    <w:p w14:paraId="0C3EDCE7" w14:textId="06B288AD" w:rsidR="006043BA" w:rsidRPr="006A21C7" w:rsidRDefault="00D16EC0" w:rsidP="006108C2">
      <w:pPr>
        <w:spacing w:after="240"/>
        <w:rPr>
          <w:rFonts w:eastAsia="Calibri" w:cs="Times New Roman"/>
          <w:sz w:val="24"/>
          <w:szCs w:val="24"/>
        </w:rPr>
      </w:pPr>
      <w:r>
        <w:rPr>
          <w:rFonts w:eastAsia="Calibri" w:cs="Times New Roman"/>
          <w:sz w:val="24"/>
          <w:szCs w:val="24"/>
        </w:rPr>
        <w:lastRenderedPageBreak/>
        <w:t>B</w:t>
      </w:r>
      <w:r w:rsidR="006043BA" w:rsidRPr="006A21C7">
        <w:rPr>
          <w:rFonts w:eastAsia="Calibri" w:cs="Times New Roman"/>
          <w:sz w:val="24"/>
          <w:szCs w:val="24"/>
        </w:rPr>
        <w:t>øde</w:t>
      </w:r>
      <w:r>
        <w:rPr>
          <w:rFonts w:eastAsia="Calibri" w:cs="Times New Roman"/>
          <w:sz w:val="24"/>
          <w:szCs w:val="24"/>
        </w:rPr>
        <w:t xml:space="preserve">niveauet </w:t>
      </w:r>
      <w:r w:rsidR="0070598B">
        <w:rPr>
          <w:rFonts w:eastAsia="Calibri" w:cs="Times New Roman"/>
          <w:sz w:val="24"/>
          <w:szCs w:val="24"/>
        </w:rPr>
        <w:t xml:space="preserve">bør </w:t>
      </w:r>
      <w:r>
        <w:rPr>
          <w:rFonts w:eastAsia="Calibri" w:cs="Times New Roman"/>
          <w:sz w:val="24"/>
          <w:szCs w:val="24"/>
        </w:rPr>
        <w:t xml:space="preserve">derfor </w:t>
      </w:r>
      <w:r w:rsidR="0070598B">
        <w:rPr>
          <w:rFonts w:eastAsia="Calibri" w:cs="Times New Roman"/>
          <w:sz w:val="24"/>
          <w:szCs w:val="24"/>
        </w:rPr>
        <w:t xml:space="preserve">forhøjes </w:t>
      </w:r>
      <w:r w:rsidR="00AD39A0">
        <w:rPr>
          <w:rFonts w:eastAsia="Calibri" w:cs="Times New Roman"/>
          <w:sz w:val="24"/>
          <w:szCs w:val="24"/>
        </w:rPr>
        <w:t xml:space="preserve">for virksomheder af en vis størrelse, </w:t>
      </w:r>
      <w:r w:rsidR="00F57057">
        <w:rPr>
          <w:rFonts w:eastAsia="Calibri" w:cs="Times New Roman"/>
          <w:sz w:val="24"/>
          <w:szCs w:val="24"/>
        </w:rPr>
        <w:t>dvs.</w:t>
      </w:r>
      <w:r w:rsidR="00AD39A0">
        <w:rPr>
          <w:rFonts w:eastAsia="Calibri" w:cs="Times New Roman"/>
          <w:sz w:val="24"/>
          <w:szCs w:val="24"/>
        </w:rPr>
        <w:t xml:space="preserve"> virksomheder, der har 35 eller flere ansatte,</w:t>
      </w:r>
      <w:r w:rsidR="00F57057">
        <w:rPr>
          <w:rFonts w:eastAsia="Calibri" w:cs="Times New Roman"/>
          <w:sz w:val="24"/>
          <w:szCs w:val="24"/>
        </w:rPr>
        <w:t xml:space="preserve"> herunder </w:t>
      </w:r>
      <w:r w:rsidR="00321DAF" w:rsidRPr="006A21C7">
        <w:rPr>
          <w:rFonts w:eastAsia="Calibri" w:cs="Times New Roman"/>
          <w:sz w:val="24"/>
          <w:szCs w:val="24"/>
        </w:rPr>
        <w:t xml:space="preserve">dels </w:t>
      </w:r>
      <w:r w:rsidR="006043BA" w:rsidRPr="006A21C7">
        <w:rPr>
          <w:rFonts w:eastAsia="Calibri" w:cs="Times New Roman"/>
          <w:sz w:val="24"/>
          <w:szCs w:val="24"/>
        </w:rPr>
        <w:t xml:space="preserve">for </w:t>
      </w:r>
      <w:r w:rsidR="00321DAF" w:rsidRPr="006A21C7">
        <w:rPr>
          <w:rFonts w:eastAsia="Calibri" w:cs="Times New Roman"/>
          <w:sz w:val="24"/>
          <w:szCs w:val="24"/>
        </w:rPr>
        <w:t xml:space="preserve">arbejdsgivers </w:t>
      </w:r>
      <w:r w:rsidR="006043BA" w:rsidRPr="006A21C7">
        <w:rPr>
          <w:rFonts w:eastAsia="Calibri" w:cs="Times New Roman"/>
          <w:sz w:val="24"/>
          <w:szCs w:val="24"/>
        </w:rPr>
        <w:t>manglende overholdelse af pligt</w:t>
      </w:r>
      <w:r w:rsidR="00321DAF" w:rsidRPr="006A21C7">
        <w:rPr>
          <w:rFonts w:eastAsia="Calibri" w:cs="Times New Roman"/>
          <w:sz w:val="24"/>
          <w:szCs w:val="24"/>
        </w:rPr>
        <w:t>en</w:t>
      </w:r>
      <w:r w:rsidR="006043BA" w:rsidRPr="006A21C7">
        <w:rPr>
          <w:rFonts w:eastAsia="Calibri" w:cs="Times New Roman"/>
          <w:sz w:val="24"/>
          <w:szCs w:val="24"/>
        </w:rPr>
        <w:t xml:space="preserve"> til anmeldelse af arbejdsulykker </w:t>
      </w:r>
      <w:r w:rsidR="00224E8B">
        <w:rPr>
          <w:rFonts w:eastAsia="Calibri" w:cs="Times New Roman"/>
          <w:sz w:val="24"/>
          <w:szCs w:val="24"/>
        </w:rPr>
        <w:t xml:space="preserve">m.v. </w:t>
      </w:r>
      <w:r w:rsidR="001555CC" w:rsidRPr="006A21C7">
        <w:rPr>
          <w:rFonts w:eastAsia="Calibri" w:cs="Times New Roman"/>
          <w:sz w:val="24"/>
          <w:szCs w:val="24"/>
        </w:rPr>
        <w:t>til Arbejdstilsynet</w:t>
      </w:r>
      <w:r w:rsidR="0070598B">
        <w:rPr>
          <w:rFonts w:eastAsia="Calibri" w:cs="Times New Roman"/>
          <w:sz w:val="24"/>
          <w:szCs w:val="24"/>
        </w:rPr>
        <w:t>,</w:t>
      </w:r>
      <w:r w:rsidR="001555CC" w:rsidRPr="006A21C7">
        <w:rPr>
          <w:rFonts w:eastAsia="Calibri" w:cs="Times New Roman"/>
          <w:sz w:val="24"/>
          <w:szCs w:val="24"/>
        </w:rPr>
        <w:t xml:space="preserve"> </w:t>
      </w:r>
      <w:r w:rsidR="00321DAF" w:rsidRPr="006A21C7">
        <w:rPr>
          <w:rFonts w:eastAsia="Calibri" w:cs="Times New Roman"/>
          <w:sz w:val="24"/>
          <w:szCs w:val="24"/>
        </w:rPr>
        <w:t xml:space="preserve">dels for </w:t>
      </w:r>
      <w:r w:rsidR="006043BA" w:rsidRPr="006A21C7">
        <w:rPr>
          <w:rFonts w:eastAsia="Calibri" w:cs="Times New Roman"/>
          <w:sz w:val="24"/>
          <w:szCs w:val="24"/>
        </w:rPr>
        <w:t xml:space="preserve">bygherres </w:t>
      </w:r>
      <w:r w:rsidR="0080407C">
        <w:rPr>
          <w:rFonts w:eastAsia="Calibri" w:cs="Times New Roman"/>
          <w:sz w:val="24"/>
          <w:szCs w:val="24"/>
        </w:rPr>
        <w:t xml:space="preserve">overtrædelse af reglerne om </w:t>
      </w:r>
      <w:r w:rsidR="006043BA" w:rsidRPr="006A21C7">
        <w:rPr>
          <w:rFonts w:eastAsia="Calibri" w:cs="Times New Roman"/>
          <w:sz w:val="24"/>
          <w:szCs w:val="24"/>
        </w:rPr>
        <w:t xml:space="preserve">at </w:t>
      </w:r>
      <w:r w:rsidR="00321DAF" w:rsidRPr="006A21C7">
        <w:rPr>
          <w:rFonts w:eastAsia="Calibri" w:cs="Times New Roman"/>
          <w:sz w:val="24"/>
          <w:szCs w:val="24"/>
        </w:rPr>
        <w:t>udarbejde</w:t>
      </w:r>
      <w:r w:rsidR="006043BA" w:rsidRPr="006A21C7">
        <w:rPr>
          <w:rFonts w:eastAsia="Calibri" w:cs="Times New Roman"/>
          <w:sz w:val="24"/>
          <w:szCs w:val="24"/>
        </w:rPr>
        <w:t xml:space="preserve"> </w:t>
      </w:r>
      <w:r w:rsidR="00224E8B">
        <w:rPr>
          <w:rFonts w:eastAsia="Calibri" w:cs="Times New Roman"/>
          <w:sz w:val="24"/>
          <w:szCs w:val="24"/>
        </w:rPr>
        <w:t xml:space="preserve">og vedligeholde </w:t>
      </w:r>
      <w:r w:rsidR="006043BA" w:rsidRPr="006A21C7">
        <w:rPr>
          <w:rFonts w:eastAsia="Calibri" w:cs="Times New Roman"/>
          <w:sz w:val="24"/>
          <w:szCs w:val="24"/>
        </w:rPr>
        <w:t xml:space="preserve">en plan for sikkerhed og sundhed på byggepladsen. </w:t>
      </w:r>
    </w:p>
    <w:p w14:paraId="208B0592" w14:textId="311C54EF" w:rsidR="006108C2" w:rsidRPr="006A21C7" w:rsidRDefault="006043BA" w:rsidP="006108C2">
      <w:pPr>
        <w:spacing w:after="240"/>
        <w:rPr>
          <w:rFonts w:eastAsia="Calibri" w:cs="Times New Roman"/>
          <w:sz w:val="24"/>
          <w:szCs w:val="24"/>
        </w:rPr>
      </w:pPr>
      <w:r w:rsidRPr="006A21C7">
        <w:rPr>
          <w:rFonts w:eastAsia="Calibri" w:cs="Times New Roman"/>
          <w:sz w:val="24"/>
          <w:szCs w:val="24"/>
        </w:rPr>
        <w:t xml:space="preserve">Der </w:t>
      </w:r>
      <w:r w:rsidR="0070598B">
        <w:rPr>
          <w:rFonts w:eastAsia="Calibri" w:cs="Times New Roman"/>
          <w:sz w:val="24"/>
          <w:szCs w:val="24"/>
        </w:rPr>
        <w:t xml:space="preserve">bør </w:t>
      </w:r>
      <w:r w:rsidR="00251757">
        <w:rPr>
          <w:rFonts w:eastAsia="Calibri" w:cs="Times New Roman"/>
          <w:sz w:val="24"/>
          <w:szCs w:val="24"/>
        </w:rPr>
        <w:t xml:space="preserve">samtidig </w:t>
      </w:r>
      <w:r w:rsidR="0070598B">
        <w:rPr>
          <w:rFonts w:eastAsia="Calibri" w:cs="Times New Roman"/>
          <w:sz w:val="24"/>
          <w:szCs w:val="24"/>
        </w:rPr>
        <w:t xml:space="preserve">indføres </w:t>
      </w:r>
      <w:r w:rsidRPr="006A21C7">
        <w:rPr>
          <w:rFonts w:eastAsia="Calibri" w:cs="Times New Roman"/>
          <w:sz w:val="24"/>
          <w:szCs w:val="24"/>
        </w:rPr>
        <w:t>en differentiering af bødeniveau</w:t>
      </w:r>
      <w:r w:rsidR="00D16EC0">
        <w:rPr>
          <w:rFonts w:eastAsia="Calibri" w:cs="Times New Roman"/>
          <w:sz w:val="24"/>
          <w:szCs w:val="24"/>
        </w:rPr>
        <w:t>et</w:t>
      </w:r>
      <w:r w:rsidRPr="006A21C7">
        <w:rPr>
          <w:rFonts w:eastAsia="Calibri" w:cs="Times New Roman"/>
          <w:sz w:val="24"/>
          <w:szCs w:val="24"/>
        </w:rPr>
        <w:t xml:space="preserve"> for de to udvalgte formelle overtrædelser</w:t>
      </w:r>
      <w:r w:rsidR="0065137E" w:rsidRPr="006A21C7">
        <w:rPr>
          <w:rFonts w:eastAsia="Calibri" w:cs="Times New Roman"/>
          <w:sz w:val="24"/>
          <w:szCs w:val="24"/>
        </w:rPr>
        <w:t xml:space="preserve">, så bøden forhøjes </w:t>
      </w:r>
      <w:r w:rsidR="004507C9">
        <w:rPr>
          <w:rFonts w:eastAsia="Calibri" w:cs="Times New Roman"/>
          <w:sz w:val="24"/>
          <w:szCs w:val="24"/>
        </w:rPr>
        <w:t xml:space="preserve">yderligere </w:t>
      </w:r>
      <w:r w:rsidR="0065137E" w:rsidRPr="006A21C7">
        <w:rPr>
          <w:rFonts w:eastAsia="Calibri" w:cs="Times New Roman"/>
          <w:sz w:val="24"/>
          <w:szCs w:val="24"/>
        </w:rPr>
        <w:t>over</w:t>
      </w:r>
      <w:r w:rsidR="00D16EC0">
        <w:rPr>
          <w:rFonts w:eastAsia="Calibri" w:cs="Times New Roman"/>
          <w:sz w:val="24"/>
          <w:szCs w:val="24"/>
        </w:rPr>
        <w:t xml:space="preserve"> </w:t>
      </w:r>
      <w:r w:rsidR="0065137E" w:rsidRPr="006A21C7">
        <w:rPr>
          <w:rFonts w:eastAsia="Calibri" w:cs="Times New Roman"/>
          <w:sz w:val="24"/>
          <w:szCs w:val="24"/>
        </w:rPr>
        <w:t>for virksomheder af en vis størrelse</w:t>
      </w:r>
      <w:r w:rsidR="00F57057">
        <w:rPr>
          <w:rFonts w:eastAsia="Calibri" w:cs="Times New Roman"/>
          <w:sz w:val="24"/>
          <w:szCs w:val="24"/>
        </w:rPr>
        <w:t xml:space="preserve">, når der er </w:t>
      </w:r>
      <w:r w:rsidR="0065137E" w:rsidRPr="006A21C7">
        <w:rPr>
          <w:rFonts w:eastAsia="Calibri" w:cs="Times New Roman"/>
          <w:sz w:val="24"/>
          <w:szCs w:val="24"/>
        </w:rPr>
        <w:t>35 eller flere ansatte</w:t>
      </w:r>
      <w:r w:rsidRPr="006A21C7">
        <w:rPr>
          <w:rFonts w:eastAsia="Calibri" w:cs="Times New Roman"/>
          <w:sz w:val="24"/>
          <w:szCs w:val="24"/>
        </w:rPr>
        <w:t>.</w:t>
      </w:r>
    </w:p>
    <w:p w14:paraId="10616E82" w14:textId="5EF22282" w:rsidR="006108C2" w:rsidRDefault="00A2293A" w:rsidP="006108C2">
      <w:pPr>
        <w:pStyle w:val="Undertitel"/>
        <w:spacing w:after="0"/>
        <w:rPr>
          <w:sz w:val="24"/>
        </w:rPr>
      </w:pPr>
      <w:bookmarkStart w:id="230" w:name="_Toc515352779"/>
      <w:bookmarkStart w:id="231" w:name="_Toc515540852"/>
      <w:bookmarkStart w:id="232" w:name="_Toc515543688"/>
      <w:bookmarkStart w:id="233" w:name="_Toc515543873"/>
      <w:bookmarkStart w:id="234" w:name="_Toc515551674"/>
      <w:bookmarkStart w:id="235" w:name="_Toc515627616"/>
      <w:bookmarkStart w:id="236" w:name="_Toc516039926"/>
      <w:bookmarkStart w:id="237" w:name="_Toc516155349"/>
      <w:bookmarkStart w:id="238" w:name="_Toc516490250"/>
      <w:bookmarkStart w:id="239" w:name="_Toc518037932"/>
      <w:bookmarkStart w:id="240" w:name="_Toc524599580"/>
      <w:bookmarkStart w:id="241" w:name="_Toc526154933"/>
      <w:bookmarkStart w:id="242" w:name="_Toc526155479"/>
      <w:bookmarkStart w:id="243" w:name="_Toc526155552"/>
      <w:bookmarkStart w:id="244" w:name="_Toc526253989"/>
      <w:bookmarkStart w:id="245" w:name="_Toc526348414"/>
      <w:bookmarkStart w:id="246" w:name="_Toc526374605"/>
      <w:bookmarkStart w:id="247" w:name="_Toc526374621"/>
      <w:bookmarkStart w:id="248" w:name="_Toc526406484"/>
      <w:bookmarkStart w:id="249" w:name="_Toc526409510"/>
      <w:bookmarkStart w:id="250" w:name="_Toc526491409"/>
      <w:bookmarkStart w:id="251" w:name="_Toc526505521"/>
      <w:bookmarkStart w:id="252" w:name="_Toc526756613"/>
      <w:r>
        <w:rPr>
          <w:sz w:val="24"/>
        </w:rPr>
        <w:t>2</w:t>
      </w:r>
      <w:r w:rsidR="006108C2" w:rsidRPr="007244D5">
        <w:rPr>
          <w:sz w:val="24"/>
        </w:rPr>
        <w:t>.</w:t>
      </w:r>
      <w:r w:rsidR="002D2F4A">
        <w:rPr>
          <w:sz w:val="24"/>
        </w:rPr>
        <w:t>3</w:t>
      </w:r>
      <w:r w:rsidR="006108C2" w:rsidRPr="007244D5">
        <w:rPr>
          <w:sz w:val="24"/>
        </w:rPr>
        <w:t xml:space="preserve">.3. </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006108C2" w:rsidRPr="007244D5">
        <w:rPr>
          <w:sz w:val="24"/>
        </w:rPr>
        <w:t>Den foreslåede ordning</w:t>
      </w:r>
      <w:bookmarkEnd w:id="249"/>
      <w:bookmarkEnd w:id="250"/>
      <w:bookmarkEnd w:id="251"/>
      <w:bookmarkEnd w:id="252"/>
    </w:p>
    <w:p w14:paraId="68D8506B" w14:textId="4A5275F1" w:rsidR="006043BA" w:rsidRDefault="006043BA" w:rsidP="006043BA"/>
    <w:p w14:paraId="34E5BE28" w14:textId="77777777" w:rsidR="001D3B9D" w:rsidRDefault="00A2293A" w:rsidP="00A2293A">
      <w:pPr>
        <w:spacing w:after="240"/>
        <w:rPr>
          <w:rFonts w:cs="Times New Roman"/>
          <w:sz w:val="24"/>
          <w:szCs w:val="24"/>
        </w:rPr>
      </w:pPr>
      <w:r w:rsidRPr="00A2293A">
        <w:rPr>
          <w:rFonts w:cs="Times New Roman"/>
          <w:sz w:val="24"/>
          <w:szCs w:val="24"/>
        </w:rPr>
        <w:t xml:space="preserve">Det foreslås, at </w:t>
      </w:r>
      <w:r w:rsidR="001D3B9D">
        <w:rPr>
          <w:rFonts w:cs="Times New Roman"/>
          <w:sz w:val="24"/>
          <w:szCs w:val="24"/>
        </w:rPr>
        <w:t xml:space="preserve">der tilføjes en ny bestemmelse i </w:t>
      </w:r>
      <w:r w:rsidRPr="00A2293A">
        <w:rPr>
          <w:rFonts w:cs="Times New Roman"/>
          <w:sz w:val="24"/>
          <w:szCs w:val="24"/>
        </w:rPr>
        <w:t xml:space="preserve">§ 82, stk. 1, </w:t>
      </w:r>
      <w:r>
        <w:rPr>
          <w:rFonts w:cs="Times New Roman"/>
          <w:sz w:val="24"/>
          <w:szCs w:val="24"/>
        </w:rPr>
        <w:t>nr. 5</w:t>
      </w:r>
      <w:r w:rsidR="001D3B9D">
        <w:rPr>
          <w:rFonts w:cs="Times New Roman"/>
          <w:sz w:val="24"/>
          <w:szCs w:val="24"/>
        </w:rPr>
        <w:t xml:space="preserve">, hvorefter </w:t>
      </w:r>
      <w:r w:rsidR="001D3B9D" w:rsidRPr="001D3B9D">
        <w:rPr>
          <w:rFonts w:cs="Times New Roman"/>
          <w:sz w:val="24"/>
          <w:szCs w:val="24"/>
        </w:rPr>
        <w:t>overtræde</w:t>
      </w:r>
      <w:r w:rsidR="001D3B9D">
        <w:rPr>
          <w:rFonts w:cs="Times New Roman"/>
          <w:sz w:val="24"/>
          <w:szCs w:val="24"/>
        </w:rPr>
        <w:t xml:space="preserve">lse af </w:t>
      </w:r>
      <w:r w:rsidR="001D3B9D" w:rsidRPr="001D3B9D">
        <w:rPr>
          <w:rFonts w:cs="Times New Roman"/>
          <w:sz w:val="24"/>
          <w:szCs w:val="24"/>
        </w:rPr>
        <w:t>regler fastsat af beskæftigelsesministeren i medfør af § 37, stk. 2, nr. 2 og § 75, stk. 1</w:t>
      </w:r>
      <w:r w:rsidR="001D3B9D">
        <w:rPr>
          <w:rFonts w:cs="Times New Roman"/>
          <w:sz w:val="24"/>
          <w:szCs w:val="24"/>
        </w:rPr>
        <w:t xml:space="preserve">, kan straffes </w:t>
      </w:r>
      <w:r w:rsidR="001D3B9D" w:rsidRPr="001D3B9D">
        <w:rPr>
          <w:rFonts w:cs="Times New Roman"/>
          <w:sz w:val="24"/>
          <w:szCs w:val="24"/>
        </w:rPr>
        <w:t>med bøde eller fængsel indtil 1 år</w:t>
      </w:r>
      <w:r w:rsidR="001D3B9D">
        <w:rPr>
          <w:rFonts w:cs="Times New Roman"/>
          <w:sz w:val="24"/>
          <w:szCs w:val="24"/>
        </w:rPr>
        <w:t xml:space="preserve">. </w:t>
      </w:r>
    </w:p>
    <w:p w14:paraId="26B381BB" w14:textId="69630C16" w:rsidR="00A2293A" w:rsidRDefault="00D70816" w:rsidP="00A2293A">
      <w:pPr>
        <w:spacing w:after="240"/>
        <w:rPr>
          <w:rFonts w:cs="Times New Roman"/>
          <w:sz w:val="24"/>
          <w:szCs w:val="24"/>
        </w:rPr>
      </w:pPr>
      <w:r>
        <w:rPr>
          <w:rFonts w:cs="Times New Roman"/>
          <w:sz w:val="24"/>
          <w:szCs w:val="24"/>
        </w:rPr>
        <w:t>Forslaget om t</w:t>
      </w:r>
      <w:r w:rsidR="001D3B9D">
        <w:rPr>
          <w:rFonts w:cs="Times New Roman"/>
          <w:sz w:val="24"/>
          <w:szCs w:val="24"/>
        </w:rPr>
        <w:t xml:space="preserve">ilføjelse sker </w:t>
      </w:r>
      <w:r w:rsidR="00A2293A" w:rsidRPr="00A2293A">
        <w:rPr>
          <w:rFonts w:cs="Times New Roman"/>
          <w:sz w:val="24"/>
          <w:szCs w:val="24"/>
        </w:rPr>
        <w:t xml:space="preserve">med henblik på at forhøje niveauet for </w:t>
      </w:r>
      <w:r w:rsidR="00B115A1">
        <w:rPr>
          <w:rFonts w:cs="Times New Roman"/>
          <w:sz w:val="24"/>
          <w:szCs w:val="24"/>
        </w:rPr>
        <w:t xml:space="preserve">grundbøden for </w:t>
      </w:r>
      <w:r w:rsidR="001D3B9D">
        <w:rPr>
          <w:rFonts w:cs="Times New Roman"/>
          <w:sz w:val="24"/>
          <w:szCs w:val="24"/>
        </w:rPr>
        <w:t xml:space="preserve">to </w:t>
      </w:r>
      <w:r w:rsidR="00A2293A">
        <w:rPr>
          <w:rFonts w:cs="Times New Roman"/>
          <w:sz w:val="24"/>
          <w:szCs w:val="24"/>
        </w:rPr>
        <w:t>udvalgte formelle</w:t>
      </w:r>
      <w:r w:rsidR="00A2293A" w:rsidRPr="00A2293A">
        <w:rPr>
          <w:rFonts w:cs="Times New Roman"/>
          <w:sz w:val="24"/>
          <w:szCs w:val="24"/>
        </w:rPr>
        <w:t xml:space="preserve"> overtrædelser af arbejdsmiljølov</w:t>
      </w:r>
      <w:r w:rsidR="00873270">
        <w:rPr>
          <w:rFonts w:cs="Times New Roman"/>
          <w:sz w:val="24"/>
          <w:szCs w:val="24"/>
        </w:rPr>
        <w:t>givning</w:t>
      </w:r>
      <w:r w:rsidR="00A2293A" w:rsidRPr="00A2293A">
        <w:rPr>
          <w:rFonts w:cs="Times New Roman"/>
          <w:sz w:val="24"/>
          <w:szCs w:val="24"/>
        </w:rPr>
        <w:t xml:space="preserve">en. </w:t>
      </w:r>
    </w:p>
    <w:p w14:paraId="6582DBB3" w14:textId="3B6F36DE" w:rsidR="00873270" w:rsidRDefault="00873270" w:rsidP="00A2293A">
      <w:pPr>
        <w:spacing w:after="240"/>
        <w:rPr>
          <w:rFonts w:cs="Times New Roman"/>
          <w:sz w:val="24"/>
          <w:szCs w:val="24"/>
        </w:rPr>
      </w:pPr>
      <w:r w:rsidRPr="00873270">
        <w:rPr>
          <w:rFonts w:cs="Times New Roman"/>
          <w:sz w:val="24"/>
          <w:szCs w:val="24"/>
        </w:rPr>
        <w:t xml:space="preserve">Det </w:t>
      </w:r>
      <w:r w:rsidR="001D3B9D">
        <w:rPr>
          <w:rFonts w:cs="Times New Roman"/>
          <w:sz w:val="24"/>
          <w:szCs w:val="24"/>
        </w:rPr>
        <w:t>betyder</w:t>
      </w:r>
      <w:r w:rsidRPr="00873270">
        <w:rPr>
          <w:rFonts w:cs="Times New Roman"/>
          <w:sz w:val="24"/>
          <w:szCs w:val="24"/>
        </w:rPr>
        <w:t xml:space="preserve">, at grundbøden for manglende overholdelse af arbejdsgiverens pligt til anmeldelse af arbejdsulykker </w:t>
      </w:r>
      <w:r w:rsidR="00224E8B">
        <w:rPr>
          <w:rFonts w:cs="Times New Roman"/>
          <w:sz w:val="24"/>
          <w:szCs w:val="24"/>
        </w:rPr>
        <w:t xml:space="preserve">m.v. </w:t>
      </w:r>
      <w:r w:rsidR="00DD3171">
        <w:rPr>
          <w:rFonts w:cs="Times New Roman"/>
          <w:sz w:val="24"/>
          <w:szCs w:val="24"/>
        </w:rPr>
        <w:t xml:space="preserve">til Arbejdstilsynet </w:t>
      </w:r>
      <w:r w:rsidR="00B115A1" w:rsidRPr="00B115A1">
        <w:rPr>
          <w:rFonts w:cs="Times New Roman"/>
          <w:sz w:val="24"/>
          <w:szCs w:val="24"/>
        </w:rPr>
        <w:t xml:space="preserve">forhøjes fra 10.000 kr. </w:t>
      </w:r>
      <w:r w:rsidR="00B115A1">
        <w:rPr>
          <w:rFonts w:cs="Times New Roman"/>
          <w:sz w:val="24"/>
          <w:szCs w:val="24"/>
        </w:rPr>
        <w:t>til 25.000 kr.</w:t>
      </w:r>
      <w:r w:rsidR="00F428E0" w:rsidRPr="00F428E0">
        <w:t xml:space="preserve"> </w:t>
      </w:r>
      <w:r w:rsidR="00F428E0" w:rsidRPr="00F428E0">
        <w:rPr>
          <w:rFonts w:cs="Times New Roman"/>
          <w:sz w:val="24"/>
          <w:szCs w:val="24"/>
        </w:rPr>
        <w:t>for virksomheder med 35 eller flere ansatte</w:t>
      </w:r>
      <w:r w:rsidR="00F428E0">
        <w:rPr>
          <w:rFonts w:cs="Times New Roman"/>
          <w:sz w:val="24"/>
          <w:szCs w:val="24"/>
        </w:rPr>
        <w:t>.</w:t>
      </w:r>
      <w:r w:rsidR="00B115A1">
        <w:rPr>
          <w:rFonts w:cs="Times New Roman"/>
          <w:sz w:val="24"/>
          <w:szCs w:val="24"/>
        </w:rPr>
        <w:t xml:space="preserve"> Ligeledes forudsættes det</w:t>
      </w:r>
      <w:r w:rsidR="00E14683">
        <w:rPr>
          <w:rFonts w:cs="Times New Roman"/>
          <w:sz w:val="24"/>
          <w:szCs w:val="24"/>
        </w:rPr>
        <w:t>,</w:t>
      </w:r>
      <w:r w:rsidR="00B115A1">
        <w:rPr>
          <w:rFonts w:cs="Times New Roman"/>
          <w:sz w:val="24"/>
          <w:szCs w:val="24"/>
        </w:rPr>
        <w:t xml:space="preserve"> at grundbøden for </w:t>
      </w:r>
      <w:r w:rsidRPr="00873270">
        <w:rPr>
          <w:rFonts w:cs="Times New Roman"/>
          <w:sz w:val="24"/>
          <w:szCs w:val="24"/>
        </w:rPr>
        <w:t xml:space="preserve">bygherres </w:t>
      </w:r>
      <w:r w:rsidR="00B115A1">
        <w:rPr>
          <w:rFonts w:cs="Times New Roman"/>
          <w:sz w:val="24"/>
          <w:szCs w:val="24"/>
        </w:rPr>
        <w:t xml:space="preserve">overtrædelse af </w:t>
      </w:r>
      <w:r w:rsidRPr="00873270">
        <w:rPr>
          <w:rFonts w:cs="Times New Roman"/>
          <w:sz w:val="24"/>
          <w:szCs w:val="24"/>
        </w:rPr>
        <w:t>pligt</w:t>
      </w:r>
      <w:r w:rsidR="00B115A1">
        <w:rPr>
          <w:rFonts w:cs="Times New Roman"/>
          <w:sz w:val="24"/>
          <w:szCs w:val="24"/>
        </w:rPr>
        <w:t>en</w:t>
      </w:r>
      <w:r w:rsidRPr="00873270">
        <w:rPr>
          <w:rFonts w:cs="Times New Roman"/>
          <w:sz w:val="24"/>
          <w:szCs w:val="24"/>
        </w:rPr>
        <w:t xml:space="preserve"> til at </w:t>
      </w:r>
      <w:r w:rsidR="00B115A1">
        <w:rPr>
          <w:rFonts w:cs="Times New Roman"/>
          <w:sz w:val="24"/>
          <w:szCs w:val="24"/>
        </w:rPr>
        <w:t xml:space="preserve">udarbejde </w:t>
      </w:r>
      <w:r w:rsidR="00224E8B">
        <w:rPr>
          <w:rFonts w:cs="Times New Roman"/>
          <w:sz w:val="24"/>
          <w:szCs w:val="24"/>
        </w:rPr>
        <w:t xml:space="preserve">og vedligeholde </w:t>
      </w:r>
      <w:r w:rsidR="00B115A1">
        <w:rPr>
          <w:rFonts w:cs="Times New Roman"/>
          <w:sz w:val="24"/>
          <w:szCs w:val="24"/>
        </w:rPr>
        <w:t xml:space="preserve">en </w:t>
      </w:r>
      <w:r w:rsidRPr="00873270">
        <w:rPr>
          <w:rFonts w:cs="Times New Roman"/>
          <w:sz w:val="24"/>
          <w:szCs w:val="24"/>
        </w:rPr>
        <w:t xml:space="preserve">plan for sikkerhed og sundhed på byggepladsen </w:t>
      </w:r>
      <w:r w:rsidR="00B115A1">
        <w:rPr>
          <w:rFonts w:cs="Times New Roman"/>
          <w:sz w:val="24"/>
          <w:szCs w:val="24"/>
        </w:rPr>
        <w:t>forhøjes fra 10.000 kr. til 25.000 kr.</w:t>
      </w:r>
      <w:r w:rsidR="00F428E0">
        <w:rPr>
          <w:rFonts w:cs="Times New Roman"/>
          <w:sz w:val="24"/>
          <w:szCs w:val="24"/>
        </w:rPr>
        <w:t xml:space="preserve"> </w:t>
      </w:r>
      <w:r w:rsidR="00F428E0" w:rsidRPr="00F428E0">
        <w:rPr>
          <w:rFonts w:cs="Times New Roman"/>
          <w:sz w:val="24"/>
          <w:szCs w:val="24"/>
        </w:rPr>
        <w:t>for virksomheder med 35 eller flere ansatte</w:t>
      </w:r>
      <w:r w:rsidR="00F428E0">
        <w:rPr>
          <w:rFonts w:cs="Times New Roman"/>
          <w:sz w:val="24"/>
          <w:szCs w:val="24"/>
        </w:rPr>
        <w:t>.</w:t>
      </w:r>
    </w:p>
    <w:p w14:paraId="3498C5C8" w14:textId="25F5C8A5" w:rsidR="00F428E0" w:rsidRPr="00A2293A" w:rsidRDefault="00F428E0" w:rsidP="00A2293A">
      <w:pPr>
        <w:spacing w:after="240"/>
        <w:rPr>
          <w:rFonts w:cs="Times New Roman"/>
          <w:sz w:val="24"/>
          <w:szCs w:val="24"/>
        </w:rPr>
      </w:pPr>
      <w:r>
        <w:rPr>
          <w:rFonts w:cs="Times New Roman"/>
          <w:sz w:val="24"/>
          <w:szCs w:val="24"/>
        </w:rPr>
        <w:t>For virksomheder med under 35 ansatte vil bøden forblive på det nuværende niveau på 10.000 kr.</w:t>
      </w:r>
    </w:p>
    <w:p w14:paraId="3AAC71FE" w14:textId="28B693BF" w:rsidR="00A2293A" w:rsidRDefault="00A2293A" w:rsidP="00A2293A">
      <w:pPr>
        <w:spacing w:after="240"/>
        <w:rPr>
          <w:rFonts w:cs="Times New Roman"/>
          <w:sz w:val="24"/>
          <w:szCs w:val="24"/>
        </w:rPr>
      </w:pPr>
      <w:r w:rsidRPr="00A2293A">
        <w:rPr>
          <w:rFonts w:cs="Times New Roman"/>
          <w:sz w:val="24"/>
          <w:szCs w:val="24"/>
        </w:rPr>
        <w:t>Det foreslås</w:t>
      </w:r>
      <w:r w:rsidR="00873270">
        <w:rPr>
          <w:rFonts w:cs="Times New Roman"/>
          <w:sz w:val="24"/>
          <w:szCs w:val="24"/>
        </w:rPr>
        <w:t xml:space="preserve"> videre</w:t>
      </w:r>
      <w:r>
        <w:rPr>
          <w:rFonts w:cs="Times New Roman"/>
          <w:sz w:val="24"/>
          <w:szCs w:val="24"/>
        </w:rPr>
        <w:t>,</w:t>
      </w:r>
      <w:r w:rsidRPr="00A2293A">
        <w:rPr>
          <w:rFonts w:cs="Times New Roman"/>
          <w:sz w:val="24"/>
          <w:szCs w:val="24"/>
        </w:rPr>
        <w:t xml:space="preserve"> at </w:t>
      </w:r>
      <w:r>
        <w:rPr>
          <w:rFonts w:cs="Times New Roman"/>
          <w:sz w:val="24"/>
          <w:szCs w:val="24"/>
        </w:rPr>
        <w:t xml:space="preserve">tilføje et nyt stk. 7 i § 82, </w:t>
      </w:r>
      <w:r w:rsidR="00873270">
        <w:rPr>
          <w:rFonts w:cs="Times New Roman"/>
          <w:sz w:val="24"/>
          <w:szCs w:val="24"/>
        </w:rPr>
        <w:t xml:space="preserve">med </w:t>
      </w:r>
      <w:r w:rsidRPr="00A2293A">
        <w:rPr>
          <w:rFonts w:cs="Times New Roman"/>
          <w:sz w:val="24"/>
          <w:szCs w:val="24"/>
        </w:rPr>
        <w:t xml:space="preserve">henblik på at </w:t>
      </w:r>
      <w:r>
        <w:rPr>
          <w:rFonts w:cs="Times New Roman"/>
          <w:sz w:val="24"/>
          <w:szCs w:val="24"/>
        </w:rPr>
        <w:t>kunne differentiere bøden på baggrund af virksomhedens størrelse</w:t>
      </w:r>
      <w:r w:rsidR="00873270">
        <w:rPr>
          <w:rFonts w:cs="Times New Roman"/>
          <w:sz w:val="24"/>
          <w:szCs w:val="24"/>
        </w:rPr>
        <w:t xml:space="preserve"> for </w:t>
      </w:r>
      <w:r w:rsidR="00E71A26">
        <w:rPr>
          <w:rFonts w:cs="Times New Roman"/>
          <w:sz w:val="24"/>
          <w:szCs w:val="24"/>
        </w:rPr>
        <w:t xml:space="preserve">de </w:t>
      </w:r>
      <w:r w:rsidR="000652BB">
        <w:rPr>
          <w:rFonts w:cs="Times New Roman"/>
          <w:sz w:val="24"/>
          <w:szCs w:val="24"/>
        </w:rPr>
        <w:t xml:space="preserve">to </w:t>
      </w:r>
      <w:r w:rsidR="00873270">
        <w:rPr>
          <w:rFonts w:cs="Times New Roman"/>
          <w:sz w:val="24"/>
          <w:szCs w:val="24"/>
        </w:rPr>
        <w:t>udvalgte formelle overtrædelser af arbejdsmiljølovgivningen</w:t>
      </w:r>
      <w:r w:rsidRPr="00A2293A">
        <w:rPr>
          <w:rFonts w:cs="Times New Roman"/>
          <w:sz w:val="24"/>
          <w:szCs w:val="24"/>
        </w:rPr>
        <w:t xml:space="preserve">. </w:t>
      </w:r>
      <w:r w:rsidR="00F428E0">
        <w:rPr>
          <w:rFonts w:cs="Times New Roman"/>
          <w:sz w:val="24"/>
          <w:szCs w:val="24"/>
        </w:rPr>
        <w:t>Forhøjelsen skal alene gælde for virksomheder med 35 eller flere ansatte.</w:t>
      </w:r>
    </w:p>
    <w:p w14:paraId="58836E80" w14:textId="4BD34AC1" w:rsidR="006043BA" w:rsidRDefault="00873270" w:rsidP="006043BA">
      <w:pPr>
        <w:spacing w:after="240"/>
        <w:rPr>
          <w:rFonts w:cs="Times New Roman"/>
          <w:sz w:val="24"/>
          <w:szCs w:val="24"/>
        </w:rPr>
      </w:pPr>
      <w:r>
        <w:rPr>
          <w:rFonts w:cs="Times New Roman"/>
          <w:sz w:val="24"/>
          <w:szCs w:val="24"/>
        </w:rPr>
        <w:t>Det forudsættes</w:t>
      </w:r>
      <w:r w:rsidR="005847EC">
        <w:rPr>
          <w:rFonts w:cs="Times New Roman"/>
          <w:sz w:val="24"/>
          <w:szCs w:val="24"/>
        </w:rPr>
        <w:t>, at grundbøde</w:t>
      </w:r>
      <w:r>
        <w:rPr>
          <w:rFonts w:cs="Times New Roman"/>
          <w:sz w:val="24"/>
          <w:szCs w:val="24"/>
        </w:rPr>
        <w:t xml:space="preserve">n på 25.000 kr. for de </w:t>
      </w:r>
      <w:r w:rsidR="00E14683">
        <w:rPr>
          <w:rFonts w:cs="Times New Roman"/>
          <w:sz w:val="24"/>
          <w:szCs w:val="24"/>
        </w:rPr>
        <w:t xml:space="preserve">to </w:t>
      </w:r>
      <w:r>
        <w:rPr>
          <w:rFonts w:cs="Times New Roman"/>
          <w:sz w:val="24"/>
          <w:szCs w:val="24"/>
        </w:rPr>
        <w:t>udvalgte formelle overtrædelser kan d</w:t>
      </w:r>
      <w:r w:rsidR="006E606B" w:rsidRPr="006E606B">
        <w:rPr>
          <w:rFonts w:cs="Times New Roman"/>
          <w:sz w:val="24"/>
          <w:szCs w:val="24"/>
        </w:rPr>
        <w:t>ifferentier</w:t>
      </w:r>
      <w:r w:rsidR="00E14683">
        <w:rPr>
          <w:rFonts w:cs="Times New Roman"/>
          <w:sz w:val="24"/>
          <w:szCs w:val="24"/>
        </w:rPr>
        <w:t>es</w:t>
      </w:r>
      <w:r w:rsidR="006E606B" w:rsidRPr="006E606B">
        <w:rPr>
          <w:rFonts w:cs="Times New Roman"/>
          <w:sz w:val="24"/>
          <w:szCs w:val="24"/>
        </w:rPr>
        <w:t xml:space="preserve"> </w:t>
      </w:r>
      <w:r>
        <w:rPr>
          <w:rFonts w:cs="Times New Roman"/>
          <w:sz w:val="24"/>
          <w:szCs w:val="24"/>
        </w:rPr>
        <w:t xml:space="preserve">på baggrund af </w:t>
      </w:r>
      <w:r w:rsidR="006E606B" w:rsidRPr="006E606B">
        <w:rPr>
          <w:rFonts w:cs="Times New Roman"/>
          <w:sz w:val="24"/>
          <w:szCs w:val="24"/>
        </w:rPr>
        <w:t>virksomhedsstørrelse</w:t>
      </w:r>
      <w:r>
        <w:rPr>
          <w:rFonts w:cs="Times New Roman"/>
          <w:sz w:val="24"/>
          <w:szCs w:val="24"/>
        </w:rPr>
        <w:t xml:space="preserve">. </w:t>
      </w:r>
      <w:r w:rsidR="0022297A" w:rsidRPr="0022297A">
        <w:rPr>
          <w:rFonts w:cs="Times New Roman"/>
          <w:sz w:val="24"/>
          <w:szCs w:val="24"/>
        </w:rPr>
        <w:t xml:space="preserve">Det betyder, at der ved udmåling af bøden </w:t>
      </w:r>
      <w:r w:rsidR="00A63942">
        <w:rPr>
          <w:rFonts w:cs="Times New Roman"/>
          <w:sz w:val="24"/>
          <w:szCs w:val="24"/>
        </w:rPr>
        <w:t>vil skulle</w:t>
      </w:r>
      <w:r w:rsidR="0022297A" w:rsidRPr="0022297A">
        <w:rPr>
          <w:rFonts w:cs="Times New Roman"/>
          <w:sz w:val="24"/>
          <w:szCs w:val="24"/>
        </w:rPr>
        <w:t xml:space="preserve"> lægges vægt på, hvor mange ansatte der er i virksomheden på tidspunktet for overtrædelsen. </w:t>
      </w:r>
      <w:r>
        <w:rPr>
          <w:rFonts w:cs="Times New Roman"/>
          <w:sz w:val="24"/>
          <w:szCs w:val="24"/>
        </w:rPr>
        <w:t>Det vil indebære</w:t>
      </w:r>
      <w:r w:rsidR="00E14683">
        <w:rPr>
          <w:rFonts w:cs="Times New Roman"/>
          <w:sz w:val="24"/>
          <w:szCs w:val="24"/>
        </w:rPr>
        <w:t>,</w:t>
      </w:r>
      <w:r>
        <w:rPr>
          <w:rFonts w:cs="Times New Roman"/>
          <w:sz w:val="24"/>
          <w:szCs w:val="24"/>
        </w:rPr>
        <w:t xml:space="preserve"> at grundbøden </w:t>
      </w:r>
      <w:r w:rsidR="006E606B" w:rsidRPr="006E606B">
        <w:rPr>
          <w:rFonts w:cs="Times New Roman"/>
          <w:sz w:val="24"/>
          <w:szCs w:val="24"/>
        </w:rPr>
        <w:t xml:space="preserve">forhøjes med 75 pct. til </w:t>
      </w:r>
      <w:r w:rsidR="0022297A">
        <w:rPr>
          <w:rFonts w:cs="Times New Roman"/>
          <w:sz w:val="24"/>
          <w:szCs w:val="24"/>
        </w:rPr>
        <w:t xml:space="preserve">en bøde på i alt </w:t>
      </w:r>
      <w:r w:rsidR="006E606B" w:rsidRPr="006E606B">
        <w:rPr>
          <w:rFonts w:cs="Times New Roman"/>
          <w:sz w:val="24"/>
          <w:szCs w:val="24"/>
        </w:rPr>
        <w:t>43.750 kr. for virksomheder med 35-99 ansatte</w:t>
      </w:r>
      <w:r w:rsidR="00AD31B1">
        <w:rPr>
          <w:rFonts w:cs="Times New Roman"/>
          <w:sz w:val="24"/>
          <w:szCs w:val="24"/>
        </w:rPr>
        <w:t>,</w:t>
      </w:r>
      <w:r w:rsidR="006E606B" w:rsidRPr="006E606B">
        <w:rPr>
          <w:rFonts w:cs="Times New Roman"/>
          <w:sz w:val="24"/>
          <w:szCs w:val="24"/>
        </w:rPr>
        <w:t xml:space="preserve"> og</w:t>
      </w:r>
      <w:r w:rsidR="0022297A">
        <w:rPr>
          <w:rFonts w:cs="Times New Roman"/>
          <w:sz w:val="24"/>
          <w:szCs w:val="24"/>
        </w:rPr>
        <w:t xml:space="preserve"> at grundbøden forhøjes med </w:t>
      </w:r>
      <w:r w:rsidR="006E606B" w:rsidRPr="006E606B">
        <w:rPr>
          <w:rFonts w:cs="Times New Roman"/>
          <w:sz w:val="24"/>
          <w:szCs w:val="24"/>
        </w:rPr>
        <w:t xml:space="preserve">100 </w:t>
      </w:r>
      <w:r w:rsidR="006E606B" w:rsidRPr="006E606B">
        <w:rPr>
          <w:rFonts w:cs="Times New Roman"/>
          <w:sz w:val="24"/>
          <w:szCs w:val="24"/>
        </w:rPr>
        <w:lastRenderedPageBreak/>
        <w:t xml:space="preserve">pct. til </w:t>
      </w:r>
      <w:r w:rsidR="0022297A">
        <w:rPr>
          <w:rFonts w:cs="Times New Roman"/>
          <w:sz w:val="24"/>
          <w:szCs w:val="24"/>
        </w:rPr>
        <w:t xml:space="preserve">en bøde på i alt </w:t>
      </w:r>
      <w:r w:rsidR="006E606B" w:rsidRPr="006E606B">
        <w:rPr>
          <w:rFonts w:cs="Times New Roman"/>
          <w:sz w:val="24"/>
          <w:szCs w:val="24"/>
        </w:rPr>
        <w:t>50.000 kr. for virksomheder med 100 eller flere ansatte.</w:t>
      </w:r>
      <w:r w:rsidR="0022297A">
        <w:rPr>
          <w:rFonts w:cs="Times New Roman"/>
          <w:sz w:val="24"/>
          <w:szCs w:val="24"/>
        </w:rPr>
        <w:t xml:space="preserve"> For virksomheden med 0-34 ansatte vil bøden i alt svare til grundbøden på 25.000 kr.</w:t>
      </w:r>
    </w:p>
    <w:p w14:paraId="6751D1E5" w14:textId="010D29E8" w:rsidR="00E85584" w:rsidRDefault="00E85584" w:rsidP="006043BA">
      <w:pPr>
        <w:spacing w:after="240"/>
        <w:rPr>
          <w:rFonts w:cs="Times New Roman"/>
          <w:sz w:val="24"/>
          <w:szCs w:val="24"/>
        </w:rPr>
      </w:pPr>
      <w:r w:rsidRPr="00E85584">
        <w:rPr>
          <w:rFonts w:cs="Times New Roman"/>
          <w:sz w:val="24"/>
          <w:szCs w:val="24"/>
        </w:rPr>
        <w:t xml:space="preserve">Arbejdstilsynets adgang til at anvende administrativt bødeforlæg for overtrædelse af arbejdsmiljølovgivningen vil følge af </w:t>
      </w:r>
      <w:r>
        <w:rPr>
          <w:rFonts w:cs="Times New Roman"/>
          <w:sz w:val="24"/>
          <w:szCs w:val="24"/>
        </w:rPr>
        <w:t xml:space="preserve">de </w:t>
      </w:r>
      <w:r w:rsidRPr="00E85584">
        <w:rPr>
          <w:rFonts w:cs="Times New Roman"/>
          <w:sz w:val="24"/>
          <w:szCs w:val="24"/>
        </w:rPr>
        <w:t>regler</w:t>
      </w:r>
      <w:r>
        <w:rPr>
          <w:rFonts w:cs="Times New Roman"/>
          <w:sz w:val="24"/>
          <w:szCs w:val="24"/>
        </w:rPr>
        <w:t xml:space="preserve">, der er fastsat i bekendtgørelse </w:t>
      </w:r>
      <w:r w:rsidR="00251757" w:rsidRPr="00251757">
        <w:rPr>
          <w:rFonts w:cs="Times New Roman"/>
          <w:sz w:val="24"/>
          <w:szCs w:val="24"/>
        </w:rPr>
        <w:t>om anvendelse af administrativt bødeforelæg ved overtrædelse af arbejdsmiljølovgivningen</w:t>
      </w:r>
      <w:r w:rsidR="00251757">
        <w:rPr>
          <w:rFonts w:cs="Times New Roman"/>
          <w:sz w:val="24"/>
          <w:szCs w:val="24"/>
        </w:rPr>
        <w:t>.</w:t>
      </w:r>
    </w:p>
    <w:p w14:paraId="66B7CBB0" w14:textId="67DA9195" w:rsidR="00E85584" w:rsidRDefault="00E85584" w:rsidP="00E85584">
      <w:pPr>
        <w:spacing w:after="240"/>
        <w:rPr>
          <w:rFonts w:cs="Times New Roman"/>
          <w:sz w:val="24"/>
          <w:szCs w:val="24"/>
        </w:rPr>
      </w:pPr>
      <w:r w:rsidRPr="00E85584">
        <w:rPr>
          <w:rFonts w:cs="Times New Roman"/>
          <w:sz w:val="24"/>
          <w:szCs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66E6C7FC" w14:textId="5F9DC739" w:rsidR="00B911A7" w:rsidRPr="00E85584" w:rsidRDefault="0080407C" w:rsidP="00E85584">
      <w:pPr>
        <w:spacing w:after="240"/>
        <w:rPr>
          <w:rFonts w:cs="Times New Roman"/>
          <w:sz w:val="24"/>
          <w:szCs w:val="24"/>
        </w:rPr>
      </w:pPr>
      <w:r w:rsidRPr="00E85584">
        <w:rPr>
          <w:rFonts w:cs="Times New Roman"/>
          <w:sz w:val="24"/>
          <w:szCs w:val="24"/>
        </w:rPr>
        <w:t xml:space="preserve">Tabel 1 nedenfor illustrerer, hvordan forhøjelsen af grundbøden </w:t>
      </w:r>
      <w:r w:rsidR="00B911A7" w:rsidRPr="00E85584">
        <w:rPr>
          <w:rFonts w:cs="Times New Roman"/>
          <w:sz w:val="24"/>
          <w:szCs w:val="24"/>
        </w:rPr>
        <w:t xml:space="preserve">fra 10.000 kr. til 25.000 kr. for de udvalgte formelle overtrædelser </w:t>
      </w:r>
      <w:r w:rsidR="00A63942">
        <w:rPr>
          <w:rFonts w:cs="Times New Roman"/>
          <w:sz w:val="24"/>
          <w:szCs w:val="24"/>
        </w:rPr>
        <w:t xml:space="preserve">vil </w:t>
      </w:r>
      <w:r w:rsidR="00B911A7" w:rsidRPr="00E85584">
        <w:rPr>
          <w:rFonts w:cs="Times New Roman"/>
          <w:sz w:val="24"/>
          <w:szCs w:val="24"/>
        </w:rPr>
        <w:t xml:space="preserve">få indvirkning på bødeniveauet dels </w:t>
      </w:r>
      <w:r w:rsidRPr="00E85584">
        <w:rPr>
          <w:rFonts w:cs="Times New Roman"/>
          <w:sz w:val="24"/>
          <w:szCs w:val="24"/>
        </w:rPr>
        <w:t xml:space="preserve">for arbejdsgivere, der ikke </w:t>
      </w:r>
      <w:r w:rsidR="00A63942">
        <w:rPr>
          <w:rFonts w:cs="Times New Roman"/>
          <w:sz w:val="24"/>
          <w:szCs w:val="24"/>
        </w:rPr>
        <w:t xml:space="preserve">har </w:t>
      </w:r>
      <w:r w:rsidRPr="00E85584">
        <w:rPr>
          <w:rFonts w:cs="Times New Roman"/>
          <w:sz w:val="24"/>
          <w:szCs w:val="24"/>
        </w:rPr>
        <w:t xml:space="preserve">anmeldt en arbejdsulykke </w:t>
      </w:r>
      <w:r w:rsidR="000652BB">
        <w:rPr>
          <w:rFonts w:cs="Times New Roman"/>
          <w:sz w:val="24"/>
          <w:szCs w:val="24"/>
        </w:rPr>
        <w:t xml:space="preserve">mv. </w:t>
      </w:r>
      <w:r w:rsidRPr="00E85584">
        <w:rPr>
          <w:rFonts w:cs="Times New Roman"/>
          <w:sz w:val="24"/>
          <w:szCs w:val="24"/>
        </w:rPr>
        <w:t>til Arbejdstilsynet</w:t>
      </w:r>
      <w:r w:rsidR="008D4DF2">
        <w:rPr>
          <w:rFonts w:cs="Times New Roman"/>
          <w:sz w:val="24"/>
          <w:szCs w:val="24"/>
        </w:rPr>
        <w:t>,</w:t>
      </w:r>
      <w:r w:rsidRPr="00E85584">
        <w:rPr>
          <w:rFonts w:cs="Times New Roman"/>
          <w:sz w:val="24"/>
          <w:szCs w:val="24"/>
        </w:rPr>
        <w:t xml:space="preserve"> </w:t>
      </w:r>
      <w:r w:rsidR="00B911A7" w:rsidRPr="00E85584">
        <w:rPr>
          <w:rFonts w:cs="Times New Roman"/>
          <w:sz w:val="24"/>
          <w:szCs w:val="24"/>
        </w:rPr>
        <w:t>dels</w:t>
      </w:r>
      <w:r w:rsidRPr="00E85584">
        <w:rPr>
          <w:rFonts w:cs="Times New Roman"/>
          <w:sz w:val="24"/>
          <w:szCs w:val="24"/>
        </w:rPr>
        <w:t xml:space="preserve"> for bygherres overtrædelse af reglerne om at udarbejde </w:t>
      </w:r>
      <w:r w:rsidR="00224E8B">
        <w:rPr>
          <w:rFonts w:cs="Times New Roman"/>
          <w:sz w:val="24"/>
          <w:szCs w:val="24"/>
        </w:rPr>
        <w:t xml:space="preserve">og vedligeholde </w:t>
      </w:r>
      <w:r w:rsidRPr="00E85584">
        <w:rPr>
          <w:rFonts w:cs="Times New Roman"/>
          <w:sz w:val="24"/>
          <w:szCs w:val="24"/>
        </w:rPr>
        <w:t xml:space="preserve">en plan for sikkerhed og sundhed. Tabellen viser bødeniveauet for arbejdsgivere og bygherre </w:t>
      </w:r>
      <w:r w:rsidR="00B911A7" w:rsidRPr="00E85584">
        <w:rPr>
          <w:rFonts w:cs="Times New Roman"/>
          <w:sz w:val="24"/>
          <w:szCs w:val="24"/>
        </w:rPr>
        <w:t>for</w:t>
      </w:r>
      <w:r w:rsidRPr="00E85584">
        <w:rPr>
          <w:rFonts w:cs="Times New Roman"/>
          <w:sz w:val="24"/>
          <w:szCs w:val="24"/>
        </w:rPr>
        <w:t xml:space="preserve"> forskellige størrelser af virksomheder</w:t>
      </w:r>
      <w:r w:rsidR="00B911A7" w:rsidRPr="00E85584">
        <w:rPr>
          <w:rFonts w:cs="Times New Roman"/>
          <w:sz w:val="24"/>
          <w:szCs w:val="24"/>
        </w:rPr>
        <w:t>.</w:t>
      </w:r>
      <w:r w:rsidRPr="00E85584">
        <w:rPr>
          <w:rFonts w:cs="Times New Roman"/>
          <w:sz w:val="24"/>
          <w:szCs w:val="24"/>
        </w:rPr>
        <w:t xml:space="preserve"> </w:t>
      </w:r>
      <w:r w:rsidR="00B911A7" w:rsidRPr="00E85584">
        <w:rPr>
          <w:rFonts w:cs="Times New Roman"/>
          <w:sz w:val="24"/>
          <w:szCs w:val="24"/>
        </w:rPr>
        <w:t>I tabellen er desuden angivet det nuværende og det foreslåede bødeniveau.</w:t>
      </w:r>
    </w:p>
    <w:p w14:paraId="21ED9C0B" w14:textId="75BB036E" w:rsidR="0080407C" w:rsidRDefault="00B911A7" w:rsidP="006043BA">
      <w:pPr>
        <w:spacing w:after="240"/>
        <w:rPr>
          <w:rFonts w:cs="Times New Roman"/>
          <w:sz w:val="24"/>
          <w:szCs w:val="24"/>
        </w:rPr>
      </w:pPr>
      <w:r>
        <w:rPr>
          <w:rFonts w:cs="Times New Roman"/>
          <w:sz w:val="24"/>
          <w:szCs w:val="24"/>
        </w:rPr>
        <w:t xml:space="preserve">Tabellen illustrerer </w:t>
      </w:r>
      <w:r w:rsidR="00251757">
        <w:rPr>
          <w:rFonts w:cs="Times New Roman"/>
          <w:sz w:val="24"/>
          <w:szCs w:val="24"/>
        </w:rPr>
        <w:t>samtidig</w:t>
      </w:r>
      <w:r>
        <w:rPr>
          <w:rFonts w:cs="Times New Roman"/>
          <w:sz w:val="24"/>
          <w:szCs w:val="24"/>
        </w:rPr>
        <w:t xml:space="preserve">, at bødeniveauet </w:t>
      </w:r>
      <w:r w:rsidR="00A63942">
        <w:rPr>
          <w:rFonts w:cs="Times New Roman"/>
          <w:sz w:val="24"/>
          <w:szCs w:val="24"/>
        </w:rPr>
        <w:t>vil være</w:t>
      </w:r>
      <w:r>
        <w:rPr>
          <w:rFonts w:cs="Times New Roman"/>
          <w:sz w:val="24"/>
          <w:szCs w:val="24"/>
        </w:rPr>
        <w:t xml:space="preserve"> uændret på 10.000 kr. for </w:t>
      </w:r>
      <w:r w:rsidR="00F57057" w:rsidRPr="00F57057">
        <w:rPr>
          <w:rFonts w:cs="Times New Roman"/>
          <w:sz w:val="24"/>
          <w:szCs w:val="24"/>
        </w:rPr>
        <w:t>de udvalgte formelle overtrædelser</w:t>
      </w:r>
      <w:r w:rsidR="00F57057">
        <w:rPr>
          <w:rFonts w:cs="Times New Roman"/>
          <w:sz w:val="24"/>
          <w:szCs w:val="24"/>
        </w:rPr>
        <w:t>, når virksomheden har 34 ansatte eller derunder,</w:t>
      </w:r>
      <w:r w:rsidR="00F57057" w:rsidRPr="00F57057">
        <w:rPr>
          <w:rFonts w:cs="Times New Roman"/>
          <w:sz w:val="24"/>
          <w:szCs w:val="24"/>
        </w:rPr>
        <w:t xml:space="preserve"> </w:t>
      </w:r>
      <w:r w:rsidR="00F57057">
        <w:rPr>
          <w:rFonts w:cs="Times New Roman"/>
          <w:sz w:val="24"/>
          <w:szCs w:val="24"/>
        </w:rPr>
        <w:t xml:space="preserve">og generelt for </w:t>
      </w:r>
      <w:r>
        <w:rPr>
          <w:rFonts w:cs="Times New Roman"/>
          <w:sz w:val="24"/>
          <w:szCs w:val="24"/>
        </w:rPr>
        <w:t>andre formelle overtrædelser</w:t>
      </w:r>
      <w:r w:rsidR="00E85584">
        <w:rPr>
          <w:rFonts w:cs="Times New Roman"/>
          <w:sz w:val="24"/>
          <w:szCs w:val="24"/>
        </w:rPr>
        <w:t xml:space="preserve"> af arbejdsmiljølovgivningen</w:t>
      </w:r>
      <w:r>
        <w:rPr>
          <w:rFonts w:cs="Times New Roman"/>
          <w:sz w:val="24"/>
          <w:szCs w:val="24"/>
        </w:rPr>
        <w:t>, som arbejdsgivere og bygherre er ansvarlige for</w:t>
      </w:r>
      <w:r w:rsidR="00E85584">
        <w:rPr>
          <w:rFonts w:cs="Times New Roman"/>
          <w:sz w:val="24"/>
          <w:szCs w:val="24"/>
        </w:rPr>
        <w:t>, herunder at bødeniveauet for andre formelle overtrædelser ikke differentieres pga. virksomhedsstørrelse</w:t>
      </w:r>
      <w:r>
        <w:rPr>
          <w:rFonts w:cs="Times New Roman"/>
          <w:sz w:val="24"/>
          <w:szCs w:val="24"/>
        </w:rPr>
        <w:t>.</w:t>
      </w:r>
    </w:p>
    <w:tbl>
      <w:tblPr>
        <w:tblStyle w:val="Tabel-Gitt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tblGrid>
      <w:tr w:rsidR="0080407C" w:rsidRPr="00A3046E" w14:paraId="26F9B5A0" w14:textId="77777777" w:rsidTr="00FF7B9E">
        <w:trPr>
          <w:trHeight w:val="403"/>
        </w:trPr>
        <w:tc>
          <w:tcPr>
            <w:tcW w:w="7655" w:type="dxa"/>
            <w:shd w:val="clear" w:color="auto" w:fill="F8FAFA"/>
            <w:vAlign w:val="bottom"/>
          </w:tcPr>
          <w:p w14:paraId="2817753F" w14:textId="2B9D4826" w:rsidR="0080407C" w:rsidRPr="00A3046E" w:rsidRDefault="0080407C" w:rsidP="00627355">
            <w:pPr>
              <w:pStyle w:val="Billedtekst"/>
              <w:keepNext/>
              <w:spacing w:before="100" w:after="20"/>
              <w:ind w:left="227" w:right="227"/>
              <w:rPr>
                <w:rFonts w:ascii="Arial" w:hAnsi="Arial" w:cs="Arial"/>
                <w:b/>
                <w:bCs/>
                <w:i w:val="0"/>
                <w:color w:val="003087"/>
                <w:sz w:val="15"/>
                <w:szCs w:val="23"/>
              </w:rPr>
            </w:pPr>
            <w:r w:rsidRPr="00A3046E">
              <w:rPr>
                <w:rFonts w:ascii="Arial" w:hAnsi="Arial" w:cs="Arial"/>
                <w:b/>
                <w:i w:val="0"/>
                <w:color w:val="003087"/>
                <w:sz w:val="15"/>
              </w:rPr>
              <w:t xml:space="preserve">Tabel </w:t>
            </w:r>
            <w:r w:rsidRPr="00A3046E">
              <w:rPr>
                <w:rFonts w:ascii="Arial" w:hAnsi="Arial" w:cs="Arial"/>
                <w:b/>
                <w:i w:val="0"/>
                <w:color w:val="003087"/>
                <w:sz w:val="15"/>
              </w:rPr>
              <w:fldChar w:fldCharType="begin"/>
            </w:r>
            <w:r w:rsidRPr="00A3046E">
              <w:rPr>
                <w:rFonts w:ascii="Arial" w:hAnsi="Arial" w:cs="Arial"/>
                <w:b/>
                <w:i w:val="0"/>
                <w:color w:val="003087"/>
                <w:sz w:val="15"/>
              </w:rPr>
              <w:instrText xml:space="preserve"> SEQ Tabel \* ARABIC </w:instrText>
            </w:r>
            <w:r w:rsidRPr="00A3046E">
              <w:rPr>
                <w:rFonts w:ascii="Arial" w:hAnsi="Arial" w:cs="Arial"/>
                <w:b/>
                <w:i w:val="0"/>
                <w:color w:val="003087"/>
                <w:sz w:val="15"/>
              </w:rPr>
              <w:fldChar w:fldCharType="separate"/>
            </w:r>
            <w:r w:rsidR="00F95277">
              <w:rPr>
                <w:rFonts w:ascii="Arial" w:hAnsi="Arial" w:cs="Arial"/>
                <w:b/>
                <w:i w:val="0"/>
                <w:noProof/>
                <w:color w:val="003087"/>
                <w:sz w:val="15"/>
              </w:rPr>
              <w:t>1</w:t>
            </w:r>
            <w:r w:rsidRPr="00A3046E">
              <w:rPr>
                <w:rFonts w:ascii="Arial" w:hAnsi="Arial" w:cs="Arial"/>
                <w:b/>
                <w:i w:val="0"/>
                <w:color w:val="003087"/>
                <w:sz w:val="15"/>
              </w:rPr>
              <w:fldChar w:fldCharType="end"/>
            </w:r>
            <w:r w:rsidRPr="00A3046E">
              <w:rPr>
                <w:rFonts w:ascii="Arial" w:hAnsi="Arial" w:cs="Arial"/>
                <w:b/>
                <w:bCs/>
                <w:i w:val="0"/>
                <w:color w:val="003087"/>
                <w:sz w:val="15"/>
                <w:szCs w:val="23"/>
              </w:rPr>
              <w:t xml:space="preserve"> </w:t>
            </w:r>
          </w:p>
        </w:tc>
      </w:tr>
      <w:tr w:rsidR="0080407C" w:rsidRPr="00A3046E" w14:paraId="69FFCE2A" w14:textId="77777777" w:rsidTr="00FF7B9E">
        <w:trPr>
          <w:trHeight w:val="374"/>
        </w:trPr>
        <w:tc>
          <w:tcPr>
            <w:tcW w:w="7655" w:type="dxa"/>
            <w:shd w:val="clear" w:color="auto" w:fill="F8FAFA"/>
            <w:tcMar>
              <w:top w:w="28" w:type="dxa"/>
            </w:tcMar>
          </w:tcPr>
          <w:p w14:paraId="54B97664" w14:textId="6912314F" w:rsidR="0080407C" w:rsidRPr="00A3046E" w:rsidRDefault="0080407C" w:rsidP="00E85584">
            <w:pPr>
              <w:keepNext/>
              <w:autoSpaceDE w:val="0"/>
              <w:autoSpaceDN w:val="0"/>
              <w:adjustRightInd w:val="0"/>
              <w:spacing w:before="140" w:beforeAutospacing="1" w:after="140" w:line="264" w:lineRule="auto"/>
              <w:ind w:left="227" w:right="227"/>
              <w:rPr>
                <w:rFonts w:ascii="Arial" w:hAnsi="Arial" w:cs="Arial"/>
                <w:b/>
                <w:bCs/>
                <w:color w:val="000000"/>
                <w:sz w:val="14"/>
                <w:szCs w:val="23"/>
              </w:rPr>
            </w:pPr>
            <w:r w:rsidRPr="00A3046E">
              <w:rPr>
                <w:rFonts w:ascii="Arial" w:hAnsi="Arial" w:cs="Arial"/>
                <w:b/>
                <w:bCs/>
                <w:color w:val="000000"/>
                <w:sz w:val="14"/>
                <w:szCs w:val="23"/>
              </w:rPr>
              <w:t xml:space="preserve">Bødeniveau </w:t>
            </w:r>
            <w:r>
              <w:rPr>
                <w:rFonts w:ascii="Arial" w:hAnsi="Arial" w:cs="Arial"/>
                <w:b/>
                <w:bCs/>
                <w:color w:val="000000"/>
                <w:sz w:val="14"/>
                <w:szCs w:val="23"/>
              </w:rPr>
              <w:t xml:space="preserve">i kr. for formelle overtrædelser af arbejdsmiljølovgivningen </w:t>
            </w:r>
            <w:r w:rsidRPr="00A3046E">
              <w:rPr>
                <w:rFonts w:ascii="Arial" w:hAnsi="Arial" w:cs="Arial"/>
                <w:b/>
                <w:bCs/>
                <w:color w:val="000000"/>
                <w:sz w:val="14"/>
                <w:szCs w:val="23"/>
              </w:rPr>
              <w:t xml:space="preserve">for arbejdsgivere </w:t>
            </w:r>
            <w:r>
              <w:rPr>
                <w:rFonts w:ascii="Arial" w:hAnsi="Arial" w:cs="Arial"/>
                <w:b/>
                <w:bCs/>
                <w:color w:val="000000"/>
                <w:sz w:val="14"/>
                <w:szCs w:val="23"/>
              </w:rPr>
              <w:t xml:space="preserve">og bygherre </w:t>
            </w:r>
            <w:r w:rsidRPr="00A3046E">
              <w:rPr>
                <w:rFonts w:ascii="Arial" w:hAnsi="Arial" w:cs="Arial"/>
                <w:b/>
                <w:bCs/>
                <w:color w:val="000000"/>
                <w:sz w:val="14"/>
                <w:szCs w:val="23"/>
              </w:rPr>
              <w:t>for forskellige størrelser af virksomheder</w:t>
            </w:r>
            <w:r>
              <w:rPr>
                <w:rFonts w:ascii="Arial" w:hAnsi="Arial" w:cs="Arial"/>
                <w:b/>
                <w:bCs/>
                <w:color w:val="000000"/>
                <w:sz w:val="14"/>
                <w:szCs w:val="23"/>
              </w:rPr>
              <w:t xml:space="preserve">, herunder </w:t>
            </w:r>
            <w:r w:rsidRPr="00A3046E">
              <w:rPr>
                <w:rFonts w:ascii="Arial" w:hAnsi="Arial" w:cs="Arial"/>
                <w:b/>
                <w:bCs/>
                <w:color w:val="000000"/>
                <w:sz w:val="14"/>
                <w:szCs w:val="23"/>
              </w:rPr>
              <w:t>nuværende og foreslået</w:t>
            </w:r>
            <w:r>
              <w:rPr>
                <w:rFonts w:ascii="Arial" w:hAnsi="Arial" w:cs="Arial"/>
                <w:b/>
                <w:bCs/>
                <w:color w:val="000000"/>
                <w:sz w:val="14"/>
                <w:szCs w:val="23"/>
              </w:rPr>
              <w:t xml:space="preserve"> bødeniveau</w:t>
            </w:r>
            <w:r w:rsidRPr="00A3046E">
              <w:rPr>
                <w:rFonts w:ascii="Arial" w:hAnsi="Arial" w:cs="Arial"/>
                <w:b/>
                <w:bCs/>
                <w:color w:val="000000"/>
                <w:sz w:val="14"/>
                <w:szCs w:val="23"/>
              </w:rPr>
              <w:t>.</w:t>
            </w:r>
          </w:p>
        </w:tc>
      </w:tr>
      <w:tr w:rsidR="0080407C" w14:paraId="42342E31" w14:textId="77777777" w:rsidTr="00FF7B9E">
        <w:trPr>
          <w:trHeight w:val="283"/>
        </w:trPr>
        <w:tc>
          <w:tcPr>
            <w:tcW w:w="7655" w:type="dxa"/>
            <w:tcBorders>
              <w:bottom w:val="single" w:sz="2" w:space="0" w:color="B5B1B1"/>
            </w:tcBorders>
            <w:shd w:val="clear" w:color="auto" w:fill="F8FAFA"/>
            <w:tcMar>
              <w:bottom w:w="142" w:type="dxa"/>
            </w:tcMar>
          </w:tcPr>
          <w:tbl>
            <w:tblPr>
              <w:tblStyle w:val="Tabel-Gitter"/>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1701"/>
              <w:gridCol w:w="935"/>
              <w:gridCol w:w="935"/>
              <w:gridCol w:w="935"/>
              <w:gridCol w:w="935"/>
              <w:gridCol w:w="935"/>
              <w:gridCol w:w="935"/>
            </w:tblGrid>
            <w:tr w:rsidR="0080407C" w:rsidRPr="00A3046E" w14:paraId="28E473F2" w14:textId="77777777" w:rsidTr="00627355">
              <w:trPr>
                <w:trHeight w:val="227"/>
              </w:trPr>
              <w:tc>
                <w:tcPr>
                  <w:tcW w:w="1701" w:type="dxa"/>
                  <w:tcBorders>
                    <w:bottom w:val="single" w:sz="4" w:space="0" w:color="F8FAFA"/>
                  </w:tcBorders>
                  <w:shd w:val="clear" w:color="auto" w:fill="auto"/>
                  <w:vAlign w:val="center"/>
                </w:tcPr>
                <w:p w14:paraId="15951A6B" w14:textId="77777777" w:rsidR="0080407C" w:rsidRPr="00A3046E" w:rsidRDefault="0080407C" w:rsidP="00627355">
                  <w:pPr>
                    <w:autoSpaceDE w:val="0"/>
                    <w:autoSpaceDN w:val="0"/>
                    <w:adjustRightInd w:val="0"/>
                    <w:ind w:left="57" w:right="57"/>
                    <w:rPr>
                      <w:rFonts w:ascii="Arial" w:hAnsi="Arial" w:cs="Arial"/>
                      <w:b/>
                      <w:bCs/>
                      <w:color w:val="000000"/>
                      <w:sz w:val="14"/>
                      <w:szCs w:val="23"/>
                    </w:rPr>
                  </w:pPr>
                </w:p>
              </w:tc>
              <w:tc>
                <w:tcPr>
                  <w:tcW w:w="935" w:type="dxa"/>
                  <w:tcBorders>
                    <w:bottom w:val="single" w:sz="4" w:space="0" w:color="F8FAFA"/>
                  </w:tcBorders>
                  <w:shd w:val="clear" w:color="auto" w:fill="auto"/>
                  <w:vAlign w:val="center"/>
                </w:tcPr>
                <w:p w14:paraId="142349B3"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0-34</w:t>
                  </w:r>
                </w:p>
                <w:p w14:paraId="28CF0ECD"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 xml:space="preserve"> ansatte</w:t>
                  </w:r>
                </w:p>
                <w:p w14:paraId="2A779FD9"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Nuværende</w:t>
                  </w:r>
                </w:p>
              </w:tc>
              <w:tc>
                <w:tcPr>
                  <w:tcW w:w="935" w:type="dxa"/>
                  <w:tcBorders>
                    <w:bottom w:val="single" w:sz="4" w:space="0" w:color="F8FAFA"/>
                  </w:tcBorders>
                  <w:shd w:val="clear" w:color="auto" w:fill="auto"/>
                  <w:vAlign w:val="center"/>
                </w:tcPr>
                <w:p w14:paraId="4A3C0559"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 xml:space="preserve">0-34 </w:t>
                  </w:r>
                </w:p>
                <w:p w14:paraId="7BA6060A"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ansatte</w:t>
                  </w:r>
                </w:p>
                <w:p w14:paraId="2B429E40"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Foreslået</w:t>
                  </w:r>
                </w:p>
              </w:tc>
              <w:tc>
                <w:tcPr>
                  <w:tcW w:w="935" w:type="dxa"/>
                  <w:tcBorders>
                    <w:bottom w:val="single" w:sz="4" w:space="0" w:color="F8FAFA"/>
                  </w:tcBorders>
                  <w:shd w:val="clear" w:color="auto" w:fill="auto"/>
                  <w:vAlign w:val="center"/>
                </w:tcPr>
                <w:p w14:paraId="35BDD764"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35-99</w:t>
                  </w:r>
                </w:p>
                <w:p w14:paraId="4EFCDE82"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ansatte</w:t>
                  </w:r>
                </w:p>
                <w:p w14:paraId="55F1107E"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Nuværende</w:t>
                  </w:r>
                </w:p>
              </w:tc>
              <w:tc>
                <w:tcPr>
                  <w:tcW w:w="935" w:type="dxa"/>
                  <w:tcBorders>
                    <w:bottom w:val="single" w:sz="4" w:space="0" w:color="F8FAFA"/>
                  </w:tcBorders>
                  <w:shd w:val="clear" w:color="auto" w:fill="auto"/>
                  <w:vAlign w:val="center"/>
                </w:tcPr>
                <w:p w14:paraId="1C12A7DD"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35-99</w:t>
                  </w:r>
                </w:p>
                <w:p w14:paraId="12BE86F4"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ansatte</w:t>
                  </w:r>
                </w:p>
                <w:p w14:paraId="324C04ED"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Foreslået</w:t>
                  </w:r>
                </w:p>
              </w:tc>
              <w:tc>
                <w:tcPr>
                  <w:tcW w:w="935" w:type="dxa"/>
                  <w:tcBorders>
                    <w:bottom w:val="single" w:sz="4" w:space="0" w:color="F8FAFA"/>
                  </w:tcBorders>
                  <w:shd w:val="clear" w:color="auto" w:fill="auto"/>
                  <w:vAlign w:val="center"/>
                </w:tcPr>
                <w:p w14:paraId="2965BA1C"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100 eller flere ansatte</w:t>
                  </w:r>
                </w:p>
                <w:p w14:paraId="3EA19EFC"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Nuværende</w:t>
                  </w:r>
                </w:p>
              </w:tc>
              <w:tc>
                <w:tcPr>
                  <w:tcW w:w="935" w:type="dxa"/>
                  <w:tcBorders>
                    <w:bottom w:val="single" w:sz="4" w:space="0" w:color="F8FAFA"/>
                  </w:tcBorders>
                  <w:shd w:val="clear" w:color="auto" w:fill="auto"/>
                  <w:vAlign w:val="center"/>
                </w:tcPr>
                <w:p w14:paraId="595D0914"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 xml:space="preserve">100 eller </w:t>
                  </w:r>
                </w:p>
                <w:p w14:paraId="613234CE" w14:textId="77777777" w:rsidR="0080407C"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flere ansatte</w:t>
                  </w:r>
                </w:p>
                <w:p w14:paraId="5E20BC4B" w14:textId="77777777" w:rsidR="0080407C" w:rsidRPr="00A3046E" w:rsidRDefault="0080407C" w:rsidP="00627355">
                  <w:pPr>
                    <w:autoSpaceDE w:val="0"/>
                    <w:autoSpaceDN w:val="0"/>
                    <w:adjustRightInd w:val="0"/>
                    <w:ind w:right="57"/>
                    <w:jc w:val="right"/>
                    <w:rPr>
                      <w:rFonts w:ascii="Arial" w:hAnsi="Arial" w:cs="Arial"/>
                      <w:b/>
                      <w:bCs/>
                      <w:color w:val="000000"/>
                      <w:sz w:val="14"/>
                      <w:szCs w:val="23"/>
                    </w:rPr>
                  </w:pPr>
                  <w:r>
                    <w:rPr>
                      <w:rFonts w:ascii="Arial" w:hAnsi="Arial" w:cs="Arial"/>
                      <w:b/>
                      <w:bCs/>
                      <w:color w:val="000000"/>
                      <w:sz w:val="14"/>
                      <w:szCs w:val="23"/>
                    </w:rPr>
                    <w:t>Foreslået</w:t>
                  </w:r>
                </w:p>
              </w:tc>
            </w:tr>
            <w:tr w:rsidR="0080407C" w:rsidRPr="00A3046E" w14:paraId="5F93B4C6" w14:textId="77777777" w:rsidTr="00627355">
              <w:trPr>
                <w:trHeight w:val="227"/>
              </w:trPr>
              <w:tc>
                <w:tcPr>
                  <w:tcW w:w="1701" w:type="dxa"/>
                  <w:tcBorders>
                    <w:top w:val="single" w:sz="4" w:space="0" w:color="F8FAFA"/>
                    <w:bottom w:val="single" w:sz="4" w:space="0" w:color="F8FAFA"/>
                  </w:tcBorders>
                  <w:shd w:val="clear" w:color="auto" w:fill="auto"/>
                  <w:vAlign w:val="center"/>
                </w:tcPr>
                <w:p w14:paraId="5F40D790" w14:textId="113D15E2" w:rsidR="0080407C" w:rsidRPr="00A3046E" w:rsidRDefault="0080407C" w:rsidP="00B911A7">
                  <w:pPr>
                    <w:autoSpaceDE w:val="0"/>
                    <w:autoSpaceDN w:val="0"/>
                    <w:adjustRightInd w:val="0"/>
                    <w:ind w:left="57" w:right="57"/>
                    <w:rPr>
                      <w:rFonts w:ascii="Arial" w:hAnsi="Arial" w:cs="Arial"/>
                      <w:bCs/>
                      <w:color w:val="000000"/>
                      <w:sz w:val="14"/>
                      <w:szCs w:val="23"/>
                    </w:rPr>
                  </w:pPr>
                  <w:r>
                    <w:rPr>
                      <w:rFonts w:ascii="Arial" w:hAnsi="Arial" w:cs="Arial"/>
                      <w:bCs/>
                      <w:color w:val="000000"/>
                      <w:sz w:val="14"/>
                      <w:szCs w:val="23"/>
                    </w:rPr>
                    <w:t>Manglende anmeldelse af arbejdsulykke</w:t>
                  </w:r>
                  <w:r w:rsidR="00224E8B">
                    <w:rPr>
                      <w:rFonts w:ascii="Arial" w:hAnsi="Arial" w:cs="Arial"/>
                      <w:bCs/>
                      <w:color w:val="000000"/>
                      <w:sz w:val="14"/>
                      <w:szCs w:val="23"/>
                    </w:rPr>
                    <w:t xml:space="preserve"> m.v.</w:t>
                  </w:r>
                  <w:r>
                    <w:rPr>
                      <w:rFonts w:ascii="Arial" w:hAnsi="Arial" w:cs="Arial"/>
                      <w:bCs/>
                      <w:color w:val="000000"/>
                      <w:sz w:val="14"/>
                      <w:szCs w:val="23"/>
                    </w:rPr>
                    <w:t xml:space="preserve"> til Arbejdstilsynet</w:t>
                  </w:r>
                </w:p>
              </w:tc>
              <w:tc>
                <w:tcPr>
                  <w:tcW w:w="935" w:type="dxa"/>
                  <w:tcBorders>
                    <w:top w:val="single" w:sz="4" w:space="0" w:color="F8FAFA"/>
                    <w:bottom w:val="single" w:sz="4" w:space="0" w:color="F8FAFA"/>
                  </w:tcBorders>
                  <w:shd w:val="clear" w:color="auto" w:fill="auto"/>
                  <w:vAlign w:val="center"/>
                </w:tcPr>
                <w:p w14:paraId="559AA88C"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2940D8A7" w14:textId="509DBAA6" w:rsidR="0080407C" w:rsidRPr="00A3046E" w:rsidRDefault="00F428E0" w:rsidP="00F428E0">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w:t>
                  </w:r>
                  <w:r w:rsidR="0080407C">
                    <w:rPr>
                      <w:rFonts w:ascii="Arial" w:hAnsi="Arial" w:cs="Arial"/>
                      <w:bCs/>
                      <w:color w:val="000000"/>
                      <w:sz w:val="14"/>
                      <w:szCs w:val="23"/>
                    </w:rPr>
                    <w:t>.000</w:t>
                  </w:r>
                </w:p>
              </w:tc>
              <w:tc>
                <w:tcPr>
                  <w:tcW w:w="935" w:type="dxa"/>
                  <w:tcBorders>
                    <w:top w:val="single" w:sz="4" w:space="0" w:color="F8FAFA"/>
                    <w:bottom w:val="single" w:sz="4" w:space="0" w:color="F8FAFA"/>
                  </w:tcBorders>
                  <w:shd w:val="clear" w:color="auto" w:fill="auto"/>
                  <w:vAlign w:val="center"/>
                </w:tcPr>
                <w:p w14:paraId="37C457AF"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0264A653"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43.750</w:t>
                  </w:r>
                </w:p>
              </w:tc>
              <w:tc>
                <w:tcPr>
                  <w:tcW w:w="935" w:type="dxa"/>
                  <w:tcBorders>
                    <w:top w:val="single" w:sz="4" w:space="0" w:color="F8FAFA"/>
                    <w:bottom w:val="single" w:sz="4" w:space="0" w:color="F8FAFA"/>
                  </w:tcBorders>
                  <w:shd w:val="clear" w:color="auto" w:fill="auto"/>
                  <w:vAlign w:val="center"/>
                </w:tcPr>
                <w:p w14:paraId="6A4D7825"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390713E9"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50.000</w:t>
                  </w:r>
                </w:p>
              </w:tc>
            </w:tr>
            <w:tr w:rsidR="0080407C" w:rsidRPr="00A3046E" w14:paraId="11B58C58" w14:textId="77777777" w:rsidTr="00627355">
              <w:trPr>
                <w:trHeight w:val="227"/>
              </w:trPr>
              <w:tc>
                <w:tcPr>
                  <w:tcW w:w="1701" w:type="dxa"/>
                  <w:tcBorders>
                    <w:top w:val="single" w:sz="4" w:space="0" w:color="F8FAFA"/>
                    <w:bottom w:val="single" w:sz="4" w:space="0" w:color="F8FAFA"/>
                  </w:tcBorders>
                  <w:shd w:val="clear" w:color="auto" w:fill="auto"/>
                  <w:vAlign w:val="center"/>
                </w:tcPr>
                <w:p w14:paraId="408AF5AF" w14:textId="67AEEADF" w:rsidR="0080407C" w:rsidRPr="00A3046E" w:rsidRDefault="00AA31F1" w:rsidP="00AA31F1">
                  <w:pPr>
                    <w:autoSpaceDE w:val="0"/>
                    <w:autoSpaceDN w:val="0"/>
                    <w:adjustRightInd w:val="0"/>
                    <w:ind w:left="57" w:right="57"/>
                    <w:rPr>
                      <w:rFonts w:ascii="Arial" w:hAnsi="Arial" w:cs="Arial"/>
                      <w:bCs/>
                      <w:color w:val="000000"/>
                      <w:sz w:val="14"/>
                      <w:szCs w:val="23"/>
                    </w:rPr>
                  </w:pPr>
                  <w:r>
                    <w:rPr>
                      <w:rFonts w:ascii="Arial" w:hAnsi="Arial" w:cs="Arial"/>
                      <w:bCs/>
                      <w:color w:val="000000"/>
                      <w:sz w:val="14"/>
                      <w:szCs w:val="23"/>
                    </w:rPr>
                    <w:t xml:space="preserve">Manglende eller mangelfuld </w:t>
                  </w:r>
                  <w:r w:rsidR="0080407C">
                    <w:rPr>
                      <w:rFonts w:ascii="Arial" w:hAnsi="Arial" w:cs="Arial"/>
                      <w:bCs/>
                      <w:color w:val="000000"/>
                      <w:sz w:val="14"/>
                      <w:szCs w:val="23"/>
                    </w:rPr>
                    <w:t>plan for sikkerhed og sundhed</w:t>
                  </w:r>
                </w:p>
              </w:tc>
              <w:tc>
                <w:tcPr>
                  <w:tcW w:w="935" w:type="dxa"/>
                  <w:tcBorders>
                    <w:top w:val="single" w:sz="4" w:space="0" w:color="F8FAFA"/>
                    <w:bottom w:val="single" w:sz="4" w:space="0" w:color="F8FAFA"/>
                  </w:tcBorders>
                  <w:shd w:val="clear" w:color="auto" w:fill="auto"/>
                  <w:vAlign w:val="center"/>
                </w:tcPr>
                <w:p w14:paraId="2E0007AD"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52334E2A" w14:textId="18570B36" w:rsidR="0080407C" w:rsidRPr="00A3046E" w:rsidRDefault="00F428E0" w:rsidP="001B7630">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w:t>
                  </w:r>
                  <w:r w:rsidR="0080407C">
                    <w:rPr>
                      <w:rFonts w:ascii="Arial" w:hAnsi="Arial" w:cs="Arial"/>
                      <w:bCs/>
                      <w:color w:val="000000"/>
                      <w:sz w:val="14"/>
                      <w:szCs w:val="23"/>
                    </w:rPr>
                    <w:t>.000</w:t>
                  </w:r>
                </w:p>
              </w:tc>
              <w:tc>
                <w:tcPr>
                  <w:tcW w:w="935" w:type="dxa"/>
                  <w:tcBorders>
                    <w:top w:val="single" w:sz="4" w:space="0" w:color="F8FAFA"/>
                    <w:bottom w:val="single" w:sz="4" w:space="0" w:color="F8FAFA"/>
                  </w:tcBorders>
                  <w:shd w:val="clear" w:color="auto" w:fill="auto"/>
                  <w:vAlign w:val="center"/>
                </w:tcPr>
                <w:p w14:paraId="154A84B1"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66D12F33"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43.750</w:t>
                  </w:r>
                </w:p>
              </w:tc>
              <w:tc>
                <w:tcPr>
                  <w:tcW w:w="935" w:type="dxa"/>
                  <w:tcBorders>
                    <w:top w:val="single" w:sz="4" w:space="0" w:color="F8FAFA"/>
                    <w:bottom w:val="single" w:sz="4" w:space="0" w:color="F8FAFA"/>
                  </w:tcBorders>
                  <w:shd w:val="clear" w:color="auto" w:fill="auto"/>
                  <w:vAlign w:val="center"/>
                </w:tcPr>
                <w:p w14:paraId="020C9A83"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3890450B"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50.000</w:t>
                  </w:r>
                </w:p>
              </w:tc>
            </w:tr>
            <w:tr w:rsidR="0080407C" w:rsidRPr="00A3046E" w14:paraId="55DBEE88" w14:textId="77777777" w:rsidTr="00627355">
              <w:trPr>
                <w:trHeight w:val="227"/>
              </w:trPr>
              <w:tc>
                <w:tcPr>
                  <w:tcW w:w="1701" w:type="dxa"/>
                  <w:tcBorders>
                    <w:top w:val="single" w:sz="4" w:space="0" w:color="F8FAFA"/>
                    <w:bottom w:val="single" w:sz="4" w:space="0" w:color="F8FAFA"/>
                  </w:tcBorders>
                  <w:shd w:val="clear" w:color="auto" w:fill="auto"/>
                  <w:vAlign w:val="center"/>
                </w:tcPr>
                <w:p w14:paraId="7CD5D22C" w14:textId="77777777" w:rsidR="0080407C" w:rsidRPr="00B62A66" w:rsidRDefault="0080407C" w:rsidP="00627355">
                  <w:pPr>
                    <w:autoSpaceDE w:val="0"/>
                    <w:autoSpaceDN w:val="0"/>
                    <w:adjustRightInd w:val="0"/>
                    <w:ind w:left="57" w:right="57"/>
                    <w:rPr>
                      <w:rFonts w:ascii="Arial" w:hAnsi="Arial" w:cs="Arial"/>
                      <w:bCs/>
                      <w:color w:val="000000"/>
                      <w:sz w:val="14"/>
                      <w:szCs w:val="23"/>
                    </w:rPr>
                  </w:pPr>
                  <w:r>
                    <w:rPr>
                      <w:rFonts w:ascii="Arial" w:hAnsi="Arial" w:cs="Arial"/>
                      <w:bCs/>
                      <w:color w:val="000000"/>
                      <w:sz w:val="14"/>
                      <w:szCs w:val="23"/>
                    </w:rPr>
                    <w:t>Andre formelle</w:t>
                  </w:r>
                  <w:r w:rsidRPr="00B62A66">
                    <w:rPr>
                      <w:rFonts w:ascii="Arial" w:hAnsi="Arial" w:cs="Arial"/>
                      <w:bCs/>
                      <w:color w:val="000000"/>
                      <w:sz w:val="14"/>
                      <w:szCs w:val="23"/>
                    </w:rPr>
                    <w:t xml:space="preserve"> </w:t>
                  </w:r>
                  <w:r>
                    <w:rPr>
                      <w:rFonts w:ascii="Arial" w:hAnsi="Arial" w:cs="Arial"/>
                      <w:bCs/>
                      <w:color w:val="000000"/>
                      <w:sz w:val="14"/>
                      <w:szCs w:val="23"/>
                    </w:rPr>
                    <w:t>overtrædelser af arbejdsmiljølovgivningen</w:t>
                  </w:r>
                </w:p>
              </w:tc>
              <w:tc>
                <w:tcPr>
                  <w:tcW w:w="935" w:type="dxa"/>
                  <w:tcBorders>
                    <w:top w:val="single" w:sz="4" w:space="0" w:color="F8FAFA"/>
                    <w:bottom w:val="single" w:sz="4" w:space="0" w:color="F8FAFA"/>
                  </w:tcBorders>
                  <w:shd w:val="clear" w:color="auto" w:fill="auto"/>
                  <w:vAlign w:val="center"/>
                </w:tcPr>
                <w:p w14:paraId="31ECE9C1"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68D0700C"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1F675B85"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5B2ECB04"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2D2F4028"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c>
                <w:tcPr>
                  <w:tcW w:w="935" w:type="dxa"/>
                  <w:tcBorders>
                    <w:top w:val="single" w:sz="4" w:space="0" w:color="F8FAFA"/>
                    <w:bottom w:val="single" w:sz="4" w:space="0" w:color="F8FAFA"/>
                  </w:tcBorders>
                  <w:shd w:val="clear" w:color="auto" w:fill="auto"/>
                  <w:vAlign w:val="center"/>
                </w:tcPr>
                <w:p w14:paraId="08BD00FF" w14:textId="77777777" w:rsidR="0080407C" w:rsidRPr="00A3046E" w:rsidRDefault="0080407C" w:rsidP="00627355">
                  <w:pPr>
                    <w:autoSpaceDE w:val="0"/>
                    <w:autoSpaceDN w:val="0"/>
                    <w:adjustRightInd w:val="0"/>
                    <w:ind w:right="57"/>
                    <w:jc w:val="right"/>
                    <w:rPr>
                      <w:rFonts w:ascii="Arial" w:hAnsi="Arial" w:cs="Arial"/>
                      <w:bCs/>
                      <w:color w:val="000000"/>
                      <w:sz w:val="14"/>
                      <w:szCs w:val="23"/>
                    </w:rPr>
                  </w:pPr>
                  <w:r>
                    <w:rPr>
                      <w:rFonts w:ascii="Arial" w:hAnsi="Arial" w:cs="Arial"/>
                      <w:bCs/>
                      <w:color w:val="000000"/>
                      <w:sz w:val="14"/>
                      <w:szCs w:val="23"/>
                    </w:rPr>
                    <w:t>10.000</w:t>
                  </w:r>
                </w:p>
              </w:tc>
            </w:tr>
          </w:tbl>
          <w:p w14:paraId="715AC493" w14:textId="77777777" w:rsidR="0080407C" w:rsidRDefault="0080407C" w:rsidP="00627355">
            <w:pPr>
              <w:autoSpaceDE w:val="0"/>
              <w:autoSpaceDN w:val="0"/>
              <w:adjustRightInd w:val="0"/>
              <w:rPr>
                <w:rFonts w:cs="Times New Roman"/>
                <w:bCs/>
                <w:color w:val="000000"/>
                <w:sz w:val="23"/>
                <w:szCs w:val="23"/>
              </w:rPr>
            </w:pPr>
          </w:p>
        </w:tc>
      </w:tr>
      <w:tr w:rsidR="0080407C" w14:paraId="4541BE25" w14:textId="77777777" w:rsidTr="00FF7B9E">
        <w:trPr>
          <w:trHeight w:hRule="exact" w:val="113"/>
        </w:trPr>
        <w:tc>
          <w:tcPr>
            <w:tcW w:w="7655" w:type="dxa"/>
            <w:tcBorders>
              <w:top w:val="single" w:sz="2" w:space="0" w:color="B5B1B1"/>
            </w:tcBorders>
            <w:shd w:val="clear" w:color="auto" w:fill="auto"/>
          </w:tcPr>
          <w:p w14:paraId="66DCF221" w14:textId="77777777" w:rsidR="0080407C" w:rsidRDefault="0080407C" w:rsidP="00627355">
            <w:pPr>
              <w:autoSpaceDE w:val="0"/>
              <w:autoSpaceDN w:val="0"/>
              <w:adjustRightInd w:val="0"/>
              <w:rPr>
                <w:rFonts w:cs="Times New Roman"/>
                <w:bCs/>
                <w:color w:val="000000"/>
                <w:sz w:val="23"/>
                <w:szCs w:val="23"/>
              </w:rPr>
            </w:pPr>
          </w:p>
        </w:tc>
      </w:tr>
      <w:tr w:rsidR="0080407C" w:rsidRPr="00A3046E" w14:paraId="575DBE31" w14:textId="77777777" w:rsidTr="00FF7B9E">
        <w:tc>
          <w:tcPr>
            <w:tcW w:w="7655" w:type="dxa"/>
            <w:shd w:val="clear" w:color="auto" w:fill="auto"/>
          </w:tcPr>
          <w:p w14:paraId="06286956" w14:textId="70D1B0E5" w:rsidR="0080407C" w:rsidRPr="00A3046E" w:rsidRDefault="0080407C" w:rsidP="00844B7E">
            <w:pPr>
              <w:keepNext/>
              <w:tabs>
                <w:tab w:val="left" w:pos="652"/>
              </w:tabs>
              <w:autoSpaceDE w:val="0"/>
              <w:autoSpaceDN w:val="0"/>
              <w:adjustRightInd w:val="0"/>
              <w:spacing w:before="60" w:line="271" w:lineRule="auto"/>
              <w:ind w:left="624" w:right="227" w:hanging="425"/>
              <w:rPr>
                <w:rFonts w:ascii="Garamond" w:hAnsi="Garamond" w:cs="Times New Roman"/>
                <w:bCs/>
                <w:color w:val="000000"/>
                <w:sz w:val="16"/>
                <w:szCs w:val="23"/>
              </w:rPr>
            </w:pPr>
            <w:r>
              <w:rPr>
                <w:rFonts w:ascii="Garamond" w:hAnsi="Garamond" w:cs="Times New Roman"/>
                <w:bCs/>
                <w:color w:val="000000"/>
                <w:sz w:val="16"/>
                <w:szCs w:val="23"/>
              </w:rPr>
              <w:t>Kilde:</w:t>
            </w:r>
            <w:r>
              <w:rPr>
                <w:rFonts w:ascii="Garamond" w:hAnsi="Garamond" w:cs="Times New Roman"/>
                <w:bCs/>
                <w:color w:val="000000"/>
                <w:sz w:val="16"/>
                <w:szCs w:val="23"/>
              </w:rPr>
              <w:tab/>
              <w:t>Arbejdstilsynet.</w:t>
            </w:r>
          </w:p>
        </w:tc>
      </w:tr>
    </w:tbl>
    <w:p w14:paraId="6D93B716" w14:textId="77777777" w:rsidR="0080407C" w:rsidRDefault="0080407C" w:rsidP="006043BA">
      <w:pPr>
        <w:spacing w:after="240"/>
        <w:rPr>
          <w:rFonts w:cs="Times New Roman"/>
          <w:sz w:val="24"/>
          <w:szCs w:val="24"/>
        </w:rPr>
      </w:pPr>
    </w:p>
    <w:p w14:paraId="791BE4FE" w14:textId="0390EFB2" w:rsidR="00255745" w:rsidRPr="00AC0C65" w:rsidRDefault="00255745" w:rsidP="00255745">
      <w:pPr>
        <w:pStyle w:val="Overskrift2"/>
      </w:pPr>
      <w:r w:rsidRPr="00AC0C65">
        <w:t>2.</w:t>
      </w:r>
      <w:r w:rsidR="002D2F4A">
        <w:t>4</w:t>
      </w:r>
      <w:r w:rsidRPr="00AC0C65">
        <w:t>. Forlængelse af udstationeringslovens revisionsklausul i lov om udstationering af lønmodtagere m.v.</w:t>
      </w:r>
    </w:p>
    <w:p w14:paraId="73488D7E" w14:textId="4D8DA261" w:rsidR="00255745" w:rsidRPr="00AC0C65" w:rsidRDefault="00255745" w:rsidP="00255745"/>
    <w:p w14:paraId="4D9B3549" w14:textId="6A483862" w:rsidR="00255745" w:rsidRPr="00AC0C65" w:rsidRDefault="00255745" w:rsidP="00255745">
      <w:pPr>
        <w:pStyle w:val="Undertitel"/>
      </w:pPr>
      <w:r w:rsidRPr="00AC0C65">
        <w:t>2.</w:t>
      </w:r>
      <w:r w:rsidR="002D2F4A">
        <w:t>4</w:t>
      </w:r>
      <w:r w:rsidRPr="00AC0C65">
        <w:t>.1. Gældende ret</w:t>
      </w:r>
    </w:p>
    <w:p w14:paraId="6D84C959" w14:textId="77777777" w:rsidR="00255745" w:rsidRPr="00AC0C65" w:rsidRDefault="00255745" w:rsidP="00255745">
      <w:pPr>
        <w:rPr>
          <w:sz w:val="24"/>
        </w:rPr>
      </w:pPr>
      <w:r w:rsidRPr="00AC0C65">
        <w:rPr>
          <w:sz w:val="24"/>
        </w:rPr>
        <w:t>I den gældende lov om udstationering af lønmodtagere m.v., er der indsat en revisionsbestemmelse i lovens § 11. Efter denne bestemmelse skal der senest i folketingsåret 2025-26 fremsættes forslag om revision af loven.</w:t>
      </w:r>
    </w:p>
    <w:p w14:paraId="04764B85" w14:textId="62AC647A" w:rsidR="00255745" w:rsidRPr="00AC0C65" w:rsidRDefault="00255745" w:rsidP="00255745"/>
    <w:p w14:paraId="0A9789F2" w14:textId="6FA7F4B2" w:rsidR="00255745" w:rsidRPr="00AC0C65" w:rsidRDefault="00255745" w:rsidP="00255745">
      <w:pPr>
        <w:pStyle w:val="Undertitel"/>
      </w:pPr>
      <w:r w:rsidRPr="00AC0C65">
        <w:t>2.</w:t>
      </w:r>
      <w:r w:rsidR="002D2F4A">
        <w:t>4</w:t>
      </w:r>
      <w:r w:rsidRPr="00AC0C65">
        <w:t>.2. Beskæftigelsesministeriets overvejelser</w:t>
      </w:r>
    </w:p>
    <w:p w14:paraId="31AC0585" w14:textId="77777777" w:rsidR="00255745" w:rsidRPr="00AC0C65" w:rsidRDefault="00255745" w:rsidP="00255745">
      <w:pPr>
        <w:rPr>
          <w:sz w:val="24"/>
        </w:rPr>
      </w:pPr>
      <w:r w:rsidRPr="00AC0C65">
        <w:rPr>
          <w:sz w:val="24"/>
        </w:rPr>
        <w:t>Udstationeringsloven indeholder i §§ 5 og 6 en henvisning til de regler, der indeholder rettigheder om arbejdsvilkår inden for bl.a. arbejdsmiljø, ligebehandling, arbejdstid og ferie. Lønvilkår, herunder mindsteløn, er ikke reguleret ved lov, men er alene reguleret ved kollektive overenskomster og individuelle aftaler. I Danmark benyttes systemet med almengyldige kollektive aftaler ikke.</w:t>
      </w:r>
    </w:p>
    <w:p w14:paraId="2F5C86A6" w14:textId="77777777" w:rsidR="00255745" w:rsidRPr="00AC0C65" w:rsidRDefault="00255745" w:rsidP="00255745">
      <w:pPr>
        <w:rPr>
          <w:sz w:val="24"/>
        </w:rPr>
      </w:pPr>
    </w:p>
    <w:p w14:paraId="0BA66526" w14:textId="77777777" w:rsidR="00255745" w:rsidRPr="00B12936" w:rsidRDefault="00255745" w:rsidP="00255745">
      <w:pPr>
        <w:rPr>
          <w:sz w:val="24"/>
          <w:highlight w:val="green"/>
        </w:rPr>
      </w:pPr>
      <w:r w:rsidRPr="00AC0C65">
        <w:rPr>
          <w:sz w:val="24"/>
        </w:rPr>
        <w:t>Forud for implementeringen af udstationeringsdirektivet i 1999 blev det drøftet med arbejdsmarkedets parter, om der ved lov skulle fastsættes en mindsteløn. Der var enighed om ikke at anvende muligheden for at fastsætte regler om mindsteløn på daværende tidspunkt. Revisionsbestemmelsen i § 11 blev indsat, så man på baggrund af senere erfaringer kunne få lejlighed til at genoverveje muligheden.</w:t>
      </w:r>
    </w:p>
    <w:p w14:paraId="09832A4A" w14:textId="77777777" w:rsidR="00255745" w:rsidRPr="00B12936" w:rsidRDefault="00255745" w:rsidP="00255745">
      <w:pPr>
        <w:rPr>
          <w:sz w:val="24"/>
          <w:highlight w:val="green"/>
        </w:rPr>
      </w:pPr>
    </w:p>
    <w:p w14:paraId="4A93C5ED" w14:textId="56AA24D0" w:rsidR="00255745" w:rsidRPr="00AC0C65" w:rsidRDefault="00255745" w:rsidP="00255745">
      <w:r w:rsidRPr="00AC0C65">
        <w:rPr>
          <w:sz w:val="24"/>
        </w:rPr>
        <w:t>Revisionsbestemmelsen er blevet forlænget i henholdsvis 2002, 2005, 2008, 2011, 2016, 2020 og 2024 efter drøftelse med arbejdsmarkedets parter, hvor der var enighed om, at det fortsat ikke var aktuelt at lovgive om mindsteløn, men at der ikke var behov for at ophæve revisionsbestemmelsen. DA og FH er i 2025 på ny blevet hørt om bestemmelsen og behovet for lovgivning om mindsteløn. DA og FH har i den forbindelse tilkendegivet, at revisionsbestemmelsen kan forlænges igen</w:t>
      </w:r>
      <w:r w:rsidR="00364C93" w:rsidRPr="00AC0C65">
        <w:rPr>
          <w:sz w:val="24"/>
        </w:rPr>
        <w:t xml:space="preserve"> med et år</w:t>
      </w:r>
      <w:r w:rsidRPr="00AC0C65">
        <w:rPr>
          <w:sz w:val="24"/>
        </w:rPr>
        <w:t>.</w:t>
      </w:r>
    </w:p>
    <w:p w14:paraId="268F15CA" w14:textId="0E94BC6E" w:rsidR="00255745" w:rsidRPr="00AC0C65" w:rsidRDefault="00255745" w:rsidP="00255745"/>
    <w:p w14:paraId="7B0D827A" w14:textId="19633C7D" w:rsidR="00255745" w:rsidRPr="00AC0C65" w:rsidRDefault="00255745" w:rsidP="00255745">
      <w:pPr>
        <w:pStyle w:val="Undertitel"/>
      </w:pPr>
      <w:r w:rsidRPr="00AC0C65">
        <w:t>2.</w:t>
      </w:r>
      <w:r w:rsidR="002D2F4A">
        <w:t>4</w:t>
      </w:r>
      <w:r w:rsidRPr="00AC0C65">
        <w:t>.3. Den foreslåede ordning</w:t>
      </w:r>
    </w:p>
    <w:p w14:paraId="533004C0" w14:textId="33A51ADD" w:rsidR="00255745" w:rsidRPr="00523DDA" w:rsidRDefault="00255745" w:rsidP="00255745">
      <w:pPr>
        <w:rPr>
          <w:sz w:val="24"/>
        </w:rPr>
      </w:pPr>
      <w:r w:rsidRPr="00AC0C65">
        <w:rPr>
          <w:sz w:val="24"/>
        </w:rPr>
        <w:t xml:space="preserve">Der findes ikke på nuværende tidspunkt grundlag for at ophæve revisionsbestemmelsen, hvorfor det i lovforslagets § </w:t>
      </w:r>
      <w:r w:rsidR="00364C93" w:rsidRPr="00AC0C65">
        <w:rPr>
          <w:sz w:val="24"/>
        </w:rPr>
        <w:t>2</w:t>
      </w:r>
      <w:r w:rsidRPr="00AC0C65">
        <w:rPr>
          <w:sz w:val="24"/>
        </w:rPr>
        <w:t>, nr. 1, foreslås, at revisionsbestemmelsen i udstationeringslovens § 11 forlænges til folketingsåret 202</w:t>
      </w:r>
      <w:r w:rsidR="00364C93" w:rsidRPr="00AC0C65">
        <w:rPr>
          <w:sz w:val="24"/>
        </w:rPr>
        <w:t>6</w:t>
      </w:r>
      <w:r w:rsidRPr="00AC0C65">
        <w:rPr>
          <w:sz w:val="24"/>
        </w:rPr>
        <w:t>-2</w:t>
      </w:r>
      <w:r w:rsidR="00364C93" w:rsidRPr="00AC0C65">
        <w:rPr>
          <w:sz w:val="24"/>
        </w:rPr>
        <w:t>7</w:t>
      </w:r>
      <w:r w:rsidRPr="00AC0C65">
        <w:rPr>
          <w:sz w:val="24"/>
        </w:rPr>
        <w:t>.</w:t>
      </w:r>
    </w:p>
    <w:p w14:paraId="37441934" w14:textId="77777777" w:rsidR="00255745" w:rsidRDefault="00255745" w:rsidP="00FF7B9E">
      <w:pPr>
        <w:pStyle w:val="Overskrift1"/>
        <w:rPr>
          <w:rFonts w:ascii="Times New Roman" w:hAnsi="Times New Roman" w:cs="Times New Roman"/>
          <w:bCs w:val="0"/>
          <w:iCs/>
          <w:sz w:val="24"/>
          <w:szCs w:val="24"/>
        </w:rPr>
      </w:pPr>
    </w:p>
    <w:p w14:paraId="69E60BF6" w14:textId="377832BF" w:rsidR="00FF7B9E" w:rsidRPr="00FF7B9E" w:rsidRDefault="00FF7B9E" w:rsidP="00FF7B9E">
      <w:pPr>
        <w:pStyle w:val="Overskrift1"/>
        <w:rPr>
          <w:rFonts w:ascii="Times New Roman" w:hAnsi="Times New Roman" w:cs="Times New Roman"/>
          <w:bCs w:val="0"/>
          <w:iCs/>
          <w:sz w:val="24"/>
          <w:szCs w:val="24"/>
        </w:rPr>
      </w:pPr>
      <w:r>
        <w:rPr>
          <w:rFonts w:ascii="Times New Roman" w:hAnsi="Times New Roman" w:cs="Times New Roman"/>
          <w:bCs w:val="0"/>
          <w:iCs/>
          <w:sz w:val="24"/>
          <w:szCs w:val="24"/>
        </w:rPr>
        <w:t>3</w:t>
      </w:r>
      <w:r w:rsidRPr="00FF7B9E">
        <w:rPr>
          <w:rFonts w:ascii="Times New Roman" w:hAnsi="Times New Roman" w:cs="Times New Roman"/>
          <w:bCs w:val="0"/>
          <w:iCs/>
          <w:sz w:val="24"/>
          <w:szCs w:val="24"/>
        </w:rPr>
        <w:t>. Økonomiske konsekvenser og implementeringskonsekvenser for det offentlige</w:t>
      </w:r>
    </w:p>
    <w:p w14:paraId="73061CB1" w14:textId="7931CAD5" w:rsidR="002D2F4A" w:rsidRPr="002D2F4A" w:rsidRDefault="002D2F4A" w:rsidP="002D2F4A">
      <w:pPr>
        <w:spacing w:after="240"/>
        <w:rPr>
          <w:rFonts w:cs="Times New Roman"/>
          <w:sz w:val="24"/>
          <w:szCs w:val="24"/>
        </w:rPr>
      </w:pPr>
      <w:r w:rsidRPr="002D2F4A">
        <w:rPr>
          <w:rFonts w:cs="Times New Roman"/>
          <w:sz w:val="24"/>
          <w:szCs w:val="24"/>
        </w:rPr>
        <w:t>Udmøntning af lovforslagets bemyndigelse forventes ikke direkte at have økonomiske eller administrative konsekvenser for staten, kommunerne eller regionerne. Staten, kommuner og regioner kan dog som bygningsejere eventuelt få mindre meromkostninger ved nedrivning, reparation og vedligeholdelse på egne bygninger, hvor der potentielt kan forekomme asbest, som følge af en eventuel øget pris for udførelse af arbejdet.</w:t>
      </w:r>
    </w:p>
    <w:p w14:paraId="05A59D1A" w14:textId="5B56B239" w:rsidR="002D2F4A" w:rsidRDefault="002D2F4A" w:rsidP="002D2F4A">
      <w:pPr>
        <w:spacing w:after="240"/>
        <w:rPr>
          <w:rFonts w:cs="Times New Roman"/>
          <w:sz w:val="24"/>
          <w:szCs w:val="24"/>
        </w:rPr>
      </w:pPr>
      <w:r w:rsidRPr="002D2F4A">
        <w:rPr>
          <w:rFonts w:cs="Times New Roman"/>
          <w:sz w:val="24"/>
          <w:szCs w:val="24"/>
        </w:rPr>
        <w:t xml:space="preserve">Udmøntning af lovforslagets bemyndigelse forventes ikke at have </w:t>
      </w:r>
      <w:r w:rsidR="003135CF" w:rsidRPr="002D2F4A">
        <w:rPr>
          <w:rFonts w:cs="Times New Roman"/>
          <w:sz w:val="24"/>
          <w:szCs w:val="24"/>
        </w:rPr>
        <w:t>implementeringsmæssige</w:t>
      </w:r>
      <w:r w:rsidRPr="002D2F4A">
        <w:rPr>
          <w:rFonts w:cs="Times New Roman"/>
          <w:sz w:val="24"/>
          <w:szCs w:val="24"/>
        </w:rPr>
        <w:t xml:space="preserve"> konsekvenser for staten, kommunerne eller regionerne.</w:t>
      </w:r>
    </w:p>
    <w:p w14:paraId="3965D274" w14:textId="6A7C3906" w:rsidR="00FF7B9E" w:rsidRPr="00FF7B9E" w:rsidRDefault="00097EA5" w:rsidP="00FF7B9E">
      <w:pPr>
        <w:spacing w:after="240"/>
        <w:rPr>
          <w:rFonts w:cs="Times New Roman"/>
          <w:sz w:val="24"/>
          <w:szCs w:val="24"/>
        </w:rPr>
      </w:pPr>
      <w:bookmarkStart w:id="253" w:name="_Hlk210296315"/>
      <w:r>
        <w:rPr>
          <w:rFonts w:cs="Times New Roman"/>
          <w:sz w:val="24"/>
          <w:szCs w:val="24"/>
        </w:rPr>
        <w:t xml:space="preserve">Forslaget vurderes </w:t>
      </w:r>
      <w:r w:rsidR="002D2F4A">
        <w:rPr>
          <w:rFonts w:cs="Times New Roman"/>
          <w:sz w:val="24"/>
          <w:szCs w:val="24"/>
        </w:rPr>
        <w:t xml:space="preserve">i øvrigt </w:t>
      </w:r>
      <w:r>
        <w:rPr>
          <w:rFonts w:cs="Times New Roman"/>
          <w:sz w:val="24"/>
          <w:szCs w:val="24"/>
        </w:rPr>
        <w:t>ikke at have væsentlige økonomiske- og implementeringsmæssige konsekvenser.</w:t>
      </w:r>
    </w:p>
    <w:bookmarkEnd w:id="253"/>
    <w:p w14:paraId="1247902C" w14:textId="29932E8C"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4</w:t>
      </w:r>
      <w:r w:rsidRPr="00FF7B9E">
        <w:rPr>
          <w:rFonts w:eastAsiaTheme="majorEastAsia" w:cs="Times New Roman"/>
          <w:b/>
          <w:iCs/>
          <w:sz w:val="24"/>
          <w:szCs w:val="24"/>
        </w:rPr>
        <w:t>. Økonomiske og administrative konsekvenser for erhvervslivet m.v.</w:t>
      </w:r>
    </w:p>
    <w:p w14:paraId="747FEE51" w14:textId="77777777" w:rsidR="002D2F4A" w:rsidRDefault="002D2F4A" w:rsidP="002D2F4A">
      <w:pPr>
        <w:spacing w:after="240"/>
        <w:rPr>
          <w:rFonts w:eastAsia="Calibri" w:cs="Times New Roman"/>
          <w:sz w:val="24"/>
          <w:szCs w:val="24"/>
        </w:rPr>
      </w:pPr>
      <w:r>
        <w:rPr>
          <w:rFonts w:eastAsia="Calibri" w:cs="Times New Roman"/>
          <w:sz w:val="24"/>
          <w:szCs w:val="24"/>
        </w:rPr>
        <w:t xml:space="preserve">Udmøntning af lovforslagets bemyndigelse vil få betydning for de virksomheder, der udfører arbejde som nedrivning, reparation og vedligeholdelse, hvor der potentielt kan forekomme asbest, da det kan betyde meromkostninger til analyse af prøver for asbest. Meromkostninger må forventes lagt over på kunderne. De økonomiske konsekvenser vurderes dog at være relativt begrænsede. </w:t>
      </w:r>
    </w:p>
    <w:p w14:paraId="017BC1CF" w14:textId="2CE06201" w:rsidR="002D2F4A" w:rsidRPr="002D2F4A" w:rsidRDefault="002D2F4A" w:rsidP="00FF7B9E">
      <w:pPr>
        <w:spacing w:after="240"/>
        <w:rPr>
          <w:rFonts w:eastAsia="Calibri" w:cs="Times New Roman"/>
          <w:sz w:val="24"/>
          <w:szCs w:val="24"/>
        </w:rPr>
      </w:pPr>
      <w:r>
        <w:rPr>
          <w:rFonts w:eastAsia="Calibri" w:cs="Times New Roman"/>
          <w:sz w:val="24"/>
          <w:szCs w:val="24"/>
        </w:rPr>
        <w:t>Der vil desuden være administrative konsekvenser for virksomhederne forbundet med at skulle videregive resultater direkte fra en tredjepart til arbejdsmiljøorganisationen eller de ansatte. De administrative konsekvenser vurderes dog at være relativt begrænsede.</w:t>
      </w:r>
    </w:p>
    <w:p w14:paraId="5E72AE44" w14:textId="79D547E0" w:rsidR="00FF7B9E" w:rsidRPr="00FF7B9E" w:rsidRDefault="004E17B5" w:rsidP="00FF7B9E">
      <w:pPr>
        <w:spacing w:after="240"/>
        <w:rPr>
          <w:rFonts w:eastAsiaTheme="majorEastAsia" w:cs="Times New Roman"/>
          <w:b/>
          <w:iCs/>
          <w:sz w:val="24"/>
          <w:szCs w:val="24"/>
        </w:rPr>
      </w:pPr>
      <w:r>
        <w:rPr>
          <w:rFonts w:cs="Times New Roman"/>
          <w:sz w:val="24"/>
          <w:szCs w:val="24"/>
        </w:rPr>
        <w:t xml:space="preserve">Forslaget </w:t>
      </w:r>
      <w:r w:rsidR="00DD3171">
        <w:rPr>
          <w:rFonts w:cs="Times New Roman"/>
          <w:sz w:val="24"/>
          <w:szCs w:val="24"/>
        </w:rPr>
        <w:t xml:space="preserve">har </w:t>
      </w:r>
      <w:r w:rsidR="002D2F4A">
        <w:rPr>
          <w:rFonts w:cs="Times New Roman"/>
          <w:sz w:val="24"/>
          <w:szCs w:val="24"/>
        </w:rPr>
        <w:t xml:space="preserve">i øvrigt </w:t>
      </w:r>
      <w:r>
        <w:rPr>
          <w:rFonts w:cs="Times New Roman"/>
          <w:sz w:val="24"/>
          <w:szCs w:val="24"/>
        </w:rPr>
        <w:t xml:space="preserve">ikke økonomiske og administrative konsekvenser </w:t>
      </w:r>
      <w:r w:rsidR="00DD3171">
        <w:rPr>
          <w:rFonts w:cs="Times New Roman"/>
          <w:sz w:val="24"/>
          <w:szCs w:val="24"/>
        </w:rPr>
        <w:t xml:space="preserve">mv. </w:t>
      </w:r>
      <w:r>
        <w:rPr>
          <w:rFonts w:cs="Times New Roman"/>
          <w:sz w:val="24"/>
          <w:szCs w:val="24"/>
        </w:rPr>
        <w:t xml:space="preserve">for </w:t>
      </w:r>
      <w:r w:rsidR="00DD3171">
        <w:rPr>
          <w:rFonts w:cs="Times New Roman"/>
          <w:sz w:val="24"/>
          <w:szCs w:val="24"/>
        </w:rPr>
        <w:t>arbejdsgivere og bygherre, der overholder de regler i arbejdsmiljølovgivningen, hvor bødeniveauet foreslås forhøjet med dette forslag</w:t>
      </w:r>
      <w:r>
        <w:rPr>
          <w:rFonts w:cs="Times New Roman"/>
          <w:sz w:val="24"/>
          <w:szCs w:val="24"/>
        </w:rPr>
        <w:t>.</w:t>
      </w:r>
      <w:r w:rsidR="004B3A61">
        <w:rPr>
          <w:rFonts w:cs="Times New Roman"/>
          <w:sz w:val="24"/>
          <w:szCs w:val="24"/>
        </w:rPr>
        <w:t xml:space="preserve"> Endvidere har forslaget ikke økonomiske og administrative konsekvenser mv. for virksomhedsledere, arbejdsgivere i personligt ejede virksomheder og arbejdsledere, der overholder arbejdsmiljølovgivningen</w:t>
      </w:r>
      <w:r w:rsidR="00343E3A">
        <w:rPr>
          <w:rFonts w:cs="Times New Roman"/>
          <w:sz w:val="24"/>
          <w:szCs w:val="24"/>
        </w:rPr>
        <w:t>, hvor et vejledende niveau for fængselsstraf foreslås indsat i bemærkningerne i dette forslag</w:t>
      </w:r>
      <w:r w:rsidR="004B3A61">
        <w:rPr>
          <w:rFonts w:cs="Times New Roman"/>
          <w:sz w:val="24"/>
          <w:szCs w:val="24"/>
        </w:rPr>
        <w:t>.</w:t>
      </w:r>
    </w:p>
    <w:p w14:paraId="70944F13" w14:textId="5E3BAF7B"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5</w:t>
      </w:r>
      <w:r w:rsidRPr="00FF7B9E">
        <w:rPr>
          <w:rFonts w:eastAsiaTheme="majorEastAsia" w:cs="Times New Roman"/>
          <w:b/>
          <w:iCs/>
          <w:sz w:val="24"/>
          <w:szCs w:val="24"/>
        </w:rPr>
        <w:t>. Administrative konsekvenser for borgerne</w:t>
      </w:r>
    </w:p>
    <w:p w14:paraId="04AA8D15" w14:textId="51DBA515" w:rsidR="00FF7B9E" w:rsidRPr="00FF7B9E" w:rsidRDefault="004E17B5" w:rsidP="00FF7B9E">
      <w:pPr>
        <w:spacing w:after="240"/>
        <w:rPr>
          <w:rFonts w:eastAsiaTheme="majorEastAsia" w:cs="Times New Roman"/>
          <w:b/>
          <w:iCs/>
          <w:sz w:val="24"/>
          <w:szCs w:val="24"/>
        </w:rPr>
      </w:pPr>
      <w:r>
        <w:rPr>
          <w:rFonts w:cs="Times New Roman"/>
          <w:sz w:val="24"/>
          <w:szCs w:val="24"/>
        </w:rPr>
        <w:t xml:space="preserve">Forslaget vurderes ikke at have administrative konsekvenser for borgerne. </w:t>
      </w:r>
    </w:p>
    <w:p w14:paraId="1DF317CD" w14:textId="178180ED"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6</w:t>
      </w:r>
      <w:r w:rsidRPr="00FF7B9E">
        <w:rPr>
          <w:rFonts w:eastAsiaTheme="majorEastAsia" w:cs="Times New Roman"/>
          <w:b/>
          <w:iCs/>
          <w:sz w:val="24"/>
          <w:szCs w:val="24"/>
        </w:rPr>
        <w:t>. Klimamæssige konsekvenser</w:t>
      </w:r>
    </w:p>
    <w:p w14:paraId="11E4DDA8" w14:textId="0DA0110B" w:rsidR="00FF7B9E" w:rsidRPr="004E17B5" w:rsidRDefault="004E17B5" w:rsidP="00FF7B9E">
      <w:pPr>
        <w:spacing w:after="240"/>
        <w:rPr>
          <w:rFonts w:cs="Times New Roman"/>
          <w:sz w:val="24"/>
          <w:szCs w:val="24"/>
        </w:rPr>
      </w:pPr>
      <w:r w:rsidRPr="004E17B5">
        <w:rPr>
          <w:rFonts w:cs="Times New Roman"/>
          <w:sz w:val="24"/>
          <w:szCs w:val="24"/>
        </w:rPr>
        <w:lastRenderedPageBreak/>
        <w:t>For</w:t>
      </w:r>
      <w:r>
        <w:rPr>
          <w:rFonts w:cs="Times New Roman"/>
          <w:sz w:val="24"/>
          <w:szCs w:val="24"/>
        </w:rPr>
        <w:t>slaget vurderes ikke at have klimamæssige konsekvenser.</w:t>
      </w:r>
    </w:p>
    <w:p w14:paraId="141822C4" w14:textId="19093005"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7</w:t>
      </w:r>
      <w:r w:rsidRPr="00FF7B9E">
        <w:rPr>
          <w:rFonts w:eastAsiaTheme="majorEastAsia" w:cs="Times New Roman"/>
          <w:b/>
          <w:iCs/>
          <w:sz w:val="24"/>
          <w:szCs w:val="24"/>
        </w:rPr>
        <w:t>. Miljø- og naturmæssige konsekvenser</w:t>
      </w:r>
    </w:p>
    <w:p w14:paraId="7CFA7D89" w14:textId="6B26C18C" w:rsidR="00FF7B9E" w:rsidRPr="00FF7B9E" w:rsidRDefault="004E17B5" w:rsidP="00FF7B9E">
      <w:pPr>
        <w:spacing w:after="240"/>
        <w:rPr>
          <w:rFonts w:cs="Times New Roman"/>
          <w:sz w:val="24"/>
          <w:szCs w:val="24"/>
        </w:rPr>
      </w:pPr>
      <w:r>
        <w:rPr>
          <w:rFonts w:cs="Times New Roman"/>
          <w:sz w:val="24"/>
          <w:szCs w:val="24"/>
        </w:rPr>
        <w:t>Forslaget vurderes ikke at have miljø- og naturmæssige konsekvenser.</w:t>
      </w:r>
    </w:p>
    <w:p w14:paraId="30AEE3C9" w14:textId="337E8D8D"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8</w:t>
      </w:r>
      <w:r w:rsidRPr="00FF7B9E">
        <w:rPr>
          <w:rFonts w:eastAsiaTheme="majorEastAsia" w:cs="Times New Roman"/>
          <w:b/>
          <w:iCs/>
          <w:sz w:val="24"/>
          <w:szCs w:val="24"/>
        </w:rPr>
        <w:t>. Forholdet til EU-retten</w:t>
      </w:r>
    </w:p>
    <w:p w14:paraId="406568F7" w14:textId="6EC8DCF2" w:rsidR="00FF7B9E" w:rsidRPr="00FF7B9E" w:rsidRDefault="004E17B5" w:rsidP="00FF7B9E">
      <w:pPr>
        <w:spacing w:after="240"/>
        <w:rPr>
          <w:rFonts w:cs="Times New Roman"/>
          <w:sz w:val="24"/>
          <w:szCs w:val="24"/>
        </w:rPr>
      </w:pPr>
      <w:r>
        <w:rPr>
          <w:rFonts w:cs="Times New Roman"/>
          <w:sz w:val="24"/>
          <w:szCs w:val="24"/>
        </w:rPr>
        <w:t xml:space="preserve">Forslaget vurderes ikke at have </w:t>
      </w:r>
      <w:proofErr w:type="spellStart"/>
      <w:r>
        <w:rPr>
          <w:rFonts w:cs="Times New Roman"/>
          <w:sz w:val="24"/>
          <w:szCs w:val="24"/>
        </w:rPr>
        <w:t>EU-retlige</w:t>
      </w:r>
      <w:proofErr w:type="spellEnd"/>
      <w:r>
        <w:rPr>
          <w:rFonts w:cs="Times New Roman"/>
          <w:sz w:val="24"/>
          <w:szCs w:val="24"/>
        </w:rPr>
        <w:t xml:space="preserve"> konsekvenser.</w:t>
      </w:r>
    </w:p>
    <w:p w14:paraId="0D78A87F" w14:textId="1D143216" w:rsidR="00FF7B9E" w:rsidRPr="00FF7B9E" w:rsidRDefault="00FF7B9E" w:rsidP="00FF7B9E">
      <w:pPr>
        <w:spacing w:after="240"/>
        <w:rPr>
          <w:rFonts w:eastAsiaTheme="majorEastAsia" w:cs="Times New Roman"/>
          <w:b/>
          <w:iCs/>
          <w:sz w:val="24"/>
          <w:szCs w:val="24"/>
        </w:rPr>
      </w:pPr>
      <w:r>
        <w:rPr>
          <w:rFonts w:eastAsiaTheme="majorEastAsia" w:cs="Times New Roman"/>
          <w:b/>
          <w:iCs/>
          <w:sz w:val="24"/>
          <w:szCs w:val="24"/>
        </w:rPr>
        <w:t>9</w:t>
      </w:r>
      <w:r w:rsidRPr="00FF7B9E">
        <w:rPr>
          <w:rFonts w:eastAsiaTheme="majorEastAsia" w:cs="Times New Roman"/>
          <w:b/>
          <w:iCs/>
          <w:sz w:val="24"/>
          <w:szCs w:val="24"/>
        </w:rPr>
        <w:t>. Hørte myndigheder og organisationer m.v.</w:t>
      </w:r>
    </w:p>
    <w:p w14:paraId="68E4BEAA" w14:textId="3AFBED96" w:rsidR="00FF7B9E" w:rsidRDefault="00FF7B9E" w:rsidP="00FF7B9E">
      <w:pPr>
        <w:spacing w:after="240"/>
        <w:rPr>
          <w:rFonts w:cs="Times New Roman"/>
          <w:sz w:val="24"/>
          <w:szCs w:val="24"/>
        </w:rPr>
      </w:pPr>
      <w:r w:rsidRPr="00FF7B9E">
        <w:rPr>
          <w:rFonts w:cs="Times New Roman"/>
          <w:sz w:val="24"/>
          <w:szCs w:val="24"/>
        </w:rPr>
        <w:t xml:space="preserve">Et udkast til lovforslag har i perioden fra den </w:t>
      </w:r>
      <w:r w:rsidR="00380A65">
        <w:rPr>
          <w:rFonts w:cs="Times New Roman"/>
          <w:sz w:val="24"/>
          <w:szCs w:val="24"/>
        </w:rPr>
        <w:t>1</w:t>
      </w:r>
      <w:r w:rsidR="000F293C">
        <w:rPr>
          <w:rFonts w:cs="Times New Roman"/>
          <w:sz w:val="24"/>
          <w:szCs w:val="24"/>
        </w:rPr>
        <w:t>0</w:t>
      </w:r>
      <w:r w:rsidR="00380A65">
        <w:rPr>
          <w:rFonts w:cs="Times New Roman"/>
          <w:sz w:val="24"/>
          <w:szCs w:val="24"/>
        </w:rPr>
        <w:t>. oktober</w:t>
      </w:r>
      <w:r w:rsidR="00603D0E">
        <w:rPr>
          <w:rFonts w:cs="Times New Roman"/>
          <w:sz w:val="24"/>
          <w:szCs w:val="24"/>
        </w:rPr>
        <w:t xml:space="preserve"> 2025</w:t>
      </w:r>
      <w:r w:rsidRPr="00FF7B9E">
        <w:rPr>
          <w:rFonts w:cs="Times New Roman"/>
          <w:sz w:val="24"/>
          <w:szCs w:val="24"/>
        </w:rPr>
        <w:t xml:space="preserve"> til den </w:t>
      </w:r>
      <w:r w:rsidR="000F293C">
        <w:rPr>
          <w:rFonts w:cs="Times New Roman"/>
          <w:sz w:val="24"/>
          <w:szCs w:val="24"/>
        </w:rPr>
        <w:t>7</w:t>
      </w:r>
      <w:r w:rsidR="00380A65">
        <w:rPr>
          <w:rFonts w:cs="Times New Roman"/>
          <w:sz w:val="24"/>
          <w:szCs w:val="24"/>
        </w:rPr>
        <w:t>. november</w:t>
      </w:r>
      <w:r w:rsidR="00603D0E">
        <w:rPr>
          <w:rFonts w:cs="Times New Roman"/>
          <w:sz w:val="24"/>
          <w:szCs w:val="24"/>
        </w:rPr>
        <w:t xml:space="preserve"> 2025 </w:t>
      </w:r>
      <w:r w:rsidRPr="00FF7B9E">
        <w:rPr>
          <w:rFonts w:cs="Times New Roman"/>
          <w:sz w:val="24"/>
          <w:szCs w:val="24"/>
        </w:rPr>
        <w:t>(</w:t>
      </w:r>
      <w:r w:rsidR="00603D0E">
        <w:rPr>
          <w:rFonts w:cs="Times New Roman"/>
          <w:sz w:val="24"/>
          <w:szCs w:val="24"/>
        </w:rPr>
        <w:t>28</w:t>
      </w:r>
      <w:r w:rsidRPr="00FF7B9E">
        <w:rPr>
          <w:rFonts w:cs="Times New Roman"/>
          <w:sz w:val="24"/>
          <w:szCs w:val="24"/>
        </w:rPr>
        <w:t xml:space="preserve"> dage) været sendt i høring hos følgende myndigheder og organisationer m.v.:</w:t>
      </w:r>
    </w:p>
    <w:p w14:paraId="172A8E21" w14:textId="10669B6D" w:rsidR="00AC50A6" w:rsidRPr="00AC50A6" w:rsidRDefault="00AC50A6" w:rsidP="00B07548">
      <w:pPr>
        <w:spacing w:after="240"/>
        <w:rPr>
          <w:rFonts w:cs="Times New Roman"/>
          <w:sz w:val="24"/>
          <w:szCs w:val="24"/>
        </w:rPr>
      </w:pPr>
      <w:r w:rsidRPr="00AC50A6">
        <w:rPr>
          <w:rFonts w:cs="Times New Roman"/>
          <w:sz w:val="24"/>
          <w:szCs w:val="24"/>
        </w:rPr>
        <w:t>Advokat</w:t>
      </w:r>
      <w:r w:rsidR="00B07548">
        <w:rPr>
          <w:rFonts w:cs="Times New Roman"/>
          <w:sz w:val="24"/>
          <w:szCs w:val="24"/>
        </w:rPr>
        <w:t>rådet</w:t>
      </w:r>
      <w:r w:rsidRPr="00AC50A6">
        <w:rPr>
          <w:rFonts w:cs="Times New Roman"/>
          <w:sz w:val="24"/>
          <w:szCs w:val="24"/>
        </w:rPr>
        <w:t xml:space="preserve">, </w:t>
      </w:r>
      <w:r w:rsidR="00B07548" w:rsidRPr="00B07548">
        <w:rPr>
          <w:rFonts w:cs="Times New Roman"/>
          <w:sz w:val="24"/>
          <w:szCs w:val="24"/>
        </w:rPr>
        <w:t>Arbejdsmarkedsrådet</w:t>
      </w:r>
      <w:r w:rsidR="00A63942">
        <w:rPr>
          <w:rFonts w:cs="Times New Roman"/>
          <w:sz w:val="24"/>
          <w:szCs w:val="24"/>
        </w:rPr>
        <w:t xml:space="preserve"> (</w:t>
      </w:r>
      <w:r w:rsidR="00B07548" w:rsidRPr="00B07548">
        <w:rPr>
          <w:rFonts w:cs="Times New Roman"/>
          <w:sz w:val="24"/>
          <w:szCs w:val="24"/>
        </w:rPr>
        <w:t>som består af repræsentanter for følgende organisationer:</w:t>
      </w:r>
      <w:r w:rsidR="00B07548">
        <w:rPr>
          <w:rFonts w:cs="Times New Roman"/>
          <w:sz w:val="24"/>
          <w:szCs w:val="24"/>
        </w:rPr>
        <w:t xml:space="preserve"> </w:t>
      </w:r>
      <w:r w:rsidR="00B07548" w:rsidRPr="00B07548">
        <w:rPr>
          <w:rFonts w:cs="Times New Roman"/>
          <w:sz w:val="24"/>
          <w:szCs w:val="24"/>
        </w:rPr>
        <w:t>Fagbevægelsen</w:t>
      </w:r>
      <w:r w:rsidR="00B07548">
        <w:rPr>
          <w:rFonts w:cs="Times New Roman"/>
          <w:sz w:val="24"/>
          <w:szCs w:val="24"/>
        </w:rPr>
        <w:t>s</w:t>
      </w:r>
      <w:r w:rsidR="00B07548" w:rsidRPr="00B07548">
        <w:rPr>
          <w:rFonts w:cs="Times New Roman"/>
          <w:sz w:val="24"/>
          <w:szCs w:val="24"/>
        </w:rPr>
        <w:t xml:space="preserve"> Hovedorganisation</w:t>
      </w:r>
      <w:r w:rsidR="00B07548">
        <w:rPr>
          <w:rFonts w:cs="Times New Roman"/>
          <w:sz w:val="24"/>
          <w:szCs w:val="24"/>
        </w:rPr>
        <w:t xml:space="preserve">, </w:t>
      </w:r>
      <w:r w:rsidR="00B07548" w:rsidRPr="00B07548">
        <w:rPr>
          <w:rFonts w:cs="Times New Roman"/>
          <w:sz w:val="24"/>
          <w:szCs w:val="24"/>
        </w:rPr>
        <w:t>Dansk Arbejdsgiverforening</w:t>
      </w:r>
      <w:r w:rsidR="00B07548">
        <w:rPr>
          <w:rFonts w:cs="Times New Roman"/>
          <w:sz w:val="24"/>
          <w:szCs w:val="24"/>
        </w:rPr>
        <w:t xml:space="preserve">, </w:t>
      </w:r>
      <w:r w:rsidR="00B07548" w:rsidRPr="00B07548">
        <w:rPr>
          <w:rFonts w:cs="Times New Roman"/>
          <w:sz w:val="24"/>
          <w:szCs w:val="24"/>
        </w:rPr>
        <w:t>KL</w:t>
      </w:r>
      <w:r w:rsidR="00B07548">
        <w:rPr>
          <w:rFonts w:cs="Times New Roman"/>
          <w:sz w:val="24"/>
          <w:szCs w:val="24"/>
        </w:rPr>
        <w:t xml:space="preserve">, </w:t>
      </w:r>
      <w:r w:rsidR="00B07548" w:rsidRPr="00B07548">
        <w:rPr>
          <w:rFonts w:cs="Times New Roman"/>
          <w:sz w:val="24"/>
          <w:szCs w:val="24"/>
        </w:rPr>
        <w:t>Akademikerne</w:t>
      </w:r>
      <w:r w:rsidR="00A63942">
        <w:rPr>
          <w:rFonts w:cs="Times New Roman"/>
          <w:sz w:val="24"/>
          <w:szCs w:val="24"/>
        </w:rPr>
        <w:t xml:space="preserve"> og</w:t>
      </w:r>
      <w:r w:rsidR="00B07548">
        <w:rPr>
          <w:rFonts w:cs="Times New Roman"/>
          <w:sz w:val="24"/>
          <w:szCs w:val="24"/>
        </w:rPr>
        <w:t xml:space="preserve"> </w:t>
      </w:r>
      <w:r w:rsidR="00B07548" w:rsidRPr="00B07548">
        <w:rPr>
          <w:rFonts w:cs="Times New Roman"/>
          <w:sz w:val="24"/>
          <w:szCs w:val="24"/>
        </w:rPr>
        <w:t>Danske Regioner</w:t>
      </w:r>
      <w:r w:rsidR="00A63942">
        <w:rPr>
          <w:rFonts w:cs="Times New Roman"/>
          <w:sz w:val="24"/>
          <w:szCs w:val="24"/>
        </w:rPr>
        <w:t>)</w:t>
      </w:r>
      <w:r w:rsidR="00B07548">
        <w:rPr>
          <w:rFonts w:cs="Times New Roman"/>
          <w:sz w:val="24"/>
          <w:szCs w:val="24"/>
        </w:rPr>
        <w:t xml:space="preserve">, AM-PRO, </w:t>
      </w:r>
      <w:r w:rsidRPr="00AC50A6">
        <w:rPr>
          <w:rFonts w:cs="Times New Roman"/>
          <w:sz w:val="24"/>
          <w:szCs w:val="24"/>
        </w:rPr>
        <w:t>Business Danmark, Bygge-, Anlægs- og Trækartellet, Bygherreforeningen, Danmarks Frie Fagforening,  Danske Advokater,  D</w:t>
      </w:r>
      <w:r w:rsidR="00B07548">
        <w:rPr>
          <w:rFonts w:cs="Times New Roman"/>
          <w:sz w:val="24"/>
          <w:szCs w:val="24"/>
        </w:rPr>
        <w:t>en Danske D</w:t>
      </w:r>
      <w:r w:rsidRPr="00AC50A6">
        <w:rPr>
          <w:rFonts w:cs="Times New Roman"/>
          <w:sz w:val="24"/>
          <w:szCs w:val="24"/>
        </w:rPr>
        <w:t xml:space="preserve">ommerforening, </w:t>
      </w:r>
      <w:r w:rsidR="00B07548" w:rsidRPr="00B07548">
        <w:rPr>
          <w:rFonts w:cs="Times New Roman"/>
          <w:sz w:val="24"/>
          <w:szCs w:val="24"/>
        </w:rPr>
        <w:t>Den Kooperative Arbejdsgiver- og Interesseorganisation i Danmark</w:t>
      </w:r>
      <w:r w:rsidR="00B07548">
        <w:rPr>
          <w:rFonts w:cs="Times New Roman"/>
          <w:sz w:val="24"/>
          <w:szCs w:val="24"/>
        </w:rPr>
        <w:t xml:space="preserve">, </w:t>
      </w:r>
      <w:r w:rsidR="00B07548" w:rsidRPr="00B07548">
        <w:rPr>
          <w:rFonts w:cs="Times New Roman"/>
          <w:sz w:val="24"/>
          <w:szCs w:val="24"/>
        </w:rPr>
        <w:t>Det Faglige Hus</w:t>
      </w:r>
      <w:r w:rsidR="00B07548">
        <w:rPr>
          <w:rFonts w:cs="Times New Roman"/>
          <w:sz w:val="24"/>
          <w:szCs w:val="24"/>
        </w:rPr>
        <w:t xml:space="preserve">, </w:t>
      </w:r>
      <w:r w:rsidR="000F293C">
        <w:rPr>
          <w:rFonts w:cs="Times New Roman"/>
          <w:sz w:val="24"/>
          <w:szCs w:val="24"/>
        </w:rPr>
        <w:t xml:space="preserve">Eurolab Danmark, </w:t>
      </w:r>
      <w:r w:rsidR="00380A65">
        <w:rPr>
          <w:rFonts w:cs="Times New Roman"/>
          <w:sz w:val="24"/>
          <w:szCs w:val="24"/>
        </w:rPr>
        <w:t xml:space="preserve">Finans Danmark, Forsikring &amp; Pension, </w:t>
      </w:r>
      <w:r w:rsidR="00B07548" w:rsidRPr="00B07548">
        <w:rPr>
          <w:rFonts w:cs="Times New Roman"/>
          <w:sz w:val="24"/>
          <w:szCs w:val="24"/>
        </w:rPr>
        <w:t>Frie Funktionærer</w:t>
      </w:r>
      <w:r w:rsidR="00B07548">
        <w:rPr>
          <w:rFonts w:cs="Times New Roman"/>
          <w:sz w:val="24"/>
          <w:szCs w:val="24"/>
        </w:rPr>
        <w:t>,</w:t>
      </w:r>
      <w:r w:rsidR="00B07548" w:rsidRPr="00B07548">
        <w:rPr>
          <w:rFonts w:cs="Times New Roman"/>
          <w:sz w:val="24"/>
          <w:szCs w:val="24"/>
        </w:rPr>
        <w:t xml:space="preserve"> </w:t>
      </w:r>
      <w:r w:rsidRPr="00AC50A6">
        <w:rPr>
          <w:rFonts w:cs="Times New Roman"/>
          <w:sz w:val="24"/>
          <w:szCs w:val="24"/>
        </w:rPr>
        <w:t>Kristelig Arbejdsgiverforening, Kristelig Fagbevægelse,</w:t>
      </w:r>
      <w:r w:rsidR="00B07548">
        <w:rPr>
          <w:rFonts w:cs="Times New Roman"/>
          <w:sz w:val="24"/>
          <w:szCs w:val="24"/>
        </w:rPr>
        <w:t xml:space="preserve"> </w:t>
      </w:r>
      <w:r w:rsidR="000F293C">
        <w:rPr>
          <w:rFonts w:cs="Times New Roman"/>
          <w:sz w:val="24"/>
          <w:szCs w:val="24"/>
        </w:rPr>
        <w:t xml:space="preserve">Laboratoriernes Brancheforening, </w:t>
      </w:r>
      <w:r w:rsidRPr="00AC50A6">
        <w:rPr>
          <w:rFonts w:cs="Times New Roman"/>
          <w:sz w:val="24"/>
          <w:szCs w:val="24"/>
        </w:rPr>
        <w:t xml:space="preserve">Lederne, </w:t>
      </w:r>
      <w:r w:rsidR="00A95E82">
        <w:rPr>
          <w:rFonts w:cs="Times New Roman"/>
          <w:sz w:val="24"/>
          <w:szCs w:val="24"/>
        </w:rPr>
        <w:t xml:space="preserve">Malerforbundet, </w:t>
      </w:r>
      <w:r w:rsidR="00B07548" w:rsidRPr="00B07548">
        <w:rPr>
          <w:rFonts w:cs="Times New Roman"/>
          <w:sz w:val="24"/>
          <w:szCs w:val="24"/>
        </w:rPr>
        <w:t>Medarbejder- og Kompetencestyrelsen</w:t>
      </w:r>
      <w:r w:rsidR="00B07548">
        <w:rPr>
          <w:rFonts w:cs="Times New Roman"/>
          <w:sz w:val="24"/>
          <w:szCs w:val="24"/>
        </w:rPr>
        <w:t xml:space="preserve">. </w:t>
      </w:r>
    </w:p>
    <w:p w14:paraId="2A73783F" w14:textId="45CD5C35" w:rsidR="00FF7B9E" w:rsidRPr="00FF7B9E" w:rsidRDefault="00FF7B9E" w:rsidP="00FF7B9E">
      <w:pPr>
        <w:spacing w:after="240"/>
        <w:rPr>
          <w:rFonts w:cs="Times New Roman"/>
          <w:sz w:val="24"/>
          <w:szCs w:val="24"/>
        </w:rPr>
      </w:pPr>
    </w:p>
    <w:tbl>
      <w:tblPr>
        <w:tblW w:w="8930" w:type="dxa"/>
        <w:tblInd w:w="299" w:type="dxa"/>
        <w:tblCellMar>
          <w:top w:w="15" w:type="dxa"/>
          <w:left w:w="15" w:type="dxa"/>
          <w:bottom w:w="15" w:type="dxa"/>
          <w:right w:w="15" w:type="dxa"/>
        </w:tblCellMar>
        <w:tblLook w:val="04A0" w:firstRow="1" w:lastRow="0" w:firstColumn="1" w:lastColumn="0" w:noHBand="0" w:noVBand="1"/>
      </w:tblPr>
      <w:tblGrid>
        <w:gridCol w:w="1676"/>
        <w:gridCol w:w="3627"/>
        <w:gridCol w:w="58"/>
        <w:gridCol w:w="3569"/>
      </w:tblGrid>
      <w:tr w:rsidR="00FB54EB" w:rsidRPr="00FB54EB" w14:paraId="319B03F1" w14:textId="77777777" w:rsidTr="00627355">
        <w:tc>
          <w:tcPr>
            <w:tcW w:w="8930" w:type="dxa"/>
            <w:gridSpan w:val="4"/>
            <w:tcBorders>
              <w:top w:val="single" w:sz="8" w:space="0" w:color="000000"/>
              <w:left w:val="single" w:sz="8" w:space="0" w:color="000000"/>
              <w:bottom w:val="single" w:sz="8" w:space="0" w:color="000000"/>
              <w:right w:val="single" w:sz="8" w:space="0" w:color="000000"/>
            </w:tcBorders>
          </w:tcPr>
          <w:p w14:paraId="193216A2" w14:textId="56AC20C3" w:rsidR="00FB54EB" w:rsidRPr="00FB54EB" w:rsidRDefault="00FB54EB" w:rsidP="00FB54EB">
            <w:pPr>
              <w:keepNext/>
              <w:keepLines/>
              <w:outlineLvl w:val="0"/>
              <w:rPr>
                <w:rFonts w:ascii="Franklin Gothic Book" w:eastAsiaTheme="majorEastAsia" w:hAnsi="Franklin Gothic Book" w:cs="Times New Roman"/>
                <w:b/>
                <w:bCs/>
                <w:iCs/>
                <w:sz w:val="24"/>
                <w:szCs w:val="24"/>
              </w:rPr>
            </w:pPr>
            <w:r w:rsidRPr="00FB54EB">
              <w:rPr>
                <w:rFonts w:eastAsiaTheme="majorEastAsia" w:cs="Times New Roman"/>
                <w:b/>
                <w:iCs/>
                <w:sz w:val="24"/>
                <w:szCs w:val="24"/>
              </w:rPr>
              <w:t>1</w:t>
            </w:r>
            <w:r>
              <w:rPr>
                <w:rFonts w:eastAsiaTheme="majorEastAsia" w:cs="Times New Roman"/>
                <w:b/>
                <w:iCs/>
                <w:sz w:val="24"/>
                <w:szCs w:val="24"/>
              </w:rPr>
              <w:t>0</w:t>
            </w:r>
            <w:r w:rsidRPr="00FB54EB">
              <w:rPr>
                <w:rFonts w:eastAsiaTheme="majorEastAsia" w:cs="Times New Roman"/>
                <w:b/>
                <w:iCs/>
                <w:sz w:val="24"/>
                <w:szCs w:val="24"/>
              </w:rPr>
              <w:t>. Sammenfattende skema</w:t>
            </w:r>
          </w:p>
        </w:tc>
      </w:tr>
      <w:tr w:rsidR="00FB54EB" w:rsidRPr="00FB54EB" w14:paraId="11A53D79"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22F30C25" w14:textId="77777777" w:rsidR="00FB54EB" w:rsidRPr="00FB54EB" w:rsidRDefault="00FB54EB" w:rsidP="00FB54EB">
            <w:pPr>
              <w:spacing w:after="240"/>
              <w:ind w:firstLine="238"/>
              <w:contextualSpacing/>
              <w:jc w:val="left"/>
              <w:rPr>
                <w:rFonts w:eastAsia="Times New Roman"/>
                <w:color w:val="000000"/>
                <w:sz w:val="24"/>
                <w:szCs w:val="24"/>
                <w:lang w:eastAsia="da-DK"/>
              </w:rPr>
            </w:pPr>
            <w:r w:rsidRPr="00FB54EB">
              <w:rPr>
                <w:rFonts w:eastAsia="Times New Roman"/>
                <w:color w:val="000000"/>
                <w:sz w:val="24"/>
                <w:szCs w:val="24"/>
                <w:lang w:eastAsia="da-DK"/>
              </w:rPr>
              <w:t> </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125A7E1" w14:textId="77777777" w:rsidR="00FB54EB" w:rsidRPr="00FB54EB" w:rsidRDefault="00FB54EB" w:rsidP="00FB54EB">
            <w:pPr>
              <w:spacing w:after="240"/>
              <w:ind w:firstLine="238"/>
              <w:contextualSpacing/>
              <w:jc w:val="center"/>
              <w:rPr>
                <w:rFonts w:eastAsia="Times New Roman"/>
                <w:color w:val="000000"/>
                <w:sz w:val="24"/>
                <w:szCs w:val="24"/>
                <w:lang w:eastAsia="da-DK"/>
              </w:rPr>
            </w:pPr>
            <w:r w:rsidRPr="00FB54EB">
              <w:rPr>
                <w:rFonts w:eastAsia="Times New Roman"/>
                <w:color w:val="000000"/>
                <w:sz w:val="24"/>
                <w:szCs w:val="24"/>
                <w:lang w:eastAsia="da-DK"/>
              </w:rPr>
              <w:t>Positive konsekvenser/</w:t>
            </w:r>
            <w:proofErr w:type="spellStart"/>
            <w:r w:rsidRPr="00FB54EB">
              <w:rPr>
                <w:rFonts w:eastAsia="Times New Roman"/>
                <w:color w:val="000000"/>
                <w:sz w:val="24"/>
                <w:szCs w:val="24"/>
                <w:lang w:eastAsia="da-DK"/>
              </w:rPr>
              <w:t>mindreudgifter</w:t>
            </w:r>
            <w:proofErr w:type="spellEnd"/>
            <w:r w:rsidRPr="00FB54EB">
              <w:rPr>
                <w:rFonts w:eastAsia="Times New Roman"/>
                <w:color w:val="000000"/>
                <w:sz w:val="24"/>
                <w:szCs w:val="24"/>
                <w:lang w:eastAsia="da-DK"/>
              </w:rPr>
              <w:t xml:space="preserve"> (hvis ja, angiv omfang/hvis nej, anfør »Ingen«)</w:t>
            </w:r>
          </w:p>
        </w:tc>
        <w:tc>
          <w:tcPr>
            <w:tcW w:w="3569" w:type="dxa"/>
            <w:tcBorders>
              <w:top w:val="single" w:sz="8" w:space="0" w:color="000000"/>
              <w:left w:val="single" w:sz="8" w:space="0" w:color="000000"/>
              <w:bottom w:val="single" w:sz="8" w:space="0" w:color="000000"/>
              <w:right w:val="single" w:sz="8" w:space="0" w:color="000000"/>
            </w:tcBorders>
            <w:hideMark/>
          </w:tcPr>
          <w:p w14:paraId="7CA644AB" w14:textId="77777777" w:rsidR="00FB54EB" w:rsidRPr="00FB54EB" w:rsidRDefault="00FB54EB" w:rsidP="00FB54EB">
            <w:pPr>
              <w:spacing w:after="240"/>
              <w:ind w:firstLine="238"/>
              <w:contextualSpacing/>
              <w:jc w:val="center"/>
              <w:rPr>
                <w:rFonts w:ascii="Tahoma" w:eastAsia="Times New Roman" w:hAnsi="Tahoma" w:cs="Tahoma"/>
                <w:color w:val="000000"/>
                <w:sz w:val="24"/>
                <w:szCs w:val="24"/>
                <w:lang w:eastAsia="da-DK"/>
              </w:rPr>
            </w:pPr>
            <w:r w:rsidRPr="00FB54EB">
              <w:rPr>
                <w:rFonts w:eastAsia="Times New Roman" w:cs="Times New Roman"/>
                <w:color w:val="000000"/>
                <w:sz w:val="24"/>
                <w:szCs w:val="24"/>
                <w:lang w:eastAsia="da-DK"/>
              </w:rPr>
              <w:t>Negative konsekvenser/merudgifter (hvis ja, angiv omfang/hvis nej, anfør »Ingen«)</w:t>
            </w:r>
          </w:p>
        </w:tc>
      </w:tr>
      <w:tr w:rsidR="00FB54EB" w:rsidRPr="00FB54EB" w14:paraId="2A139453"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0B340D6C" w14:textId="77777777" w:rsidR="00FB54EB" w:rsidRPr="00FB54EB" w:rsidRDefault="00FB54EB" w:rsidP="00FB54EB">
            <w:pPr>
              <w:spacing w:after="240"/>
              <w:contextualSpacing/>
              <w:rPr>
                <w:rFonts w:eastAsia="Times New Roman"/>
                <w:color w:val="000000"/>
                <w:sz w:val="24"/>
                <w:szCs w:val="24"/>
                <w:lang w:eastAsia="da-DK"/>
              </w:rPr>
            </w:pPr>
            <w:r w:rsidRPr="00FB54EB">
              <w:rPr>
                <w:rFonts w:eastAsia="Times New Roman"/>
                <w:color w:val="000000"/>
                <w:sz w:val="24"/>
                <w:szCs w:val="24"/>
                <w:lang w:eastAsia="da-DK"/>
              </w:rPr>
              <w:t>Økonomiske 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D2408E4" w14:textId="77777777" w:rsidR="00FB54EB" w:rsidRDefault="00FB54EB" w:rsidP="00FB54EB">
            <w:pPr>
              <w:spacing w:after="240"/>
              <w:ind w:firstLine="238"/>
              <w:contextualSpacing/>
              <w:jc w:val="left"/>
              <w:rPr>
                <w:rFonts w:eastAsia="Times New Roman"/>
                <w:color w:val="000000"/>
                <w:sz w:val="24"/>
                <w:szCs w:val="24"/>
                <w:lang w:eastAsia="da-DK"/>
              </w:rPr>
            </w:pPr>
          </w:p>
          <w:p w14:paraId="13645F5E" w14:textId="77777777" w:rsidR="00FB54EB" w:rsidRDefault="00FB54EB" w:rsidP="00FB54EB">
            <w:pPr>
              <w:spacing w:after="240"/>
              <w:ind w:firstLine="238"/>
              <w:contextualSpacing/>
              <w:jc w:val="left"/>
              <w:rPr>
                <w:rFonts w:eastAsia="Times New Roman"/>
                <w:color w:val="000000"/>
                <w:sz w:val="24"/>
                <w:szCs w:val="24"/>
                <w:lang w:eastAsia="da-DK"/>
              </w:rPr>
            </w:pPr>
          </w:p>
          <w:p w14:paraId="66F3A021" w14:textId="308FB01F"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423FBBD6" w14:textId="77777777" w:rsidR="00FB54EB" w:rsidRDefault="00FB54EB" w:rsidP="00FB54EB">
            <w:pPr>
              <w:spacing w:after="240"/>
              <w:ind w:firstLine="238"/>
              <w:contextualSpacing/>
              <w:jc w:val="center"/>
              <w:rPr>
                <w:rFonts w:eastAsia="Times New Roman"/>
                <w:color w:val="000000"/>
                <w:sz w:val="24"/>
                <w:szCs w:val="24"/>
                <w:lang w:eastAsia="da-DK"/>
              </w:rPr>
            </w:pPr>
          </w:p>
          <w:p w14:paraId="48486394" w14:textId="77777777" w:rsidR="00FB54EB" w:rsidRDefault="00FB54EB" w:rsidP="00FB54EB">
            <w:pPr>
              <w:spacing w:after="240"/>
              <w:ind w:firstLine="238"/>
              <w:contextualSpacing/>
              <w:jc w:val="center"/>
              <w:rPr>
                <w:rFonts w:eastAsia="Times New Roman"/>
                <w:color w:val="000000"/>
                <w:sz w:val="24"/>
                <w:szCs w:val="24"/>
                <w:lang w:eastAsia="da-DK"/>
              </w:rPr>
            </w:pPr>
          </w:p>
          <w:p w14:paraId="2B52FF29" w14:textId="0F144993" w:rsidR="00FB54EB" w:rsidRPr="00FB54EB" w:rsidRDefault="002D2F4A"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 xml:space="preserve"> Ikke væsentlige omkostninger</w:t>
            </w:r>
          </w:p>
        </w:tc>
      </w:tr>
      <w:tr w:rsidR="00FB54EB" w:rsidRPr="00FB54EB" w14:paraId="73776621"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4C2DF21E"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Implementeringskonsekvenser for stat, kommuner og regioner</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6A584C42" w14:textId="77777777" w:rsidR="00FB54EB" w:rsidRDefault="00FB54EB" w:rsidP="00FB54EB">
            <w:pPr>
              <w:spacing w:after="240"/>
              <w:ind w:firstLine="238"/>
              <w:contextualSpacing/>
              <w:jc w:val="center"/>
              <w:rPr>
                <w:rFonts w:eastAsia="Times New Roman"/>
                <w:color w:val="000000"/>
                <w:sz w:val="24"/>
                <w:szCs w:val="24"/>
                <w:lang w:eastAsia="da-DK"/>
              </w:rPr>
            </w:pPr>
          </w:p>
          <w:p w14:paraId="029BB8CB" w14:textId="77777777" w:rsidR="00FB54EB" w:rsidRDefault="00FB54EB" w:rsidP="00FB54EB">
            <w:pPr>
              <w:spacing w:after="240"/>
              <w:ind w:firstLine="238"/>
              <w:contextualSpacing/>
              <w:jc w:val="center"/>
              <w:rPr>
                <w:rFonts w:eastAsia="Times New Roman"/>
                <w:color w:val="000000"/>
                <w:sz w:val="24"/>
                <w:szCs w:val="24"/>
                <w:lang w:eastAsia="da-DK"/>
              </w:rPr>
            </w:pPr>
          </w:p>
          <w:p w14:paraId="19AE4B0F" w14:textId="0B84D994"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33AC500A" w14:textId="77777777" w:rsidR="00FB54EB" w:rsidRDefault="00FB54EB" w:rsidP="00FB54EB">
            <w:pPr>
              <w:spacing w:after="240"/>
              <w:ind w:firstLine="238"/>
              <w:contextualSpacing/>
              <w:jc w:val="center"/>
              <w:rPr>
                <w:rFonts w:eastAsia="Times New Roman"/>
                <w:color w:val="000000"/>
                <w:sz w:val="24"/>
                <w:szCs w:val="24"/>
                <w:lang w:eastAsia="da-DK"/>
              </w:rPr>
            </w:pPr>
          </w:p>
          <w:p w14:paraId="52FF06C5" w14:textId="77777777" w:rsidR="00FB54EB" w:rsidRDefault="00FB54EB" w:rsidP="00FB54EB">
            <w:pPr>
              <w:spacing w:after="240"/>
              <w:ind w:firstLine="238"/>
              <w:contextualSpacing/>
              <w:jc w:val="center"/>
              <w:rPr>
                <w:rFonts w:eastAsia="Times New Roman"/>
                <w:color w:val="000000"/>
                <w:sz w:val="24"/>
                <w:szCs w:val="24"/>
                <w:lang w:eastAsia="da-DK"/>
              </w:rPr>
            </w:pPr>
          </w:p>
          <w:p w14:paraId="4E822FFA" w14:textId="0E4D9FFB"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r>
      <w:tr w:rsidR="00FB54EB" w:rsidRPr="00FB54EB" w14:paraId="5887D7BD"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4695F7CC"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lastRenderedPageBreak/>
              <w:t>Økonomiske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10C815D4" w14:textId="77777777" w:rsidR="00FB54EB" w:rsidRDefault="00FB54EB" w:rsidP="00FB54EB">
            <w:pPr>
              <w:spacing w:after="240"/>
              <w:ind w:firstLine="238"/>
              <w:contextualSpacing/>
              <w:jc w:val="center"/>
              <w:rPr>
                <w:rFonts w:eastAsia="Times New Roman"/>
                <w:color w:val="000000"/>
                <w:sz w:val="24"/>
                <w:szCs w:val="24"/>
                <w:lang w:eastAsia="da-DK"/>
              </w:rPr>
            </w:pPr>
          </w:p>
          <w:p w14:paraId="22937580" w14:textId="69A59814" w:rsid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p w14:paraId="02503809" w14:textId="6DF31C59" w:rsidR="00FB54EB" w:rsidRPr="00FB54EB" w:rsidRDefault="00FB54EB" w:rsidP="00FB54EB">
            <w:pPr>
              <w:spacing w:after="240"/>
              <w:ind w:firstLine="238"/>
              <w:contextualSpacing/>
              <w:jc w:val="center"/>
              <w:rPr>
                <w:rFonts w:eastAsia="Times New Roman"/>
                <w:color w:val="000000"/>
                <w:sz w:val="24"/>
                <w:szCs w:val="24"/>
                <w:lang w:eastAsia="da-DK"/>
              </w:rPr>
            </w:pPr>
          </w:p>
        </w:tc>
        <w:tc>
          <w:tcPr>
            <w:tcW w:w="3569" w:type="dxa"/>
            <w:tcBorders>
              <w:top w:val="single" w:sz="8" w:space="0" w:color="000000"/>
              <w:left w:val="single" w:sz="8" w:space="0" w:color="000000"/>
              <w:bottom w:val="single" w:sz="8" w:space="0" w:color="000000"/>
              <w:right w:val="single" w:sz="8" w:space="0" w:color="000000"/>
            </w:tcBorders>
            <w:hideMark/>
          </w:tcPr>
          <w:p w14:paraId="32A3F31E" w14:textId="77777777" w:rsidR="00FB54EB" w:rsidRDefault="00FB54EB" w:rsidP="00FB54EB">
            <w:pPr>
              <w:spacing w:after="240"/>
              <w:ind w:firstLine="238"/>
              <w:contextualSpacing/>
              <w:jc w:val="left"/>
              <w:rPr>
                <w:rFonts w:eastAsia="Times New Roman"/>
                <w:color w:val="000000"/>
                <w:sz w:val="24"/>
                <w:szCs w:val="24"/>
                <w:lang w:eastAsia="da-DK"/>
              </w:rPr>
            </w:pPr>
          </w:p>
          <w:p w14:paraId="5A826C76" w14:textId="18574ECB" w:rsidR="00FB54EB" w:rsidRPr="00FB54EB" w:rsidRDefault="0029075F" w:rsidP="00FB54EB">
            <w:pPr>
              <w:spacing w:after="240"/>
              <w:ind w:firstLine="238"/>
              <w:contextualSpacing/>
              <w:jc w:val="center"/>
              <w:rPr>
                <w:rFonts w:eastAsia="Times New Roman"/>
                <w:color w:val="000000"/>
                <w:sz w:val="24"/>
                <w:szCs w:val="24"/>
                <w:lang w:eastAsia="da-DK"/>
              </w:rPr>
            </w:pPr>
            <w:r w:rsidRPr="0029075F">
              <w:rPr>
                <w:rFonts w:eastAsia="Times New Roman"/>
                <w:color w:val="000000"/>
                <w:sz w:val="24"/>
                <w:szCs w:val="24"/>
                <w:lang w:eastAsia="da-DK"/>
              </w:rPr>
              <w:t>Udmøntning af lovforslagets bemyndigelse vil få økonomiske konsekvenser for de virksomheder, der udfører arbejde som nedrivning, reparation og vedligeholdelse, hvor der potentielt kan forekomme asbest. Dog relativt begrænsede økonomiske konsekvenser.</w:t>
            </w:r>
          </w:p>
        </w:tc>
      </w:tr>
      <w:tr w:rsidR="00FB54EB" w:rsidRPr="00FB54EB" w14:paraId="7890572E"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6E6C5B94"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Administrative konsekvenser for erhvervslivet m.v.</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011D3396" w14:textId="77777777" w:rsidR="00FB54EB" w:rsidRDefault="00FB54EB" w:rsidP="00FB54EB">
            <w:pPr>
              <w:spacing w:after="240"/>
              <w:ind w:firstLine="238"/>
              <w:contextualSpacing/>
              <w:jc w:val="center"/>
              <w:rPr>
                <w:rFonts w:eastAsia="Times New Roman"/>
                <w:color w:val="000000"/>
                <w:sz w:val="24"/>
                <w:szCs w:val="24"/>
                <w:lang w:eastAsia="da-DK"/>
              </w:rPr>
            </w:pPr>
          </w:p>
          <w:p w14:paraId="4E022883" w14:textId="654AC966"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13B3A2B5" w14:textId="77777777" w:rsidR="00FB54EB" w:rsidRDefault="00FB54EB" w:rsidP="00FB54EB">
            <w:pPr>
              <w:spacing w:after="240"/>
              <w:ind w:firstLine="238"/>
              <w:contextualSpacing/>
              <w:jc w:val="left"/>
              <w:rPr>
                <w:rFonts w:eastAsia="Times New Roman"/>
                <w:color w:val="000000"/>
                <w:sz w:val="24"/>
                <w:szCs w:val="24"/>
                <w:lang w:eastAsia="da-DK"/>
              </w:rPr>
            </w:pPr>
          </w:p>
          <w:p w14:paraId="43D90B39" w14:textId="231A21C7" w:rsidR="00FB54EB" w:rsidRPr="00FB54EB" w:rsidRDefault="0029075F" w:rsidP="00FB54EB">
            <w:pPr>
              <w:spacing w:after="240"/>
              <w:ind w:firstLine="238"/>
              <w:contextualSpacing/>
              <w:jc w:val="center"/>
              <w:rPr>
                <w:rFonts w:eastAsia="Times New Roman"/>
                <w:color w:val="000000"/>
                <w:sz w:val="24"/>
                <w:szCs w:val="24"/>
                <w:lang w:eastAsia="da-DK"/>
              </w:rPr>
            </w:pPr>
            <w:r>
              <w:rPr>
                <w:rFonts w:eastAsia="Calibri" w:cs="Times New Roman"/>
                <w:sz w:val="24"/>
                <w:szCs w:val="24"/>
              </w:rPr>
              <w:t xml:space="preserve"> Udmøntning af lovforslagets bemyndigelse vil få administrative konsekvenser for de virksomheder, der udfører arbejde som nedrivning, reparation og vedligeholdelse, hvor der potentielt kan forekomme asbest. Dog relativt begrænsede administrative konsekvenser.</w:t>
            </w:r>
          </w:p>
        </w:tc>
      </w:tr>
      <w:tr w:rsidR="00FB54EB" w:rsidRPr="00FB54EB" w14:paraId="265E8201" w14:textId="77777777" w:rsidTr="00627355">
        <w:tc>
          <w:tcPr>
            <w:tcW w:w="1676" w:type="dxa"/>
            <w:tcBorders>
              <w:top w:val="single" w:sz="8" w:space="0" w:color="000000"/>
              <w:left w:val="single" w:sz="8" w:space="0" w:color="000000"/>
              <w:bottom w:val="single" w:sz="8" w:space="0" w:color="000000"/>
              <w:right w:val="single" w:sz="8" w:space="0" w:color="000000"/>
            </w:tcBorders>
            <w:hideMark/>
          </w:tcPr>
          <w:p w14:paraId="546D78DE"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Administrative konsekvenser for borgerne</w:t>
            </w:r>
          </w:p>
        </w:tc>
        <w:tc>
          <w:tcPr>
            <w:tcW w:w="3685" w:type="dxa"/>
            <w:gridSpan w:val="2"/>
            <w:tcBorders>
              <w:top w:val="single" w:sz="8" w:space="0" w:color="000000"/>
              <w:left w:val="single" w:sz="8" w:space="0" w:color="000000"/>
              <w:bottom w:val="single" w:sz="8" w:space="0" w:color="000000"/>
              <w:right w:val="single" w:sz="8" w:space="0" w:color="000000"/>
            </w:tcBorders>
            <w:hideMark/>
          </w:tcPr>
          <w:p w14:paraId="5BD60AA3" w14:textId="77777777" w:rsidR="00FB54EB" w:rsidRDefault="00FB54EB" w:rsidP="00FB54EB">
            <w:pPr>
              <w:spacing w:after="240"/>
              <w:ind w:firstLine="238"/>
              <w:contextualSpacing/>
              <w:jc w:val="left"/>
              <w:rPr>
                <w:rFonts w:eastAsia="Times New Roman"/>
                <w:color w:val="000000"/>
                <w:sz w:val="24"/>
                <w:szCs w:val="24"/>
                <w:lang w:eastAsia="da-DK"/>
              </w:rPr>
            </w:pPr>
          </w:p>
          <w:p w14:paraId="06C2D1EA" w14:textId="5E0408E4"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hideMark/>
          </w:tcPr>
          <w:p w14:paraId="2602B82D" w14:textId="77777777" w:rsidR="00FB54EB" w:rsidRDefault="00FB54EB" w:rsidP="00FB54EB">
            <w:pPr>
              <w:spacing w:after="240"/>
              <w:ind w:firstLine="238"/>
              <w:contextualSpacing/>
              <w:jc w:val="center"/>
              <w:rPr>
                <w:rFonts w:eastAsia="Times New Roman"/>
                <w:color w:val="000000"/>
                <w:sz w:val="24"/>
                <w:szCs w:val="24"/>
                <w:lang w:eastAsia="da-DK"/>
              </w:rPr>
            </w:pPr>
          </w:p>
          <w:p w14:paraId="7AFBBBBF" w14:textId="43AEDA8A"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r>
      <w:tr w:rsidR="00FB54EB" w:rsidRPr="00FB54EB" w14:paraId="6F04732F" w14:textId="77777777" w:rsidTr="00627355">
        <w:tc>
          <w:tcPr>
            <w:tcW w:w="1676" w:type="dxa"/>
            <w:tcBorders>
              <w:top w:val="single" w:sz="8" w:space="0" w:color="000000"/>
              <w:left w:val="single" w:sz="8" w:space="0" w:color="000000"/>
              <w:bottom w:val="single" w:sz="8" w:space="0" w:color="000000"/>
              <w:right w:val="single" w:sz="8" w:space="0" w:color="000000"/>
            </w:tcBorders>
          </w:tcPr>
          <w:p w14:paraId="12AE1E55"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Klimamæssige konsekvenser</w:t>
            </w:r>
          </w:p>
        </w:tc>
        <w:tc>
          <w:tcPr>
            <w:tcW w:w="3685" w:type="dxa"/>
            <w:gridSpan w:val="2"/>
            <w:tcBorders>
              <w:top w:val="single" w:sz="8" w:space="0" w:color="000000"/>
              <w:left w:val="single" w:sz="8" w:space="0" w:color="000000"/>
              <w:bottom w:val="single" w:sz="8" w:space="0" w:color="000000"/>
              <w:right w:val="single" w:sz="8" w:space="0" w:color="000000"/>
            </w:tcBorders>
          </w:tcPr>
          <w:p w14:paraId="3CCE5EAC" w14:textId="567898D2"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8" w:space="0" w:color="000000"/>
              <w:right w:val="single" w:sz="8" w:space="0" w:color="000000"/>
            </w:tcBorders>
          </w:tcPr>
          <w:p w14:paraId="5412C460" w14:textId="79CC520A" w:rsidR="00FB54EB" w:rsidRPr="00FB54EB" w:rsidRDefault="00FB54EB" w:rsidP="00FB54EB">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r>
      <w:tr w:rsidR="00FB54EB" w:rsidRPr="00FB54EB" w14:paraId="6FB0222A" w14:textId="77777777" w:rsidTr="00627355">
        <w:tc>
          <w:tcPr>
            <w:tcW w:w="1676" w:type="dxa"/>
            <w:tcBorders>
              <w:top w:val="single" w:sz="8" w:space="0" w:color="000000"/>
              <w:left w:val="single" w:sz="8" w:space="0" w:color="000000"/>
              <w:bottom w:val="single" w:sz="18" w:space="0" w:color="auto"/>
              <w:right w:val="single" w:sz="8" w:space="0" w:color="000000"/>
            </w:tcBorders>
            <w:hideMark/>
          </w:tcPr>
          <w:p w14:paraId="18C3C9E3"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Miljø- og naturmæssige konsekvenser</w:t>
            </w:r>
          </w:p>
        </w:tc>
        <w:tc>
          <w:tcPr>
            <w:tcW w:w="3685" w:type="dxa"/>
            <w:gridSpan w:val="2"/>
            <w:tcBorders>
              <w:top w:val="single" w:sz="8" w:space="0" w:color="000000"/>
              <w:left w:val="single" w:sz="8" w:space="0" w:color="000000"/>
              <w:bottom w:val="single" w:sz="18" w:space="0" w:color="auto"/>
              <w:right w:val="single" w:sz="8" w:space="0" w:color="000000"/>
            </w:tcBorders>
            <w:hideMark/>
          </w:tcPr>
          <w:p w14:paraId="2A24CE07" w14:textId="717166DF" w:rsidR="00FB54EB" w:rsidRPr="00FB54EB" w:rsidRDefault="0029075F" w:rsidP="0029075F">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c>
          <w:tcPr>
            <w:tcW w:w="3569" w:type="dxa"/>
            <w:tcBorders>
              <w:top w:val="single" w:sz="8" w:space="0" w:color="000000"/>
              <w:left w:val="single" w:sz="8" w:space="0" w:color="000000"/>
              <w:bottom w:val="single" w:sz="18" w:space="0" w:color="auto"/>
              <w:right w:val="single" w:sz="8" w:space="0" w:color="000000"/>
            </w:tcBorders>
            <w:hideMark/>
          </w:tcPr>
          <w:p w14:paraId="61009DBC" w14:textId="5239063D" w:rsidR="00FB54EB" w:rsidRPr="00FB54EB" w:rsidRDefault="0029075F" w:rsidP="0029075F">
            <w:pPr>
              <w:spacing w:after="240"/>
              <w:ind w:firstLine="238"/>
              <w:contextualSpacing/>
              <w:jc w:val="center"/>
              <w:rPr>
                <w:rFonts w:eastAsia="Times New Roman"/>
                <w:color w:val="000000"/>
                <w:sz w:val="24"/>
                <w:szCs w:val="24"/>
                <w:lang w:eastAsia="da-DK"/>
              </w:rPr>
            </w:pPr>
            <w:r>
              <w:rPr>
                <w:rFonts w:eastAsia="Times New Roman"/>
                <w:color w:val="000000"/>
                <w:sz w:val="24"/>
                <w:szCs w:val="24"/>
                <w:lang w:eastAsia="da-DK"/>
              </w:rPr>
              <w:t>Ingen</w:t>
            </w:r>
          </w:p>
        </w:tc>
      </w:tr>
      <w:tr w:rsidR="00FB54EB" w:rsidRPr="00FB54EB" w14:paraId="740172C9" w14:textId="77777777" w:rsidTr="00627355">
        <w:tc>
          <w:tcPr>
            <w:tcW w:w="1676" w:type="dxa"/>
            <w:tcBorders>
              <w:top w:val="single" w:sz="18" w:space="0" w:color="auto"/>
              <w:left w:val="single" w:sz="8" w:space="0" w:color="000000"/>
              <w:bottom w:val="single" w:sz="4" w:space="0" w:color="auto"/>
              <w:right w:val="single" w:sz="8" w:space="0" w:color="000000"/>
            </w:tcBorders>
            <w:hideMark/>
          </w:tcPr>
          <w:p w14:paraId="531BA289"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Forholdet til EU-retten</w:t>
            </w:r>
          </w:p>
        </w:tc>
        <w:tc>
          <w:tcPr>
            <w:tcW w:w="7254" w:type="dxa"/>
            <w:gridSpan w:val="3"/>
            <w:tcBorders>
              <w:top w:val="single" w:sz="18" w:space="0" w:color="auto"/>
              <w:left w:val="single" w:sz="8" w:space="0" w:color="000000"/>
              <w:bottom w:val="single" w:sz="4" w:space="0" w:color="auto"/>
              <w:right w:val="single" w:sz="8" w:space="0" w:color="000000"/>
            </w:tcBorders>
            <w:hideMark/>
          </w:tcPr>
          <w:p w14:paraId="66375695" w14:textId="489A326E" w:rsidR="00FB54EB" w:rsidRPr="00FB54EB" w:rsidRDefault="00FB54EB" w:rsidP="008D4DF2">
            <w:pPr>
              <w:spacing w:after="240"/>
              <w:contextualSpacing/>
              <w:jc w:val="left"/>
              <w:rPr>
                <w:sz w:val="24"/>
                <w:szCs w:val="24"/>
              </w:rPr>
            </w:pPr>
            <w:r w:rsidRPr="00FB54EB">
              <w:rPr>
                <w:sz w:val="24"/>
                <w:szCs w:val="24"/>
              </w:rPr>
              <w:t xml:space="preserve">Lovforslaget indeholder ingen </w:t>
            </w:r>
            <w:proofErr w:type="spellStart"/>
            <w:r w:rsidRPr="00FB54EB">
              <w:rPr>
                <w:sz w:val="24"/>
                <w:szCs w:val="24"/>
              </w:rPr>
              <w:t>EU-retlige</w:t>
            </w:r>
            <w:proofErr w:type="spellEnd"/>
            <w:r w:rsidRPr="00FB54EB">
              <w:rPr>
                <w:sz w:val="24"/>
                <w:szCs w:val="24"/>
              </w:rPr>
              <w:t xml:space="preserve"> aspekter.</w:t>
            </w:r>
          </w:p>
        </w:tc>
      </w:tr>
      <w:tr w:rsidR="00FB54EB" w:rsidRPr="00FB54EB" w14:paraId="6166BE37" w14:textId="77777777" w:rsidTr="00627355">
        <w:tc>
          <w:tcPr>
            <w:tcW w:w="1676" w:type="dxa"/>
            <w:tcBorders>
              <w:top w:val="single" w:sz="4" w:space="0" w:color="auto"/>
              <w:left w:val="single" w:sz="8" w:space="0" w:color="000000"/>
              <w:bottom w:val="single" w:sz="8" w:space="0" w:color="000000"/>
              <w:right w:val="single" w:sz="8" w:space="0" w:color="auto"/>
            </w:tcBorders>
          </w:tcPr>
          <w:p w14:paraId="769D6EFE" w14:textId="77777777" w:rsidR="00FB54EB" w:rsidRPr="00FB54EB" w:rsidRDefault="00FB54EB" w:rsidP="00FB54EB">
            <w:pPr>
              <w:spacing w:after="240"/>
              <w:contextualSpacing/>
              <w:jc w:val="left"/>
              <w:rPr>
                <w:rFonts w:eastAsia="Times New Roman"/>
                <w:color w:val="000000"/>
                <w:sz w:val="24"/>
                <w:szCs w:val="24"/>
                <w:lang w:eastAsia="da-DK"/>
              </w:rPr>
            </w:pPr>
            <w:r w:rsidRPr="00FB54EB">
              <w:rPr>
                <w:rFonts w:eastAsia="Times New Roman"/>
                <w:color w:val="000000"/>
                <w:sz w:val="24"/>
                <w:szCs w:val="24"/>
                <w:lang w:eastAsia="da-DK"/>
              </w:rPr>
              <w:t>Er i strid med de fem principper for implementering af erhvervsrettet EU-regulering (der i relevant omfang også gælder ved implementering af ikke-erhvervsrettet EU-regulering) (sæt X)</w:t>
            </w:r>
          </w:p>
        </w:tc>
        <w:tc>
          <w:tcPr>
            <w:tcW w:w="3627" w:type="dxa"/>
            <w:tcBorders>
              <w:top w:val="single" w:sz="8" w:space="0" w:color="auto"/>
              <w:left w:val="single" w:sz="8" w:space="0" w:color="auto"/>
              <w:bottom w:val="single" w:sz="8" w:space="0" w:color="auto"/>
            </w:tcBorders>
          </w:tcPr>
          <w:p w14:paraId="10B80EB9" w14:textId="77777777" w:rsidR="00FB54EB" w:rsidRPr="00FB54EB" w:rsidRDefault="00FB54EB" w:rsidP="00FB54EB">
            <w:pPr>
              <w:spacing w:after="240"/>
              <w:ind w:firstLine="238"/>
              <w:contextualSpacing/>
              <w:jc w:val="center"/>
              <w:rPr>
                <w:sz w:val="24"/>
                <w:szCs w:val="24"/>
              </w:rPr>
            </w:pPr>
            <w:r w:rsidRPr="00FB54EB">
              <w:rPr>
                <w:sz w:val="24"/>
                <w:szCs w:val="24"/>
              </w:rPr>
              <w:t>Ja</w:t>
            </w:r>
          </w:p>
          <w:p w14:paraId="001979D8" w14:textId="77777777" w:rsidR="00FB54EB" w:rsidRPr="00FB54EB" w:rsidRDefault="00FB54EB" w:rsidP="00FB54EB">
            <w:pPr>
              <w:spacing w:after="240"/>
              <w:ind w:firstLine="238"/>
              <w:contextualSpacing/>
              <w:jc w:val="center"/>
              <w:rPr>
                <w:sz w:val="24"/>
                <w:szCs w:val="24"/>
              </w:rPr>
            </w:pPr>
          </w:p>
          <w:p w14:paraId="6C641481" w14:textId="19A6E511" w:rsidR="00FB54EB" w:rsidRPr="00FB54EB" w:rsidRDefault="00FB54EB" w:rsidP="00FB54EB">
            <w:pPr>
              <w:spacing w:after="240"/>
              <w:ind w:firstLine="238"/>
              <w:contextualSpacing/>
              <w:jc w:val="center"/>
              <w:rPr>
                <w:sz w:val="24"/>
                <w:szCs w:val="24"/>
              </w:rPr>
            </w:pPr>
          </w:p>
        </w:tc>
        <w:tc>
          <w:tcPr>
            <w:tcW w:w="3627" w:type="dxa"/>
            <w:gridSpan w:val="2"/>
            <w:tcBorders>
              <w:top w:val="single" w:sz="8" w:space="0" w:color="auto"/>
              <w:left w:val="nil"/>
              <w:bottom w:val="single" w:sz="8" w:space="0" w:color="auto"/>
              <w:right w:val="single" w:sz="8" w:space="0" w:color="auto"/>
            </w:tcBorders>
          </w:tcPr>
          <w:p w14:paraId="56738C2E" w14:textId="77777777" w:rsidR="00FB54EB" w:rsidRPr="00FB54EB" w:rsidRDefault="00FB54EB" w:rsidP="00FB54EB">
            <w:pPr>
              <w:tabs>
                <w:tab w:val="left" w:pos="1991"/>
                <w:tab w:val="left" w:pos="5522"/>
              </w:tabs>
              <w:spacing w:after="240"/>
              <w:contextualSpacing/>
              <w:jc w:val="center"/>
              <w:rPr>
                <w:sz w:val="24"/>
                <w:szCs w:val="24"/>
              </w:rPr>
            </w:pPr>
            <w:r w:rsidRPr="00FB54EB">
              <w:rPr>
                <w:sz w:val="24"/>
                <w:szCs w:val="24"/>
              </w:rPr>
              <w:t>Nej</w:t>
            </w:r>
          </w:p>
          <w:p w14:paraId="29D596CE" w14:textId="77777777" w:rsidR="00FB54EB" w:rsidRPr="00FB54EB" w:rsidRDefault="00FB54EB" w:rsidP="00FB54EB">
            <w:pPr>
              <w:tabs>
                <w:tab w:val="left" w:pos="1991"/>
                <w:tab w:val="left" w:pos="5522"/>
              </w:tabs>
              <w:spacing w:after="240"/>
              <w:contextualSpacing/>
              <w:jc w:val="center"/>
              <w:rPr>
                <w:sz w:val="24"/>
                <w:szCs w:val="24"/>
              </w:rPr>
            </w:pPr>
          </w:p>
          <w:p w14:paraId="02072B5D" w14:textId="4B22336D" w:rsidR="00FB54EB" w:rsidRPr="00FB54EB" w:rsidRDefault="00FB54EB" w:rsidP="00FB54EB">
            <w:pPr>
              <w:tabs>
                <w:tab w:val="left" w:pos="1991"/>
                <w:tab w:val="left" w:pos="5522"/>
              </w:tabs>
              <w:spacing w:after="240"/>
              <w:contextualSpacing/>
              <w:jc w:val="center"/>
              <w:rPr>
                <w:sz w:val="24"/>
                <w:szCs w:val="24"/>
              </w:rPr>
            </w:pPr>
            <w:r w:rsidRPr="00FB54EB">
              <w:rPr>
                <w:sz w:val="24"/>
                <w:szCs w:val="24"/>
              </w:rPr>
              <w:t>X</w:t>
            </w:r>
          </w:p>
          <w:p w14:paraId="6817500C" w14:textId="77777777" w:rsidR="00FB54EB" w:rsidRPr="00FB54EB" w:rsidRDefault="00FB54EB" w:rsidP="00FB54EB">
            <w:pPr>
              <w:tabs>
                <w:tab w:val="left" w:pos="2116"/>
              </w:tabs>
              <w:spacing w:after="240"/>
              <w:contextualSpacing/>
              <w:jc w:val="center"/>
              <w:rPr>
                <w:sz w:val="24"/>
                <w:szCs w:val="24"/>
              </w:rPr>
            </w:pPr>
          </w:p>
        </w:tc>
      </w:tr>
    </w:tbl>
    <w:p w14:paraId="5BDE6F0E" w14:textId="77777777" w:rsidR="00873270" w:rsidRPr="006E606B" w:rsidRDefault="00873270" w:rsidP="006043BA">
      <w:pPr>
        <w:spacing w:after="240"/>
        <w:rPr>
          <w:rFonts w:cs="Times New Roman"/>
          <w:sz w:val="24"/>
          <w:szCs w:val="24"/>
        </w:rPr>
      </w:pPr>
    </w:p>
    <w:p w14:paraId="315CD8EB" w14:textId="77777777" w:rsidR="006043BA" w:rsidRPr="006043BA" w:rsidRDefault="006043BA" w:rsidP="006043BA"/>
    <w:p w14:paraId="734E6054" w14:textId="7472F1F9" w:rsidR="006108C2" w:rsidRDefault="006108C2" w:rsidP="006108C2">
      <w:pPr>
        <w:spacing w:after="160"/>
        <w:ind w:firstLine="238"/>
        <w:jc w:val="center"/>
        <w:rPr>
          <w:rFonts w:eastAsia="Calibri" w:cs="Times New Roman"/>
          <w:i/>
          <w:sz w:val="24"/>
          <w:szCs w:val="24"/>
        </w:rPr>
      </w:pPr>
    </w:p>
    <w:p w14:paraId="78B9C47B" w14:textId="2CB6A2A9" w:rsidR="006043BA" w:rsidRDefault="006043BA" w:rsidP="006108C2">
      <w:pPr>
        <w:spacing w:after="160"/>
        <w:ind w:firstLine="238"/>
        <w:jc w:val="center"/>
        <w:rPr>
          <w:rFonts w:eastAsia="Calibri" w:cs="Times New Roman"/>
          <w:i/>
          <w:sz w:val="24"/>
          <w:szCs w:val="24"/>
        </w:rPr>
      </w:pPr>
    </w:p>
    <w:p w14:paraId="758B086E" w14:textId="77777777" w:rsidR="006043BA" w:rsidRPr="007244D5" w:rsidRDefault="006043BA" w:rsidP="006108C2">
      <w:pPr>
        <w:spacing w:after="160"/>
        <w:ind w:firstLine="238"/>
        <w:jc w:val="center"/>
        <w:rPr>
          <w:rFonts w:eastAsia="Calibri" w:cs="Times New Roman"/>
          <w:i/>
          <w:sz w:val="24"/>
          <w:szCs w:val="24"/>
        </w:rPr>
        <w:sectPr w:rsidR="006043BA" w:rsidRPr="007244D5" w:rsidSect="00DF743A">
          <w:pgSz w:w="11906" w:h="16838" w:code="9"/>
          <w:pgMar w:top="1418" w:right="3260" w:bottom="1134" w:left="1418" w:header="0" w:footer="709" w:gutter="0"/>
          <w:paperSrc w:first="15" w:other="15"/>
          <w:cols w:space="708"/>
          <w:titlePg/>
          <w:docGrid w:linePitch="360"/>
        </w:sectPr>
      </w:pPr>
    </w:p>
    <w:p w14:paraId="20D2736C"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lastRenderedPageBreak/>
        <w:t>Bemærkninger til lovforslagets enkelte bestemmelser</w:t>
      </w:r>
    </w:p>
    <w:p w14:paraId="44A2C848" w14:textId="77777777" w:rsidR="006108C2" w:rsidRPr="007244D5" w:rsidRDefault="006108C2" w:rsidP="006108C2">
      <w:pPr>
        <w:spacing w:after="240"/>
        <w:ind w:firstLine="238"/>
        <w:jc w:val="center"/>
        <w:rPr>
          <w:rFonts w:eastAsia="Calibri" w:cs="Times New Roman"/>
          <w:i/>
          <w:sz w:val="24"/>
          <w:szCs w:val="24"/>
        </w:rPr>
      </w:pPr>
      <w:r w:rsidRPr="007244D5">
        <w:rPr>
          <w:rFonts w:eastAsia="Calibri" w:cs="Times New Roman"/>
          <w:i/>
          <w:sz w:val="24"/>
          <w:szCs w:val="24"/>
        </w:rPr>
        <w:t>Til § 1</w:t>
      </w:r>
    </w:p>
    <w:p w14:paraId="4E75B615" w14:textId="000E5418" w:rsidR="007D3209" w:rsidRDefault="007D3209" w:rsidP="007D3209">
      <w:pPr>
        <w:spacing w:after="240"/>
        <w:rPr>
          <w:rFonts w:eastAsia="Calibri" w:cs="Times New Roman"/>
          <w:sz w:val="24"/>
          <w:szCs w:val="24"/>
        </w:rPr>
      </w:pPr>
      <w:r w:rsidRPr="00AC0C65">
        <w:rPr>
          <w:rFonts w:eastAsia="Calibri" w:cs="Times New Roman"/>
          <w:sz w:val="24"/>
          <w:szCs w:val="24"/>
        </w:rPr>
        <w:t>Til nr. 1</w:t>
      </w:r>
    </w:p>
    <w:p w14:paraId="59165712" w14:textId="77777777" w:rsidR="0029075F" w:rsidRDefault="0029075F" w:rsidP="0029075F">
      <w:pPr>
        <w:jc w:val="left"/>
        <w:rPr>
          <w:rFonts w:eastAsia="Calibri" w:cs="Times New Roman"/>
          <w:sz w:val="24"/>
          <w:szCs w:val="24"/>
        </w:rPr>
      </w:pPr>
      <w:r w:rsidRPr="00FD3DD5">
        <w:rPr>
          <w:rFonts w:eastAsia="Calibri" w:cs="Times New Roman"/>
          <w:sz w:val="24"/>
          <w:szCs w:val="24"/>
        </w:rPr>
        <w:t>Det fremgår af arbejdsmiljølovens §</w:t>
      </w:r>
      <w:r>
        <w:rPr>
          <w:rFonts w:eastAsia="Calibri" w:cs="Times New Roman"/>
          <w:sz w:val="24"/>
          <w:szCs w:val="24"/>
        </w:rPr>
        <w:t>§ 38-39</w:t>
      </w:r>
      <w:r w:rsidRPr="0009695E">
        <w:rPr>
          <w:sz w:val="24"/>
          <w:szCs w:val="20"/>
        </w:rPr>
        <w:t>, at arbejdet skal planlægges og tilrettelægges og udføres således, at det er sikkerheds- og sundhedsmæssigt fuldt forsvarligt</w:t>
      </w:r>
      <w:r>
        <w:rPr>
          <w:sz w:val="24"/>
          <w:szCs w:val="20"/>
        </w:rPr>
        <w:t xml:space="preserve">, og </w:t>
      </w:r>
      <w:r w:rsidRPr="0009695E">
        <w:rPr>
          <w:sz w:val="24"/>
          <w:szCs w:val="20"/>
        </w:rPr>
        <w:t xml:space="preserve">at beskæftigelsesministeren kan fastsætte nærmere regler om, hvilke krav der skal være opfyldt for, at arbejdet kan anses for fuldt forsvarligt planlagt, tilrettelagt og udført. </w:t>
      </w:r>
      <w:r>
        <w:rPr>
          <w:rFonts w:eastAsia="Calibri" w:cs="Times New Roman"/>
          <w:sz w:val="24"/>
          <w:szCs w:val="24"/>
        </w:rPr>
        <w:t xml:space="preserve">  </w:t>
      </w:r>
    </w:p>
    <w:p w14:paraId="49172BB9" w14:textId="77777777" w:rsidR="0029075F" w:rsidRDefault="0029075F" w:rsidP="0029075F">
      <w:pPr>
        <w:jc w:val="left"/>
        <w:rPr>
          <w:rFonts w:eastAsia="Calibri" w:cs="Times New Roman"/>
          <w:sz w:val="24"/>
          <w:szCs w:val="24"/>
        </w:rPr>
      </w:pPr>
    </w:p>
    <w:p w14:paraId="18F53E69" w14:textId="77777777" w:rsidR="0029075F" w:rsidRPr="007244D5" w:rsidRDefault="0029075F" w:rsidP="0029075F">
      <w:pPr>
        <w:spacing w:after="240"/>
        <w:rPr>
          <w:sz w:val="24"/>
          <w:szCs w:val="24"/>
        </w:rPr>
      </w:pPr>
      <w:r w:rsidRPr="00FD3DD5">
        <w:rPr>
          <w:sz w:val="24"/>
          <w:szCs w:val="24"/>
        </w:rPr>
        <w:t>Det foreslås, at der i </w:t>
      </w:r>
      <w:r w:rsidRPr="00FD3DD5">
        <w:rPr>
          <w:i/>
          <w:iCs/>
          <w:sz w:val="24"/>
          <w:szCs w:val="24"/>
        </w:rPr>
        <w:t xml:space="preserve">§ </w:t>
      </w:r>
      <w:r>
        <w:rPr>
          <w:i/>
          <w:iCs/>
          <w:sz w:val="24"/>
          <w:szCs w:val="24"/>
        </w:rPr>
        <w:t xml:space="preserve">15 a </w:t>
      </w:r>
      <w:r>
        <w:rPr>
          <w:sz w:val="24"/>
          <w:szCs w:val="24"/>
        </w:rPr>
        <w:t>i</w:t>
      </w:r>
      <w:r w:rsidRPr="00FD3DD5">
        <w:rPr>
          <w:sz w:val="24"/>
          <w:szCs w:val="24"/>
        </w:rPr>
        <w:t>ndsættes et n</w:t>
      </w:r>
      <w:r>
        <w:rPr>
          <w:sz w:val="24"/>
          <w:szCs w:val="24"/>
        </w:rPr>
        <w:t>yt stk. 10</w:t>
      </w:r>
      <w:r w:rsidRPr="00FD3DD5">
        <w:rPr>
          <w:sz w:val="24"/>
          <w:szCs w:val="24"/>
        </w:rPr>
        <w:t>, hvorefter</w:t>
      </w:r>
      <w:r>
        <w:rPr>
          <w:sz w:val="24"/>
          <w:szCs w:val="24"/>
        </w:rPr>
        <w:t xml:space="preserve"> beskæftigelsesministeren får bemyndigelse til at fastsætte nærmere regler om arbejdsgiverens pligt til at sikre, at </w:t>
      </w:r>
      <w:r>
        <w:rPr>
          <w:rFonts w:eastAsia="Calibri" w:cs="Times New Roman"/>
          <w:sz w:val="24"/>
          <w:szCs w:val="24"/>
        </w:rPr>
        <w:t>arbejdsmiljøorganisationen eller de ansatte i virksomheden, hvis der ikke er krav om en arbejdsmiljøorganisation, får adgang til oplysninger direkte fra tredjepart om resultater af asbestprøver</w:t>
      </w:r>
      <w:r>
        <w:rPr>
          <w:sz w:val="24"/>
          <w:szCs w:val="24"/>
        </w:rPr>
        <w:t xml:space="preserve">. </w:t>
      </w:r>
      <w:r>
        <w:rPr>
          <w:sz w:val="24"/>
          <w:szCs w:val="20"/>
        </w:rPr>
        <w:t>Det kunne fx være i form af</w:t>
      </w:r>
      <w:r w:rsidRPr="00696023">
        <w:rPr>
          <w:sz w:val="24"/>
          <w:szCs w:val="20"/>
        </w:rPr>
        <w:t xml:space="preserve"> QR-kode, </w:t>
      </w:r>
      <w:r>
        <w:rPr>
          <w:sz w:val="24"/>
          <w:szCs w:val="20"/>
        </w:rPr>
        <w:t>som peger direkte ind i virksomhedens analyseresultat for det enkelte arbejdssted, herunder med angivelse af stedet for prøvetagningen mv</w:t>
      </w:r>
      <w:r w:rsidRPr="00696023">
        <w:rPr>
          <w:sz w:val="24"/>
          <w:szCs w:val="20"/>
        </w:rPr>
        <w:t>.</w:t>
      </w:r>
      <w:r>
        <w:rPr>
          <w:sz w:val="24"/>
          <w:szCs w:val="20"/>
        </w:rPr>
        <w:t xml:space="preserve"> Det mest afgørende er imidlertid, at der anvendes en metode, som sikrer, at oplysninger fra resultater af asbestprøver gives direkte fra tredjeparten til de ansatte eller arbejdsmiljøorganisationen, hvis der er krav om en sådan, uden at arbejdsgiveren har indflydelse på resultatet.</w:t>
      </w:r>
    </w:p>
    <w:p w14:paraId="615D951F" w14:textId="76A41135" w:rsidR="0029075F" w:rsidRPr="0029075F" w:rsidRDefault="0029075F" w:rsidP="007D3209">
      <w:pPr>
        <w:spacing w:after="240"/>
        <w:rPr>
          <w:sz w:val="24"/>
          <w:szCs w:val="24"/>
        </w:rPr>
      </w:pPr>
      <w:r w:rsidRPr="004E6B52">
        <w:rPr>
          <w:sz w:val="24"/>
          <w:szCs w:val="24"/>
        </w:rPr>
        <w:t xml:space="preserve">Det foreslås at afgrænse det til prøveresultater </w:t>
      </w:r>
      <w:r>
        <w:rPr>
          <w:sz w:val="24"/>
          <w:szCs w:val="24"/>
        </w:rPr>
        <w:t>af</w:t>
      </w:r>
      <w:r w:rsidRPr="004E6B52">
        <w:rPr>
          <w:sz w:val="24"/>
          <w:szCs w:val="24"/>
        </w:rPr>
        <w:t xml:space="preserve"> </w:t>
      </w:r>
      <w:r>
        <w:rPr>
          <w:sz w:val="24"/>
          <w:szCs w:val="20"/>
        </w:rPr>
        <w:t xml:space="preserve">de prøver, </w:t>
      </w:r>
      <w:r w:rsidRPr="00E40310">
        <w:rPr>
          <w:sz w:val="24"/>
          <w:szCs w:val="20"/>
        </w:rPr>
        <w:t>som arbejdsgiveren</w:t>
      </w:r>
      <w:r>
        <w:rPr>
          <w:sz w:val="24"/>
          <w:szCs w:val="20"/>
        </w:rPr>
        <w:t xml:space="preserve"> s</w:t>
      </w:r>
      <w:r w:rsidRPr="00E40310">
        <w:rPr>
          <w:sz w:val="24"/>
          <w:szCs w:val="20"/>
        </w:rPr>
        <w:t>elv får udført</w:t>
      </w:r>
      <w:r>
        <w:rPr>
          <w:sz w:val="24"/>
          <w:szCs w:val="20"/>
        </w:rPr>
        <w:t xml:space="preserve">, typisk under en </w:t>
      </w:r>
      <w:r w:rsidRPr="00E40310">
        <w:rPr>
          <w:sz w:val="24"/>
          <w:szCs w:val="20"/>
        </w:rPr>
        <w:t>forundersøgelse</w:t>
      </w:r>
      <w:r w:rsidRPr="004E6B52">
        <w:rPr>
          <w:sz w:val="24"/>
          <w:szCs w:val="24"/>
        </w:rPr>
        <w:t>.</w:t>
      </w:r>
      <w:r>
        <w:rPr>
          <w:sz w:val="24"/>
          <w:szCs w:val="24"/>
        </w:rPr>
        <w:t xml:space="preserve"> </w:t>
      </w:r>
      <w:r w:rsidRPr="004E6B52">
        <w:rPr>
          <w:sz w:val="24"/>
          <w:szCs w:val="24"/>
        </w:rPr>
        <w:t xml:space="preserve">En efterfølgende arbejdsgivers ansatte kan have interesse heri, men den første arbejdsgiver har ikke et ansvar i forhold til en anden arbejdsgivers ansatte. </w:t>
      </w:r>
    </w:p>
    <w:p w14:paraId="4CC60AA6" w14:textId="36448299" w:rsidR="0029075F" w:rsidRPr="00AC0C65" w:rsidRDefault="0029075F" w:rsidP="007D3209">
      <w:pPr>
        <w:spacing w:after="240"/>
        <w:rPr>
          <w:rFonts w:eastAsia="Calibri" w:cs="Times New Roman"/>
          <w:sz w:val="24"/>
          <w:szCs w:val="24"/>
        </w:rPr>
      </w:pPr>
      <w:r w:rsidRPr="00AC0C65">
        <w:rPr>
          <w:rFonts w:eastAsia="Calibri" w:cs="Times New Roman"/>
          <w:sz w:val="24"/>
          <w:szCs w:val="24"/>
        </w:rPr>
        <w:t xml:space="preserve">Til nr. </w:t>
      </w:r>
      <w:r>
        <w:rPr>
          <w:rFonts w:eastAsia="Calibri" w:cs="Times New Roman"/>
          <w:sz w:val="24"/>
          <w:szCs w:val="24"/>
        </w:rPr>
        <w:t>2</w:t>
      </w:r>
    </w:p>
    <w:p w14:paraId="2BCCA336" w14:textId="77777777" w:rsidR="00EE33F8" w:rsidRPr="00AC0C65" w:rsidRDefault="00EE33F8" w:rsidP="00EE33F8">
      <w:pPr>
        <w:spacing w:after="240"/>
        <w:rPr>
          <w:rFonts w:cs="Times New Roman"/>
          <w:sz w:val="24"/>
          <w:szCs w:val="24"/>
        </w:rPr>
      </w:pPr>
      <w:bookmarkStart w:id="254" w:name="_Hlk209593756"/>
      <w:r w:rsidRPr="00AC0C65">
        <w:rPr>
          <w:rFonts w:cs="Times New Roman"/>
          <w:sz w:val="24"/>
          <w:szCs w:val="24"/>
        </w:rPr>
        <w:t>Efter den gældende bestemmelse i arbejdsmiljølovens § 82, stk. 1, kan der straffes med bøde eller fængsel indtil 1 år. Bestemmelsen gælder over for den, der:</w:t>
      </w:r>
    </w:p>
    <w:p w14:paraId="649E1460" w14:textId="77777777" w:rsidR="00EE33F8" w:rsidRPr="00AC0C65" w:rsidRDefault="00EE33F8" w:rsidP="00EE33F8">
      <w:pPr>
        <w:spacing w:after="240"/>
        <w:rPr>
          <w:rFonts w:cs="Times New Roman"/>
          <w:sz w:val="24"/>
          <w:szCs w:val="24"/>
        </w:rPr>
      </w:pPr>
      <w:r w:rsidRPr="00AC0C65">
        <w:rPr>
          <w:rFonts w:cs="Times New Roman"/>
          <w:sz w:val="24"/>
          <w:szCs w:val="24"/>
        </w:rPr>
        <w:t xml:space="preserve">1) overtræder </w:t>
      </w:r>
      <w:r w:rsidRPr="00AC0C65">
        <w:t xml:space="preserve">§ 15, § 15 a, § 16, § 17, stk. 1 og 2, § 18, § 19, § 20, stk. 1, § 20 a, stk. 1, § 21, stk. 1, § 23, §§ 25-34, § 37, stk. 1 og 6, § 38, stk. 1, § 42, stk. 1, § 45, stk. 1, § 48, stk. 1, § 63, stk. 5, § 75, stk. 4, § 76, stk. 1, </w:t>
      </w:r>
      <w:r w:rsidRPr="00AC0C65">
        <w:rPr>
          <w:rFonts w:cs="Times New Roman"/>
          <w:sz w:val="24"/>
          <w:szCs w:val="24"/>
        </w:rPr>
        <w:t>eller de af Det Europæiske Fællesskabs forordninger vedrørende forhold omfattet af loven</w:t>
      </w:r>
    </w:p>
    <w:p w14:paraId="1F8084D6" w14:textId="77777777" w:rsidR="00EE33F8" w:rsidRPr="00AC0C65" w:rsidRDefault="00EE33F8" w:rsidP="00EE33F8">
      <w:pPr>
        <w:spacing w:after="240"/>
        <w:rPr>
          <w:rFonts w:cs="Times New Roman"/>
          <w:sz w:val="24"/>
          <w:szCs w:val="24"/>
        </w:rPr>
      </w:pPr>
      <w:r w:rsidRPr="00AC0C65">
        <w:rPr>
          <w:rFonts w:cs="Times New Roman"/>
          <w:sz w:val="24"/>
          <w:szCs w:val="24"/>
        </w:rPr>
        <w:lastRenderedPageBreak/>
        <w:t>2) lader arbejde udføre i strid med lovens kapitel 9 og 10, leder eller fører tilsyn med sådant arbejde eller udfører arbejde i strid med kapitel 9</w:t>
      </w:r>
    </w:p>
    <w:p w14:paraId="2074D70B" w14:textId="77777777" w:rsidR="00EE33F8" w:rsidRPr="00AC0C65" w:rsidRDefault="00EE33F8" w:rsidP="00EE33F8">
      <w:pPr>
        <w:spacing w:after="240"/>
        <w:rPr>
          <w:rFonts w:cs="Times New Roman"/>
          <w:sz w:val="24"/>
          <w:szCs w:val="24"/>
        </w:rPr>
      </w:pPr>
      <w:r w:rsidRPr="00AC0C65">
        <w:rPr>
          <w:rFonts w:cs="Times New Roman"/>
          <w:sz w:val="24"/>
          <w:szCs w:val="24"/>
        </w:rPr>
        <w:t>3) ikke efterkommer påbud efter lovens § 77, § 77a, stk. 1 eller</w:t>
      </w:r>
    </w:p>
    <w:p w14:paraId="3D6A778B" w14:textId="77777777" w:rsidR="00EE33F8" w:rsidRPr="00AC0C65" w:rsidRDefault="00EE33F8" w:rsidP="00EE33F8">
      <w:pPr>
        <w:spacing w:after="240"/>
        <w:rPr>
          <w:rFonts w:cs="Times New Roman"/>
          <w:sz w:val="24"/>
          <w:szCs w:val="24"/>
        </w:rPr>
      </w:pPr>
      <w:r w:rsidRPr="00AC0C65">
        <w:rPr>
          <w:rFonts w:cs="Times New Roman"/>
          <w:sz w:val="24"/>
          <w:szCs w:val="24"/>
        </w:rPr>
        <w:t>4) undlader at meddele oplysninger efter lovens § 22, stk. 2.</w:t>
      </w:r>
    </w:p>
    <w:p w14:paraId="3878F254" w14:textId="77777777" w:rsidR="00EE33F8" w:rsidRPr="00AC0C65" w:rsidRDefault="00EE33F8" w:rsidP="00EE33F8">
      <w:pPr>
        <w:spacing w:after="240"/>
        <w:rPr>
          <w:rFonts w:eastAsia="Calibri" w:cs="Times New Roman"/>
          <w:sz w:val="24"/>
          <w:szCs w:val="24"/>
        </w:rPr>
      </w:pPr>
      <w:bookmarkStart w:id="255" w:name="_Hlk208992415"/>
      <w:r w:rsidRPr="00AC0C65">
        <w:rPr>
          <w:rFonts w:cs="Times New Roman"/>
          <w:sz w:val="24"/>
          <w:szCs w:val="24"/>
        </w:rPr>
        <w:t xml:space="preserve">Med lovforslaget foreslås det at ændre </w:t>
      </w:r>
      <w:r w:rsidRPr="00AC0C65">
        <w:rPr>
          <w:rFonts w:eastAsia="Calibri" w:cs="Times New Roman"/>
          <w:sz w:val="24"/>
          <w:szCs w:val="24"/>
        </w:rPr>
        <w:t xml:space="preserve">»der« til »som« i arbejdsmiljølovens § 82, stk. 1. </w:t>
      </w:r>
    </w:p>
    <w:p w14:paraId="7C9883AA" w14:textId="3C78E124" w:rsidR="00713AAD" w:rsidRPr="00AC0C65" w:rsidRDefault="00713AAD" w:rsidP="00713AAD">
      <w:pPr>
        <w:spacing w:after="240"/>
        <w:rPr>
          <w:rFonts w:eastAsia="Calibri" w:cs="Times New Roman"/>
          <w:sz w:val="24"/>
          <w:szCs w:val="24"/>
        </w:rPr>
      </w:pPr>
      <w:r w:rsidRPr="00AC0C65">
        <w:rPr>
          <w:rFonts w:eastAsia="Calibri" w:cs="Times New Roman"/>
          <w:sz w:val="24"/>
          <w:szCs w:val="24"/>
        </w:rPr>
        <w:t xml:space="preserve">Der er alene tale om en sproglig ændring af lovteksten, som har til formål at give mulighed for i bemærkningerne at angive </w:t>
      </w:r>
      <w:r w:rsidR="002821FC" w:rsidRPr="00AC0C65">
        <w:rPr>
          <w:rFonts w:eastAsia="Calibri" w:cs="Times New Roman"/>
          <w:sz w:val="24"/>
          <w:szCs w:val="24"/>
        </w:rPr>
        <w:t xml:space="preserve">et vejledende </w:t>
      </w:r>
      <w:r w:rsidRPr="00AC0C65">
        <w:rPr>
          <w:rFonts w:eastAsia="Calibri" w:cs="Times New Roman"/>
          <w:sz w:val="24"/>
          <w:szCs w:val="24"/>
        </w:rPr>
        <w:t xml:space="preserve">niveau for fængselsstraf overfor fysiske personer i </w:t>
      </w:r>
      <w:r w:rsidR="00DF6B4D" w:rsidRPr="00AC0C65">
        <w:rPr>
          <w:rFonts w:eastAsia="Calibri" w:cs="Times New Roman"/>
          <w:sz w:val="24"/>
          <w:szCs w:val="24"/>
        </w:rPr>
        <w:t xml:space="preserve">virksomhedernes </w:t>
      </w:r>
      <w:r w:rsidRPr="00AC0C65">
        <w:rPr>
          <w:rFonts w:eastAsia="Calibri" w:cs="Times New Roman"/>
          <w:sz w:val="24"/>
          <w:szCs w:val="24"/>
        </w:rPr>
        <w:t xml:space="preserve">ledelse. </w:t>
      </w:r>
    </w:p>
    <w:p w14:paraId="41809A24" w14:textId="697ABDC3" w:rsidR="00713AAD" w:rsidRPr="00AC0C65" w:rsidRDefault="00713AAD" w:rsidP="00713AAD">
      <w:pPr>
        <w:spacing w:after="240"/>
        <w:rPr>
          <w:rFonts w:eastAsia="Calibri" w:cs="Times New Roman"/>
          <w:sz w:val="24"/>
          <w:szCs w:val="24"/>
        </w:rPr>
      </w:pPr>
      <w:r w:rsidRPr="00AC0C65">
        <w:rPr>
          <w:rFonts w:eastAsia="Calibri" w:cs="Times New Roman"/>
          <w:sz w:val="24"/>
          <w:szCs w:val="24"/>
        </w:rPr>
        <w:t>Med ændringen foreslås det, at der fastsættes et vejledende niveau for fængselsstraf af fysiske personer i virksomheders ledelse, herunder virksomhedsledere, arbejdsgivere i personligt ejede virksomheder og arbejdsledere. Dette med henblik på at tydeliggøre muligheden for fængselsstraf i særligt grove tilfælde.</w:t>
      </w:r>
    </w:p>
    <w:p w14:paraId="0765F679" w14:textId="23275B44" w:rsidR="0067755D" w:rsidRPr="00AC0C65" w:rsidRDefault="0067755D" w:rsidP="00713AAD">
      <w:pPr>
        <w:spacing w:after="240"/>
        <w:rPr>
          <w:rFonts w:eastAsia="Calibri" w:cs="Times New Roman"/>
          <w:sz w:val="24"/>
          <w:szCs w:val="24"/>
        </w:rPr>
      </w:pPr>
      <w:r w:rsidRPr="00AC0C65">
        <w:rPr>
          <w:rFonts w:eastAsia="Calibri" w:cs="Times New Roman"/>
          <w:sz w:val="24"/>
          <w:szCs w:val="24"/>
        </w:rPr>
        <w:t>Ved en virksomhedsleder forstås bestyrelsesmedlemmer, administrerende direktører eller andre ledende personer med tilsvarende generel kompetence. Der er således tale om virksomhedens øverste ledelse.</w:t>
      </w:r>
    </w:p>
    <w:p w14:paraId="21CFAE7B" w14:textId="476E6374" w:rsidR="00D05F67" w:rsidRPr="00AC0C65" w:rsidRDefault="00D05F67" w:rsidP="00713AAD">
      <w:pPr>
        <w:spacing w:after="240"/>
        <w:rPr>
          <w:rFonts w:eastAsia="Calibri" w:cs="Times New Roman"/>
          <w:sz w:val="24"/>
          <w:szCs w:val="24"/>
        </w:rPr>
      </w:pPr>
      <w:r w:rsidRPr="00AC0C65">
        <w:rPr>
          <w:rFonts w:eastAsia="Calibri" w:cs="Times New Roman"/>
          <w:sz w:val="24"/>
          <w:szCs w:val="24"/>
        </w:rPr>
        <w:t>En arbejdsleder defineres i arbejdsmiljølovens § 24 som den, hvis arbejde udelukkende eller i det væsentlige består i på arbejdsgiverens vegne at lede eller føre tilsyn med arbejdet i en virksomhed eller en del deraf.</w:t>
      </w:r>
    </w:p>
    <w:p w14:paraId="0D836204" w14:textId="24CEE0EC" w:rsidR="00E106D3" w:rsidRPr="00AC0C65" w:rsidRDefault="00E106D3" w:rsidP="00EE33F8">
      <w:pPr>
        <w:spacing w:after="240"/>
        <w:rPr>
          <w:rFonts w:eastAsia="Calibri" w:cs="Times New Roman"/>
          <w:sz w:val="24"/>
          <w:szCs w:val="24"/>
        </w:rPr>
      </w:pPr>
      <w:bookmarkStart w:id="256" w:name="_Hlk209596201"/>
      <w:r w:rsidRPr="00AC0C65">
        <w:rPr>
          <w:rFonts w:eastAsia="Calibri" w:cs="Times New Roman"/>
          <w:sz w:val="24"/>
          <w:szCs w:val="24"/>
        </w:rPr>
        <w:t>Særligt grove overtrædelser af arbejdsmiljølovgivningen foreslås at omfatte særligt grove overtrædelser af asbestreglerne.</w:t>
      </w:r>
      <w:r w:rsidRPr="00AC0C65" w:rsidDel="00713AAD">
        <w:rPr>
          <w:rFonts w:eastAsia="Calibri" w:cs="Times New Roman"/>
          <w:sz w:val="24"/>
          <w:szCs w:val="24"/>
        </w:rPr>
        <w:t xml:space="preserve"> </w:t>
      </w:r>
    </w:p>
    <w:p w14:paraId="5AB27946" w14:textId="387DD40C" w:rsidR="00E106D3" w:rsidRPr="00647A29" w:rsidRDefault="00E106D3" w:rsidP="00E106D3">
      <w:pPr>
        <w:spacing w:after="240"/>
        <w:rPr>
          <w:rFonts w:eastAsia="Calibri" w:cs="Times New Roman"/>
          <w:sz w:val="24"/>
          <w:szCs w:val="24"/>
          <w:highlight w:val="yellow"/>
        </w:rPr>
      </w:pPr>
      <w:bookmarkStart w:id="257" w:name="_Hlk209594674"/>
      <w:bookmarkEnd w:id="254"/>
      <w:r w:rsidRPr="00AC0C65">
        <w:rPr>
          <w:rFonts w:eastAsia="Calibri" w:cs="Times New Roman"/>
          <w:sz w:val="24"/>
          <w:szCs w:val="24"/>
        </w:rPr>
        <w:t xml:space="preserve">I forhold til virksomhedsledere kan det fx være tilfælde, hvor ansatte arbejder uden at asbestreglerne følges, </w:t>
      </w:r>
      <w:r w:rsidR="00C47CFF" w:rsidRPr="00AC0C65">
        <w:rPr>
          <w:sz w:val="24"/>
        </w:rPr>
        <w:t xml:space="preserve">selv om der foreligger oplysninger om forekomst af asbest i arbejdsområdet, </w:t>
      </w:r>
      <w:r w:rsidRPr="00AC0C65">
        <w:rPr>
          <w:rFonts w:eastAsia="Calibri" w:cs="Times New Roman"/>
          <w:sz w:val="24"/>
          <w:szCs w:val="24"/>
        </w:rPr>
        <w:t xml:space="preserve">og hvor arbejdet foregår på en måde, så asbeststøv udvikles, og hvor de ansatte arbejder tæt på støvudviklingen. </w:t>
      </w:r>
      <w:r w:rsidR="00C47CFF" w:rsidRPr="00AC0C65">
        <w:rPr>
          <w:rFonts w:eastAsia="Calibri" w:cs="Times New Roman"/>
          <w:sz w:val="24"/>
          <w:szCs w:val="24"/>
        </w:rPr>
        <w:t xml:space="preserve">Og hvor </w:t>
      </w:r>
      <w:r w:rsidRPr="00AC0C65">
        <w:rPr>
          <w:rFonts w:eastAsia="Calibri" w:cs="Times New Roman"/>
          <w:sz w:val="24"/>
          <w:szCs w:val="24"/>
        </w:rPr>
        <w:t>virksomhedslederen</w:t>
      </w:r>
      <w:r w:rsidR="00021448" w:rsidRPr="00AC0C65">
        <w:rPr>
          <w:rFonts w:eastAsia="Calibri" w:cs="Times New Roman"/>
          <w:sz w:val="24"/>
          <w:szCs w:val="24"/>
        </w:rPr>
        <w:t xml:space="preserve"> samtidig</w:t>
      </w:r>
      <w:r w:rsidRPr="00AC0C65">
        <w:rPr>
          <w:rFonts w:eastAsia="Calibri" w:cs="Times New Roman"/>
          <w:sz w:val="24"/>
          <w:szCs w:val="24"/>
        </w:rPr>
        <w:t xml:space="preserve"> har besluttet at lade de ansatte arbejde i området, selv om virksomhedslederen kendte til forekomsten af asbest.</w:t>
      </w:r>
    </w:p>
    <w:p w14:paraId="0BE3691F" w14:textId="028D5A79" w:rsidR="00E106D3" w:rsidRPr="00AC0C65" w:rsidRDefault="00E106D3" w:rsidP="00E106D3">
      <w:pPr>
        <w:spacing w:after="240"/>
        <w:rPr>
          <w:rFonts w:eastAsia="Calibri" w:cs="Times New Roman"/>
          <w:sz w:val="24"/>
          <w:szCs w:val="24"/>
        </w:rPr>
      </w:pPr>
      <w:r w:rsidRPr="00AC0C65">
        <w:rPr>
          <w:rFonts w:eastAsia="Calibri" w:cs="Times New Roman"/>
          <w:sz w:val="24"/>
          <w:szCs w:val="24"/>
        </w:rPr>
        <w:t>Eksemplet ovenfor kunne også være tilfælde, hvor arbejdsgivere i personligt ejede virksomheder på samme måde har besluttet at lade de ansatte arbejde i området, selv om arbejdsgiveren i den personligt ejede virksomhed kendte til forekomsten af asbest.</w:t>
      </w:r>
    </w:p>
    <w:p w14:paraId="33D73F04" w14:textId="410310ED" w:rsidR="00E106D3" w:rsidRPr="00AC0C65" w:rsidRDefault="00E106D3" w:rsidP="00E106D3">
      <w:pPr>
        <w:spacing w:after="240"/>
        <w:rPr>
          <w:rFonts w:eastAsia="Calibri" w:cs="Times New Roman"/>
          <w:sz w:val="24"/>
          <w:szCs w:val="24"/>
        </w:rPr>
      </w:pPr>
      <w:r w:rsidRPr="00AC0C65">
        <w:rPr>
          <w:rFonts w:eastAsia="Calibri" w:cs="Times New Roman"/>
          <w:sz w:val="24"/>
          <w:szCs w:val="24"/>
        </w:rPr>
        <w:lastRenderedPageBreak/>
        <w:t>I forhold til arbejdsledere kan det fx være tilfælde, hvor en arbejdsleder tilsidesætter en generel instruktion givet af arbejdsgiveren indenfor det område, som arbejdslederen leder, og selvstændigt medvirker til, at ansatte arbejder i et område med forekomst af asbest på en måde, så asbeststøv udvikles, og hvor de ansatte arbejder tæt på støvudviklingen, selvom arbejdslederen havde kendskab til forekomst af asbest.</w:t>
      </w:r>
    </w:p>
    <w:p w14:paraId="65E60845" w14:textId="78C5FCF2" w:rsidR="00242CEE" w:rsidRPr="00AC0C65" w:rsidRDefault="00242CEE" w:rsidP="00E106D3">
      <w:pPr>
        <w:spacing w:after="240"/>
        <w:rPr>
          <w:rFonts w:eastAsia="Calibri" w:cs="Times New Roman"/>
          <w:sz w:val="24"/>
          <w:szCs w:val="24"/>
        </w:rPr>
      </w:pPr>
      <w:r w:rsidRPr="00AC0C65">
        <w:rPr>
          <w:rFonts w:eastAsia="Calibri" w:cs="Times New Roman"/>
          <w:sz w:val="24"/>
          <w:szCs w:val="24"/>
        </w:rPr>
        <w:t>Tilfælde</w:t>
      </w:r>
      <w:r w:rsidR="00021448" w:rsidRPr="00AC0C65">
        <w:rPr>
          <w:rFonts w:eastAsia="Calibri" w:cs="Times New Roman"/>
          <w:sz w:val="24"/>
          <w:szCs w:val="24"/>
        </w:rPr>
        <w:t xml:space="preserve">, </w:t>
      </w:r>
      <w:r w:rsidRPr="00AC0C65">
        <w:rPr>
          <w:rFonts w:eastAsia="Calibri" w:cs="Times New Roman"/>
          <w:sz w:val="24"/>
          <w:szCs w:val="24"/>
        </w:rPr>
        <w:t>hvor arbejdslederen selvstændigt medvirker til at ansatte arbejder i et område med forekomst af asbest</w:t>
      </w:r>
      <w:r w:rsidR="00021448" w:rsidRPr="00AC0C65">
        <w:rPr>
          <w:rFonts w:eastAsia="Calibri" w:cs="Times New Roman"/>
          <w:sz w:val="24"/>
          <w:szCs w:val="24"/>
        </w:rPr>
        <w:t>, og de ansatte arbejder</w:t>
      </w:r>
      <w:r w:rsidRPr="00AC0C65">
        <w:rPr>
          <w:rFonts w:eastAsia="Calibri" w:cs="Times New Roman"/>
          <w:sz w:val="24"/>
          <w:szCs w:val="24"/>
        </w:rPr>
        <w:t xml:space="preserve"> på en måde, så asbeststøv udvikles, og de ansatte arbejder tæt på støvudviklingen, kan fx være</w:t>
      </w:r>
      <w:r w:rsidR="00021448" w:rsidRPr="00AC0C65">
        <w:rPr>
          <w:rFonts w:eastAsia="Calibri" w:cs="Times New Roman"/>
          <w:sz w:val="24"/>
          <w:szCs w:val="24"/>
        </w:rPr>
        <w:t>, hvor</w:t>
      </w:r>
      <w:r w:rsidRPr="00AC0C65">
        <w:rPr>
          <w:rFonts w:eastAsia="Calibri" w:cs="Times New Roman"/>
          <w:sz w:val="24"/>
          <w:szCs w:val="24"/>
        </w:rPr>
        <w:t xml:space="preserve"> arbejdslederen </w:t>
      </w:r>
      <w:r w:rsidR="00021448" w:rsidRPr="00AC0C65">
        <w:rPr>
          <w:rFonts w:eastAsia="Calibri" w:cs="Times New Roman"/>
          <w:sz w:val="24"/>
          <w:szCs w:val="24"/>
        </w:rPr>
        <w:t xml:space="preserve">har tilbageholdt </w:t>
      </w:r>
      <w:r w:rsidRPr="00AC0C65">
        <w:rPr>
          <w:rFonts w:eastAsia="Calibri" w:cs="Times New Roman"/>
          <w:sz w:val="24"/>
          <w:szCs w:val="24"/>
        </w:rPr>
        <w:t>oplysninger om asbestprøver overfor de ansatte</w:t>
      </w:r>
      <w:r w:rsidR="00075316" w:rsidRPr="00AC0C65">
        <w:rPr>
          <w:rFonts w:eastAsia="Calibri" w:cs="Times New Roman"/>
          <w:sz w:val="24"/>
          <w:szCs w:val="24"/>
        </w:rPr>
        <w:t>.</w:t>
      </w:r>
      <w:r w:rsidRPr="00AC0C65">
        <w:rPr>
          <w:rFonts w:eastAsia="Calibri" w:cs="Times New Roman"/>
          <w:sz w:val="24"/>
          <w:szCs w:val="24"/>
        </w:rPr>
        <w:t xml:space="preserve"> </w:t>
      </w:r>
      <w:r w:rsidR="00021448" w:rsidRPr="00AC0C65">
        <w:rPr>
          <w:rFonts w:eastAsia="Calibri" w:cs="Times New Roman"/>
          <w:sz w:val="24"/>
          <w:szCs w:val="24"/>
        </w:rPr>
        <w:t xml:space="preserve">Det kan fx være, </w:t>
      </w:r>
      <w:r w:rsidRPr="00AC0C65">
        <w:rPr>
          <w:rFonts w:eastAsia="Calibri" w:cs="Times New Roman"/>
          <w:sz w:val="24"/>
          <w:szCs w:val="24"/>
        </w:rPr>
        <w:t xml:space="preserve">hvis arbejdslederen </w:t>
      </w:r>
      <w:r w:rsidR="00021448" w:rsidRPr="00AC0C65">
        <w:rPr>
          <w:rFonts w:eastAsia="Calibri" w:cs="Times New Roman"/>
          <w:sz w:val="24"/>
          <w:szCs w:val="24"/>
        </w:rPr>
        <w:t xml:space="preserve">har fået </w:t>
      </w:r>
      <w:r w:rsidRPr="00AC0C65">
        <w:rPr>
          <w:rFonts w:eastAsia="Calibri" w:cs="Times New Roman"/>
          <w:sz w:val="24"/>
          <w:szCs w:val="24"/>
        </w:rPr>
        <w:t>foretage</w:t>
      </w:r>
      <w:r w:rsidR="00021448" w:rsidRPr="00AC0C65">
        <w:rPr>
          <w:rFonts w:eastAsia="Calibri" w:cs="Times New Roman"/>
          <w:sz w:val="24"/>
          <w:szCs w:val="24"/>
        </w:rPr>
        <w:t>t</w:t>
      </w:r>
      <w:r w:rsidRPr="00AC0C65">
        <w:rPr>
          <w:rFonts w:eastAsia="Calibri" w:cs="Times New Roman"/>
          <w:sz w:val="24"/>
          <w:szCs w:val="24"/>
        </w:rPr>
        <w:t xml:space="preserve"> asbestprøver på andre steder end hvor de ansatte arbejder</w:t>
      </w:r>
      <w:r w:rsidR="00021448" w:rsidRPr="00AC0C65">
        <w:rPr>
          <w:rFonts w:eastAsia="Calibri" w:cs="Times New Roman"/>
          <w:sz w:val="24"/>
          <w:szCs w:val="24"/>
        </w:rPr>
        <w:t>,</w:t>
      </w:r>
      <w:r w:rsidRPr="00AC0C65">
        <w:rPr>
          <w:rFonts w:eastAsia="Calibri" w:cs="Times New Roman"/>
          <w:sz w:val="24"/>
          <w:szCs w:val="24"/>
        </w:rPr>
        <w:t xml:space="preserve"> med henblik på</w:t>
      </w:r>
      <w:r w:rsidR="00021448" w:rsidRPr="00AC0C65">
        <w:rPr>
          <w:rFonts w:eastAsia="Calibri" w:cs="Times New Roman"/>
          <w:sz w:val="24"/>
          <w:szCs w:val="24"/>
        </w:rPr>
        <w:t xml:space="preserve"> at kunne fremvise en negativ asbestprøve for arbejdsområdet</w:t>
      </w:r>
      <w:r w:rsidRPr="00AC0C65">
        <w:rPr>
          <w:rFonts w:eastAsia="Calibri" w:cs="Times New Roman"/>
          <w:sz w:val="24"/>
          <w:szCs w:val="24"/>
        </w:rPr>
        <w:t>, eller at arbejdslederen ha</w:t>
      </w:r>
      <w:r w:rsidR="00075316" w:rsidRPr="00AC0C65">
        <w:rPr>
          <w:rFonts w:eastAsia="Calibri" w:cs="Times New Roman"/>
          <w:sz w:val="24"/>
          <w:szCs w:val="24"/>
        </w:rPr>
        <w:t>vde</w:t>
      </w:r>
      <w:r w:rsidRPr="00AC0C65">
        <w:rPr>
          <w:rFonts w:eastAsia="Calibri" w:cs="Times New Roman"/>
          <w:sz w:val="24"/>
          <w:szCs w:val="24"/>
        </w:rPr>
        <w:t xml:space="preserve"> kendskab til asbestprøver, der viser asbestforekomst i de områder, hvor der arbejdes, men </w:t>
      </w:r>
      <w:r w:rsidR="00075316" w:rsidRPr="00AC0C65">
        <w:rPr>
          <w:rFonts w:eastAsia="Calibri" w:cs="Times New Roman"/>
          <w:sz w:val="24"/>
          <w:szCs w:val="24"/>
        </w:rPr>
        <w:t xml:space="preserve">har </w:t>
      </w:r>
      <w:r w:rsidRPr="00AC0C65">
        <w:rPr>
          <w:rFonts w:eastAsia="Calibri" w:cs="Times New Roman"/>
          <w:sz w:val="24"/>
          <w:szCs w:val="24"/>
        </w:rPr>
        <w:t>undlad</w:t>
      </w:r>
      <w:r w:rsidR="00075316" w:rsidRPr="00AC0C65">
        <w:rPr>
          <w:rFonts w:eastAsia="Calibri" w:cs="Times New Roman"/>
          <w:sz w:val="24"/>
          <w:szCs w:val="24"/>
        </w:rPr>
        <w:t>t</w:t>
      </w:r>
      <w:r w:rsidRPr="00AC0C65">
        <w:rPr>
          <w:rFonts w:eastAsia="Calibri" w:cs="Times New Roman"/>
          <w:sz w:val="24"/>
          <w:szCs w:val="24"/>
        </w:rPr>
        <w:t xml:space="preserve"> at oplyse de ansatte herom.</w:t>
      </w:r>
    </w:p>
    <w:p w14:paraId="3E3AD0C0" w14:textId="0E5AE743" w:rsidR="00EF1F6E" w:rsidRPr="00647A29" w:rsidRDefault="00E106D3" w:rsidP="00E106D3">
      <w:pPr>
        <w:spacing w:after="240"/>
        <w:rPr>
          <w:rFonts w:eastAsia="Calibri" w:cs="Times New Roman"/>
          <w:sz w:val="24"/>
          <w:szCs w:val="24"/>
          <w:highlight w:val="yellow"/>
        </w:rPr>
      </w:pPr>
      <w:r w:rsidRPr="00AC0C65">
        <w:rPr>
          <w:rFonts w:eastAsia="Calibri" w:cs="Times New Roman"/>
          <w:sz w:val="24"/>
          <w:szCs w:val="24"/>
        </w:rPr>
        <w:t>Niveauet for fængselsstraf for personer i ledelsen, som forsætligt eller groft uagtsomt overtræder arbejdsmiljølovgivningen, hvor ansatte udsættes for fx asbeststøv forudsættes som udgangspunkt at være i omegnen af 4-6 måneder.</w:t>
      </w:r>
      <w:r w:rsidRPr="00647A29">
        <w:rPr>
          <w:rFonts w:eastAsia="Calibri" w:cs="Times New Roman"/>
          <w:sz w:val="24"/>
          <w:szCs w:val="24"/>
          <w:highlight w:val="yellow"/>
        </w:rPr>
        <w:t xml:space="preserve"> </w:t>
      </w:r>
    </w:p>
    <w:p w14:paraId="390B8673" w14:textId="0B035181" w:rsidR="00E106D3" w:rsidRPr="00AC0C65" w:rsidRDefault="00E106D3" w:rsidP="00E106D3">
      <w:pPr>
        <w:spacing w:after="240"/>
        <w:rPr>
          <w:rFonts w:eastAsia="Calibri" w:cs="Times New Roman"/>
          <w:sz w:val="24"/>
          <w:szCs w:val="24"/>
        </w:rPr>
      </w:pPr>
      <w:r w:rsidRPr="00AC0C65">
        <w:rPr>
          <w:rFonts w:eastAsia="Calibri" w:cs="Times New Roman"/>
          <w:sz w:val="24"/>
          <w:szCs w:val="24"/>
        </w:rPr>
        <w:t xml:space="preserve">Niveauet forudsættes at være </w:t>
      </w:r>
      <w:r w:rsidR="00170523" w:rsidRPr="00AC0C65">
        <w:rPr>
          <w:rFonts w:eastAsia="Calibri" w:cs="Times New Roman"/>
          <w:sz w:val="24"/>
          <w:szCs w:val="24"/>
        </w:rPr>
        <w:t xml:space="preserve">relativt </w:t>
      </w:r>
      <w:r w:rsidRPr="00AC0C65">
        <w:rPr>
          <w:rFonts w:eastAsia="Calibri" w:cs="Times New Roman"/>
          <w:sz w:val="24"/>
          <w:szCs w:val="24"/>
        </w:rPr>
        <w:t>højere jo flere ansatte, der har været udsat</w:t>
      </w:r>
      <w:r w:rsidR="00021448" w:rsidRPr="00AC0C65">
        <w:rPr>
          <w:rFonts w:eastAsia="Calibri" w:cs="Times New Roman"/>
          <w:sz w:val="24"/>
          <w:szCs w:val="24"/>
        </w:rPr>
        <w:t>,</w:t>
      </w:r>
      <w:r w:rsidRPr="00AC0C65">
        <w:rPr>
          <w:rFonts w:eastAsia="Calibri" w:cs="Times New Roman"/>
          <w:sz w:val="24"/>
          <w:szCs w:val="24"/>
        </w:rPr>
        <w:t xml:space="preserve"> og jo længere tid det pågældende arbejde og udsættelsen er pågået. </w:t>
      </w:r>
    </w:p>
    <w:p w14:paraId="330A8BFC" w14:textId="46D0F3EC" w:rsidR="00E106D3" w:rsidRPr="00AC0C65" w:rsidRDefault="00E106D3" w:rsidP="00E106D3">
      <w:pPr>
        <w:spacing w:after="240"/>
        <w:rPr>
          <w:rFonts w:eastAsia="Calibri" w:cs="Times New Roman"/>
          <w:sz w:val="24"/>
          <w:szCs w:val="24"/>
        </w:rPr>
      </w:pPr>
      <w:r w:rsidRPr="00AC0C65">
        <w:rPr>
          <w:rFonts w:eastAsia="Calibri" w:cs="Times New Roman"/>
          <w:sz w:val="24"/>
          <w:szCs w:val="24"/>
        </w:rPr>
        <w:t xml:space="preserve">Niveauet for fængselsstraf for personer i ledelsen, som forsætligt eller groft uagtsomt overtræder arbejdsmiljølovgivningen, som har medført en ulykke med døden til følge forudsættes som udgangspunkt at være i omegnen af 8-10 måneder. </w:t>
      </w:r>
    </w:p>
    <w:p w14:paraId="52D25D51" w14:textId="195A812E" w:rsidR="00136121" w:rsidRPr="00647A29" w:rsidRDefault="00E106D3" w:rsidP="00E106D3">
      <w:pPr>
        <w:spacing w:after="240"/>
        <w:rPr>
          <w:rFonts w:eastAsia="Calibri" w:cs="Times New Roman"/>
          <w:sz w:val="24"/>
          <w:szCs w:val="24"/>
          <w:highlight w:val="yellow"/>
        </w:rPr>
      </w:pPr>
      <w:r w:rsidRPr="00AC0C65">
        <w:rPr>
          <w:rFonts w:eastAsia="Calibri" w:cs="Times New Roman"/>
          <w:sz w:val="24"/>
          <w:szCs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1B124436" w14:textId="50CDB161" w:rsidR="00136121" w:rsidRPr="00AC0C65" w:rsidRDefault="00136121" w:rsidP="00136121">
      <w:pPr>
        <w:spacing w:after="240"/>
        <w:rPr>
          <w:rFonts w:eastAsia="Calibri" w:cs="Times New Roman"/>
          <w:sz w:val="24"/>
          <w:szCs w:val="24"/>
        </w:rPr>
      </w:pPr>
      <w:bookmarkStart w:id="258" w:name="_Hlk209685085"/>
      <w:bookmarkEnd w:id="255"/>
      <w:bookmarkEnd w:id="257"/>
      <w:r w:rsidRPr="00AC0C65">
        <w:rPr>
          <w:rFonts w:eastAsia="Calibri" w:cs="Times New Roman"/>
          <w:sz w:val="24"/>
          <w:szCs w:val="24"/>
        </w:rPr>
        <w:t>Med forslaget sigtes der ikke på at ændre, at langt den overvejende del af straffesagerne om overtrædelse af arbejdsmiljølovgivningen rettes mod arbejdsgiveren som sådan.</w:t>
      </w:r>
      <w:r w:rsidR="007D2C32" w:rsidRPr="00AC0C65">
        <w:rPr>
          <w:rFonts w:eastAsia="Calibri" w:cs="Times New Roman"/>
          <w:sz w:val="24"/>
          <w:szCs w:val="24"/>
        </w:rPr>
        <w:t xml:space="preserve"> Det betyder, at arbejdsgiveren – enten som juridisk person eller som personligt ejet virksomhed - får en bøde samtidig med at enkeltpersoner kan idømmes fængselsstraf.</w:t>
      </w:r>
    </w:p>
    <w:bookmarkEnd w:id="258"/>
    <w:p w14:paraId="26CF7F78" w14:textId="5CFE2626" w:rsidR="00136121" w:rsidRPr="00AC0C65" w:rsidRDefault="00136121" w:rsidP="00136121">
      <w:pPr>
        <w:spacing w:after="240"/>
        <w:rPr>
          <w:rFonts w:eastAsia="Calibri" w:cs="Times New Roman"/>
          <w:sz w:val="24"/>
          <w:szCs w:val="24"/>
        </w:rPr>
      </w:pPr>
      <w:r w:rsidRPr="00AC0C65">
        <w:rPr>
          <w:rFonts w:eastAsia="Calibri" w:cs="Times New Roman"/>
          <w:sz w:val="24"/>
          <w:szCs w:val="24"/>
        </w:rPr>
        <w:lastRenderedPageBreak/>
        <w:t>Ligesom der med forslaget heller ikke sigtes på at ændre på udgangspunktet ved valg af ansvarssubjekt, hvorefter tiltalen rejses mod den juridiske person.</w:t>
      </w:r>
    </w:p>
    <w:p w14:paraId="71DC202B" w14:textId="4E5B7C69" w:rsidR="00136121" w:rsidRPr="00AC0C65" w:rsidRDefault="00136121" w:rsidP="00136121">
      <w:pPr>
        <w:spacing w:after="240"/>
        <w:rPr>
          <w:rFonts w:eastAsia="Calibri" w:cs="Times New Roman"/>
          <w:sz w:val="24"/>
          <w:szCs w:val="24"/>
        </w:rPr>
      </w:pPr>
      <w:r w:rsidRPr="00AC0C65">
        <w:rPr>
          <w:rFonts w:eastAsia="Calibri" w:cs="Times New Roman"/>
          <w:sz w:val="24"/>
          <w:szCs w:val="24"/>
        </w:rPr>
        <w:t>Med forslaget sigtes der efter, at der i de særligt grove tilfælde af overtrædelse af arbejdsmiljølovgivningen kan være anledning til – ud over tiltalen mod arbejdsgiveren som sådan – tillige at rejse tiltale mod en eller flere fysiske personer, såfremt den eller de pågældende har handlet forsætligt eller udvist grov uagtsomhed.</w:t>
      </w:r>
    </w:p>
    <w:p w14:paraId="24CB0816" w14:textId="71C39B02" w:rsidR="00136121" w:rsidRPr="00AC0C65" w:rsidRDefault="00136121" w:rsidP="00136121">
      <w:pPr>
        <w:spacing w:after="240"/>
        <w:rPr>
          <w:rFonts w:eastAsia="Calibri" w:cs="Times New Roman"/>
          <w:sz w:val="24"/>
          <w:szCs w:val="24"/>
        </w:rPr>
      </w:pPr>
      <w:r w:rsidRPr="00AC0C65">
        <w:rPr>
          <w:rFonts w:eastAsia="Calibri" w:cs="Times New Roman"/>
          <w:sz w:val="24"/>
          <w:szCs w:val="24"/>
        </w:rPr>
        <w:t xml:space="preserve">Med forslaget forudsættes det, at bødeniveauet for </w:t>
      </w:r>
      <w:r w:rsidR="004A1412" w:rsidRPr="00AC0C65">
        <w:rPr>
          <w:rFonts w:eastAsia="Calibri" w:cs="Times New Roman"/>
          <w:sz w:val="24"/>
          <w:szCs w:val="24"/>
        </w:rPr>
        <w:t xml:space="preserve">materielle </w:t>
      </w:r>
      <w:r w:rsidRPr="00AC0C65">
        <w:rPr>
          <w:rFonts w:eastAsia="Calibri" w:cs="Times New Roman"/>
          <w:sz w:val="24"/>
          <w:szCs w:val="24"/>
        </w:rPr>
        <w:t>overtrædelse</w:t>
      </w:r>
      <w:r w:rsidR="004A1412" w:rsidRPr="00AC0C65">
        <w:rPr>
          <w:rFonts w:eastAsia="Calibri" w:cs="Times New Roman"/>
          <w:sz w:val="24"/>
          <w:szCs w:val="24"/>
        </w:rPr>
        <w:t>r</w:t>
      </w:r>
      <w:r w:rsidRPr="00AC0C65">
        <w:rPr>
          <w:rFonts w:eastAsia="Calibri" w:cs="Times New Roman"/>
          <w:sz w:val="24"/>
          <w:szCs w:val="24"/>
        </w:rPr>
        <w:t xml:space="preserve"> af arbejdsmiljølovgivningen forbliver uændret.  </w:t>
      </w:r>
    </w:p>
    <w:p w14:paraId="7B0741D1" w14:textId="4B29F7C0" w:rsidR="00EE33F8" w:rsidRDefault="00136121" w:rsidP="00136121">
      <w:pPr>
        <w:spacing w:after="240"/>
        <w:rPr>
          <w:rFonts w:eastAsia="Calibri" w:cs="Times New Roman"/>
          <w:sz w:val="24"/>
          <w:szCs w:val="24"/>
        </w:rPr>
      </w:pPr>
      <w:r w:rsidRPr="00AC0C65">
        <w:rPr>
          <w:rFonts w:eastAsia="Calibri" w:cs="Times New Roman"/>
          <w:sz w:val="24"/>
          <w:szCs w:val="24"/>
        </w:rPr>
        <w:t xml:space="preserve">Derved vil det vejledende bødeniveau </w:t>
      </w:r>
      <w:r w:rsidR="00760BF6" w:rsidRPr="00AC0C65">
        <w:rPr>
          <w:rFonts w:eastAsia="Calibri" w:cs="Times New Roman"/>
          <w:sz w:val="24"/>
          <w:szCs w:val="24"/>
        </w:rPr>
        <w:t>for materielle overtrædelser,</w:t>
      </w:r>
      <w:r w:rsidRPr="00AC0C65">
        <w:rPr>
          <w:rFonts w:eastAsia="Calibri" w:cs="Times New Roman"/>
          <w:sz w:val="24"/>
          <w:szCs w:val="24"/>
        </w:rPr>
        <w:t xml:space="preserve"> herunder for arbejdsgivere mv. fortsat følge de vejledende bødeniveauer, som er fastsat i tidligere lovbemærkninger til § 82, stk. 1- 6.</w:t>
      </w:r>
    </w:p>
    <w:bookmarkEnd w:id="256"/>
    <w:p w14:paraId="33EA4806" w14:textId="3C8E9B59" w:rsidR="006108C2" w:rsidRPr="007244D5" w:rsidRDefault="006108C2" w:rsidP="006108C2">
      <w:pPr>
        <w:spacing w:after="240"/>
        <w:rPr>
          <w:rFonts w:eastAsia="Calibri" w:cs="Times New Roman"/>
          <w:sz w:val="24"/>
          <w:szCs w:val="24"/>
        </w:rPr>
      </w:pPr>
      <w:r w:rsidRPr="007244D5">
        <w:rPr>
          <w:rFonts w:eastAsia="Calibri" w:cs="Times New Roman"/>
          <w:sz w:val="24"/>
          <w:szCs w:val="24"/>
        </w:rPr>
        <w:t xml:space="preserve">Til nr. </w:t>
      </w:r>
      <w:r w:rsidR="0029075F">
        <w:rPr>
          <w:rFonts w:eastAsia="Calibri" w:cs="Times New Roman"/>
          <w:sz w:val="24"/>
          <w:szCs w:val="24"/>
        </w:rPr>
        <w:t>3</w:t>
      </w:r>
    </w:p>
    <w:p w14:paraId="2FA6A15A" w14:textId="70A871FA" w:rsidR="002B223C" w:rsidRPr="002B223C" w:rsidRDefault="002B223C" w:rsidP="002B223C">
      <w:pPr>
        <w:spacing w:after="240"/>
        <w:rPr>
          <w:rFonts w:cs="Times New Roman"/>
          <w:sz w:val="24"/>
          <w:szCs w:val="24"/>
        </w:rPr>
      </w:pPr>
      <w:r w:rsidRPr="002B223C">
        <w:rPr>
          <w:rFonts w:cs="Times New Roman"/>
          <w:sz w:val="24"/>
          <w:szCs w:val="24"/>
        </w:rPr>
        <w:t>Efter den gældende bestemmelse i arbejdsmiljølovens § 82, stk. 1, kan der straffes med bøde eller fængsel indtil 1 år. Bestemmelsen gælder over</w:t>
      </w:r>
      <w:r>
        <w:rPr>
          <w:rFonts w:cs="Times New Roman"/>
          <w:sz w:val="24"/>
          <w:szCs w:val="24"/>
        </w:rPr>
        <w:t xml:space="preserve"> </w:t>
      </w:r>
      <w:r w:rsidRPr="002B223C">
        <w:rPr>
          <w:rFonts w:cs="Times New Roman"/>
          <w:sz w:val="24"/>
          <w:szCs w:val="24"/>
        </w:rPr>
        <w:t>for den, der:</w:t>
      </w:r>
    </w:p>
    <w:p w14:paraId="2688BE55" w14:textId="21C7D5BD" w:rsidR="002B223C" w:rsidRPr="002B223C" w:rsidRDefault="002B223C" w:rsidP="002B223C">
      <w:pPr>
        <w:spacing w:after="240"/>
        <w:rPr>
          <w:rFonts w:cs="Times New Roman"/>
          <w:sz w:val="24"/>
          <w:szCs w:val="24"/>
        </w:rPr>
      </w:pPr>
      <w:r w:rsidRPr="002B223C">
        <w:rPr>
          <w:rFonts w:cs="Times New Roman"/>
          <w:sz w:val="24"/>
          <w:szCs w:val="24"/>
        </w:rPr>
        <w:t xml:space="preserve">1) overtræder </w:t>
      </w:r>
      <w:r>
        <w:t xml:space="preserve">§ 15, § 15 a, § 16, § 17, stk. 1 og 2, § 18, § 19, § 20, stk. 1, § 20 a, stk. 1, § 21, stk. 1, § 23, §§ 25-34, § 37, stk. 1 og 6, § 38, stk. 1, § 42, stk. 1, § 45, stk. 1, § 48, stk. 1, § 63, stk. 5, § 75, stk. 4, § 76, stk. 1, </w:t>
      </w:r>
      <w:r w:rsidRPr="002B223C">
        <w:rPr>
          <w:rFonts w:cs="Times New Roman"/>
          <w:sz w:val="24"/>
          <w:szCs w:val="24"/>
        </w:rPr>
        <w:t>eller de af Det Europæiske Fællesskabs forordninger vedrørende forhold omfattet af loven</w:t>
      </w:r>
    </w:p>
    <w:p w14:paraId="66FA850A" w14:textId="77777777" w:rsidR="002B223C" w:rsidRPr="002B223C" w:rsidRDefault="002B223C" w:rsidP="002B223C">
      <w:pPr>
        <w:spacing w:after="240"/>
        <w:rPr>
          <w:rFonts w:cs="Times New Roman"/>
          <w:sz w:val="24"/>
          <w:szCs w:val="24"/>
        </w:rPr>
      </w:pPr>
      <w:r w:rsidRPr="002B223C">
        <w:rPr>
          <w:rFonts w:cs="Times New Roman"/>
          <w:sz w:val="24"/>
          <w:szCs w:val="24"/>
        </w:rPr>
        <w:t>2) lader arbejde udføre i strid med lovens kapitel 9 og 10, leder eller fører tilsyn med sådant arbejde eller udfører arbejde i strid med kapitel 9</w:t>
      </w:r>
    </w:p>
    <w:p w14:paraId="33CEB962" w14:textId="77777777" w:rsidR="002B223C" w:rsidRPr="002B223C" w:rsidRDefault="002B223C" w:rsidP="002B223C">
      <w:pPr>
        <w:spacing w:after="240"/>
        <w:rPr>
          <w:rFonts w:cs="Times New Roman"/>
          <w:sz w:val="24"/>
          <w:szCs w:val="24"/>
        </w:rPr>
      </w:pPr>
      <w:r w:rsidRPr="002B223C">
        <w:rPr>
          <w:rFonts w:cs="Times New Roman"/>
          <w:sz w:val="24"/>
          <w:szCs w:val="24"/>
        </w:rPr>
        <w:t>3) ikke efterkommer påbud efter lovens § 77, § 77a, stk. 1 eller</w:t>
      </w:r>
    </w:p>
    <w:p w14:paraId="1CAABBE5" w14:textId="77777777" w:rsidR="002B223C" w:rsidRPr="002B223C" w:rsidRDefault="002B223C" w:rsidP="002B223C">
      <w:pPr>
        <w:spacing w:after="240"/>
        <w:rPr>
          <w:rFonts w:cs="Times New Roman"/>
          <w:sz w:val="24"/>
          <w:szCs w:val="24"/>
        </w:rPr>
      </w:pPr>
      <w:r w:rsidRPr="002B223C">
        <w:rPr>
          <w:rFonts w:cs="Times New Roman"/>
          <w:sz w:val="24"/>
          <w:szCs w:val="24"/>
        </w:rPr>
        <w:t>4) undlader at meddele oplysninger efter lovens § 22, stk. 2.</w:t>
      </w:r>
    </w:p>
    <w:p w14:paraId="29FF4330" w14:textId="48B6FDF0" w:rsidR="00B311DF" w:rsidRDefault="00B311DF" w:rsidP="002B223C">
      <w:pPr>
        <w:spacing w:after="240"/>
        <w:rPr>
          <w:rFonts w:cs="Times New Roman"/>
          <w:sz w:val="24"/>
          <w:szCs w:val="24"/>
        </w:rPr>
      </w:pPr>
      <w:r>
        <w:rPr>
          <w:rFonts w:cs="Times New Roman"/>
          <w:sz w:val="24"/>
          <w:szCs w:val="24"/>
        </w:rPr>
        <w:t>Det</w:t>
      </w:r>
      <w:r w:rsidR="002B223C" w:rsidRPr="002B223C">
        <w:rPr>
          <w:rFonts w:cs="Times New Roman"/>
          <w:sz w:val="24"/>
          <w:szCs w:val="24"/>
        </w:rPr>
        <w:t xml:space="preserve"> foreslås</w:t>
      </w:r>
      <w:r w:rsidR="00EF6E9F">
        <w:rPr>
          <w:rFonts w:cs="Times New Roman"/>
          <w:sz w:val="24"/>
          <w:szCs w:val="24"/>
        </w:rPr>
        <w:t>,</w:t>
      </w:r>
      <w:r w:rsidR="002B223C" w:rsidRPr="002B223C">
        <w:rPr>
          <w:rFonts w:cs="Times New Roman"/>
          <w:sz w:val="24"/>
          <w:szCs w:val="24"/>
        </w:rPr>
        <w:t xml:space="preserve"> at </w:t>
      </w:r>
      <w:r w:rsidR="00EF6E9F">
        <w:rPr>
          <w:rFonts w:cs="Times New Roman"/>
          <w:sz w:val="24"/>
          <w:szCs w:val="24"/>
        </w:rPr>
        <w:t xml:space="preserve">der </w:t>
      </w:r>
      <w:r w:rsidR="00727ECF">
        <w:rPr>
          <w:rFonts w:cs="Times New Roman"/>
          <w:sz w:val="24"/>
          <w:szCs w:val="24"/>
        </w:rPr>
        <w:t>indsætte</w:t>
      </w:r>
      <w:r w:rsidR="00EF6E9F">
        <w:rPr>
          <w:rFonts w:cs="Times New Roman"/>
          <w:sz w:val="24"/>
          <w:szCs w:val="24"/>
        </w:rPr>
        <w:t>s</w:t>
      </w:r>
      <w:r w:rsidR="002B223C">
        <w:rPr>
          <w:rFonts w:cs="Times New Roman"/>
          <w:sz w:val="24"/>
          <w:szCs w:val="24"/>
        </w:rPr>
        <w:t xml:space="preserve"> et </w:t>
      </w:r>
      <w:r w:rsidR="00727ECF">
        <w:rPr>
          <w:rFonts w:cs="Times New Roman"/>
          <w:sz w:val="24"/>
          <w:szCs w:val="24"/>
        </w:rPr>
        <w:t xml:space="preserve">nyt </w:t>
      </w:r>
      <w:r w:rsidR="002B223C">
        <w:rPr>
          <w:rFonts w:cs="Times New Roman"/>
          <w:sz w:val="24"/>
          <w:szCs w:val="24"/>
        </w:rPr>
        <w:t>nr. 5 til § 82, stk. 1</w:t>
      </w:r>
      <w:r>
        <w:rPr>
          <w:rFonts w:cs="Times New Roman"/>
          <w:sz w:val="24"/>
          <w:szCs w:val="24"/>
        </w:rPr>
        <w:t>, hvorefter</w:t>
      </w:r>
      <w:r w:rsidR="00E22687">
        <w:rPr>
          <w:rFonts w:cs="Times New Roman"/>
          <w:sz w:val="24"/>
          <w:szCs w:val="24"/>
        </w:rPr>
        <w:t xml:space="preserve"> den der </w:t>
      </w:r>
      <w:r w:rsidR="00E22687" w:rsidRPr="00E22687">
        <w:rPr>
          <w:rFonts w:cs="Times New Roman"/>
          <w:sz w:val="24"/>
          <w:szCs w:val="24"/>
        </w:rPr>
        <w:t>overtræder regler fastsat af beskæftigelsesministeren i medfør af § 37, stk. 2, nr. 2 og § 75, stk. 1</w:t>
      </w:r>
      <w:r w:rsidR="00E22687">
        <w:rPr>
          <w:rFonts w:cs="Times New Roman"/>
          <w:sz w:val="24"/>
          <w:szCs w:val="24"/>
        </w:rPr>
        <w:t xml:space="preserve">, </w:t>
      </w:r>
      <w:r w:rsidR="00E22687" w:rsidRPr="002B223C">
        <w:rPr>
          <w:rFonts w:cs="Times New Roman"/>
          <w:sz w:val="24"/>
          <w:szCs w:val="24"/>
        </w:rPr>
        <w:t>kan der straffes med bøde eller fængsel indtil 1 år</w:t>
      </w:r>
      <w:r w:rsidR="00E22687">
        <w:rPr>
          <w:rFonts w:cs="Times New Roman"/>
          <w:sz w:val="24"/>
          <w:szCs w:val="24"/>
        </w:rPr>
        <w:t>.</w:t>
      </w:r>
      <w:r w:rsidR="002B223C">
        <w:rPr>
          <w:rFonts w:cs="Times New Roman"/>
          <w:sz w:val="24"/>
          <w:szCs w:val="24"/>
        </w:rPr>
        <w:t xml:space="preserve"> </w:t>
      </w:r>
    </w:p>
    <w:p w14:paraId="7008C833" w14:textId="3E1D6BD2" w:rsidR="002B223C" w:rsidRDefault="002B223C" w:rsidP="002B223C">
      <w:pPr>
        <w:spacing w:after="240"/>
        <w:rPr>
          <w:rFonts w:cs="Times New Roman"/>
          <w:sz w:val="24"/>
          <w:szCs w:val="24"/>
        </w:rPr>
      </w:pPr>
      <w:r w:rsidRPr="002B223C">
        <w:rPr>
          <w:rFonts w:cs="Times New Roman"/>
          <w:sz w:val="24"/>
          <w:szCs w:val="24"/>
        </w:rPr>
        <w:t xml:space="preserve">Med ændringen er det forudsat, at grundbøden </w:t>
      </w:r>
      <w:r w:rsidR="003B2E2B">
        <w:rPr>
          <w:rFonts w:cs="Times New Roman"/>
          <w:sz w:val="24"/>
          <w:szCs w:val="24"/>
        </w:rPr>
        <w:t xml:space="preserve">forhøjes </w:t>
      </w:r>
      <w:r w:rsidRPr="002B223C">
        <w:rPr>
          <w:rFonts w:cs="Times New Roman"/>
          <w:sz w:val="24"/>
          <w:szCs w:val="24"/>
        </w:rPr>
        <w:t xml:space="preserve">for </w:t>
      </w:r>
      <w:r w:rsidR="00F57057">
        <w:rPr>
          <w:rFonts w:cs="Times New Roman"/>
          <w:sz w:val="24"/>
          <w:szCs w:val="24"/>
        </w:rPr>
        <w:t xml:space="preserve">virksomheder med 35 eller flere ansatte og for </w:t>
      </w:r>
      <w:r>
        <w:rPr>
          <w:rFonts w:cs="Times New Roman"/>
          <w:sz w:val="24"/>
          <w:szCs w:val="24"/>
        </w:rPr>
        <w:t xml:space="preserve">to formelle </w:t>
      </w:r>
      <w:r w:rsidR="003B2E2B">
        <w:rPr>
          <w:rFonts w:cs="Times New Roman"/>
          <w:sz w:val="24"/>
          <w:szCs w:val="24"/>
        </w:rPr>
        <w:t>overtrædelser</w:t>
      </w:r>
      <w:r w:rsidR="00F57057">
        <w:rPr>
          <w:rFonts w:cs="Times New Roman"/>
          <w:sz w:val="24"/>
          <w:szCs w:val="24"/>
        </w:rPr>
        <w:t xml:space="preserve">, herunder </w:t>
      </w:r>
      <w:r w:rsidR="00EF6E9F">
        <w:rPr>
          <w:rFonts w:cs="Times New Roman"/>
          <w:sz w:val="24"/>
          <w:szCs w:val="24"/>
        </w:rPr>
        <w:t xml:space="preserve">for </w:t>
      </w:r>
      <w:r>
        <w:rPr>
          <w:rFonts w:eastAsia="Calibri" w:cs="Times New Roman"/>
          <w:sz w:val="24"/>
          <w:szCs w:val="24"/>
        </w:rPr>
        <w:t>ar</w:t>
      </w:r>
      <w:r>
        <w:rPr>
          <w:rFonts w:eastAsia="Calibri" w:cs="Times New Roman"/>
          <w:sz w:val="24"/>
          <w:szCs w:val="24"/>
        </w:rPr>
        <w:lastRenderedPageBreak/>
        <w:t xml:space="preserve">bejdsgivers </w:t>
      </w:r>
      <w:r w:rsidRPr="00583466">
        <w:rPr>
          <w:rFonts w:eastAsia="Calibri" w:cs="Times New Roman"/>
          <w:sz w:val="24"/>
          <w:szCs w:val="24"/>
        </w:rPr>
        <w:t xml:space="preserve">manglende </w:t>
      </w:r>
      <w:r>
        <w:rPr>
          <w:rFonts w:eastAsia="Calibri" w:cs="Times New Roman"/>
          <w:sz w:val="24"/>
          <w:szCs w:val="24"/>
        </w:rPr>
        <w:t>anmeldelse af en arbejdsulykke</w:t>
      </w:r>
      <w:r w:rsidR="00727ECF">
        <w:rPr>
          <w:rFonts w:eastAsia="Calibri" w:cs="Times New Roman"/>
          <w:sz w:val="24"/>
          <w:szCs w:val="24"/>
        </w:rPr>
        <w:t xml:space="preserve"> mv.</w:t>
      </w:r>
      <w:r>
        <w:rPr>
          <w:rFonts w:eastAsia="Calibri" w:cs="Times New Roman"/>
          <w:sz w:val="24"/>
          <w:szCs w:val="24"/>
        </w:rPr>
        <w:t xml:space="preserve"> til Arbejdstilsynet, og </w:t>
      </w:r>
      <w:r w:rsidR="00EF6E9F">
        <w:rPr>
          <w:rFonts w:eastAsia="Calibri" w:cs="Times New Roman"/>
          <w:sz w:val="24"/>
          <w:szCs w:val="24"/>
        </w:rPr>
        <w:t xml:space="preserve">for </w:t>
      </w:r>
      <w:r>
        <w:rPr>
          <w:rFonts w:eastAsia="Calibri" w:cs="Times New Roman"/>
          <w:sz w:val="24"/>
          <w:szCs w:val="24"/>
        </w:rPr>
        <w:t xml:space="preserve">bygherres overtrædelse af reglerne om </w:t>
      </w:r>
      <w:r w:rsidRPr="00583466">
        <w:rPr>
          <w:rFonts w:eastAsia="Calibri" w:cs="Times New Roman"/>
          <w:sz w:val="24"/>
          <w:szCs w:val="24"/>
        </w:rPr>
        <w:t>at udarbejde en plan for sikkerhed og sundhed på byggepladsen</w:t>
      </w:r>
      <w:r>
        <w:rPr>
          <w:rFonts w:eastAsia="Calibri" w:cs="Times New Roman"/>
          <w:sz w:val="24"/>
          <w:szCs w:val="24"/>
        </w:rPr>
        <w:t>.</w:t>
      </w:r>
      <w:r w:rsidRPr="002B223C">
        <w:rPr>
          <w:rFonts w:cs="Times New Roman"/>
          <w:sz w:val="24"/>
          <w:szCs w:val="24"/>
        </w:rPr>
        <w:t xml:space="preserve"> </w:t>
      </w:r>
    </w:p>
    <w:p w14:paraId="1D4B94EA" w14:textId="62374999" w:rsidR="002B223C" w:rsidRDefault="002B223C" w:rsidP="002B223C">
      <w:pPr>
        <w:spacing w:after="240"/>
        <w:rPr>
          <w:rFonts w:cs="Times New Roman"/>
          <w:sz w:val="24"/>
          <w:szCs w:val="24"/>
        </w:rPr>
      </w:pPr>
      <w:r w:rsidRPr="002B223C">
        <w:rPr>
          <w:rFonts w:cs="Times New Roman"/>
          <w:sz w:val="24"/>
          <w:szCs w:val="24"/>
        </w:rPr>
        <w:t xml:space="preserve">For arbejdsgivere betyder det, at det forudsættes, at niveauet for grundbøden </w:t>
      </w:r>
      <w:r w:rsidR="00464FD6">
        <w:rPr>
          <w:rFonts w:cs="Times New Roman"/>
          <w:sz w:val="24"/>
          <w:szCs w:val="24"/>
        </w:rPr>
        <w:t xml:space="preserve">for virksomheder med 35 eller flere ansatte </w:t>
      </w:r>
      <w:r w:rsidRPr="002B223C">
        <w:rPr>
          <w:rFonts w:cs="Times New Roman"/>
          <w:sz w:val="24"/>
          <w:szCs w:val="24"/>
        </w:rPr>
        <w:t xml:space="preserve">forhøjes fra </w:t>
      </w:r>
      <w:r>
        <w:rPr>
          <w:rFonts w:cs="Times New Roman"/>
          <w:sz w:val="24"/>
          <w:szCs w:val="24"/>
        </w:rPr>
        <w:t>1</w:t>
      </w:r>
      <w:r w:rsidRPr="002B223C">
        <w:rPr>
          <w:rFonts w:cs="Times New Roman"/>
          <w:sz w:val="24"/>
          <w:szCs w:val="24"/>
        </w:rPr>
        <w:t>0.000 kr. til 2</w:t>
      </w:r>
      <w:r>
        <w:rPr>
          <w:rFonts w:cs="Times New Roman"/>
          <w:sz w:val="24"/>
          <w:szCs w:val="24"/>
        </w:rPr>
        <w:t>5</w:t>
      </w:r>
      <w:r w:rsidRPr="002B223C">
        <w:rPr>
          <w:rFonts w:cs="Times New Roman"/>
          <w:sz w:val="24"/>
          <w:szCs w:val="24"/>
        </w:rPr>
        <w:t>.</w:t>
      </w:r>
      <w:r>
        <w:rPr>
          <w:rFonts w:cs="Times New Roman"/>
          <w:sz w:val="24"/>
          <w:szCs w:val="24"/>
        </w:rPr>
        <w:t>0</w:t>
      </w:r>
      <w:r w:rsidRPr="002B223C">
        <w:rPr>
          <w:rFonts w:cs="Times New Roman"/>
          <w:sz w:val="24"/>
          <w:szCs w:val="24"/>
        </w:rPr>
        <w:t xml:space="preserve">00 kr. </w:t>
      </w:r>
      <w:r w:rsidR="00727ECF">
        <w:rPr>
          <w:rFonts w:cs="Times New Roman"/>
          <w:sz w:val="24"/>
          <w:szCs w:val="24"/>
        </w:rPr>
        <w:t xml:space="preserve">for </w:t>
      </w:r>
      <w:r w:rsidR="00727ECF" w:rsidRPr="00727ECF">
        <w:rPr>
          <w:rFonts w:cs="Times New Roman"/>
          <w:sz w:val="24"/>
          <w:szCs w:val="24"/>
        </w:rPr>
        <w:t>arbejdsgivers manglende anmeldelse af e</w:t>
      </w:r>
      <w:r w:rsidR="00727ECF">
        <w:rPr>
          <w:rFonts w:cs="Times New Roman"/>
          <w:sz w:val="24"/>
          <w:szCs w:val="24"/>
        </w:rPr>
        <w:t>n arbejdsulykke mv. til Arbejdstilsynet</w:t>
      </w:r>
      <w:r w:rsidR="00EF6E9F">
        <w:rPr>
          <w:rFonts w:cs="Times New Roman"/>
          <w:sz w:val="24"/>
          <w:szCs w:val="24"/>
        </w:rPr>
        <w:t xml:space="preserve">, jf. reglerne i bekendtgørelse </w:t>
      </w:r>
      <w:r w:rsidR="00EF6E9F" w:rsidRPr="00EF6E9F">
        <w:rPr>
          <w:rFonts w:cs="Times New Roman"/>
          <w:sz w:val="24"/>
          <w:szCs w:val="24"/>
        </w:rPr>
        <w:t xml:space="preserve">om anmeldelse af arbejdsulykker m.v. til Arbejdstilsynet. </w:t>
      </w:r>
    </w:p>
    <w:p w14:paraId="6B6509A1" w14:textId="254DC96F" w:rsidR="00727ECF" w:rsidRDefault="00727ECF" w:rsidP="002B223C">
      <w:pPr>
        <w:spacing w:after="240"/>
        <w:rPr>
          <w:rFonts w:cs="Times New Roman"/>
          <w:sz w:val="24"/>
          <w:szCs w:val="24"/>
        </w:rPr>
      </w:pPr>
      <w:r>
        <w:rPr>
          <w:rFonts w:cs="Times New Roman"/>
          <w:sz w:val="24"/>
          <w:szCs w:val="24"/>
        </w:rPr>
        <w:t>For bygherre betyder det, at det forudsættes</w:t>
      </w:r>
      <w:r w:rsidRPr="00727ECF">
        <w:rPr>
          <w:rFonts w:cs="Times New Roman"/>
          <w:sz w:val="24"/>
          <w:szCs w:val="24"/>
        </w:rPr>
        <w:t xml:space="preserve">, at niveauet for grundbøden </w:t>
      </w:r>
      <w:r w:rsidR="00464FD6">
        <w:rPr>
          <w:rFonts w:cs="Times New Roman"/>
          <w:sz w:val="24"/>
          <w:szCs w:val="24"/>
        </w:rPr>
        <w:t xml:space="preserve">for virksomheder med 35 eller flere ansatte </w:t>
      </w:r>
      <w:r w:rsidRPr="00727ECF">
        <w:rPr>
          <w:rFonts w:cs="Times New Roman"/>
          <w:sz w:val="24"/>
          <w:szCs w:val="24"/>
        </w:rPr>
        <w:t>forhøjes fra 10.000 kr. til 25.000 kr.</w:t>
      </w:r>
      <w:r>
        <w:rPr>
          <w:rFonts w:cs="Times New Roman"/>
          <w:sz w:val="24"/>
          <w:szCs w:val="24"/>
        </w:rPr>
        <w:t xml:space="preserve"> for </w:t>
      </w:r>
      <w:r w:rsidRPr="00727ECF">
        <w:rPr>
          <w:rFonts w:cs="Times New Roman"/>
          <w:sz w:val="24"/>
          <w:szCs w:val="24"/>
        </w:rPr>
        <w:t>bygherres overtrædelse af reglerne om at udarbejde en plan for sikkerhed og sundhed på byggepladsen</w:t>
      </w:r>
      <w:r w:rsidR="00EF6E9F">
        <w:rPr>
          <w:rFonts w:cs="Times New Roman"/>
          <w:sz w:val="24"/>
          <w:szCs w:val="24"/>
        </w:rPr>
        <w:t xml:space="preserve">, herunder både ved bygherres manglende eller mangelfulde udarbejdelse af en plan for sikkerhed </w:t>
      </w:r>
      <w:r w:rsidR="002E319D">
        <w:rPr>
          <w:rFonts w:cs="Times New Roman"/>
          <w:sz w:val="24"/>
          <w:szCs w:val="24"/>
        </w:rPr>
        <w:t>og</w:t>
      </w:r>
      <w:r w:rsidR="00EF6E9F">
        <w:rPr>
          <w:rFonts w:cs="Times New Roman"/>
          <w:sz w:val="24"/>
          <w:szCs w:val="24"/>
        </w:rPr>
        <w:t xml:space="preserve"> sundhed, jf. reglerne i </w:t>
      </w:r>
      <w:r w:rsidR="00EF6E9F" w:rsidRPr="00EF6E9F">
        <w:rPr>
          <w:rFonts w:cs="Times New Roman"/>
          <w:sz w:val="24"/>
          <w:szCs w:val="24"/>
        </w:rPr>
        <w:t>bekendtgørelse om bygherrens pligter</w:t>
      </w:r>
      <w:r w:rsidR="00EF6E9F">
        <w:rPr>
          <w:rFonts w:cs="Times New Roman"/>
          <w:sz w:val="24"/>
          <w:szCs w:val="24"/>
        </w:rPr>
        <w:t>.</w:t>
      </w:r>
    </w:p>
    <w:p w14:paraId="7DA18841" w14:textId="1F532A16" w:rsidR="00727ECF" w:rsidRDefault="002B223C" w:rsidP="002B223C">
      <w:pPr>
        <w:spacing w:after="240"/>
        <w:rPr>
          <w:rFonts w:cs="Times New Roman"/>
          <w:sz w:val="24"/>
          <w:szCs w:val="24"/>
        </w:rPr>
      </w:pPr>
      <w:r w:rsidRPr="002B223C">
        <w:rPr>
          <w:rFonts w:cs="Times New Roman"/>
          <w:sz w:val="24"/>
          <w:szCs w:val="24"/>
        </w:rPr>
        <w:t>Der er med forslaget om ændring af § 82, stk. 1</w:t>
      </w:r>
      <w:r w:rsidR="00B311DF">
        <w:rPr>
          <w:rFonts w:cs="Times New Roman"/>
          <w:sz w:val="24"/>
          <w:szCs w:val="24"/>
        </w:rPr>
        <w:t>,</w:t>
      </w:r>
      <w:r w:rsidRPr="002B223C">
        <w:rPr>
          <w:rFonts w:cs="Times New Roman"/>
          <w:sz w:val="24"/>
          <w:szCs w:val="24"/>
        </w:rPr>
        <w:t xml:space="preserve"> alene tilsigtet en ændring i forhold til bødeniveauet vedrørende </w:t>
      </w:r>
      <w:r w:rsidR="00727ECF">
        <w:rPr>
          <w:rFonts w:cs="Times New Roman"/>
          <w:sz w:val="24"/>
          <w:szCs w:val="24"/>
        </w:rPr>
        <w:t xml:space="preserve">de to ovenfor nævnte formelle </w:t>
      </w:r>
      <w:r w:rsidRPr="002B223C">
        <w:rPr>
          <w:rFonts w:cs="Times New Roman"/>
          <w:sz w:val="24"/>
          <w:szCs w:val="24"/>
        </w:rPr>
        <w:t>overtrædelser</w:t>
      </w:r>
      <w:r w:rsidR="00464FD6">
        <w:rPr>
          <w:rFonts w:cs="Times New Roman"/>
          <w:sz w:val="24"/>
          <w:szCs w:val="24"/>
        </w:rPr>
        <w:t>, og alene for virksomheder med 35 eller flere ansatte</w:t>
      </w:r>
      <w:r w:rsidR="00727ECF">
        <w:rPr>
          <w:rFonts w:cs="Times New Roman"/>
          <w:sz w:val="24"/>
          <w:szCs w:val="24"/>
        </w:rPr>
        <w:t>.</w:t>
      </w:r>
    </w:p>
    <w:p w14:paraId="2F3368AB" w14:textId="21873521" w:rsidR="00727ECF" w:rsidRDefault="00727ECF" w:rsidP="002B223C">
      <w:pPr>
        <w:spacing w:after="240"/>
        <w:rPr>
          <w:rFonts w:cs="Times New Roman"/>
          <w:sz w:val="24"/>
          <w:szCs w:val="24"/>
        </w:rPr>
      </w:pPr>
      <w:r>
        <w:rPr>
          <w:rFonts w:cs="Times New Roman"/>
          <w:sz w:val="24"/>
          <w:szCs w:val="24"/>
        </w:rPr>
        <w:t>Bødeniveauet for øvrige formelle overtrædelser af arbejdsmiljølovgivningen og bødeniveauet for materielle overtrædelser af arbejdsmiljølovgivningen forudsættes at være uændret.</w:t>
      </w:r>
    </w:p>
    <w:p w14:paraId="5B0E021C" w14:textId="54AA3053" w:rsidR="00727ECF" w:rsidRDefault="00727ECF" w:rsidP="002B223C">
      <w:pPr>
        <w:spacing w:after="240"/>
        <w:rPr>
          <w:rFonts w:cs="Times New Roman"/>
          <w:sz w:val="24"/>
          <w:szCs w:val="24"/>
        </w:rPr>
      </w:pPr>
      <w:r w:rsidRPr="00727ECF">
        <w:rPr>
          <w:rFonts w:cs="Times New Roman"/>
          <w:sz w:val="24"/>
          <w:szCs w:val="24"/>
        </w:rPr>
        <w:t>Fastsættelsen af straffen vil fortsat ber</w:t>
      </w:r>
      <w:r>
        <w:rPr>
          <w:rFonts w:cs="Times New Roman"/>
          <w:sz w:val="24"/>
          <w:szCs w:val="24"/>
        </w:rPr>
        <w:t>o på domstolenes konkrete vurde</w:t>
      </w:r>
      <w:r w:rsidRPr="00727ECF">
        <w:rPr>
          <w:rFonts w:cs="Times New Roman"/>
          <w:sz w:val="24"/>
          <w:szCs w:val="24"/>
        </w:rPr>
        <w:t>ring i det enkelte tilfælde af samtlige om</w:t>
      </w:r>
      <w:r>
        <w:rPr>
          <w:rFonts w:cs="Times New Roman"/>
          <w:sz w:val="24"/>
          <w:szCs w:val="24"/>
        </w:rPr>
        <w:t>stændigheder i sagen, og det an</w:t>
      </w:r>
      <w:r w:rsidRPr="00727ECF">
        <w:rPr>
          <w:rFonts w:cs="Times New Roman"/>
          <w:sz w:val="24"/>
          <w:szCs w:val="24"/>
        </w:rPr>
        <w:t>givne strafniveau vil kunne fraviges i op- og nedadgående retning, hvis der i den konkrete sag foreligger skæ</w:t>
      </w:r>
      <w:r>
        <w:rPr>
          <w:rFonts w:cs="Times New Roman"/>
          <w:sz w:val="24"/>
          <w:szCs w:val="24"/>
        </w:rPr>
        <w:t>rpende eller formildende omstæn</w:t>
      </w:r>
      <w:r w:rsidRPr="00727ECF">
        <w:rPr>
          <w:rFonts w:cs="Times New Roman"/>
          <w:sz w:val="24"/>
          <w:szCs w:val="24"/>
        </w:rPr>
        <w:t>digheder, jf. herved de almindelige regler om</w:t>
      </w:r>
      <w:r>
        <w:rPr>
          <w:rFonts w:cs="Times New Roman"/>
          <w:sz w:val="24"/>
          <w:szCs w:val="24"/>
        </w:rPr>
        <w:t xml:space="preserve"> straffens fastsættelse i straf</w:t>
      </w:r>
      <w:r w:rsidRPr="00727ECF">
        <w:rPr>
          <w:rFonts w:cs="Times New Roman"/>
          <w:sz w:val="24"/>
          <w:szCs w:val="24"/>
        </w:rPr>
        <w:t>felovens kapitel 10.</w:t>
      </w:r>
    </w:p>
    <w:p w14:paraId="3DE945DA" w14:textId="45EA66D2" w:rsidR="006108C2" w:rsidRPr="007244D5" w:rsidRDefault="006108C2" w:rsidP="006108C2">
      <w:pPr>
        <w:spacing w:after="240"/>
        <w:rPr>
          <w:sz w:val="24"/>
          <w:szCs w:val="24"/>
        </w:rPr>
      </w:pPr>
      <w:r w:rsidRPr="007244D5">
        <w:rPr>
          <w:sz w:val="24"/>
          <w:szCs w:val="24"/>
        </w:rPr>
        <w:t xml:space="preserve">Der henvises i øvrigt til pkt. </w:t>
      </w:r>
      <w:r w:rsidR="00EF6E9F">
        <w:rPr>
          <w:sz w:val="24"/>
          <w:szCs w:val="24"/>
        </w:rPr>
        <w:t>2.</w:t>
      </w:r>
      <w:r w:rsidR="0029075F">
        <w:rPr>
          <w:sz w:val="24"/>
          <w:szCs w:val="24"/>
        </w:rPr>
        <w:t>3</w:t>
      </w:r>
      <w:r w:rsidR="00EF6E9F">
        <w:rPr>
          <w:sz w:val="24"/>
          <w:szCs w:val="24"/>
        </w:rPr>
        <w:t>.3</w:t>
      </w:r>
      <w:r w:rsidRPr="007244D5">
        <w:rPr>
          <w:sz w:val="24"/>
          <w:szCs w:val="24"/>
        </w:rPr>
        <w:t xml:space="preserve"> i lovforslagets almindelige bemærkninger.</w:t>
      </w:r>
    </w:p>
    <w:p w14:paraId="1506EA79" w14:textId="4C7756B0" w:rsidR="007D3209" w:rsidRPr="00AC0C65" w:rsidRDefault="007D3209" w:rsidP="006108C2">
      <w:pPr>
        <w:spacing w:after="240"/>
        <w:rPr>
          <w:rFonts w:cs="Times New Roman"/>
          <w:sz w:val="24"/>
          <w:szCs w:val="24"/>
        </w:rPr>
      </w:pPr>
      <w:r w:rsidRPr="00AC0C65">
        <w:rPr>
          <w:rFonts w:cs="Times New Roman"/>
          <w:sz w:val="24"/>
          <w:szCs w:val="24"/>
        </w:rPr>
        <w:t xml:space="preserve">Til nr. </w:t>
      </w:r>
      <w:r w:rsidR="0029075F">
        <w:rPr>
          <w:rFonts w:cs="Times New Roman"/>
          <w:sz w:val="24"/>
          <w:szCs w:val="24"/>
        </w:rPr>
        <w:t>4</w:t>
      </w:r>
    </w:p>
    <w:p w14:paraId="1D7D119D" w14:textId="15FB8496" w:rsidR="005F493D" w:rsidRPr="00AC0C65" w:rsidRDefault="005F493D" w:rsidP="005F493D">
      <w:pPr>
        <w:spacing w:after="240"/>
        <w:rPr>
          <w:rFonts w:cs="Times New Roman"/>
          <w:sz w:val="24"/>
          <w:szCs w:val="24"/>
        </w:rPr>
      </w:pPr>
      <w:r w:rsidRPr="00AC0C65">
        <w:rPr>
          <w:rFonts w:cs="Times New Roman"/>
          <w:sz w:val="24"/>
          <w:szCs w:val="24"/>
        </w:rPr>
        <w:t>Efter den gældende bestemmelse i arbejdsmiljølovens § 82, stk. 2, kan straffen stige til fængsel i 2 år, når overtrædelsen har medført en ulykke med alvorlig personskade eller døden til følge.</w:t>
      </w:r>
    </w:p>
    <w:p w14:paraId="5415C6F4" w14:textId="4FFF6B2D" w:rsidR="005F493D" w:rsidRPr="00AC0C65" w:rsidRDefault="005F493D" w:rsidP="005F493D">
      <w:pPr>
        <w:spacing w:after="240"/>
        <w:rPr>
          <w:rFonts w:cs="Times New Roman"/>
          <w:sz w:val="24"/>
          <w:szCs w:val="24"/>
        </w:rPr>
      </w:pPr>
      <w:r w:rsidRPr="00AC0C65">
        <w:rPr>
          <w:rFonts w:cs="Times New Roman"/>
          <w:sz w:val="24"/>
          <w:szCs w:val="24"/>
        </w:rPr>
        <w:t xml:space="preserve">Med lovforslaget foreslås det at ændre »når« til »hvis« i arbejdsmiljølovens § 82, stk. 2. </w:t>
      </w:r>
    </w:p>
    <w:p w14:paraId="02A3B11B" w14:textId="59E6AA13" w:rsidR="007D3209" w:rsidRPr="00AC0C65" w:rsidRDefault="005F493D" w:rsidP="005F493D">
      <w:pPr>
        <w:spacing w:after="240"/>
        <w:rPr>
          <w:rFonts w:cs="Times New Roman"/>
          <w:sz w:val="24"/>
          <w:szCs w:val="24"/>
        </w:rPr>
      </w:pPr>
      <w:bookmarkStart w:id="259" w:name="_Hlk209594971"/>
      <w:r w:rsidRPr="00AC0C65">
        <w:rPr>
          <w:rFonts w:cs="Times New Roman"/>
          <w:sz w:val="24"/>
          <w:szCs w:val="24"/>
        </w:rPr>
        <w:lastRenderedPageBreak/>
        <w:t xml:space="preserve">Der er alene tale om en sproglig ændring af lovteksten, som har til formål at give mulighed for i bemærkningerne at angive </w:t>
      </w:r>
      <w:r w:rsidR="004A1412" w:rsidRPr="00AC0C65">
        <w:rPr>
          <w:rFonts w:cs="Times New Roman"/>
          <w:sz w:val="24"/>
          <w:szCs w:val="24"/>
        </w:rPr>
        <w:t xml:space="preserve">et vejledende </w:t>
      </w:r>
      <w:r w:rsidRPr="00AC0C65">
        <w:rPr>
          <w:rFonts w:cs="Times New Roman"/>
          <w:sz w:val="24"/>
          <w:szCs w:val="24"/>
        </w:rPr>
        <w:t xml:space="preserve">niveau for fængselsstraf overfor fysiske personer i </w:t>
      </w:r>
      <w:r w:rsidR="00DF6B4D" w:rsidRPr="00AC0C65">
        <w:rPr>
          <w:rFonts w:cs="Times New Roman"/>
          <w:sz w:val="24"/>
          <w:szCs w:val="24"/>
        </w:rPr>
        <w:t xml:space="preserve">virksomhedernes </w:t>
      </w:r>
      <w:r w:rsidRPr="00AC0C65">
        <w:rPr>
          <w:rFonts w:cs="Times New Roman"/>
          <w:sz w:val="24"/>
          <w:szCs w:val="24"/>
        </w:rPr>
        <w:t>ledelse</w:t>
      </w:r>
      <w:r w:rsidR="00713AAD" w:rsidRPr="00AC0C65">
        <w:rPr>
          <w:rFonts w:cs="Times New Roman"/>
          <w:sz w:val="24"/>
          <w:szCs w:val="24"/>
        </w:rPr>
        <w:t>.</w:t>
      </w:r>
      <w:r w:rsidRPr="00AC0C65">
        <w:rPr>
          <w:rFonts w:cs="Times New Roman"/>
          <w:sz w:val="24"/>
          <w:szCs w:val="24"/>
        </w:rPr>
        <w:t xml:space="preserve"> </w:t>
      </w:r>
    </w:p>
    <w:p w14:paraId="10D628F0" w14:textId="774997ED" w:rsidR="007D3209" w:rsidRPr="00AC0C65" w:rsidRDefault="0057309D" w:rsidP="006108C2">
      <w:pPr>
        <w:spacing w:after="240"/>
        <w:rPr>
          <w:rFonts w:cs="Times New Roman"/>
          <w:sz w:val="24"/>
          <w:szCs w:val="24"/>
        </w:rPr>
      </w:pPr>
      <w:r w:rsidRPr="00AC0C65">
        <w:rPr>
          <w:rFonts w:cs="Times New Roman"/>
          <w:sz w:val="24"/>
          <w:szCs w:val="24"/>
        </w:rPr>
        <w:t>Med ændringen foreslås det, at der fastsættes et vejledende niveau for fængselsstraf af fysiske personer i virksomhedernes ledelse</w:t>
      </w:r>
      <w:r w:rsidR="00713AAD" w:rsidRPr="00AC0C65">
        <w:rPr>
          <w:rFonts w:cs="Times New Roman"/>
          <w:sz w:val="24"/>
          <w:szCs w:val="24"/>
        </w:rPr>
        <w:t xml:space="preserve">, </w:t>
      </w:r>
      <w:r w:rsidR="005B3D06" w:rsidRPr="00AC0C65">
        <w:rPr>
          <w:rFonts w:cs="Times New Roman"/>
          <w:sz w:val="24"/>
          <w:szCs w:val="24"/>
        </w:rPr>
        <w:t xml:space="preserve">herunder virksomhedsledere, arbejdsgivere i personligt ejede virksomheder og arbejdsledere. </w:t>
      </w:r>
      <w:r w:rsidRPr="00AC0C65">
        <w:rPr>
          <w:rFonts w:cs="Times New Roman"/>
          <w:sz w:val="24"/>
          <w:szCs w:val="24"/>
        </w:rPr>
        <w:t>Dette med henblik på at tydeliggøre muligheden for fængselsstraf i særligt grove tilfælde.</w:t>
      </w:r>
    </w:p>
    <w:p w14:paraId="1A754DA3" w14:textId="5FB2FE78" w:rsidR="0067755D" w:rsidRPr="00AC0C65" w:rsidRDefault="0067755D" w:rsidP="006108C2">
      <w:pPr>
        <w:spacing w:after="240"/>
        <w:rPr>
          <w:rFonts w:cs="Times New Roman"/>
          <w:sz w:val="24"/>
          <w:szCs w:val="24"/>
        </w:rPr>
      </w:pPr>
      <w:r w:rsidRPr="00AC0C65">
        <w:rPr>
          <w:rFonts w:cs="Times New Roman"/>
          <w:sz w:val="24"/>
          <w:szCs w:val="24"/>
        </w:rPr>
        <w:t>Ved en virksomhedsleder forstås bestyrelsesmedlemmer, administrerende direktører eller andre ledende personer med tilsvarende generel kompetence. Der er således tale om virksomhedens øverste ledelse.</w:t>
      </w:r>
    </w:p>
    <w:p w14:paraId="06EF2334" w14:textId="6520AA1D" w:rsidR="00D05F67" w:rsidRPr="00D05F67" w:rsidRDefault="00D05F67" w:rsidP="006108C2">
      <w:pPr>
        <w:spacing w:after="240"/>
        <w:rPr>
          <w:rFonts w:cs="Times New Roman"/>
          <w:sz w:val="24"/>
          <w:szCs w:val="24"/>
        </w:rPr>
      </w:pPr>
      <w:bookmarkStart w:id="260" w:name="_Hlk209690339"/>
      <w:r w:rsidRPr="00AC0C65">
        <w:rPr>
          <w:rFonts w:cs="Times New Roman"/>
          <w:sz w:val="24"/>
          <w:szCs w:val="24"/>
        </w:rPr>
        <w:t>En arbejdsleder defineres i arbejdsmiljølovens § 24 som den, hvis arbejde udelukkende eller i det væsentlige består i på arbejdsgiverens vegne at lede eller føre tilsyn med arbejdet i en virksomhed eller en del deraf.</w:t>
      </w:r>
      <w:r w:rsidRPr="00D05F67">
        <w:rPr>
          <w:rFonts w:cs="Times New Roman"/>
          <w:sz w:val="24"/>
          <w:szCs w:val="24"/>
        </w:rPr>
        <w:t xml:space="preserve"> </w:t>
      </w:r>
    </w:p>
    <w:bookmarkEnd w:id="260"/>
    <w:p w14:paraId="37EB4293" w14:textId="401A87D8" w:rsidR="00EF1F6E" w:rsidRPr="00AC0C65" w:rsidRDefault="00EF1F6E" w:rsidP="00EF1F6E">
      <w:pPr>
        <w:spacing w:after="240"/>
        <w:rPr>
          <w:rFonts w:cs="Times New Roman"/>
          <w:sz w:val="24"/>
          <w:szCs w:val="24"/>
        </w:rPr>
      </w:pPr>
      <w:r w:rsidRPr="00AC0C65">
        <w:rPr>
          <w:rFonts w:cs="Times New Roman"/>
          <w:sz w:val="24"/>
          <w:szCs w:val="24"/>
        </w:rPr>
        <w:t xml:space="preserve">Særligt grove overtrædelser af arbejdsmiljølovgivningen foreslås at omfatte overtrædelser, der har medført en ulykke med døden til følge eller andre meget alvorlige følger. </w:t>
      </w:r>
    </w:p>
    <w:p w14:paraId="48E79D75" w14:textId="54DA43E8" w:rsidR="00EF1F6E" w:rsidRPr="00AC0C65" w:rsidRDefault="00EF1F6E" w:rsidP="00EF1F6E">
      <w:pPr>
        <w:spacing w:after="240"/>
        <w:rPr>
          <w:rFonts w:cs="Times New Roman"/>
          <w:sz w:val="24"/>
          <w:szCs w:val="24"/>
        </w:rPr>
      </w:pPr>
      <w:r w:rsidRPr="00AC0C65">
        <w:rPr>
          <w:rFonts w:cs="Times New Roman"/>
          <w:sz w:val="24"/>
          <w:szCs w:val="24"/>
        </w:rPr>
        <w:t>I forhold til virksomhedsledere kan det fx være tilfælde, hvor der sker en dødsulykke i forbindelse med anvendelse af et automatisk styret anlæg, og der foreligger oplysninger om, at ulykken skyldes alvorlige fejl og mangler, som indebærer en nærliggende risiko for alvorlig personskade eller død ved fortsat brug</w:t>
      </w:r>
      <w:r w:rsidR="00892FF6" w:rsidRPr="00AC0C65">
        <w:rPr>
          <w:rFonts w:cs="Times New Roman"/>
          <w:sz w:val="24"/>
          <w:szCs w:val="24"/>
        </w:rPr>
        <w:t>,</w:t>
      </w:r>
      <w:r w:rsidRPr="00AC0C65">
        <w:rPr>
          <w:rFonts w:cs="Times New Roman"/>
          <w:sz w:val="24"/>
          <w:szCs w:val="24"/>
        </w:rPr>
        <w:t xml:space="preserve"> og at virksomhedslederen har besluttet at fortsætte anvendelsen af anlægget, selvom virksomhedslederen kendte til er blevet gjort bekendt med anlæggets fejl og mangler samt risikoen ved at fortsætte anvendelsen.</w:t>
      </w:r>
    </w:p>
    <w:p w14:paraId="789074C8" w14:textId="23F55D71" w:rsidR="00EF1F6E" w:rsidRPr="00647A29" w:rsidRDefault="00EF1F6E" w:rsidP="00EF1F6E">
      <w:pPr>
        <w:spacing w:after="240"/>
        <w:rPr>
          <w:rFonts w:cs="Times New Roman"/>
          <w:sz w:val="24"/>
          <w:szCs w:val="24"/>
          <w:highlight w:val="yellow"/>
        </w:rPr>
      </w:pPr>
      <w:r w:rsidRPr="00AC0C65">
        <w:rPr>
          <w:rFonts w:cs="Times New Roman"/>
          <w:sz w:val="24"/>
          <w:szCs w:val="24"/>
        </w:rPr>
        <w:t>Eksemplet ovenfor kunne også være tilfælde, hvor arbejdsgivere i personligt ejede virksomheder på samme måde har besluttet at fortsætte anvendelsen af anlægget, selvom arbejdsgiveren i den personligt ejede virksomhed kendte til anlæggets fejl og mangler samt risikoen ved at fortsætte anvendelsen.</w:t>
      </w:r>
    </w:p>
    <w:p w14:paraId="71C8784E" w14:textId="546BFE56" w:rsidR="00EF1F6E" w:rsidRPr="00AC0C65" w:rsidRDefault="00EF1F6E" w:rsidP="00C80AF1">
      <w:pPr>
        <w:spacing w:after="240"/>
        <w:rPr>
          <w:rFonts w:cs="Times New Roman"/>
          <w:sz w:val="24"/>
          <w:szCs w:val="24"/>
        </w:rPr>
      </w:pPr>
      <w:r w:rsidRPr="00AC0C65">
        <w:rPr>
          <w:rFonts w:cs="Times New Roman"/>
          <w:sz w:val="24"/>
          <w:szCs w:val="24"/>
        </w:rPr>
        <w:t xml:space="preserve">I forhold til arbejdsledere kan det fx være tilfælde, hvor der sker en dødsulykke i forbindelse med anvendelse af et automatisk styret anlæg, og arbejdslederen tilsidesætter en generel instruktion givet af arbejdsgiveren indenfor det område, som arbejdslederen leder, og selvstændigt medvirker til, at ansatte fortsætter anvendelse af et automatisk styret anlæg, selvom arbejdslederen havde kendskab til anlæggets alvorlige fejl og mangler, som </w:t>
      </w:r>
      <w:r w:rsidRPr="00AC0C65">
        <w:rPr>
          <w:rFonts w:cs="Times New Roman"/>
          <w:sz w:val="24"/>
          <w:szCs w:val="24"/>
        </w:rPr>
        <w:lastRenderedPageBreak/>
        <w:t>indebærer en nærliggende risiko for alvorlig personskade eller død ved fortsat brug og risikoen ved at fortsætte anvendelsen.</w:t>
      </w:r>
    </w:p>
    <w:p w14:paraId="030B6B72" w14:textId="0961122B" w:rsidR="00EF1F6E" w:rsidRPr="00AC0C65" w:rsidRDefault="00EF1F6E" w:rsidP="00EF1F6E">
      <w:pPr>
        <w:spacing w:after="240"/>
        <w:rPr>
          <w:rFonts w:cs="Times New Roman"/>
          <w:sz w:val="24"/>
          <w:szCs w:val="24"/>
        </w:rPr>
      </w:pPr>
      <w:r w:rsidRPr="00AC0C65">
        <w:rPr>
          <w:rFonts w:cs="Times New Roman"/>
          <w:sz w:val="24"/>
          <w:szCs w:val="24"/>
        </w:rPr>
        <w:t xml:space="preserve">Niveauet for fængselsstraf for personer i ledelsen, som forsætligt eller groft uagtsomt overtræder arbejdsmiljølovgivningen, som har medført en ulykke med døden til følge forudsættes som udgangspunkt at være i omegnen af 8-10 måneder. </w:t>
      </w:r>
    </w:p>
    <w:p w14:paraId="37F5BEB7" w14:textId="29B6674F" w:rsidR="00EF1F6E" w:rsidRPr="00AC0C65" w:rsidRDefault="00EF1F6E" w:rsidP="00EF1F6E">
      <w:pPr>
        <w:spacing w:after="240"/>
        <w:rPr>
          <w:rFonts w:cs="Times New Roman"/>
          <w:sz w:val="24"/>
          <w:szCs w:val="24"/>
        </w:rPr>
      </w:pPr>
      <w:r w:rsidRPr="00AC0C65">
        <w:rPr>
          <w:rFonts w:cs="Times New Roman"/>
          <w:sz w:val="24"/>
          <w:szCs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3C8ED9C7" w14:textId="43E7E836" w:rsidR="00EC2972" w:rsidRPr="00343E3A" w:rsidRDefault="00EC2972" w:rsidP="00EC2972">
      <w:pPr>
        <w:spacing w:after="240"/>
        <w:rPr>
          <w:rFonts w:cs="Times New Roman"/>
          <w:sz w:val="24"/>
          <w:szCs w:val="24"/>
          <w:highlight w:val="yellow"/>
        </w:rPr>
      </w:pPr>
      <w:bookmarkStart w:id="261" w:name="_Hlk209598164"/>
      <w:r w:rsidRPr="00AC0C65">
        <w:rPr>
          <w:rFonts w:cs="Times New Roman"/>
          <w:sz w:val="24"/>
          <w:szCs w:val="24"/>
        </w:rPr>
        <w:t xml:space="preserve">Med forslaget sigtes der ikke på at ændre, at langt den overvejende del af straffesagerne om overtrædelse af arbejdsmiljølovgivningen rettes mod arbejdsgiveren som sådan. </w:t>
      </w:r>
      <w:r w:rsidR="007D2C32" w:rsidRPr="00AC0C65">
        <w:rPr>
          <w:rFonts w:cs="Times New Roman"/>
          <w:sz w:val="24"/>
          <w:szCs w:val="24"/>
        </w:rPr>
        <w:t>Det betyder, at arbejdsgiveren – enten som juridisk person eller som personligt ejet virksomhed - får en bøde samtidig med at enkeltpersoner kan idømmes fængselsstraf.</w:t>
      </w:r>
    </w:p>
    <w:p w14:paraId="03F923E4" w14:textId="7C35F1EC" w:rsidR="00EC2972" w:rsidRPr="00AC0C65" w:rsidRDefault="00EC2972" w:rsidP="00EC2972">
      <w:pPr>
        <w:spacing w:after="240"/>
        <w:rPr>
          <w:rFonts w:cs="Times New Roman"/>
          <w:sz w:val="24"/>
          <w:szCs w:val="24"/>
        </w:rPr>
      </w:pPr>
      <w:r w:rsidRPr="00AC0C65">
        <w:rPr>
          <w:rFonts w:cs="Times New Roman"/>
          <w:sz w:val="24"/>
          <w:szCs w:val="24"/>
        </w:rPr>
        <w:t>Ligesom der med forslaget heller ikke sigtes på at ændre på udgangspunktet ved valg af ansvarssubjekt, hvorefter tiltalen rejses mod den juridiske person.</w:t>
      </w:r>
    </w:p>
    <w:p w14:paraId="1B137CAC" w14:textId="33F4FBAF" w:rsidR="00EC2972" w:rsidRPr="00AC0C65" w:rsidRDefault="00EC2972" w:rsidP="00EC2972">
      <w:pPr>
        <w:spacing w:after="240"/>
        <w:rPr>
          <w:rFonts w:cs="Times New Roman"/>
          <w:sz w:val="24"/>
          <w:szCs w:val="24"/>
        </w:rPr>
      </w:pPr>
      <w:r w:rsidRPr="00AC0C65">
        <w:rPr>
          <w:rFonts w:cs="Times New Roman"/>
          <w:sz w:val="24"/>
          <w:szCs w:val="24"/>
        </w:rPr>
        <w:t xml:space="preserve">Med forslaget sigtes der efter, at der i </w:t>
      </w:r>
      <w:r w:rsidR="00136121" w:rsidRPr="00AC0C65">
        <w:rPr>
          <w:rFonts w:cs="Times New Roman"/>
          <w:sz w:val="24"/>
          <w:szCs w:val="24"/>
        </w:rPr>
        <w:t xml:space="preserve">de </w:t>
      </w:r>
      <w:r w:rsidRPr="00AC0C65">
        <w:rPr>
          <w:rFonts w:cs="Times New Roman"/>
          <w:sz w:val="24"/>
          <w:szCs w:val="24"/>
        </w:rPr>
        <w:t>særligt grove tilfælde af overtrædelse af arbejdsmiljølovgivningen kan være anledning til – ud over tiltalen mod arbejdsgiveren som sådan – tillige at rejse tiltale mod en eller flere fysiske personer, såfremt den eller de pågældende har handlet forsætligt eller udvist grov uagtsomhed.</w:t>
      </w:r>
    </w:p>
    <w:p w14:paraId="345C44A2" w14:textId="5E0B1C50" w:rsidR="00EC2972" w:rsidRPr="00AC0C65" w:rsidRDefault="00EC2972" w:rsidP="00EC2972">
      <w:pPr>
        <w:spacing w:after="240"/>
        <w:rPr>
          <w:rFonts w:cs="Times New Roman"/>
          <w:sz w:val="24"/>
          <w:szCs w:val="24"/>
        </w:rPr>
      </w:pPr>
      <w:r w:rsidRPr="00AC0C65">
        <w:rPr>
          <w:rFonts w:cs="Times New Roman"/>
          <w:sz w:val="24"/>
          <w:szCs w:val="24"/>
        </w:rPr>
        <w:t xml:space="preserve">Med forslaget forudsættes det, at bødeniveauet for </w:t>
      </w:r>
      <w:r w:rsidR="007D2C32" w:rsidRPr="00AC0C65">
        <w:rPr>
          <w:rFonts w:cs="Times New Roman"/>
          <w:sz w:val="24"/>
          <w:szCs w:val="24"/>
        </w:rPr>
        <w:t xml:space="preserve">materielle </w:t>
      </w:r>
      <w:r w:rsidRPr="00AC0C65">
        <w:rPr>
          <w:rFonts w:cs="Times New Roman"/>
          <w:sz w:val="24"/>
          <w:szCs w:val="24"/>
        </w:rPr>
        <w:t>overtrædelse</w:t>
      </w:r>
      <w:r w:rsidR="007D2C32" w:rsidRPr="00AC0C65">
        <w:rPr>
          <w:rFonts w:cs="Times New Roman"/>
          <w:sz w:val="24"/>
          <w:szCs w:val="24"/>
        </w:rPr>
        <w:t>r</w:t>
      </w:r>
      <w:r w:rsidRPr="00AC0C65">
        <w:rPr>
          <w:rFonts w:cs="Times New Roman"/>
          <w:sz w:val="24"/>
          <w:szCs w:val="24"/>
        </w:rPr>
        <w:t xml:space="preserve"> af arbejdsmiljølovgivningen forbliver uændret.  </w:t>
      </w:r>
    </w:p>
    <w:p w14:paraId="5BE75380" w14:textId="199F8DAC" w:rsidR="00C80AF1" w:rsidRDefault="00EC2972" w:rsidP="00EC2972">
      <w:pPr>
        <w:spacing w:after="240"/>
        <w:rPr>
          <w:rFonts w:cs="Times New Roman"/>
          <w:sz w:val="24"/>
          <w:szCs w:val="24"/>
        </w:rPr>
      </w:pPr>
      <w:r w:rsidRPr="00AC0C65">
        <w:rPr>
          <w:rFonts w:cs="Times New Roman"/>
          <w:sz w:val="24"/>
          <w:szCs w:val="24"/>
        </w:rPr>
        <w:t>Derved vil det vejledende bødeniveau for virksomheder, herunder for arbejdsgivere mv. fortsat følge de vejledende bødeniveauer, som er fastsat i tidligere lovbemærkninger til § 82, stk. 1- 6</w:t>
      </w:r>
      <w:r w:rsidR="00337F1A">
        <w:rPr>
          <w:rFonts w:cs="Times New Roman"/>
          <w:sz w:val="24"/>
          <w:szCs w:val="24"/>
        </w:rPr>
        <w:t xml:space="preserve"> og § 82 b</w:t>
      </w:r>
      <w:r w:rsidRPr="00AC0C65">
        <w:rPr>
          <w:rFonts w:cs="Times New Roman"/>
          <w:sz w:val="24"/>
          <w:szCs w:val="24"/>
        </w:rPr>
        <w:t>.</w:t>
      </w:r>
    </w:p>
    <w:bookmarkEnd w:id="259"/>
    <w:bookmarkEnd w:id="261"/>
    <w:p w14:paraId="39299D9A" w14:textId="194573F5" w:rsidR="006108C2" w:rsidRPr="007244D5" w:rsidRDefault="006108C2" w:rsidP="006108C2">
      <w:pPr>
        <w:spacing w:after="240"/>
        <w:rPr>
          <w:sz w:val="24"/>
          <w:szCs w:val="24"/>
        </w:rPr>
      </w:pPr>
      <w:r w:rsidRPr="007244D5">
        <w:rPr>
          <w:rFonts w:cs="Times New Roman"/>
          <w:sz w:val="24"/>
          <w:szCs w:val="24"/>
        </w:rPr>
        <w:t xml:space="preserve">Til nr. </w:t>
      </w:r>
      <w:r w:rsidR="0029075F">
        <w:rPr>
          <w:rFonts w:cs="Times New Roman"/>
          <w:sz w:val="24"/>
          <w:szCs w:val="24"/>
        </w:rPr>
        <w:t>5</w:t>
      </w:r>
    </w:p>
    <w:p w14:paraId="21006EC1" w14:textId="6CF0FC5D" w:rsidR="00091045" w:rsidRDefault="00091045" w:rsidP="00091045">
      <w:pPr>
        <w:spacing w:after="240"/>
        <w:rPr>
          <w:rFonts w:cs="Times New Roman"/>
          <w:sz w:val="24"/>
          <w:szCs w:val="24"/>
        </w:rPr>
      </w:pPr>
      <w:r w:rsidRPr="00091045">
        <w:rPr>
          <w:rFonts w:cs="Times New Roman"/>
          <w:sz w:val="24"/>
          <w:szCs w:val="24"/>
        </w:rPr>
        <w:t xml:space="preserve">Efter den gældende bestemmelse i arbejdsmiljølovens § 82, stk. </w:t>
      </w:r>
      <w:r>
        <w:rPr>
          <w:rFonts w:cs="Times New Roman"/>
          <w:sz w:val="24"/>
          <w:szCs w:val="24"/>
        </w:rPr>
        <w:t>6</w:t>
      </w:r>
      <w:r w:rsidRPr="00091045">
        <w:rPr>
          <w:rFonts w:cs="Times New Roman"/>
          <w:sz w:val="24"/>
          <w:szCs w:val="24"/>
        </w:rPr>
        <w:t xml:space="preserve">, </w:t>
      </w:r>
      <w:r>
        <w:rPr>
          <w:rFonts w:cs="Times New Roman"/>
          <w:sz w:val="24"/>
          <w:szCs w:val="24"/>
        </w:rPr>
        <w:t xml:space="preserve">skal der for </w:t>
      </w:r>
      <w:r w:rsidRPr="00091045">
        <w:rPr>
          <w:rFonts w:cs="Times New Roman"/>
          <w:sz w:val="24"/>
          <w:szCs w:val="24"/>
        </w:rPr>
        <w:t xml:space="preserve">arbejdsgiverens overtrædelse af § 15, § 38, stk. 1, § 42, stk. 1, § 45, stk. 1, § 48, stk. 1, kapitel 9 eller kapitel 10 ved straffens udmåling, jf. stk. 1, 2, </w:t>
      </w:r>
      <w:r w:rsidRPr="00091045">
        <w:rPr>
          <w:rFonts w:cs="Times New Roman"/>
          <w:sz w:val="24"/>
          <w:szCs w:val="24"/>
        </w:rPr>
        <w:lastRenderedPageBreak/>
        <w:t xml:space="preserve">4 og 5, lægges vægt på virksomhedens størrelse. Tilsvarende gælder ved arbejdsgiverens manglende </w:t>
      </w:r>
      <w:proofErr w:type="spellStart"/>
      <w:r w:rsidRPr="00091045">
        <w:rPr>
          <w:rFonts w:cs="Times New Roman"/>
          <w:sz w:val="24"/>
          <w:szCs w:val="24"/>
        </w:rPr>
        <w:t>efterkommelse</w:t>
      </w:r>
      <w:proofErr w:type="spellEnd"/>
      <w:r w:rsidRPr="00091045">
        <w:rPr>
          <w:rFonts w:cs="Times New Roman"/>
          <w:sz w:val="24"/>
          <w:szCs w:val="24"/>
        </w:rPr>
        <w:t xml:space="preserve"> af påbud efter § 77 eller § 77 a, stk. 1, der omhandler disse bestemmelser.</w:t>
      </w:r>
    </w:p>
    <w:p w14:paraId="740E5AB7" w14:textId="63F944F8" w:rsidR="003C51BC" w:rsidRDefault="003C51BC" w:rsidP="00091045">
      <w:pPr>
        <w:spacing w:after="240"/>
        <w:rPr>
          <w:rFonts w:cs="Times New Roman"/>
          <w:sz w:val="24"/>
          <w:szCs w:val="24"/>
        </w:rPr>
      </w:pPr>
      <w:r w:rsidRPr="003C51BC">
        <w:rPr>
          <w:rFonts w:cs="Times New Roman"/>
          <w:sz w:val="24"/>
          <w:szCs w:val="24"/>
        </w:rPr>
        <w:t>§ 82, stk. 6 omhandler differentiering af bøden efter virksomhedens størrelse, dvs. antal ansatte.</w:t>
      </w:r>
    </w:p>
    <w:p w14:paraId="11046D03" w14:textId="6B1562C3" w:rsidR="00091045" w:rsidRPr="00721368" w:rsidRDefault="00091045" w:rsidP="00091045">
      <w:pPr>
        <w:spacing w:after="240"/>
        <w:rPr>
          <w:rFonts w:cs="Times New Roman"/>
          <w:b/>
          <w:sz w:val="24"/>
          <w:szCs w:val="24"/>
        </w:rPr>
      </w:pPr>
      <w:r>
        <w:rPr>
          <w:rFonts w:cs="Times New Roman"/>
          <w:sz w:val="24"/>
          <w:szCs w:val="24"/>
        </w:rPr>
        <w:t xml:space="preserve">Det fremgår af lovbemærkningerne til </w:t>
      </w:r>
      <w:r w:rsidR="003C51BC">
        <w:rPr>
          <w:rFonts w:cs="Times New Roman"/>
          <w:sz w:val="24"/>
          <w:szCs w:val="24"/>
        </w:rPr>
        <w:t xml:space="preserve">§ 82, stk. 6, at der </w:t>
      </w:r>
      <w:r w:rsidR="00730B01" w:rsidRPr="00730B01">
        <w:rPr>
          <w:rFonts w:cs="Times New Roman"/>
          <w:sz w:val="24"/>
          <w:szCs w:val="24"/>
        </w:rPr>
        <w:t xml:space="preserve">alene </w:t>
      </w:r>
      <w:r w:rsidR="003C51BC">
        <w:rPr>
          <w:rFonts w:cs="Times New Roman"/>
          <w:sz w:val="24"/>
          <w:szCs w:val="24"/>
        </w:rPr>
        <w:t xml:space="preserve">skal </w:t>
      </w:r>
      <w:r w:rsidR="00730B01" w:rsidRPr="00730B01">
        <w:rPr>
          <w:rFonts w:cs="Times New Roman"/>
          <w:sz w:val="24"/>
          <w:szCs w:val="24"/>
        </w:rPr>
        <w:t xml:space="preserve">ske differentiering af bøderne ved overtrædelse af de materielle bestemmelser, </w:t>
      </w:r>
      <w:r w:rsidR="003C51BC">
        <w:rPr>
          <w:rFonts w:cs="Times New Roman"/>
          <w:sz w:val="24"/>
          <w:szCs w:val="24"/>
        </w:rPr>
        <w:t xml:space="preserve">der er nævnt i § 82, stk. 6, </w:t>
      </w:r>
      <w:r w:rsidR="00730B01" w:rsidRPr="00730B01">
        <w:rPr>
          <w:rFonts w:cs="Times New Roman"/>
          <w:sz w:val="24"/>
          <w:szCs w:val="24"/>
        </w:rPr>
        <w:t xml:space="preserve">dvs. § 38, stk. 1, § 42, stk. 1, § 45, stk. 1, § 48, stk. 1, kapitel 9 eller kapitel 10, samt ved manglende </w:t>
      </w:r>
      <w:proofErr w:type="spellStart"/>
      <w:r w:rsidR="00730B01" w:rsidRPr="00730B01">
        <w:rPr>
          <w:rFonts w:cs="Times New Roman"/>
          <w:sz w:val="24"/>
          <w:szCs w:val="24"/>
        </w:rPr>
        <w:t>efterkommelse</w:t>
      </w:r>
      <w:proofErr w:type="spellEnd"/>
      <w:r w:rsidR="00730B01" w:rsidRPr="00730B01">
        <w:rPr>
          <w:rFonts w:cs="Times New Roman"/>
          <w:sz w:val="24"/>
          <w:szCs w:val="24"/>
        </w:rPr>
        <w:t xml:space="preserve"> af påbud om disse bestemmelser.</w:t>
      </w:r>
    </w:p>
    <w:p w14:paraId="2E7AD01F" w14:textId="5B0DB35B" w:rsidR="003C51BC" w:rsidRDefault="00D30AE4" w:rsidP="00091045">
      <w:pPr>
        <w:spacing w:after="240"/>
        <w:rPr>
          <w:rFonts w:cs="Times New Roman"/>
          <w:sz w:val="24"/>
          <w:szCs w:val="24"/>
        </w:rPr>
      </w:pPr>
      <w:r w:rsidRPr="00D30AE4">
        <w:rPr>
          <w:rFonts w:cs="Times New Roman"/>
          <w:sz w:val="24"/>
          <w:szCs w:val="24"/>
        </w:rPr>
        <w:t>Materielle overtrædelser er overtrædelser, der indebærer en direkte risiko for sikkerhed eller sundhed. Det kan fx være svejsning uden brug af udsugning eller arbejde i højden uden sikring mod faren for nedstyrtning.</w:t>
      </w:r>
    </w:p>
    <w:p w14:paraId="0A1389B0" w14:textId="2DB374C8" w:rsidR="00091045" w:rsidRDefault="00B311DF" w:rsidP="00091045">
      <w:pPr>
        <w:spacing w:after="240"/>
        <w:rPr>
          <w:rFonts w:cs="Times New Roman"/>
          <w:sz w:val="24"/>
          <w:szCs w:val="24"/>
        </w:rPr>
      </w:pPr>
      <w:r>
        <w:rPr>
          <w:rFonts w:cs="Times New Roman"/>
          <w:sz w:val="24"/>
          <w:szCs w:val="24"/>
        </w:rPr>
        <w:t>Det</w:t>
      </w:r>
      <w:r w:rsidR="00091045" w:rsidRPr="00091045">
        <w:rPr>
          <w:rFonts w:cs="Times New Roman"/>
          <w:sz w:val="24"/>
          <w:szCs w:val="24"/>
        </w:rPr>
        <w:t xml:space="preserve"> foreslås, at der indsættes et nyt </w:t>
      </w:r>
      <w:r w:rsidR="00091045" w:rsidRPr="00E11287">
        <w:rPr>
          <w:rFonts w:cs="Times New Roman"/>
          <w:i/>
          <w:sz w:val="24"/>
          <w:szCs w:val="24"/>
        </w:rPr>
        <w:t>stk. 7</w:t>
      </w:r>
      <w:r w:rsidR="00091045" w:rsidRPr="00091045">
        <w:rPr>
          <w:rFonts w:cs="Times New Roman"/>
          <w:sz w:val="24"/>
          <w:szCs w:val="24"/>
        </w:rPr>
        <w:t xml:space="preserve"> </w:t>
      </w:r>
      <w:r>
        <w:rPr>
          <w:rFonts w:cs="Times New Roman"/>
          <w:sz w:val="24"/>
          <w:szCs w:val="24"/>
        </w:rPr>
        <w:t>i</w:t>
      </w:r>
      <w:r w:rsidR="00091045" w:rsidRPr="00091045">
        <w:rPr>
          <w:rFonts w:cs="Times New Roman"/>
          <w:sz w:val="24"/>
          <w:szCs w:val="24"/>
        </w:rPr>
        <w:t xml:space="preserve"> § 82</w:t>
      </w:r>
      <w:r w:rsidR="001424F9">
        <w:rPr>
          <w:rFonts w:cs="Times New Roman"/>
          <w:sz w:val="24"/>
          <w:szCs w:val="24"/>
        </w:rPr>
        <w:t>.</w:t>
      </w:r>
      <w:r w:rsidR="00091045" w:rsidRPr="00091045">
        <w:rPr>
          <w:rFonts w:cs="Times New Roman"/>
          <w:sz w:val="24"/>
          <w:szCs w:val="24"/>
        </w:rPr>
        <w:t xml:space="preserve"> Det har til formål at give mulighed for i bemærkningerne at angive nærmere retningslinjer om straffeniveauet for to udvalgte formelle overtrædelser af arbejdsmiljølovgivningen.</w:t>
      </w:r>
    </w:p>
    <w:p w14:paraId="5C5924B0" w14:textId="771976A9" w:rsidR="00721368" w:rsidRPr="00091045" w:rsidRDefault="00721368" w:rsidP="00091045">
      <w:pPr>
        <w:spacing w:after="240"/>
        <w:rPr>
          <w:rFonts w:cs="Times New Roman"/>
          <w:sz w:val="24"/>
          <w:szCs w:val="24"/>
        </w:rPr>
      </w:pPr>
      <w:r w:rsidRPr="00721368">
        <w:rPr>
          <w:rFonts w:cs="Times New Roman"/>
          <w:sz w:val="24"/>
          <w:szCs w:val="24"/>
        </w:rPr>
        <w:t>En formel overtrædelse af arbejdsmiljølovgivningen er en overtrædelse, der ikke er direkte forbundet med en sikkerheds- eller sundhedsfare.</w:t>
      </w:r>
      <w:r w:rsidRPr="00721368">
        <w:t xml:space="preserve"> </w:t>
      </w:r>
      <w:r w:rsidRPr="00721368">
        <w:rPr>
          <w:rFonts w:cs="Times New Roman"/>
          <w:sz w:val="24"/>
          <w:szCs w:val="24"/>
        </w:rPr>
        <w:t>Det kan f.eks. være arbejdsgivers manglende anmeldelse af en arbejdsulykke til Arbejdstilsynet, og bygherres overtrædelse af reglerne om at udarbejde en plan for sikkerhed og sundhed på byggepladsen.</w:t>
      </w:r>
    </w:p>
    <w:p w14:paraId="0E9711E2" w14:textId="418FED76" w:rsidR="00721368" w:rsidRDefault="00B311DF" w:rsidP="00721368">
      <w:pPr>
        <w:spacing w:after="240"/>
        <w:rPr>
          <w:rFonts w:cs="Times New Roman"/>
          <w:sz w:val="24"/>
          <w:szCs w:val="24"/>
        </w:rPr>
      </w:pPr>
      <w:r>
        <w:rPr>
          <w:rFonts w:cs="Times New Roman"/>
          <w:sz w:val="24"/>
          <w:szCs w:val="24"/>
        </w:rPr>
        <w:t>Den foreslåede b</w:t>
      </w:r>
      <w:r w:rsidR="00721368" w:rsidRPr="00721368">
        <w:rPr>
          <w:rFonts w:cs="Times New Roman"/>
          <w:sz w:val="24"/>
          <w:szCs w:val="24"/>
        </w:rPr>
        <w:t xml:space="preserve">estemmelse i § 82, stk. </w:t>
      </w:r>
      <w:r w:rsidR="00721368">
        <w:rPr>
          <w:rFonts w:cs="Times New Roman"/>
          <w:sz w:val="24"/>
          <w:szCs w:val="24"/>
        </w:rPr>
        <w:t>7</w:t>
      </w:r>
      <w:r w:rsidR="00721368" w:rsidRPr="00721368">
        <w:rPr>
          <w:rFonts w:cs="Times New Roman"/>
          <w:sz w:val="24"/>
          <w:szCs w:val="24"/>
        </w:rPr>
        <w:t xml:space="preserve">, </w:t>
      </w:r>
      <w:r>
        <w:rPr>
          <w:rFonts w:cs="Times New Roman"/>
          <w:sz w:val="24"/>
          <w:szCs w:val="24"/>
        </w:rPr>
        <w:t>vil</w:t>
      </w:r>
      <w:r w:rsidR="00721368" w:rsidRPr="00721368">
        <w:rPr>
          <w:rFonts w:cs="Times New Roman"/>
          <w:sz w:val="24"/>
          <w:szCs w:val="24"/>
        </w:rPr>
        <w:t xml:space="preserve"> indebære, at der ved straffens udmåling </w:t>
      </w:r>
      <w:r>
        <w:rPr>
          <w:rFonts w:cs="Times New Roman"/>
          <w:sz w:val="24"/>
          <w:szCs w:val="24"/>
        </w:rPr>
        <w:t xml:space="preserve">skal </w:t>
      </w:r>
      <w:r w:rsidR="00721368" w:rsidRPr="00721368">
        <w:rPr>
          <w:rFonts w:cs="Times New Roman"/>
          <w:sz w:val="24"/>
          <w:szCs w:val="24"/>
        </w:rPr>
        <w:t>lægges vægt på virksomhedens størrelse</w:t>
      </w:r>
      <w:r w:rsidR="00721368">
        <w:rPr>
          <w:rFonts w:cs="Times New Roman"/>
          <w:sz w:val="24"/>
          <w:szCs w:val="24"/>
        </w:rPr>
        <w:t xml:space="preserve"> for </w:t>
      </w:r>
      <w:r w:rsidR="00464FD6">
        <w:rPr>
          <w:rFonts w:cs="Times New Roman"/>
          <w:sz w:val="24"/>
          <w:szCs w:val="24"/>
        </w:rPr>
        <w:t xml:space="preserve">virksomheder med 35 eller flere ansatte og for </w:t>
      </w:r>
      <w:r w:rsidR="00721368">
        <w:rPr>
          <w:rFonts w:cs="Times New Roman"/>
          <w:sz w:val="24"/>
          <w:szCs w:val="24"/>
        </w:rPr>
        <w:t>to udvalgte formelle overtrædelser</w:t>
      </w:r>
      <w:r w:rsidR="008D4DF2">
        <w:rPr>
          <w:rFonts w:cs="Times New Roman"/>
          <w:sz w:val="24"/>
          <w:szCs w:val="24"/>
        </w:rPr>
        <w:t>;</w:t>
      </w:r>
      <w:r w:rsidR="00721368">
        <w:rPr>
          <w:rFonts w:cs="Times New Roman"/>
          <w:sz w:val="24"/>
          <w:szCs w:val="24"/>
        </w:rPr>
        <w:t xml:space="preserve"> </w:t>
      </w:r>
      <w:r w:rsidR="00721368" w:rsidRPr="00721368">
        <w:rPr>
          <w:rFonts w:cs="Times New Roman"/>
          <w:sz w:val="24"/>
          <w:szCs w:val="24"/>
        </w:rPr>
        <w:t>arbejdsgivers manglende anmeldelse af en arbejdsulykke</w:t>
      </w:r>
      <w:r w:rsidR="00721368">
        <w:rPr>
          <w:rFonts w:cs="Times New Roman"/>
          <w:sz w:val="24"/>
          <w:szCs w:val="24"/>
        </w:rPr>
        <w:t xml:space="preserve"> mv.</w:t>
      </w:r>
      <w:r w:rsidR="00721368" w:rsidRPr="00721368">
        <w:rPr>
          <w:rFonts w:cs="Times New Roman"/>
          <w:sz w:val="24"/>
          <w:szCs w:val="24"/>
        </w:rPr>
        <w:t xml:space="preserve"> til Arbejdstilsynet, og bygherres overtrædelse af reglerne om at udarbejde en plan for sikkerhed og sundhed på byggepladsen</w:t>
      </w:r>
      <w:r w:rsidR="00721368">
        <w:rPr>
          <w:rFonts w:cs="Times New Roman"/>
          <w:sz w:val="24"/>
          <w:szCs w:val="24"/>
        </w:rPr>
        <w:t>.</w:t>
      </w:r>
      <w:r w:rsidR="00721368" w:rsidRPr="00721368">
        <w:rPr>
          <w:rFonts w:cs="Times New Roman"/>
          <w:sz w:val="24"/>
          <w:szCs w:val="24"/>
        </w:rPr>
        <w:t xml:space="preserve"> </w:t>
      </w:r>
    </w:p>
    <w:p w14:paraId="54D97924" w14:textId="77777777" w:rsidR="00721368" w:rsidRDefault="00721368" w:rsidP="00721368">
      <w:pPr>
        <w:spacing w:after="240"/>
        <w:rPr>
          <w:rFonts w:cs="Times New Roman"/>
          <w:sz w:val="24"/>
          <w:szCs w:val="24"/>
        </w:rPr>
      </w:pPr>
      <w:r w:rsidRPr="00721368">
        <w:rPr>
          <w:rFonts w:cs="Times New Roman"/>
          <w:sz w:val="24"/>
          <w:szCs w:val="24"/>
        </w:rPr>
        <w:t xml:space="preserve">Det tilsigtes, at der lægges vægt på </w:t>
      </w:r>
      <w:r>
        <w:rPr>
          <w:rFonts w:cs="Times New Roman"/>
          <w:sz w:val="24"/>
          <w:szCs w:val="24"/>
        </w:rPr>
        <w:t xml:space="preserve">virksomhedens størrelse ved at lægge vægt på </w:t>
      </w:r>
      <w:r w:rsidRPr="00721368">
        <w:rPr>
          <w:rFonts w:cs="Times New Roman"/>
          <w:sz w:val="24"/>
          <w:szCs w:val="24"/>
        </w:rPr>
        <w:t xml:space="preserve">antallet af ansatte i hele virksomheden på overtrædelsestidspunktet. </w:t>
      </w:r>
    </w:p>
    <w:p w14:paraId="102C422E" w14:textId="44628568" w:rsidR="00721368" w:rsidRDefault="00721368" w:rsidP="00721368">
      <w:pPr>
        <w:spacing w:after="240"/>
        <w:rPr>
          <w:rFonts w:cs="Times New Roman"/>
          <w:sz w:val="24"/>
          <w:szCs w:val="24"/>
        </w:rPr>
      </w:pPr>
      <w:r>
        <w:rPr>
          <w:rFonts w:cs="Times New Roman"/>
          <w:sz w:val="24"/>
          <w:szCs w:val="24"/>
        </w:rPr>
        <w:t xml:space="preserve">Det betyder, at selv om </w:t>
      </w:r>
      <w:r w:rsidR="00037FEF" w:rsidRPr="00037FEF">
        <w:rPr>
          <w:rFonts w:cs="Times New Roman"/>
          <w:sz w:val="24"/>
          <w:szCs w:val="24"/>
        </w:rPr>
        <w:t xml:space="preserve">arbejdsgivers manglende anmeldelse af en arbejdsulykke mv. til Arbejdstilsynet, og bygherres overtrædelse af reglerne om at udarbejde </w:t>
      </w:r>
      <w:r w:rsidR="0002179B">
        <w:rPr>
          <w:rFonts w:cs="Times New Roman"/>
          <w:sz w:val="24"/>
          <w:szCs w:val="24"/>
        </w:rPr>
        <w:t xml:space="preserve">og vedligeholde </w:t>
      </w:r>
      <w:r w:rsidR="00037FEF" w:rsidRPr="00037FEF">
        <w:rPr>
          <w:rFonts w:cs="Times New Roman"/>
          <w:sz w:val="24"/>
          <w:szCs w:val="24"/>
        </w:rPr>
        <w:t>en plan for sikkerhed og sundhed på byggeplad</w:t>
      </w:r>
      <w:r w:rsidR="00037FEF" w:rsidRPr="00037FEF">
        <w:rPr>
          <w:rFonts w:cs="Times New Roman"/>
          <w:sz w:val="24"/>
          <w:szCs w:val="24"/>
        </w:rPr>
        <w:lastRenderedPageBreak/>
        <w:t>sen</w:t>
      </w:r>
      <w:r w:rsidR="00037FEF">
        <w:rPr>
          <w:rFonts w:cs="Times New Roman"/>
          <w:sz w:val="24"/>
          <w:szCs w:val="24"/>
        </w:rPr>
        <w:t xml:space="preserve"> </w:t>
      </w:r>
      <w:r w:rsidRPr="00721368">
        <w:rPr>
          <w:rFonts w:cs="Times New Roman"/>
          <w:sz w:val="24"/>
          <w:szCs w:val="24"/>
        </w:rPr>
        <w:t xml:space="preserve">konstateres på en byggeplads, hvor kun enkelte af virksomhedens ansatte arbejder, så er det antallet af ansatte i hele virksomheden, der </w:t>
      </w:r>
      <w:r w:rsidR="00255A24">
        <w:rPr>
          <w:rFonts w:cs="Times New Roman"/>
          <w:sz w:val="24"/>
          <w:szCs w:val="24"/>
        </w:rPr>
        <w:t xml:space="preserve">skal </w:t>
      </w:r>
      <w:r w:rsidRPr="00721368">
        <w:rPr>
          <w:rFonts w:cs="Times New Roman"/>
          <w:sz w:val="24"/>
          <w:szCs w:val="24"/>
        </w:rPr>
        <w:t xml:space="preserve">lægges vægt på, når bøden skal fastsættes. </w:t>
      </w:r>
    </w:p>
    <w:p w14:paraId="44FBB36A" w14:textId="41ACEA4A" w:rsidR="00721368" w:rsidRDefault="00721368" w:rsidP="00721368">
      <w:pPr>
        <w:spacing w:after="240"/>
        <w:rPr>
          <w:rFonts w:cs="Times New Roman"/>
          <w:sz w:val="24"/>
          <w:szCs w:val="24"/>
        </w:rPr>
      </w:pPr>
      <w:r w:rsidRPr="00721368">
        <w:rPr>
          <w:rFonts w:cs="Times New Roman"/>
          <w:sz w:val="24"/>
          <w:szCs w:val="24"/>
        </w:rPr>
        <w:t xml:space="preserve">Endvidere vil </w:t>
      </w:r>
      <w:r w:rsidR="00E73B9F" w:rsidRPr="00E73B9F">
        <w:rPr>
          <w:rFonts w:cs="Times New Roman"/>
          <w:sz w:val="24"/>
          <w:szCs w:val="24"/>
        </w:rPr>
        <w:t>arbejdsgivers manglende anmeldelse af en arbejdsulykke mv. til Arbejdstilsynet</w:t>
      </w:r>
      <w:r w:rsidRPr="00721368">
        <w:rPr>
          <w:rFonts w:cs="Times New Roman"/>
          <w:sz w:val="24"/>
          <w:szCs w:val="24"/>
        </w:rPr>
        <w:t xml:space="preserve"> </w:t>
      </w:r>
      <w:r w:rsidR="00E73B9F">
        <w:rPr>
          <w:rFonts w:cs="Times New Roman"/>
          <w:sz w:val="24"/>
          <w:szCs w:val="24"/>
        </w:rPr>
        <w:t>ifm</w:t>
      </w:r>
      <w:r w:rsidR="00FB59C9">
        <w:rPr>
          <w:rFonts w:cs="Times New Roman"/>
          <w:sz w:val="24"/>
          <w:szCs w:val="24"/>
        </w:rPr>
        <w:t>.</w:t>
      </w:r>
      <w:r w:rsidR="00E73B9F">
        <w:rPr>
          <w:rFonts w:cs="Times New Roman"/>
          <w:sz w:val="24"/>
          <w:szCs w:val="24"/>
        </w:rPr>
        <w:t xml:space="preserve"> arbejdet </w:t>
      </w:r>
      <w:r w:rsidR="00E11287">
        <w:rPr>
          <w:rFonts w:cs="Times New Roman"/>
          <w:sz w:val="24"/>
          <w:szCs w:val="24"/>
        </w:rPr>
        <w:t xml:space="preserve">fx </w:t>
      </w:r>
      <w:r w:rsidR="00E73B9F">
        <w:rPr>
          <w:rFonts w:cs="Times New Roman"/>
          <w:sz w:val="24"/>
          <w:szCs w:val="24"/>
        </w:rPr>
        <w:t xml:space="preserve">i </w:t>
      </w:r>
      <w:r w:rsidRPr="00721368">
        <w:rPr>
          <w:rFonts w:cs="Times New Roman"/>
          <w:sz w:val="24"/>
          <w:szCs w:val="24"/>
        </w:rPr>
        <w:t>en forlystelsespark uden for sæsonen, hvor der kun er enkelte ansatte, ikke medføre en højere bøde, uanset at der på et andet tidspunkt af året er mange ansatte</w:t>
      </w:r>
      <w:r>
        <w:rPr>
          <w:rFonts w:cs="Times New Roman"/>
          <w:sz w:val="24"/>
          <w:szCs w:val="24"/>
        </w:rPr>
        <w:t>.</w:t>
      </w:r>
    </w:p>
    <w:p w14:paraId="3D2CD4C4" w14:textId="299859BF" w:rsidR="00037FEF" w:rsidRPr="00037FEF" w:rsidRDefault="00721368" w:rsidP="00037FEF">
      <w:pPr>
        <w:spacing w:after="240"/>
        <w:rPr>
          <w:rFonts w:cs="Times New Roman"/>
          <w:sz w:val="24"/>
          <w:szCs w:val="24"/>
        </w:rPr>
      </w:pPr>
      <w:r w:rsidRPr="00721368">
        <w:rPr>
          <w:rFonts w:cs="Times New Roman"/>
          <w:sz w:val="24"/>
          <w:szCs w:val="24"/>
        </w:rPr>
        <w:t xml:space="preserve">Det er hensigten, at bøde for </w:t>
      </w:r>
      <w:r w:rsidR="00464FD6">
        <w:rPr>
          <w:rFonts w:cs="Times New Roman"/>
          <w:sz w:val="24"/>
          <w:szCs w:val="24"/>
        </w:rPr>
        <w:t xml:space="preserve">virksomheder med 35 eller flere ansatte, herunder for </w:t>
      </w:r>
      <w:r w:rsidR="00037FEF" w:rsidRPr="00037FEF">
        <w:rPr>
          <w:rFonts w:cs="Times New Roman"/>
          <w:sz w:val="24"/>
          <w:szCs w:val="24"/>
        </w:rPr>
        <w:t xml:space="preserve">arbejdsgivers manglende anmeldelse af en arbejdsulykke mv. til Arbejdstilsynet, og bygherres overtrædelse af reglerne om at udarbejde </w:t>
      </w:r>
      <w:r w:rsidR="00255A24">
        <w:rPr>
          <w:rFonts w:cs="Times New Roman"/>
          <w:sz w:val="24"/>
          <w:szCs w:val="24"/>
        </w:rPr>
        <w:t>o</w:t>
      </w:r>
      <w:r w:rsidR="0002179B">
        <w:rPr>
          <w:rFonts w:cs="Times New Roman"/>
          <w:sz w:val="24"/>
          <w:szCs w:val="24"/>
        </w:rPr>
        <w:t xml:space="preserve">g vedligeholde </w:t>
      </w:r>
      <w:r w:rsidR="00037FEF" w:rsidRPr="00037FEF">
        <w:rPr>
          <w:rFonts w:cs="Times New Roman"/>
          <w:sz w:val="24"/>
          <w:szCs w:val="24"/>
        </w:rPr>
        <w:t xml:space="preserve">en plan for sikkerhed og sundhed på byggepladsen </w:t>
      </w:r>
      <w:r w:rsidRPr="00721368">
        <w:rPr>
          <w:rFonts w:cs="Times New Roman"/>
          <w:sz w:val="24"/>
          <w:szCs w:val="24"/>
        </w:rPr>
        <w:t>sammensættes således: Først fastsættes »grundbøden«</w:t>
      </w:r>
      <w:r w:rsidR="00037FEF">
        <w:rPr>
          <w:rFonts w:cs="Times New Roman"/>
          <w:sz w:val="24"/>
          <w:szCs w:val="24"/>
        </w:rPr>
        <w:t>, jf. den foreslåede § 82, stk. 1, nr. 5</w:t>
      </w:r>
      <w:r w:rsidRPr="00721368">
        <w:rPr>
          <w:rFonts w:cs="Times New Roman"/>
          <w:sz w:val="24"/>
          <w:szCs w:val="24"/>
        </w:rPr>
        <w:t xml:space="preserve">. </w:t>
      </w:r>
      <w:r w:rsidR="00037FEF">
        <w:rPr>
          <w:rFonts w:cs="Times New Roman"/>
          <w:sz w:val="24"/>
          <w:szCs w:val="24"/>
        </w:rPr>
        <w:t>Det fore</w:t>
      </w:r>
      <w:r w:rsidR="00037FEF" w:rsidRPr="00037FEF">
        <w:rPr>
          <w:rFonts w:cs="Times New Roman"/>
          <w:sz w:val="24"/>
          <w:szCs w:val="24"/>
        </w:rPr>
        <w:t xml:space="preserve">slås, at </w:t>
      </w:r>
      <w:r w:rsidR="00037FEF">
        <w:rPr>
          <w:rFonts w:cs="Times New Roman"/>
          <w:sz w:val="24"/>
          <w:szCs w:val="24"/>
        </w:rPr>
        <w:t xml:space="preserve">bøden </w:t>
      </w:r>
      <w:r w:rsidR="00E73B9F">
        <w:rPr>
          <w:rFonts w:cs="Times New Roman"/>
          <w:sz w:val="24"/>
          <w:szCs w:val="24"/>
        </w:rPr>
        <w:t>her</w:t>
      </w:r>
      <w:r w:rsidR="00037FEF">
        <w:rPr>
          <w:rFonts w:cs="Times New Roman"/>
          <w:sz w:val="24"/>
          <w:szCs w:val="24"/>
        </w:rPr>
        <w:t xml:space="preserve">efter </w:t>
      </w:r>
      <w:r w:rsidR="00037FEF" w:rsidRPr="00037FEF">
        <w:rPr>
          <w:rFonts w:cs="Times New Roman"/>
          <w:sz w:val="24"/>
          <w:szCs w:val="24"/>
        </w:rPr>
        <w:t>differentier</w:t>
      </w:r>
      <w:r w:rsidR="00037FEF">
        <w:rPr>
          <w:rFonts w:cs="Times New Roman"/>
          <w:sz w:val="24"/>
          <w:szCs w:val="24"/>
        </w:rPr>
        <w:t>es</w:t>
      </w:r>
      <w:r w:rsidR="00037FEF" w:rsidRPr="00037FEF">
        <w:rPr>
          <w:rFonts w:cs="Times New Roman"/>
          <w:sz w:val="24"/>
          <w:szCs w:val="24"/>
        </w:rPr>
        <w:t xml:space="preserve"> på følgende måde:</w:t>
      </w:r>
    </w:p>
    <w:p w14:paraId="32858360" w14:textId="76FC79AC" w:rsidR="00037FEF" w:rsidRPr="00037FEF" w:rsidRDefault="00037FEF" w:rsidP="00037FEF">
      <w:pPr>
        <w:spacing w:after="240"/>
        <w:rPr>
          <w:rFonts w:cs="Times New Roman"/>
          <w:sz w:val="24"/>
          <w:szCs w:val="24"/>
        </w:rPr>
      </w:pPr>
      <w:r w:rsidRPr="00037FEF">
        <w:rPr>
          <w:rFonts w:cs="Times New Roman"/>
          <w:sz w:val="24"/>
          <w:szCs w:val="24"/>
        </w:rPr>
        <w:t xml:space="preserve">– Ved store virksomheder med 35-99 ansatte forhøjes </w:t>
      </w:r>
      <w:r>
        <w:rPr>
          <w:rFonts w:cs="Times New Roman"/>
          <w:sz w:val="24"/>
          <w:szCs w:val="24"/>
        </w:rPr>
        <w:t xml:space="preserve">grundbøden </w:t>
      </w:r>
      <w:r w:rsidRPr="00037FEF">
        <w:rPr>
          <w:rFonts w:cs="Times New Roman"/>
          <w:sz w:val="24"/>
          <w:szCs w:val="24"/>
        </w:rPr>
        <w:t>med 75 procent</w:t>
      </w:r>
    </w:p>
    <w:p w14:paraId="73F3B987" w14:textId="2770BB85" w:rsidR="00037FEF" w:rsidRPr="00037FEF" w:rsidRDefault="00037FEF" w:rsidP="00037FEF">
      <w:pPr>
        <w:spacing w:after="240"/>
        <w:rPr>
          <w:rFonts w:cs="Times New Roman"/>
          <w:sz w:val="24"/>
          <w:szCs w:val="24"/>
        </w:rPr>
      </w:pPr>
      <w:r w:rsidRPr="00037FEF">
        <w:rPr>
          <w:rFonts w:cs="Times New Roman"/>
          <w:sz w:val="24"/>
          <w:szCs w:val="24"/>
        </w:rPr>
        <w:t xml:space="preserve">– Ved </w:t>
      </w:r>
      <w:r w:rsidR="00464FD6">
        <w:rPr>
          <w:rFonts w:cs="Times New Roman"/>
          <w:sz w:val="24"/>
          <w:szCs w:val="24"/>
        </w:rPr>
        <w:t>meget</w:t>
      </w:r>
      <w:r w:rsidRPr="00037FEF">
        <w:rPr>
          <w:rFonts w:cs="Times New Roman"/>
          <w:sz w:val="24"/>
          <w:szCs w:val="24"/>
        </w:rPr>
        <w:t xml:space="preserve"> store virksomheder med 100 ansatte eller flere forhøjes </w:t>
      </w:r>
      <w:r>
        <w:rPr>
          <w:rFonts w:cs="Times New Roman"/>
          <w:sz w:val="24"/>
          <w:szCs w:val="24"/>
        </w:rPr>
        <w:t xml:space="preserve">grundbøden </w:t>
      </w:r>
      <w:r w:rsidRPr="00037FEF">
        <w:rPr>
          <w:rFonts w:cs="Times New Roman"/>
          <w:sz w:val="24"/>
          <w:szCs w:val="24"/>
        </w:rPr>
        <w:t>med 100 procent.</w:t>
      </w:r>
    </w:p>
    <w:p w14:paraId="746E5DF0" w14:textId="0BB1BDF4" w:rsidR="00091045" w:rsidRDefault="00091045" w:rsidP="00091045">
      <w:pPr>
        <w:spacing w:after="240"/>
        <w:rPr>
          <w:rFonts w:cs="Times New Roman"/>
          <w:sz w:val="24"/>
          <w:szCs w:val="24"/>
        </w:rPr>
      </w:pPr>
      <w:r w:rsidRPr="00091045">
        <w:rPr>
          <w:rFonts w:cs="Times New Roman"/>
          <w:sz w:val="24"/>
          <w:szCs w:val="24"/>
        </w:rPr>
        <w:t xml:space="preserve">Der er med lovforslaget om ændring af § 82, stk. 1 alene tilsigtet en </w:t>
      </w:r>
      <w:r w:rsidR="00E73B9F">
        <w:rPr>
          <w:rFonts w:cs="Times New Roman"/>
          <w:sz w:val="24"/>
          <w:szCs w:val="24"/>
        </w:rPr>
        <w:t>differentiering af grundbøden med henvisning til virksomhedsstørrelse for</w:t>
      </w:r>
      <w:r w:rsidRPr="00091045">
        <w:rPr>
          <w:rFonts w:cs="Times New Roman"/>
          <w:sz w:val="24"/>
          <w:szCs w:val="24"/>
        </w:rPr>
        <w:t xml:space="preserve"> de to ovenfor nævnte udvalgte formelle overtrædelser.</w:t>
      </w:r>
    </w:p>
    <w:p w14:paraId="3CD0EF97" w14:textId="187E4590" w:rsidR="00C85F1A" w:rsidRPr="00091045" w:rsidRDefault="00C85F1A" w:rsidP="00091045">
      <w:pPr>
        <w:spacing w:after="240"/>
        <w:rPr>
          <w:rFonts w:cs="Times New Roman"/>
          <w:sz w:val="24"/>
          <w:szCs w:val="24"/>
        </w:rPr>
      </w:pPr>
      <w:r w:rsidRPr="00C85F1A">
        <w:rPr>
          <w:rFonts w:cs="Times New Roman"/>
          <w:sz w:val="24"/>
          <w:szCs w:val="24"/>
        </w:rPr>
        <w:t>Der henvises i øvrigt til tabel 1 under pkt. 2.</w:t>
      </w:r>
      <w:r w:rsidR="003135CF">
        <w:rPr>
          <w:rFonts w:cs="Times New Roman"/>
          <w:sz w:val="24"/>
          <w:szCs w:val="24"/>
        </w:rPr>
        <w:t>3</w:t>
      </w:r>
      <w:r w:rsidRPr="00C85F1A">
        <w:rPr>
          <w:rFonts w:cs="Times New Roman"/>
          <w:sz w:val="24"/>
          <w:szCs w:val="24"/>
        </w:rPr>
        <w:t>.3 i lovforslagets almindelige bemærkninger.</w:t>
      </w:r>
    </w:p>
    <w:p w14:paraId="4916C748" w14:textId="6EEF4FF5" w:rsidR="00091045" w:rsidRDefault="00844B7E" w:rsidP="00844B7E">
      <w:pPr>
        <w:spacing w:after="240"/>
        <w:rPr>
          <w:rFonts w:cs="Times New Roman"/>
          <w:sz w:val="24"/>
          <w:szCs w:val="24"/>
        </w:rPr>
      </w:pPr>
      <w:r w:rsidRPr="00844B7E">
        <w:rPr>
          <w:rFonts w:cs="Times New Roman"/>
          <w:sz w:val="24"/>
          <w:szCs w:val="24"/>
        </w:rPr>
        <w:t>Bødeniveauet for øvrige formelle overtrædelser af arbejdsmiljølovgivningen og bødeniveauet for materielle overtrædelser af arbejdsmiljølovgivni</w:t>
      </w:r>
      <w:r>
        <w:rPr>
          <w:rFonts w:cs="Times New Roman"/>
          <w:sz w:val="24"/>
          <w:szCs w:val="24"/>
        </w:rPr>
        <w:t>n</w:t>
      </w:r>
      <w:r w:rsidRPr="00844B7E">
        <w:rPr>
          <w:rFonts w:cs="Times New Roman"/>
          <w:sz w:val="24"/>
          <w:szCs w:val="24"/>
        </w:rPr>
        <w:t>gen forudsættes at være uændret.</w:t>
      </w:r>
    </w:p>
    <w:p w14:paraId="09E8022E" w14:textId="681B9680" w:rsidR="00091045" w:rsidRDefault="00091045" w:rsidP="00091045">
      <w:pPr>
        <w:spacing w:after="240"/>
        <w:rPr>
          <w:rFonts w:cs="Times New Roman"/>
          <w:sz w:val="24"/>
          <w:szCs w:val="24"/>
        </w:rPr>
      </w:pPr>
      <w:r w:rsidRPr="00091045">
        <w:rPr>
          <w:rFonts w:cs="Times New Roman"/>
          <w:sz w:val="24"/>
          <w:szCs w:val="24"/>
        </w:rPr>
        <w:t>Fastsættelsen af straffen vil fortsat bero på domstolenes konkrete vurdering i det enkelte tilfælde af samtlige omstændigheder i sagen, og det angivne strafniveau vil kunne fraviges i op- og nedadgående retning, hvis der i den konkrete sag foreligger skærpende eller formildende omstændigheder, jf. herved de almindelige regler om straffens fastsættelse i straffelovens kapitel 10.</w:t>
      </w:r>
    </w:p>
    <w:p w14:paraId="5B5DD187" w14:textId="0D3D0EDB" w:rsidR="00364C93" w:rsidRPr="007244D5" w:rsidRDefault="00364C93" w:rsidP="00364C93">
      <w:pPr>
        <w:spacing w:after="240"/>
        <w:ind w:firstLine="238"/>
        <w:jc w:val="center"/>
        <w:rPr>
          <w:rFonts w:eastAsia="Calibri" w:cs="Times New Roman"/>
          <w:i/>
          <w:sz w:val="24"/>
          <w:szCs w:val="24"/>
        </w:rPr>
      </w:pPr>
      <w:r>
        <w:rPr>
          <w:rFonts w:eastAsia="Calibri" w:cs="Times New Roman"/>
          <w:i/>
          <w:sz w:val="24"/>
          <w:szCs w:val="24"/>
        </w:rPr>
        <w:t>Til § 2</w:t>
      </w:r>
    </w:p>
    <w:p w14:paraId="393C1DFB" w14:textId="77777777" w:rsidR="00364C93" w:rsidRPr="00AC0C65" w:rsidRDefault="00364C93" w:rsidP="00364C93">
      <w:pPr>
        <w:spacing w:after="240"/>
        <w:rPr>
          <w:rFonts w:eastAsia="Calibri" w:cs="Times New Roman"/>
          <w:sz w:val="24"/>
          <w:szCs w:val="24"/>
        </w:rPr>
      </w:pPr>
      <w:r w:rsidRPr="00AC0C65">
        <w:rPr>
          <w:rFonts w:eastAsia="Calibri" w:cs="Times New Roman"/>
          <w:sz w:val="24"/>
          <w:szCs w:val="24"/>
        </w:rPr>
        <w:t>Til nr. 1</w:t>
      </w:r>
    </w:p>
    <w:p w14:paraId="5529BD4D" w14:textId="77777777" w:rsidR="00364C93" w:rsidRPr="00AC0C65" w:rsidRDefault="00364C93" w:rsidP="00364C93">
      <w:pPr>
        <w:rPr>
          <w:sz w:val="24"/>
        </w:rPr>
      </w:pPr>
      <w:r w:rsidRPr="00AC0C65">
        <w:rPr>
          <w:sz w:val="24"/>
        </w:rPr>
        <w:lastRenderedPageBreak/>
        <w:t xml:space="preserve">I den gældende lov om udstationering af lønmodtagere m.v., er der indsat en revisionsbestemmelse i lovens § 11. Efter denne bestemmelse skal der senest i folketingsåret 2025-26 fremsættes et forslag til revision af loven. </w:t>
      </w:r>
    </w:p>
    <w:p w14:paraId="3D5007B8" w14:textId="2E92EDDE" w:rsidR="00364C93" w:rsidRPr="00AC0C65" w:rsidRDefault="00364C93" w:rsidP="00364C93">
      <w:pPr>
        <w:rPr>
          <w:sz w:val="24"/>
        </w:rPr>
      </w:pPr>
      <w:r w:rsidRPr="00AC0C65">
        <w:rPr>
          <w:sz w:val="24"/>
        </w:rPr>
        <w:t>Det foreslås, at ændre </w:t>
      </w:r>
      <w:r w:rsidRPr="00AC0C65">
        <w:t>§ 11,</w:t>
      </w:r>
      <w:r w:rsidRPr="00AC0C65">
        <w:rPr>
          <w:sz w:val="24"/>
        </w:rPr>
        <w:t> hvorefter beskæftigelsesministeren i folketingsåret 2026-27 fremsætter forslag om revision af loven.</w:t>
      </w:r>
    </w:p>
    <w:p w14:paraId="55BC1804" w14:textId="77777777" w:rsidR="00364C93" w:rsidRPr="00AC0C65" w:rsidRDefault="00364C93" w:rsidP="00364C93">
      <w:pPr>
        <w:rPr>
          <w:sz w:val="24"/>
        </w:rPr>
      </w:pPr>
    </w:p>
    <w:p w14:paraId="4244E207" w14:textId="650B08BA" w:rsidR="00364C93" w:rsidRPr="00AC0C65" w:rsidRDefault="00364C93" w:rsidP="00364C93">
      <w:pPr>
        <w:rPr>
          <w:sz w:val="24"/>
        </w:rPr>
      </w:pPr>
      <w:r w:rsidRPr="00AC0C65">
        <w:rPr>
          <w:sz w:val="24"/>
        </w:rPr>
        <w:t>Forslaget indebærer, at revisionsbestemmelsen i udstationeringslovens § 11 forlænges til folketingsåret 2026-27.</w:t>
      </w:r>
    </w:p>
    <w:p w14:paraId="67A00B9E" w14:textId="77777777" w:rsidR="00364C93" w:rsidRPr="00AC0C65" w:rsidRDefault="00364C93" w:rsidP="00364C93">
      <w:pPr>
        <w:rPr>
          <w:sz w:val="24"/>
        </w:rPr>
      </w:pPr>
    </w:p>
    <w:p w14:paraId="01EAADE1" w14:textId="3F3F6AB2" w:rsidR="00364C93" w:rsidRPr="00523DDA" w:rsidRDefault="00364C93" w:rsidP="00364C93">
      <w:pPr>
        <w:rPr>
          <w:sz w:val="24"/>
        </w:rPr>
      </w:pPr>
      <w:r w:rsidRPr="00AC0C65">
        <w:rPr>
          <w:sz w:val="24"/>
        </w:rPr>
        <w:t>Forslaget indebærer desuden, at revisionsbestemmelsen i udstationeringsloven forlænges således, at der senest i folketingsåret 2026-27 skal fremsættes et lovforslag om revision af loven eller en forlængelse af fristen. Der henvises i øvrigt til de almindelige bemærkninger under pkt. 2.</w:t>
      </w:r>
      <w:r w:rsidR="003135CF">
        <w:rPr>
          <w:sz w:val="24"/>
        </w:rPr>
        <w:t>3</w:t>
      </w:r>
      <w:r w:rsidRPr="00AC0C65">
        <w:rPr>
          <w:sz w:val="24"/>
        </w:rPr>
        <w:t>.</w:t>
      </w:r>
    </w:p>
    <w:p w14:paraId="056995B4" w14:textId="77777777" w:rsidR="00364C93" w:rsidRPr="00091045" w:rsidRDefault="00364C93" w:rsidP="00091045">
      <w:pPr>
        <w:spacing w:after="240"/>
        <w:rPr>
          <w:rFonts w:cs="Times New Roman"/>
          <w:sz w:val="24"/>
          <w:szCs w:val="24"/>
        </w:rPr>
      </w:pPr>
    </w:p>
    <w:p w14:paraId="38A6CEBA" w14:textId="220997FD" w:rsidR="006108C2" w:rsidRPr="007244D5" w:rsidRDefault="006108C2" w:rsidP="006108C2">
      <w:pPr>
        <w:spacing w:after="240"/>
        <w:ind w:firstLine="238"/>
        <w:jc w:val="center"/>
        <w:rPr>
          <w:rFonts w:cs="Times New Roman"/>
          <w:i/>
          <w:sz w:val="24"/>
          <w:szCs w:val="24"/>
        </w:rPr>
      </w:pPr>
      <w:r w:rsidRPr="007244D5">
        <w:rPr>
          <w:rFonts w:cs="Times New Roman"/>
          <w:i/>
          <w:sz w:val="24"/>
          <w:szCs w:val="24"/>
        </w:rPr>
        <w:t xml:space="preserve">Til § </w:t>
      </w:r>
      <w:r w:rsidR="00364C93">
        <w:rPr>
          <w:rFonts w:cs="Times New Roman"/>
          <w:i/>
          <w:sz w:val="24"/>
          <w:szCs w:val="24"/>
        </w:rPr>
        <w:t>3</w:t>
      </w:r>
    </w:p>
    <w:p w14:paraId="72557C60" w14:textId="536A3D9F" w:rsidR="006108C2" w:rsidRDefault="006108C2" w:rsidP="006108C2">
      <w:pPr>
        <w:spacing w:after="240"/>
        <w:rPr>
          <w:rFonts w:cs="Times New Roman"/>
          <w:sz w:val="24"/>
          <w:szCs w:val="24"/>
        </w:rPr>
      </w:pPr>
      <w:r w:rsidRPr="007244D5">
        <w:rPr>
          <w:rFonts w:cs="Times New Roman"/>
          <w:sz w:val="24"/>
          <w:szCs w:val="24"/>
        </w:rPr>
        <w:t>Det foreslås, at loven træde</w:t>
      </w:r>
      <w:r w:rsidR="00255A24">
        <w:rPr>
          <w:rFonts w:cs="Times New Roman"/>
          <w:sz w:val="24"/>
          <w:szCs w:val="24"/>
        </w:rPr>
        <w:t>r</w:t>
      </w:r>
      <w:r w:rsidRPr="007244D5">
        <w:rPr>
          <w:rFonts w:cs="Times New Roman"/>
          <w:sz w:val="24"/>
          <w:szCs w:val="24"/>
        </w:rPr>
        <w:t xml:space="preserve"> i kraft den </w:t>
      </w:r>
      <w:r w:rsidR="00EF6E9F">
        <w:rPr>
          <w:rFonts w:cs="Times New Roman"/>
          <w:sz w:val="24"/>
          <w:szCs w:val="24"/>
        </w:rPr>
        <w:t xml:space="preserve">1. </w:t>
      </w:r>
      <w:r w:rsidR="007D3209">
        <w:rPr>
          <w:rFonts w:cs="Times New Roman"/>
          <w:sz w:val="24"/>
          <w:szCs w:val="24"/>
        </w:rPr>
        <w:t>ma</w:t>
      </w:r>
      <w:r w:rsidR="00B12936">
        <w:rPr>
          <w:rFonts w:cs="Times New Roman"/>
          <w:sz w:val="24"/>
          <w:szCs w:val="24"/>
        </w:rPr>
        <w:t>rts</w:t>
      </w:r>
      <w:r w:rsidR="00EF6E9F">
        <w:rPr>
          <w:rFonts w:cs="Times New Roman"/>
          <w:sz w:val="24"/>
          <w:szCs w:val="24"/>
        </w:rPr>
        <w:t xml:space="preserve"> 2026.</w:t>
      </w:r>
      <w:r w:rsidR="008F1F75">
        <w:rPr>
          <w:rFonts w:cs="Times New Roman"/>
          <w:sz w:val="24"/>
          <w:szCs w:val="24"/>
        </w:rPr>
        <w:t xml:space="preserve"> Dog </w:t>
      </w:r>
      <w:r w:rsidR="0076189F">
        <w:rPr>
          <w:rFonts w:cs="Times New Roman"/>
          <w:sz w:val="24"/>
          <w:szCs w:val="24"/>
        </w:rPr>
        <w:t>foreslås det, at</w:t>
      </w:r>
      <w:r w:rsidR="008F1F75">
        <w:rPr>
          <w:rFonts w:cs="Times New Roman"/>
          <w:sz w:val="24"/>
          <w:szCs w:val="24"/>
        </w:rPr>
        <w:t xml:space="preserve"> den foreslåede </w:t>
      </w:r>
      <w:r w:rsidR="0076189F">
        <w:rPr>
          <w:rFonts w:cs="Times New Roman"/>
          <w:sz w:val="24"/>
          <w:szCs w:val="24"/>
        </w:rPr>
        <w:t xml:space="preserve">bestemmelse i </w:t>
      </w:r>
      <w:r w:rsidR="008F1F75">
        <w:rPr>
          <w:rFonts w:cs="Times New Roman"/>
          <w:sz w:val="24"/>
          <w:szCs w:val="24"/>
        </w:rPr>
        <w:t xml:space="preserve">§ 15 a, stk. </w:t>
      </w:r>
      <w:r w:rsidR="002D6D9D">
        <w:rPr>
          <w:rFonts w:cs="Times New Roman"/>
          <w:sz w:val="24"/>
          <w:szCs w:val="24"/>
        </w:rPr>
        <w:t>10</w:t>
      </w:r>
      <w:r w:rsidR="00990450">
        <w:rPr>
          <w:rFonts w:cs="Times New Roman"/>
          <w:sz w:val="24"/>
          <w:szCs w:val="24"/>
        </w:rPr>
        <w:t>,</w:t>
      </w:r>
      <w:r w:rsidR="008F1F75">
        <w:rPr>
          <w:rFonts w:cs="Times New Roman"/>
          <w:sz w:val="24"/>
          <w:szCs w:val="24"/>
        </w:rPr>
        <w:t xml:space="preserve"> </w:t>
      </w:r>
      <w:r w:rsidR="00990450">
        <w:rPr>
          <w:rFonts w:cs="Times New Roman"/>
          <w:sz w:val="24"/>
          <w:szCs w:val="24"/>
        </w:rPr>
        <w:t xml:space="preserve">først </w:t>
      </w:r>
      <w:r w:rsidR="0076189F">
        <w:rPr>
          <w:rFonts w:cs="Times New Roman"/>
          <w:sz w:val="24"/>
          <w:szCs w:val="24"/>
        </w:rPr>
        <w:t xml:space="preserve">træder </w:t>
      </w:r>
      <w:r w:rsidR="008F1F75">
        <w:rPr>
          <w:rFonts w:cs="Times New Roman"/>
          <w:sz w:val="24"/>
          <w:szCs w:val="24"/>
        </w:rPr>
        <w:t>i kraft</w:t>
      </w:r>
      <w:r w:rsidR="002D6D9D">
        <w:rPr>
          <w:rFonts w:cs="Times New Roman"/>
          <w:sz w:val="24"/>
          <w:szCs w:val="24"/>
        </w:rPr>
        <w:t xml:space="preserve"> den</w:t>
      </w:r>
      <w:r w:rsidR="008F1F75">
        <w:rPr>
          <w:rFonts w:cs="Times New Roman"/>
          <w:sz w:val="24"/>
          <w:szCs w:val="24"/>
        </w:rPr>
        <w:t xml:space="preserve"> 1</w:t>
      </w:r>
      <w:r w:rsidR="002D6D9D">
        <w:rPr>
          <w:rFonts w:cs="Times New Roman"/>
          <w:sz w:val="24"/>
          <w:szCs w:val="24"/>
        </w:rPr>
        <w:t>.</w:t>
      </w:r>
      <w:r w:rsidR="008F1F75">
        <w:rPr>
          <w:rFonts w:cs="Times New Roman"/>
          <w:sz w:val="24"/>
          <w:szCs w:val="24"/>
        </w:rPr>
        <w:t xml:space="preserve"> juli 2026.</w:t>
      </w:r>
    </w:p>
    <w:p w14:paraId="56E85975" w14:textId="3F47FC3C" w:rsidR="00E11287" w:rsidRDefault="00E11287" w:rsidP="006108C2">
      <w:pPr>
        <w:spacing w:after="240"/>
        <w:rPr>
          <w:rFonts w:cs="Times New Roman"/>
          <w:sz w:val="24"/>
          <w:szCs w:val="24"/>
        </w:rPr>
      </w:pPr>
      <w:r w:rsidRPr="00E11287">
        <w:rPr>
          <w:rFonts w:cs="Times New Roman"/>
          <w:sz w:val="24"/>
          <w:szCs w:val="24"/>
        </w:rPr>
        <w:t xml:space="preserve">Arbejdsmiljøloven gælder ikke for Færøerne og Grønland, jf. lov om arbejdsmiljø § 90. Det betyder, at denne lov ikke gælder for Færøerne og Grønland og heller ikke </w:t>
      </w:r>
      <w:r w:rsidR="00255A24">
        <w:rPr>
          <w:rFonts w:cs="Times New Roman"/>
          <w:sz w:val="24"/>
          <w:szCs w:val="24"/>
        </w:rPr>
        <w:t xml:space="preserve">vil </w:t>
      </w:r>
      <w:r w:rsidRPr="00E11287">
        <w:rPr>
          <w:rFonts w:cs="Times New Roman"/>
          <w:sz w:val="24"/>
          <w:szCs w:val="24"/>
        </w:rPr>
        <w:t>kunne sættes i kraft for Færøerne og Grønland.</w:t>
      </w:r>
    </w:p>
    <w:p w14:paraId="6D2F8CCF" w14:textId="77777777" w:rsidR="006108C2" w:rsidRPr="007244D5" w:rsidRDefault="006108C2" w:rsidP="006108C2">
      <w:pPr>
        <w:pageBreakBefore/>
        <w:spacing w:after="240"/>
        <w:jc w:val="right"/>
        <w:rPr>
          <w:b/>
          <w:sz w:val="24"/>
          <w:szCs w:val="24"/>
        </w:rPr>
      </w:pPr>
      <w:r w:rsidRPr="007244D5">
        <w:rPr>
          <w:b/>
          <w:sz w:val="24"/>
          <w:szCs w:val="24"/>
        </w:rPr>
        <w:lastRenderedPageBreak/>
        <w:t>Bilag 1</w:t>
      </w:r>
    </w:p>
    <w:p w14:paraId="5439D231" w14:textId="77777777" w:rsidR="006108C2" w:rsidRPr="007244D5" w:rsidRDefault="006108C2" w:rsidP="006108C2">
      <w:pPr>
        <w:spacing w:after="240"/>
        <w:jc w:val="center"/>
        <w:rPr>
          <w:b/>
          <w:sz w:val="24"/>
          <w:szCs w:val="24"/>
        </w:rPr>
      </w:pPr>
      <w:r w:rsidRPr="007244D5">
        <w:rPr>
          <w:b/>
          <w:sz w:val="24"/>
          <w:szCs w:val="24"/>
        </w:rPr>
        <w:t>Lovforslaget sammenholdt med gældende lov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6108C2" w:rsidRPr="007244D5" w14:paraId="31C88174" w14:textId="77777777" w:rsidTr="00DF743A">
        <w:tc>
          <w:tcPr>
            <w:tcW w:w="3610" w:type="dxa"/>
          </w:tcPr>
          <w:p w14:paraId="49417858"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Gældende formulering</w:t>
            </w:r>
          </w:p>
        </w:tc>
        <w:tc>
          <w:tcPr>
            <w:tcW w:w="3608" w:type="dxa"/>
          </w:tcPr>
          <w:p w14:paraId="6FB299F0" w14:textId="77777777" w:rsidR="006108C2" w:rsidRPr="007244D5" w:rsidRDefault="006108C2" w:rsidP="00DF743A">
            <w:pPr>
              <w:spacing w:after="240"/>
              <w:contextualSpacing/>
              <w:jc w:val="center"/>
              <w:rPr>
                <w:rFonts w:cs="Times New Roman"/>
                <w:i/>
                <w:sz w:val="24"/>
                <w:szCs w:val="24"/>
              </w:rPr>
            </w:pPr>
            <w:r w:rsidRPr="007244D5">
              <w:rPr>
                <w:rFonts w:cs="Times New Roman"/>
                <w:i/>
                <w:sz w:val="24"/>
                <w:szCs w:val="24"/>
              </w:rPr>
              <w:t>Lovforslaget</w:t>
            </w:r>
          </w:p>
        </w:tc>
      </w:tr>
      <w:tr w:rsidR="006108C2" w:rsidRPr="007244D5" w14:paraId="31046A1C" w14:textId="77777777" w:rsidTr="00DF743A">
        <w:tc>
          <w:tcPr>
            <w:tcW w:w="3610" w:type="dxa"/>
          </w:tcPr>
          <w:p w14:paraId="741AFCF4" w14:textId="77777777" w:rsidR="006108C2" w:rsidRPr="007244D5" w:rsidRDefault="006108C2" w:rsidP="00DF743A">
            <w:pPr>
              <w:spacing w:after="240"/>
              <w:contextualSpacing/>
              <w:jc w:val="center"/>
              <w:rPr>
                <w:rFonts w:cs="Times New Roman"/>
                <w:i/>
                <w:sz w:val="24"/>
                <w:szCs w:val="24"/>
              </w:rPr>
            </w:pPr>
          </w:p>
        </w:tc>
        <w:tc>
          <w:tcPr>
            <w:tcW w:w="3608" w:type="dxa"/>
          </w:tcPr>
          <w:p w14:paraId="4A671739" w14:textId="77777777" w:rsidR="006108C2" w:rsidRPr="007244D5" w:rsidRDefault="006108C2" w:rsidP="00DF743A">
            <w:pPr>
              <w:spacing w:after="240"/>
              <w:contextualSpacing/>
              <w:jc w:val="center"/>
              <w:rPr>
                <w:rFonts w:cs="Times New Roman"/>
                <w:sz w:val="24"/>
                <w:szCs w:val="24"/>
              </w:rPr>
            </w:pPr>
          </w:p>
          <w:p w14:paraId="6FF2C5D6" w14:textId="77777777" w:rsidR="006108C2" w:rsidRPr="007244D5" w:rsidRDefault="006108C2" w:rsidP="00DF743A">
            <w:pPr>
              <w:spacing w:after="240"/>
              <w:contextualSpacing/>
              <w:jc w:val="center"/>
              <w:rPr>
                <w:rFonts w:cs="Times New Roman"/>
                <w:b/>
                <w:sz w:val="24"/>
                <w:szCs w:val="24"/>
              </w:rPr>
            </w:pPr>
            <w:r w:rsidRPr="007244D5">
              <w:rPr>
                <w:rFonts w:cs="Times New Roman"/>
                <w:b/>
                <w:sz w:val="24"/>
                <w:szCs w:val="24"/>
              </w:rPr>
              <w:t>§ 1</w:t>
            </w:r>
          </w:p>
          <w:p w14:paraId="4F9CA4AB" w14:textId="3678ACDD" w:rsidR="006108C2" w:rsidRPr="007244D5" w:rsidRDefault="00DF743A" w:rsidP="00DF743A">
            <w:pPr>
              <w:spacing w:after="240"/>
              <w:contextualSpacing/>
              <w:jc w:val="left"/>
              <w:rPr>
                <w:rFonts w:cs="Times New Roman"/>
                <w:sz w:val="24"/>
                <w:szCs w:val="24"/>
              </w:rPr>
            </w:pPr>
            <w:r w:rsidRPr="007244D5">
              <w:rPr>
                <w:rFonts w:eastAsia="Calibri" w:cs="Times New Roman"/>
                <w:sz w:val="24"/>
                <w:szCs w:val="24"/>
              </w:rPr>
              <w:t xml:space="preserve">   </w:t>
            </w:r>
            <w:r w:rsidR="006108C2" w:rsidRPr="007244D5">
              <w:rPr>
                <w:rFonts w:eastAsia="Calibri" w:cs="Times New Roman"/>
                <w:sz w:val="24"/>
                <w:szCs w:val="24"/>
              </w:rPr>
              <w:t xml:space="preserve">I lov om </w:t>
            </w:r>
            <w:r w:rsidR="00364544">
              <w:rPr>
                <w:rFonts w:eastAsia="Calibri" w:cs="Times New Roman"/>
                <w:sz w:val="24"/>
                <w:szCs w:val="24"/>
              </w:rPr>
              <w:t>arbejdsmiljø,</w:t>
            </w:r>
            <w:r w:rsidR="006108C2" w:rsidRPr="007244D5">
              <w:rPr>
                <w:rFonts w:eastAsia="Calibri" w:cs="Times New Roman"/>
                <w:sz w:val="24"/>
                <w:szCs w:val="24"/>
              </w:rPr>
              <w:t xml:space="preserve"> jf. lovbekendtgørelse nr.</w:t>
            </w:r>
            <w:r w:rsidR="007C559E">
              <w:rPr>
                <w:rFonts w:eastAsia="Calibri" w:cs="Times New Roman"/>
                <w:sz w:val="24"/>
                <w:szCs w:val="24"/>
              </w:rPr>
              <w:t xml:space="preserve"> 1108 </w:t>
            </w:r>
            <w:r w:rsidR="006108C2" w:rsidRPr="007244D5">
              <w:rPr>
                <w:rFonts w:eastAsia="Calibri" w:cs="Times New Roman"/>
                <w:sz w:val="24"/>
                <w:szCs w:val="24"/>
              </w:rPr>
              <w:t xml:space="preserve">af </w:t>
            </w:r>
            <w:r w:rsidR="007C559E">
              <w:rPr>
                <w:rFonts w:eastAsia="Calibri" w:cs="Times New Roman"/>
                <w:sz w:val="24"/>
                <w:szCs w:val="24"/>
              </w:rPr>
              <w:t>15. september 2025</w:t>
            </w:r>
            <w:r w:rsidR="006108C2" w:rsidRPr="007244D5">
              <w:rPr>
                <w:rFonts w:eastAsia="Calibri" w:cs="Times New Roman"/>
                <w:sz w:val="24"/>
                <w:szCs w:val="24"/>
              </w:rPr>
              <w:t>, foretages følgende ændringer</w:t>
            </w:r>
            <w:r w:rsidR="006108C2" w:rsidRPr="007244D5">
              <w:rPr>
                <w:rFonts w:cs="Times New Roman"/>
                <w:sz w:val="24"/>
                <w:szCs w:val="24"/>
              </w:rPr>
              <w:t>:</w:t>
            </w:r>
          </w:p>
          <w:p w14:paraId="47660CC3" w14:textId="77777777" w:rsidR="006108C2" w:rsidRPr="007244D5" w:rsidRDefault="006108C2" w:rsidP="00DF743A">
            <w:pPr>
              <w:spacing w:after="240"/>
              <w:contextualSpacing/>
              <w:jc w:val="left"/>
              <w:rPr>
                <w:rFonts w:cs="Times New Roman"/>
                <w:sz w:val="24"/>
                <w:szCs w:val="24"/>
              </w:rPr>
            </w:pPr>
          </w:p>
        </w:tc>
      </w:tr>
      <w:tr w:rsidR="003135CF" w:rsidRPr="007244D5" w14:paraId="622BD719" w14:textId="77777777" w:rsidTr="00DF743A">
        <w:tc>
          <w:tcPr>
            <w:tcW w:w="3610" w:type="dxa"/>
          </w:tcPr>
          <w:p w14:paraId="4FCC2E0E" w14:textId="5B553427" w:rsidR="003135CF" w:rsidRPr="007244D5" w:rsidRDefault="003135CF" w:rsidP="003135CF">
            <w:pPr>
              <w:spacing w:after="240"/>
              <w:contextualSpacing/>
              <w:jc w:val="left"/>
              <w:rPr>
                <w:rFonts w:cs="Times New Roman"/>
                <w:i/>
                <w:sz w:val="24"/>
                <w:szCs w:val="24"/>
              </w:rPr>
            </w:pPr>
            <w:r w:rsidRPr="007244D5">
              <w:rPr>
                <w:rFonts w:eastAsia="Calibri" w:cs="Times New Roman"/>
                <w:b/>
                <w:sz w:val="24"/>
                <w:szCs w:val="24"/>
              </w:rPr>
              <w:t xml:space="preserve">   § </w:t>
            </w:r>
            <w:r>
              <w:rPr>
                <w:rFonts w:eastAsia="Calibri" w:cs="Times New Roman"/>
                <w:b/>
                <w:sz w:val="24"/>
                <w:szCs w:val="24"/>
              </w:rPr>
              <w:t>15 a</w:t>
            </w:r>
            <w:r w:rsidRPr="007244D5">
              <w:rPr>
                <w:rFonts w:eastAsia="Calibri" w:cs="Times New Roman"/>
                <w:b/>
                <w:sz w:val="24"/>
                <w:szCs w:val="24"/>
              </w:rPr>
              <w:t xml:space="preserve">. </w:t>
            </w:r>
            <w:r w:rsidRPr="007244D5">
              <w:rPr>
                <w:rFonts w:eastAsia="Calibri" w:cs="Times New Roman"/>
                <w:sz w:val="24"/>
                <w:szCs w:val="24"/>
              </w:rPr>
              <w:t>…</w:t>
            </w:r>
          </w:p>
        </w:tc>
        <w:tc>
          <w:tcPr>
            <w:tcW w:w="3608" w:type="dxa"/>
          </w:tcPr>
          <w:p w14:paraId="670FBF54" w14:textId="77777777" w:rsidR="003135CF" w:rsidRPr="007244D5" w:rsidRDefault="003135CF" w:rsidP="00DF743A">
            <w:pPr>
              <w:spacing w:after="240"/>
              <w:contextualSpacing/>
              <w:jc w:val="center"/>
              <w:rPr>
                <w:rFonts w:cs="Times New Roman"/>
                <w:sz w:val="24"/>
                <w:szCs w:val="24"/>
              </w:rPr>
            </w:pPr>
          </w:p>
        </w:tc>
      </w:tr>
      <w:tr w:rsidR="003135CF" w:rsidRPr="007244D5" w14:paraId="0551406F" w14:textId="77777777" w:rsidTr="00DF743A">
        <w:tc>
          <w:tcPr>
            <w:tcW w:w="3610" w:type="dxa"/>
          </w:tcPr>
          <w:p w14:paraId="6D4BBE77" w14:textId="501A191B" w:rsidR="003135CF" w:rsidRPr="007244D5" w:rsidRDefault="003135CF" w:rsidP="003135CF">
            <w:pPr>
              <w:spacing w:after="240"/>
              <w:contextualSpacing/>
              <w:jc w:val="left"/>
              <w:rPr>
                <w:rFonts w:cs="Times New Roman"/>
                <w:i/>
                <w:sz w:val="24"/>
                <w:szCs w:val="24"/>
              </w:rPr>
            </w:pPr>
            <w:r w:rsidRPr="007244D5">
              <w:rPr>
                <w:rFonts w:cs="Times New Roman"/>
                <w:i/>
                <w:sz w:val="24"/>
                <w:szCs w:val="24"/>
              </w:rPr>
              <w:t>Stk. 2</w:t>
            </w:r>
            <w:r>
              <w:rPr>
                <w:rFonts w:cs="Times New Roman"/>
                <w:i/>
                <w:sz w:val="24"/>
                <w:szCs w:val="24"/>
              </w:rPr>
              <w:t>-9</w:t>
            </w:r>
            <w:r w:rsidRPr="007244D5">
              <w:rPr>
                <w:rFonts w:cs="Times New Roman"/>
                <w:i/>
                <w:sz w:val="24"/>
                <w:szCs w:val="24"/>
              </w:rPr>
              <w:t>.</w:t>
            </w:r>
            <w:r w:rsidRPr="007244D5">
              <w:rPr>
                <w:rFonts w:cs="Times New Roman"/>
                <w:sz w:val="24"/>
                <w:szCs w:val="24"/>
              </w:rPr>
              <w:t xml:space="preserve"> ---</w:t>
            </w:r>
          </w:p>
        </w:tc>
        <w:tc>
          <w:tcPr>
            <w:tcW w:w="3608" w:type="dxa"/>
          </w:tcPr>
          <w:p w14:paraId="0DD6D25F" w14:textId="77777777" w:rsidR="003135CF" w:rsidRPr="007244D5" w:rsidRDefault="003135CF" w:rsidP="003135CF">
            <w:pPr>
              <w:spacing w:after="240"/>
              <w:contextualSpacing/>
              <w:rPr>
                <w:rFonts w:cs="Times New Roman"/>
                <w:sz w:val="24"/>
                <w:szCs w:val="24"/>
              </w:rPr>
            </w:pPr>
          </w:p>
        </w:tc>
      </w:tr>
      <w:tr w:rsidR="003135CF" w:rsidRPr="007244D5" w14:paraId="212F6210" w14:textId="77777777" w:rsidTr="00DF743A">
        <w:tc>
          <w:tcPr>
            <w:tcW w:w="3610" w:type="dxa"/>
          </w:tcPr>
          <w:p w14:paraId="0DE56299" w14:textId="77777777" w:rsidR="003135CF" w:rsidRPr="007244D5" w:rsidRDefault="003135CF" w:rsidP="003135CF">
            <w:pPr>
              <w:spacing w:after="240"/>
              <w:contextualSpacing/>
              <w:jc w:val="left"/>
              <w:rPr>
                <w:rFonts w:cs="Times New Roman"/>
                <w:i/>
                <w:sz w:val="24"/>
                <w:szCs w:val="24"/>
              </w:rPr>
            </w:pPr>
          </w:p>
        </w:tc>
        <w:tc>
          <w:tcPr>
            <w:tcW w:w="3608" w:type="dxa"/>
          </w:tcPr>
          <w:p w14:paraId="340439EF" w14:textId="33922B57" w:rsidR="003135CF" w:rsidRPr="007244D5" w:rsidRDefault="003135CF" w:rsidP="003135CF">
            <w:pPr>
              <w:spacing w:after="240"/>
              <w:contextualSpacing/>
              <w:rPr>
                <w:rFonts w:cs="Times New Roman"/>
                <w:sz w:val="24"/>
                <w:szCs w:val="24"/>
              </w:rPr>
            </w:pPr>
            <w:r>
              <w:rPr>
                <w:rFonts w:cs="Times New Roman"/>
                <w:b/>
                <w:bCs/>
                <w:sz w:val="24"/>
                <w:szCs w:val="24"/>
              </w:rPr>
              <w:t xml:space="preserve">1. </w:t>
            </w:r>
            <w:r>
              <w:rPr>
                <w:rFonts w:cs="Times New Roman"/>
                <w:sz w:val="24"/>
                <w:szCs w:val="24"/>
              </w:rPr>
              <w:t xml:space="preserve">I § 15 a, indsættes som </w:t>
            </w:r>
            <w:r w:rsidRPr="007244D5">
              <w:rPr>
                <w:rFonts w:eastAsia="Calibri" w:cs="Times New Roman"/>
                <w:i/>
                <w:sz w:val="24"/>
                <w:szCs w:val="24"/>
              </w:rPr>
              <w:t xml:space="preserve">stk. </w:t>
            </w:r>
            <w:r>
              <w:rPr>
                <w:rFonts w:eastAsia="Calibri" w:cs="Times New Roman"/>
                <w:i/>
                <w:sz w:val="24"/>
                <w:szCs w:val="24"/>
              </w:rPr>
              <w:t>10</w:t>
            </w:r>
            <w:r w:rsidRPr="007244D5">
              <w:rPr>
                <w:rFonts w:eastAsia="Calibri" w:cs="Times New Roman"/>
                <w:sz w:val="24"/>
                <w:szCs w:val="24"/>
              </w:rPr>
              <w:t>:</w:t>
            </w:r>
            <w:r w:rsidRPr="007244D5">
              <w:rPr>
                <w:rFonts w:eastAsia="Calibri" w:cs="Times New Roman"/>
                <w:sz w:val="24"/>
                <w:szCs w:val="24"/>
              </w:rPr>
              <w:br/>
            </w:r>
            <w:r w:rsidRPr="007244D5">
              <w:rPr>
                <w:rFonts w:eastAsia="Times New Roman" w:cs="Times New Roman"/>
                <w:color w:val="000000" w:themeColor="text1"/>
                <w:sz w:val="24"/>
                <w:szCs w:val="24"/>
                <w:lang w:eastAsia="da-DK"/>
              </w:rPr>
              <w:t xml:space="preserve">   »</w:t>
            </w:r>
            <w:r>
              <w:rPr>
                <w:rFonts w:eastAsia="Calibri" w:cs="Times New Roman"/>
                <w:sz w:val="24"/>
                <w:szCs w:val="24"/>
              </w:rPr>
              <w:t>B</w:t>
            </w:r>
            <w:r w:rsidRPr="0032644D">
              <w:rPr>
                <w:rFonts w:eastAsia="Calibri" w:cs="Times New Roman"/>
                <w:sz w:val="24"/>
                <w:szCs w:val="24"/>
              </w:rPr>
              <w:t>eskæftigelsesministeren kan fastsætte nærmere regler om arbejdsgiverens pligt til</w:t>
            </w:r>
            <w:r>
              <w:rPr>
                <w:rFonts w:eastAsia="Calibri" w:cs="Times New Roman"/>
                <w:sz w:val="24"/>
                <w:szCs w:val="24"/>
              </w:rPr>
              <w:t xml:space="preserve"> at</w:t>
            </w:r>
            <w:r w:rsidRPr="0032644D">
              <w:rPr>
                <w:rFonts w:eastAsia="Calibri" w:cs="Times New Roman"/>
                <w:sz w:val="24"/>
                <w:szCs w:val="24"/>
              </w:rPr>
              <w:t xml:space="preserve"> </w:t>
            </w:r>
            <w:r>
              <w:rPr>
                <w:rFonts w:eastAsia="Calibri" w:cs="Times New Roman"/>
                <w:sz w:val="24"/>
                <w:szCs w:val="24"/>
              </w:rPr>
              <w:t>sikre, at arbejdsmiljøorganisationen eller de ansatte i virksomheden, hvis der ikke er krav om en arbejdsmiljøorganisation, får adgang til oplysninger direkte fra tredjepart om resultater af asbestprøver</w:t>
            </w:r>
            <w:r w:rsidRPr="007244D5">
              <w:rPr>
                <w:rFonts w:cs="Times New Roman"/>
                <w:sz w:val="24"/>
                <w:szCs w:val="24"/>
              </w:rPr>
              <w:t>.</w:t>
            </w:r>
            <w:r w:rsidRPr="007244D5">
              <w:rPr>
                <w:rFonts w:eastAsia="Calibri" w:cs="Times New Roman"/>
                <w:sz w:val="24"/>
                <w:szCs w:val="24"/>
              </w:rPr>
              <w:t>«</w:t>
            </w:r>
          </w:p>
        </w:tc>
      </w:tr>
      <w:tr w:rsidR="00C77564" w:rsidRPr="007244D5" w14:paraId="6BDBF7B9" w14:textId="77777777" w:rsidTr="00DF743A">
        <w:tc>
          <w:tcPr>
            <w:tcW w:w="3610" w:type="dxa"/>
          </w:tcPr>
          <w:p w14:paraId="030217FC" w14:textId="77777777" w:rsidR="00F85B51" w:rsidRDefault="00F85B51" w:rsidP="00F85B51">
            <w:pPr>
              <w:spacing w:after="240"/>
              <w:contextualSpacing/>
              <w:rPr>
                <w:rFonts w:cs="Times New Roman"/>
                <w:b/>
                <w:sz w:val="24"/>
                <w:szCs w:val="24"/>
              </w:rPr>
            </w:pPr>
            <w:r w:rsidRPr="007244D5">
              <w:rPr>
                <w:rFonts w:cs="Times New Roman"/>
                <w:b/>
                <w:sz w:val="24"/>
                <w:szCs w:val="24"/>
              </w:rPr>
              <w:t xml:space="preserve">§ </w:t>
            </w:r>
            <w:r>
              <w:rPr>
                <w:rFonts w:cs="Times New Roman"/>
                <w:b/>
                <w:sz w:val="24"/>
                <w:szCs w:val="24"/>
              </w:rPr>
              <w:t>82</w:t>
            </w:r>
            <w:r w:rsidRPr="007244D5">
              <w:rPr>
                <w:rFonts w:cs="Times New Roman"/>
                <w:b/>
                <w:sz w:val="24"/>
                <w:szCs w:val="24"/>
              </w:rPr>
              <w:t xml:space="preserve">. </w:t>
            </w:r>
          </w:p>
          <w:p w14:paraId="025ECBCF" w14:textId="77777777" w:rsidR="00F85B51" w:rsidRDefault="00F85B51" w:rsidP="00F85B51">
            <w:pPr>
              <w:spacing w:after="240"/>
              <w:contextualSpacing/>
              <w:rPr>
                <w:rFonts w:cs="Times New Roman"/>
                <w:b/>
                <w:sz w:val="24"/>
                <w:szCs w:val="24"/>
              </w:rPr>
            </w:pPr>
          </w:p>
          <w:p w14:paraId="09BD6C97" w14:textId="77777777" w:rsidR="00F85B51" w:rsidRPr="00795420" w:rsidRDefault="00F85B51" w:rsidP="00F85B51">
            <w:pPr>
              <w:spacing w:after="240"/>
              <w:contextualSpacing/>
              <w:rPr>
                <w:rFonts w:cs="Times New Roman"/>
                <w:sz w:val="24"/>
                <w:szCs w:val="24"/>
              </w:rPr>
            </w:pPr>
            <w:r w:rsidRPr="00813519">
              <w:rPr>
                <w:rFonts w:cs="Times New Roman"/>
                <w:i/>
                <w:sz w:val="24"/>
                <w:szCs w:val="24"/>
              </w:rPr>
              <w:t>Stk. 1.</w:t>
            </w:r>
            <w:r>
              <w:rPr>
                <w:rFonts w:cs="Times New Roman"/>
                <w:b/>
                <w:sz w:val="24"/>
                <w:szCs w:val="24"/>
              </w:rPr>
              <w:t xml:space="preserve"> </w:t>
            </w:r>
            <w:r w:rsidRPr="00795420">
              <w:rPr>
                <w:rFonts w:cs="Times New Roman"/>
                <w:sz w:val="24"/>
                <w:szCs w:val="24"/>
              </w:rPr>
              <w:t>Medmindre højere straf er forskyldt efter den øvrige lovgivning, straffes med bøde eller fængsel indtil 1 år den, som</w:t>
            </w:r>
          </w:p>
          <w:p w14:paraId="1B651FC3" w14:textId="51698B2A" w:rsidR="00F85B51" w:rsidRPr="00DC1551" w:rsidRDefault="00F85B51" w:rsidP="00F85B51">
            <w:pPr>
              <w:spacing w:after="240"/>
              <w:contextualSpacing/>
              <w:rPr>
                <w:rFonts w:cs="Times New Roman"/>
                <w:i/>
                <w:iCs/>
                <w:sz w:val="24"/>
                <w:szCs w:val="24"/>
              </w:rPr>
            </w:pPr>
            <w:r w:rsidRPr="00DC1551">
              <w:rPr>
                <w:rFonts w:cs="Times New Roman"/>
                <w:i/>
                <w:iCs/>
                <w:sz w:val="24"/>
                <w:szCs w:val="24"/>
              </w:rPr>
              <w:t xml:space="preserve">1) </w:t>
            </w:r>
            <w:r w:rsidR="00CC31BF" w:rsidRPr="00DC1551">
              <w:rPr>
                <w:rFonts w:cs="Times New Roman"/>
                <w:i/>
                <w:iCs/>
                <w:sz w:val="24"/>
                <w:szCs w:val="24"/>
              </w:rPr>
              <w:t xml:space="preserve">- </w:t>
            </w:r>
          </w:p>
          <w:p w14:paraId="7E39815F" w14:textId="31F33052" w:rsidR="00F85B51" w:rsidRPr="00DC1551" w:rsidRDefault="00F85B51" w:rsidP="00F85B51">
            <w:pPr>
              <w:spacing w:after="240"/>
              <w:contextualSpacing/>
              <w:rPr>
                <w:rFonts w:cs="Times New Roman"/>
                <w:i/>
                <w:iCs/>
                <w:sz w:val="24"/>
                <w:szCs w:val="24"/>
              </w:rPr>
            </w:pPr>
            <w:r w:rsidRPr="00DC1551">
              <w:rPr>
                <w:rFonts w:cs="Times New Roman"/>
                <w:i/>
                <w:iCs/>
                <w:sz w:val="24"/>
                <w:szCs w:val="24"/>
              </w:rPr>
              <w:t>2) -</w:t>
            </w:r>
          </w:p>
          <w:p w14:paraId="49E8BACD" w14:textId="18EF3378" w:rsidR="00F85B51" w:rsidRPr="00DC1551" w:rsidRDefault="00F85B51" w:rsidP="00F85B51">
            <w:pPr>
              <w:spacing w:after="240"/>
              <w:contextualSpacing/>
              <w:rPr>
                <w:rFonts w:cs="Times New Roman"/>
                <w:i/>
                <w:iCs/>
                <w:sz w:val="24"/>
                <w:szCs w:val="24"/>
              </w:rPr>
            </w:pPr>
            <w:r w:rsidRPr="00DC1551">
              <w:rPr>
                <w:rFonts w:cs="Times New Roman"/>
                <w:i/>
                <w:iCs/>
                <w:sz w:val="24"/>
                <w:szCs w:val="24"/>
              </w:rPr>
              <w:t>3) -</w:t>
            </w:r>
          </w:p>
          <w:p w14:paraId="005325F7" w14:textId="67D2F066" w:rsidR="00F85B51" w:rsidRPr="00DC1551" w:rsidRDefault="00F85B51" w:rsidP="00F85B51">
            <w:pPr>
              <w:spacing w:after="240"/>
              <w:contextualSpacing/>
              <w:rPr>
                <w:rFonts w:cs="Times New Roman"/>
                <w:i/>
                <w:iCs/>
                <w:sz w:val="24"/>
                <w:szCs w:val="24"/>
              </w:rPr>
            </w:pPr>
            <w:r w:rsidRPr="00DC1551">
              <w:rPr>
                <w:rFonts w:cs="Times New Roman"/>
                <w:i/>
                <w:iCs/>
                <w:sz w:val="24"/>
                <w:szCs w:val="24"/>
              </w:rPr>
              <w:t>4) -</w:t>
            </w:r>
          </w:p>
          <w:p w14:paraId="1AA83949" w14:textId="77777777" w:rsidR="00F85B51" w:rsidRDefault="00F85B51" w:rsidP="00F85B51">
            <w:pPr>
              <w:spacing w:after="240"/>
              <w:contextualSpacing/>
              <w:rPr>
                <w:rFonts w:cs="Times New Roman"/>
                <w:i/>
                <w:sz w:val="24"/>
                <w:szCs w:val="24"/>
              </w:rPr>
            </w:pPr>
            <w:r w:rsidRPr="00813519">
              <w:rPr>
                <w:rFonts w:cs="Times New Roman"/>
                <w:i/>
                <w:sz w:val="24"/>
                <w:szCs w:val="24"/>
              </w:rPr>
              <w:t xml:space="preserve">Stk. 2. </w:t>
            </w:r>
            <w:r>
              <w:rPr>
                <w:rFonts w:cs="Times New Roman"/>
                <w:i/>
                <w:sz w:val="24"/>
                <w:szCs w:val="24"/>
              </w:rPr>
              <w:t>–</w:t>
            </w:r>
          </w:p>
          <w:p w14:paraId="6A18AE72" w14:textId="63BD12DE" w:rsidR="00F85B51" w:rsidRDefault="00F85B51" w:rsidP="00F85B51">
            <w:pPr>
              <w:spacing w:after="240"/>
              <w:contextualSpacing/>
              <w:rPr>
                <w:rFonts w:cs="Times New Roman"/>
                <w:i/>
                <w:sz w:val="24"/>
                <w:szCs w:val="24"/>
              </w:rPr>
            </w:pPr>
            <w:r w:rsidRPr="00F85B51">
              <w:rPr>
                <w:rFonts w:cs="Times New Roman"/>
                <w:i/>
                <w:sz w:val="24"/>
                <w:szCs w:val="24"/>
              </w:rPr>
              <w:t xml:space="preserve">Stk. </w:t>
            </w:r>
            <w:r w:rsidR="00CC31BF">
              <w:rPr>
                <w:rFonts w:cs="Times New Roman"/>
                <w:i/>
                <w:sz w:val="24"/>
                <w:szCs w:val="24"/>
              </w:rPr>
              <w:t>3</w:t>
            </w:r>
            <w:r w:rsidRPr="00F85B51">
              <w:rPr>
                <w:rFonts w:cs="Times New Roman"/>
                <w:i/>
                <w:sz w:val="24"/>
                <w:szCs w:val="24"/>
              </w:rPr>
              <w:t>. –</w:t>
            </w:r>
          </w:p>
          <w:p w14:paraId="76A4996C" w14:textId="1513CB28" w:rsidR="00F85B51" w:rsidRDefault="00F85B51" w:rsidP="00F85B51">
            <w:pPr>
              <w:spacing w:after="240"/>
              <w:contextualSpacing/>
              <w:rPr>
                <w:rFonts w:cs="Times New Roman"/>
                <w:i/>
                <w:sz w:val="24"/>
                <w:szCs w:val="24"/>
              </w:rPr>
            </w:pPr>
            <w:r w:rsidRPr="00F85B51">
              <w:rPr>
                <w:rFonts w:cs="Times New Roman"/>
                <w:i/>
                <w:sz w:val="24"/>
                <w:szCs w:val="24"/>
              </w:rPr>
              <w:t xml:space="preserve">Stk. </w:t>
            </w:r>
            <w:r w:rsidR="00CC31BF">
              <w:rPr>
                <w:rFonts w:cs="Times New Roman"/>
                <w:i/>
                <w:sz w:val="24"/>
                <w:szCs w:val="24"/>
              </w:rPr>
              <w:t>4</w:t>
            </w:r>
            <w:r w:rsidRPr="00F85B51">
              <w:rPr>
                <w:rFonts w:cs="Times New Roman"/>
                <w:i/>
                <w:sz w:val="24"/>
                <w:szCs w:val="24"/>
              </w:rPr>
              <w:t>. –</w:t>
            </w:r>
          </w:p>
          <w:p w14:paraId="5522BCC4" w14:textId="491B9A89" w:rsidR="00CC31BF" w:rsidRDefault="00CC31BF" w:rsidP="00F85B51">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5</w:t>
            </w:r>
            <w:r w:rsidRPr="00CC31BF">
              <w:rPr>
                <w:rFonts w:cs="Times New Roman"/>
                <w:i/>
                <w:sz w:val="24"/>
                <w:szCs w:val="24"/>
              </w:rPr>
              <w:t>. –</w:t>
            </w:r>
          </w:p>
          <w:p w14:paraId="55471B6D" w14:textId="50618092" w:rsidR="00CC31BF" w:rsidRDefault="00CC31BF" w:rsidP="00F85B51">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6</w:t>
            </w:r>
            <w:r w:rsidRPr="00CC31BF">
              <w:rPr>
                <w:rFonts w:cs="Times New Roman"/>
                <w:i/>
                <w:sz w:val="24"/>
                <w:szCs w:val="24"/>
              </w:rPr>
              <w:t>. –</w:t>
            </w:r>
          </w:p>
          <w:p w14:paraId="1015609C" w14:textId="05884E01" w:rsidR="00CC31BF" w:rsidRDefault="00CC31BF" w:rsidP="00F85B51">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7</w:t>
            </w:r>
            <w:r w:rsidRPr="00CC31BF">
              <w:rPr>
                <w:rFonts w:cs="Times New Roman"/>
                <w:i/>
                <w:sz w:val="24"/>
                <w:szCs w:val="24"/>
              </w:rPr>
              <w:t>. –</w:t>
            </w:r>
          </w:p>
          <w:p w14:paraId="4345CDAF" w14:textId="120CCD54" w:rsidR="00F85B51" w:rsidRDefault="00CC31BF" w:rsidP="00F85B51">
            <w:pPr>
              <w:spacing w:after="240"/>
              <w:contextualSpacing/>
              <w:rPr>
                <w:rFonts w:cs="Times New Roman"/>
                <w:i/>
                <w:sz w:val="24"/>
                <w:szCs w:val="24"/>
              </w:rPr>
            </w:pPr>
            <w:r w:rsidRPr="00CC31BF">
              <w:rPr>
                <w:rFonts w:cs="Times New Roman"/>
                <w:i/>
                <w:sz w:val="24"/>
                <w:szCs w:val="24"/>
              </w:rPr>
              <w:lastRenderedPageBreak/>
              <w:t xml:space="preserve">Stk. </w:t>
            </w:r>
            <w:r>
              <w:rPr>
                <w:rFonts w:cs="Times New Roman"/>
                <w:i/>
                <w:sz w:val="24"/>
                <w:szCs w:val="24"/>
              </w:rPr>
              <w:t>8</w:t>
            </w:r>
            <w:r w:rsidRPr="00CC31BF">
              <w:rPr>
                <w:rFonts w:cs="Times New Roman"/>
                <w:i/>
                <w:sz w:val="24"/>
                <w:szCs w:val="24"/>
              </w:rPr>
              <w:t>. –</w:t>
            </w:r>
            <w:r w:rsidR="00F85B51">
              <w:rPr>
                <w:rFonts w:cs="Times New Roman"/>
                <w:i/>
                <w:sz w:val="24"/>
                <w:szCs w:val="24"/>
              </w:rPr>
              <w:t xml:space="preserve"> </w:t>
            </w:r>
          </w:p>
          <w:p w14:paraId="7D0617ED" w14:textId="35697B24" w:rsidR="007529FB" w:rsidRDefault="007529FB" w:rsidP="00F85B51">
            <w:pPr>
              <w:spacing w:after="240"/>
              <w:contextualSpacing/>
              <w:rPr>
                <w:rFonts w:cs="Times New Roman"/>
                <w:i/>
                <w:sz w:val="24"/>
                <w:szCs w:val="24"/>
              </w:rPr>
            </w:pPr>
            <w:r>
              <w:rPr>
                <w:rFonts w:cs="Times New Roman"/>
                <w:i/>
                <w:sz w:val="24"/>
                <w:szCs w:val="24"/>
              </w:rPr>
              <w:t>Stk. 9. -</w:t>
            </w:r>
          </w:p>
          <w:p w14:paraId="2C6E681B" w14:textId="0961EFA2" w:rsidR="00C77564" w:rsidRPr="007244D5" w:rsidRDefault="00C77564" w:rsidP="00F85B51">
            <w:pPr>
              <w:spacing w:after="240"/>
              <w:contextualSpacing/>
              <w:jc w:val="center"/>
              <w:rPr>
                <w:rFonts w:cs="Times New Roman"/>
                <w:i/>
                <w:sz w:val="24"/>
                <w:szCs w:val="24"/>
              </w:rPr>
            </w:pPr>
          </w:p>
        </w:tc>
        <w:tc>
          <w:tcPr>
            <w:tcW w:w="3608" w:type="dxa"/>
          </w:tcPr>
          <w:p w14:paraId="1091C31D" w14:textId="7EED1024" w:rsidR="00CC31BF" w:rsidRPr="007244D5" w:rsidRDefault="00CC31BF" w:rsidP="00CC31BF">
            <w:pPr>
              <w:rPr>
                <w:rFonts w:eastAsia="Calibri" w:cs="Times New Roman"/>
                <w:sz w:val="24"/>
                <w:szCs w:val="24"/>
              </w:rPr>
            </w:pPr>
            <w:r w:rsidRPr="00CC31BF">
              <w:rPr>
                <w:rFonts w:eastAsia="Calibri" w:cs="Times New Roman"/>
                <w:b/>
                <w:sz w:val="24"/>
                <w:szCs w:val="24"/>
              </w:rPr>
              <w:lastRenderedPageBreak/>
              <w:t xml:space="preserve"> </w:t>
            </w:r>
            <w:r w:rsidR="003135CF">
              <w:rPr>
                <w:rFonts w:eastAsia="Calibri" w:cs="Times New Roman"/>
                <w:b/>
                <w:sz w:val="24"/>
                <w:szCs w:val="24"/>
              </w:rPr>
              <w:t>2</w:t>
            </w:r>
            <w:r w:rsidRPr="00CC31BF">
              <w:rPr>
                <w:rFonts w:eastAsia="Calibri" w:cs="Times New Roman"/>
                <w:b/>
                <w:sz w:val="24"/>
                <w:szCs w:val="24"/>
              </w:rPr>
              <w:t>.</w:t>
            </w:r>
            <w:r w:rsidRPr="00CC31BF">
              <w:rPr>
                <w:rFonts w:eastAsia="Calibri" w:cs="Times New Roman"/>
                <w:sz w:val="24"/>
                <w:szCs w:val="24"/>
              </w:rPr>
              <w:t xml:space="preserve"> I </w:t>
            </w:r>
            <w:r w:rsidRPr="00CC31BF">
              <w:rPr>
                <w:rFonts w:eastAsia="Calibri" w:cs="Times New Roman"/>
                <w:i/>
                <w:sz w:val="24"/>
                <w:szCs w:val="24"/>
              </w:rPr>
              <w:t>§ 82, stk. 1,</w:t>
            </w:r>
            <w:r w:rsidRPr="00CC31BF">
              <w:rPr>
                <w:rFonts w:eastAsia="Calibri" w:cs="Times New Roman"/>
                <w:sz w:val="24"/>
                <w:szCs w:val="24"/>
              </w:rPr>
              <w:t xml:space="preserve"> ændres »der« til »som«.</w:t>
            </w:r>
          </w:p>
          <w:p w14:paraId="229C93B9" w14:textId="42F6F1C6" w:rsidR="00C77564" w:rsidRPr="00CC31BF" w:rsidRDefault="00C77564" w:rsidP="00CC31BF">
            <w:pPr>
              <w:spacing w:after="240"/>
              <w:contextualSpacing/>
              <w:jc w:val="left"/>
              <w:rPr>
                <w:rFonts w:cs="Times New Roman"/>
                <w:b/>
                <w:bCs/>
                <w:sz w:val="24"/>
                <w:szCs w:val="24"/>
              </w:rPr>
            </w:pPr>
          </w:p>
        </w:tc>
      </w:tr>
      <w:tr w:rsidR="006108C2" w:rsidRPr="007244D5" w14:paraId="27A442CD" w14:textId="77777777" w:rsidTr="00DF743A">
        <w:tc>
          <w:tcPr>
            <w:tcW w:w="3610" w:type="dxa"/>
          </w:tcPr>
          <w:p w14:paraId="756DCE2E" w14:textId="77777777" w:rsidR="00813519" w:rsidRDefault="006108C2" w:rsidP="00795420">
            <w:pPr>
              <w:spacing w:after="240"/>
              <w:contextualSpacing/>
              <w:rPr>
                <w:rFonts w:cs="Times New Roman"/>
                <w:b/>
                <w:sz w:val="24"/>
                <w:szCs w:val="24"/>
              </w:rPr>
            </w:pPr>
            <w:r w:rsidRPr="007244D5">
              <w:rPr>
                <w:rFonts w:cs="Times New Roman"/>
                <w:b/>
                <w:sz w:val="24"/>
                <w:szCs w:val="24"/>
              </w:rPr>
              <w:t xml:space="preserve">§ </w:t>
            </w:r>
            <w:r w:rsidR="00F674B6">
              <w:rPr>
                <w:rFonts w:cs="Times New Roman"/>
                <w:b/>
                <w:sz w:val="24"/>
                <w:szCs w:val="24"/>
              </w:rPr>
              <w:t>82</w:t>
            </w:r>
            <w:r w:rsidRPr="007244D5">
              <w:rPr>
                <w:rFonts w:cs="Times New Roman"/>
                <w:b/>
                <w:sz w:val="24"/>
                <w:szCs w:val="24"/>
              </w:rPr>
              <w:t xml:space="preserve">. </w:t>
            </w:r>
          </w:p>
          <w:p w14:paraId="377A19A6" w14:textId="77777777" w:rsidR="00CC31BF" w:rsidRDefault="00CC31BF" w:rsidP="00CC31BF">
            <w:pPr>
              <w:spacing w:after="240"/>
              <w:contextualSpacing/>
              <w:rPr>
                <w:rFonts w:cs="Times New Roman"/>
                <w:b/>
                <w:sz w:val="24"/>
                <w:szCs w:val="24"/>
              </w:rPr>
            </w:pPr>
          </w:p>
          <w:p w14:paraId="1809F820" w14:textId="500FC5C7" w:rsidR="00CC31BF" w:rsidRPr="007244D5" w:rsidRDefault="00CC31BF" w:rsidP="00DC1551">
            <w:pPr>
              <w:spacing w:after="240"/>
              <w:contextualSpacing/>
              <w:rPr>
                <w:rFonts w:cs="Times New Roman"/>
                <w:sz w:val="24"/>
                <w:szCs w:val="24"/>
              </w:rPr>
            </w:pPr>
            <w:r w:rsidRPr="00813519">
              <w:rPr>
                <w:rFonts w:cs="Times New Roman"/>
                <w:i/>
                <w:sz w:val="24"/>
                <w:szCs w:val="24"/>
              </w:rPr>
              <w:t>Stk. 1.</w:t>
            </w:r>
            <w:r>
              <w:rPr>
                <w:rFonts w:cs="Times New Roman"/>
                <w:b/>
                <w:sz w:val="24"/>
                <w:szCs w:val="24"/>
              </w:rPr>
              <w:t xml:space="preserve"> </w:t>
            </w:r>
            <w:r w:rsidR="00DC1551">
              <w:rPr>
                <w:rFonts w:cs="Times New Roman"/>
                <w:b/>
                <w:sz w:val="24"/>
                <w:szCs w:val="24"/>
              </w:rPr>
              <w:t xml:space="preserve">- </w:t>
            </w:r>
          </w:p>
          <w:p w14:paraId="688A5BD4"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 xml:space="preserve">1) - </w:t>
            </w:r>
          </w:p>
          <w:p w14:paraId="1EF1B3ED"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2) -</w:t>
            </w:r>
          </w:p>
          <w:p w14:paraId="399051C1"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3) -</w:t>
            </w:r>
          </w:p>
          <w:p w14:paraId="58366AA0" w14:textId="709D3DF7" w:rsidR="00DC1551" w:rsidRDefault="00DC1551" w:rsidP="00DC1551">
            <w:pPr>
              <w:spacing w:after="240"/>
              <w:contextualSpacing/>
              <w:rPr>
                <w:rFonts w:cs="Times New Roman"/>
                <w:i/>
                <w:sz w:val="24"/>
                <w:szCs w:val="24"/>
              </w:rPr>
            </w:pPr>
            <w:r w:rsidRPr="00DC1551">
              <w:rPr>
                <w:rFonts w:cs="Times New Roman"/>
                <w:i/>
                <w:sz w:val="24"/>
                <w:szCs w:val="24"/>
              </w:rPr>
              <w:t>4) -</w:t>
            </w:r>
          </w:p>
          <w:p w14:paraId="51809F44" w14:textId="3E798D81" w:rsidR="00CC31BF" w:rsidRDefault="00CC31BF" w:rsidP="00CC31BF">
            <w:pPr>
              <w:spacing w:after="240"/>
              <w:contextualSpacing/>
              <w:rPr>
                <w:rFonts w:cs="Times New Roman"/>
                <w:i/>
                <w:sz w:val="24"/>
                <w:szCs w:val="24"/>
              </w:rPr>
            </w:pPr>
            <w:r w:rsidRPr="00813519">
              <w:rPr>
                <w:rFonts w:cs="Times New Roman"/>
                <w:i/>
                <w:sz w:val="24"/>
                <w:szCs w:val="24"/>
              </w:rPr>
              <w:t xml:space="preserve">Stk. 2. </w:t>
            </w:r>
            <w:r>
              <w:rPr>
                <w:rFonts w:cs="Times New Roman"/>
                <w:i/>
                <w:sz w:val="24"/>
                <w:szCs w:val="24"/>
              </w:rPr>
              <w:t>–</w:t>
            </w:r>
          </w:p>
          <w:p w14:paraId="4E6AE405" w14:textId="77777777" w:rsidR="00CC31BF" w:rsidRDefault="00CC31BF" w:rsidP="00CC31BF">
            <w:pPr>
              <w:spacing w:after="240"/>
              <w:contextualSpacing/>
              <w:rPr>
                <w:rFonts w:cs="Times New Roman"/>
                <w:i/>
                <w:sz w:val="24"/>
                <w:szCs w:val="24"/>
              </w:rPr>
            </w:pPr>
            <w:r w:rsidRPr="00F85B51">
              <w:rPr>
                <w:rFonts w:cs="Times New Roman"/>
                <w:i/>
                <w:sz w:val="24"/>
                <w:szCs w:val="24"/>
              </w:rPr>
              <w:t xml:space="preserve">Stk. </w:t>
            </w:r>
            <w:r>
              <w:rPr>
                <w:rFonts w:cs="Times New Roman"/>
                <w:i/>
                <w:sz w:val="24"/>
                <w:szCs w:val="24"/>
              </w:rPr>
              <w:t>3</w:t>
            </w:r>
            <w:r w:rsidRPr="00F85B51">
              <w:rPr>
                <w:rFonts w:cs="Times New Roman"/>
                <w:i/>
                <w:sz w:val="24"/>
                <w:szCs w:val="24"/>
              </w:rPr>
              <w:t>. –</w:t>
            </w:r>
          </w:p>
          <w:p w14:paraId="75BA785E" w14:textId="77777777" w:rsidR="00CC31BF" w:rsidRDefault="00CC31BF" w:rsidP="00CC31BF">
            <w:pPr>
              <w:spacing w:after="240"/>
              <w:contextualSpacing/>
              <w:rPr>
                <w:rFonts w:cs="Times New Roman"/>
                <w:i/>
                <w:sz w:val="24"/>
                <w:szCs w:val="24"/>
              </w:rPr>
            </w:pPr>
            <w:r w:rsidRPr="00F85B51">
              <w:rPr>
                <w:rFonts w:cs="Times New Roman"/>
                <w:i/>
                <w:sz w:val="24"/>
                <w:szCs w:val="24"/>
              </w:rPr>
              <w:t xml:space="preserve">Stk. </w:t>
            </w:r>
            <w:r>
              <w:rPr>
                <w:rFonts w:cs="Times New Roman"/>
                <w:i/>
                <w:sz w:val="24"/>
                <w:szCs w:val="24"/>
              </w:rPr>
              <w:t>4</w:t>
            </w:r>
            <w:r w:rsidRPr="00F85B51">
              <w:rPr>
                <w:rFonts w:cs="Times New Roman"/>
                <w:i/>
                <w:sz w:val="24"/>
                <w:szCs w:val="24"/>
              </w:rPr>
              <w:t>. –</w:t>
            </w:r>
          </w:p>
          <w:p w14:paraId="0DA8A537" w14:textId="77777777" w:rsidR="00CC31BF" w:rsidRDefault="00CC31BF" w:rsidP="00CC31BF">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5</w:t>
            </w:r>
            <w:r w:rsidRPr="00CC31BF">
              <w:rPr>
                <w:rFonts w:cs="Times New Roman"/>
                <w:i/>
                <w:sz w:val="24"/>
                <w:szCs w:val="24"/>
              </w:rPr>
              <w:t>. –</w:t>
            </w:r>
          </w:p>
          <w:p w14:paraId="19D6D439" w14:textId="77777777" w:rsidR="00CC31BF" w:rsidRDefault="00CC31BF" w:rsidP="00CC31BF">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6</w:t>
            </w:r>
            <w:r w:rsidRPr="00CC31BF">
              <w:rPr>
                <w:rFonts w:cs="Times New Roman"/>
                <w:i/>
                <w:sz w:val="24"/>
                <w:szCs w:val="24"/>
              </w:rPr>
              <w:t>. –</w:t>
            </w:r>
          </w:p>
          <w:p w14:paraId="61984CBF" w14:textId="77777777" w:rsidR="00CC31BF" w:rsidRDefault="00CC31BF" w:rsidP="00CC31BF">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7</w:t>
            </w:r>
            <w:r w:rsidRPr="00CC31BF">
              <w:rPr>
                <w:rFonts w:cs="Times New Roman"/>
                <w:i/>
                <w:sz w:val="24"/>
                <w:szCs w:val="24"/>
              </w:rPr>
              <w:t>. –</w:t>
            </w:r>
          </w:p>
          <w:p w14:paraId="2AC52483" w14:textId="77777777" w:rsidR="00CC31BF" w:rsidRDefault="00CC31BF" w:rsidP="00CC31BF">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8</w:t>
            </w:r>
            <w:r w:rsidRPr="00CC31BF">
              <w:rPr>
                <w:rFonts w:cs="Times New Roman"/>
                <w:i/>
                <w:sz w:val="24"/>
                <w:szCs w:val="24"/>
              </w:rPr>
              <w:t>. –</w:t>
            </w:r>
            <w:r>
              <w:rPr>
                <w:rFonts w:cs="Times New Roman"/>
                <w:i/>
                <w:sz w:val="24"/>
                <w:szCs w:val="24"/>
              </w:rPr>
              <w:t xml:space="preserve"> </w:t>
            </w:r>
          </w:p>
          <w:p w14:paraId="0D1AA81A" w14:textId="019F92FE" w:rsidR="007529FB" w:rsidRDefault="007529FB" w:rsidP="007529FB">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9</w:t>
            </w:r>
            <w:r w:rsidRPr="00CC31BF">
              <w:rPr>
                <w:rFonts w:cs="Times New Roman"/>
                <w:i/>
                <w:sz w:val="24"/>
                <w:szCs w:val="24"/>
              </w:rPr>
              <w:t>. –</w:t>
            </w:r>
            <w:r>
              <w:rPr>
                <w:rFonts w:cs="Times New Roman"/>
                <w:i/>
                <w:sz w:val="24"/>
                <w:szCs w:val="24"/>
              </w:rPr>
              <w:t xml:space="preserve"> </w:t>
            </w:r>
          </w:p>
          <w:p w14:paraId="21226002" w14:textId="77777777" w:rsidR="00813519" w:rsidRDefault="00813519" w:rsidP="00795420">
            <w:pPr>
              <w:spacing w:after="240"/>
              <w:contextualSpacing/>
              <w:rPr>
                <w:rFonts w:cs="Times New Roman"/>
                <w:b/>
                <w:sz w:val="24"/>
                <w:szCs w:val="24"/>
              </w:rPr>
            </w:pPr>
          </w:p>
          <w:p w14:paraId="7F35838D" w14:textId="77777777" w:rsidR="00813519" w:rsidRPr="00813519" w:rsidRDefault="00813519" w:rsidP="00813519">
            <w:pPr>
              <w:spacing w:after="240"/>
              <w:contextualSpacing/>
              <w:rPr>
                <w:rFonts w:cs="Times New Roman"/>
                <w:sz w:val="24"/>
                <w:szCs w:val="24"/>
              </w:rPr>
            </w:pPr>
          </w:p>
          <w:p w14:paraId="4B10AE29" w14:textId="4176FE79" w:rsidR="00813519" w:rsidRPr="00813519" w:rsidRDefault="00813519" w:rsidP="00813519">
            <w:pPr>
              <w:spacing w:after="240"/>
              <w:contextualSpacing/>
              <w:rPr>
                <w:rFonts w:cs="Times New Roman"/>
                <w:i/>
                <w:sz w:val="24"/>
                <w:szCs w:val="24"/>
              </w:rPr>
            </w:pPr>
          </w:p>
        </w:tc>
        <w:tc>
          <w:tcPr>
            <w:tcW w:w="3608" w:type="dxa"/>
          </w:tcPr>
          <w:p w14:paraId="4CC9D673" w14:textId="67914157" w:rsidR="00F674B6" w:rsidRDefault="003135CF" w:rsidP="00F674B6">
            <w:pPr>
              <w:spacing w:after="240"/>
              <w:contextualSpacing/>
              <w:rPr>
                <w:rFonts w:eastAsia="Calibri" w:cs="Times New Roman"/>
                <w:sz w:val="24"/>
                <w:szCs w:val="24"/>
              </w:rPr>
            </w:pPr>
            <w:r>
              <w:rPr>
                <w:rFonts w:eastAsia="Calibri" w:cs="Times New Roman"/>
                <w:b/>
                <w:sz w:val="24"/>
                <w:szCs w:val="24"/>
              </w:rPr>
              <w:t>3</w:t>
            </w:r>
            <w:r w:rsidR="006108C2" w:rsidRPr="007244D5">
              <w:rPr>
                <w:rFonts w:eastAsia="Calibri" w:cs="Times New Roman"/>
                <w:b/>
                <w:sz w:val="24"/>
                <w:szCs w:val="24"/>
              </w:rPr>
              <w:t>.</w:t>
            </w:r>
            <w:r w:rsidR="006108C2" w:rsidRPr="007244D5">
              <w:rPr>
                <w:rFonts w:eastAsia="Calibri" w:cs="Times New Roman"/>
                <w:sz w:val="24"/>
                <w:szCs w:val="24"/>
              </w:rPr>
              <w:t xml:space="preserve"> </w:t>
            </w:r>
            <w:r w:rsidR="00F674B6" w:rsidRPr="00F674B6">
              <w:rPr>
                <w:rFonts w:eastAsia="Calibri" w:cs="Times New Roman"/>
                <w:sz w:val="24"/>
                <w:szCs w:val="24"/>
              </w:rPr>
              <w:t>I § 82, stk. 1, indsættes som nr. 5:</w:t>
            </w:r>
          </w:p>
          <w:p w14:paraId="6DA8F692" w14:textId="77777777" w:rsidR="00F674B6" w:rsidRPr="00F674B6" w:rsidRDefault="00F674B6" w:rsidP="00F674B6">
            <w:pPr>
              <w:spacing w:after="240"/>
              <w:contextualSpacing/>
              <w:rPr>
                <w:rFonts w:eastAsia="Calibri" w:cs="Times New Roman"/>
                <w:sz w:val="24"/>
                <w:szCs w:val="24"/>
              </w:rPr>
            </w:pPr>
          </w:p>
          <w:p w14:paraId="59F638A1" w14:textId="607CB90A" w:rsidR="00F674B6" w:rsidRPr="007244D5" w:rsidRDefault="00F674B6" w:rsidP="00F674B6">
            <w:pPr>
              <w:spacing w:after="240"/>
              <w:contextualSpacing/>
              <w:rPr>
                <w:rFonts w:eastAsia="Calibri" w:cs="Times New Roman"/>
                <w:sz w:val="24"/>
                <w:szCs w:val="24"/>
              </w:rPr>
            </w:pPr>
            <w:r w:rsidRPr="00F674B6">
              <w:rPr>
                <w:rFonts w:eastAsia="Calibri" w:cs="Times New Roman"/>
                <w:sz w:val="24"/>
                <w:szCs w:val="24"/>
              </w:rPr>
              <w:t>»</w:t>
            </w:r>
            <w:r w:rsidRPr="00683F2A">
              <w:rPr>
                <w:rFonts w:eastAsia="Calibri" w:cs="Times New Roman"/>
                <w:sz w:val="24"/>
                <w:szCs w:val="24"/>
              </w:rPr>
              <w:t>5)</w:t>
            </w:r>
            <w:r w:rsidRPr="00F674B6">
              <w:rPr>
                <w:rFonts w:eastAsia="Calibri" w:cs="Times New Roman"/>
                <w:sz w:val="24"/>
                <w:szCs w:val="24"/>
              </w:rPr>
              <w:t xml:space="preserve"> overtræder regler fastsat af beskæftigelsesministeren i medfør af § 37, stk. 2, nr. 2 og § 75, stk. 1«.</w:t>
            </w:r>
            <w:r w:rsidR="006108C2" w:rsidRPr="007244D5">
              <w:rPr>
                <w:rFonts w:eastAsia="Calibri" w:cs="Times New Roman"/>
                <w:i/>
                <w:sz w:val="24"/>
                <w:szCs w:val="24"/>
              </w:rPr>
              <w:t xml:space="preserve"> </w:t>
            </w:r>
          </w:p>
          <w:p w14:paraId="55E75B3E" w14:textId="2828F9FF" w:rsidR="006108C2" w:rsidRPr="007244D5" w:rsidRDefault="006108C2" w:rsidP="00DF743A">
            <w:pPr>
              <w:spacing w:after="240"/>
              <w:contextualSpacing/>
              <w:rPr>
                <w:rFonts w:eastAsia="Calibri" w:cs="Times New Roman"/>
                <w:sz w:val="24"/>
                <w:szCs w:val="24"/>
              </w:rPr>
            </w:pPr>
          </w:p>
        </w:tc>
      </w:tr>
      <w:tr w:rsidR="00DC1551" w:rsidRPr="007244D5" w14:paraId="42927BFF" w14:textId="77777777" w:rsidTr="00DF743A">
        <w:tc>
          <w:tcPr>
            <w:tcW w:w="3610" w:type="dxa"/>
          </w:tcPr>
          <w:p w14:paraId="62F2A921" w14:textId="77777777" w:rsidR="00DC1551" w:rsidRPr="00DC1551" w:rsidRDefault="00DC1551" w:rsidP="00DC1551">
            <w:pPr>
              <w:spacing w:after="240"/>
              <w:contextualSpacing/>
              <w:rPr>
                <w:rFonts w:cs="Times New Roman"/>
                <w:b/>
                <w:sz w:val="24"/>
                <w:szCs w:val="24"/>
              </w:rPr>
            </w:pPr>
            <w:r w:rsidRPr="00DC1551">
              <w:rPr>
                <w:rFonts w:cs="Times New Roman"/>
                <w:b/>
                <w:sz w:val="24"/>
                <w:szCs w:val="24"/>
              </w:rPr>
              <w:t xml:space="preserve">§ 82. </w:t>
            </w:r>
          </w:p>
          <w:p w14:paraId="124F364D" w14:textId="77777777" w:rsidR="00DC1551" w:rsidRPr="00DC1551" w:rsidRDefault="00DC1551" w:rsidP="00DC1551">
            <w:pPr>
              <w:spacing w:after="240"/>
              <w:contextualSpacing/>
              <w:rPr>
                <w:rFonts w:cs="Times New Roman"/>
                <w:b/>
                <w:sz w:val="24"/>
                <w:szCs w:val="24"/>
              </w:rPr>
            </w:pPr>
          </w:p>
          <w:p w14:paraId="03E2DD40"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 xml:space="preserve">Stk. 1. - </w:t>
            </w:r>
          </w:p>
          <w:p w14:paraId="314E9959" w14:textId="187700BF" w:rsidR="00DC1551" w:rsidRPr="00DC1551" w:rsidRDefault="00DC1551" w:rsidP="00DC1551">
            <w:pPr>
              <w:spacing w:after="240"/>
              <w:contextualSpacing/>
              <w:rPr>
                <w:rFonts w:cs="Times New Roman"/>
                <w:sz w:val="24"/>
                <w:szCs w:val="24"/>
              </w:rPr>
            </w:pPr>
            <w:r w:rsidRPr="00DC1551">
              <w:rPr>
                <w:rFonts w:cs="Times New Roman"/>
                <w:i/>
                <w:sz w:val="24"/>
                <w:szCs w:val="24"/>
              </w:rPr>
              <w:t xml:space="preserve">Stk. 2. </w:t>
            </w:r>
            <w:r w:rsidRPr="00DC1551">
              <w:rPr>
                <w:rFonts w:cs="Times New Roman"/>
                <w:sz w:val="24"/>
                <w:szCs w:val="24"/>
              </w:rPr>
              <w:t>Straffen kan stige til fængsel i indtil 2 år, når overtrædelsen har medført en ulykke med alvorlig personskade eller døden til følge.</w:t>
            </w:r>
          </w:p>
          <w:p w14:paraId="2F5DAE8B"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Stk. 3. –</w:t>
            </w:r>
          </w:p>
          <w:p w14:paraId="37FDE1B7"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Stk. 4. –</w:t>
            </w:r>
          </w:p>
          <w:p w14:paraId="21C8ED71"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Stk. 5. –</w:t>
            </w:r>
          </w:p>
          <w:p w14:paraId="3449D83A" w14:textId="77777777" w:rsidR="00DC1551" w:rsidRPr="00DC1551" w:rsidRDefault="00DC1551" w:rsidP="00DC1551">
            <w:pPr>
              <w:spacing w:after="240"/>
              <w:contextualSpacing/>
              <w:rPr>
                <w:rFonts w:cs="Times New Roman"/>
                <w:i/>
                <w:sz w:val="24"/>
                <w:szCs w:val="24"/>
              </w:rPr>
            </w:pPr>
            <w:r w:rsidRPr="00DC1551">
              <w:rPr>
                <w:rFonts w:cs="Times New Roman"/>
                <w:i/>
                <w:sz w:val="24"/>
                <w:szCs w:val="24"/>
              </w:rPr>
              <w:t>Stk. 6. –</w:t>
            </w:r>
          </w:p>
          <w:p w14:paraId="30432097" w14:textId="77777777" w:rsidR="00DC1551" w:rsidRDefault="00DC1551" w:rsidP="00DC1551">
            <w:pPr>
              <w:spacing w:after="240"/>
              <w:contextualSpacing/>
              <w:rPr>
                <w:rFonts w:cs="Times New Roman"/>
                <w:i/>
                <w:sz w:val="24"/>
                <w:szCs w:val="24"/>
              </w:rPr>
            </w:pPr>
            <w:r w:rsidRPr="00DC1551">
              <w:rPr>
                <w:rFonts w:cs="Times New Roman"/>
                <w:i/>
                <w:sz w:val="24"/>
                <w:szCs w:val="24"/>
              </w:rPr>
              <w:t>Stk. 7. –</w:t>
            </w:r>
          </w:p>
          <w:p w14:paraId="18117688" w14:textId="359F3B83" w:rsidR="007529FB" w:rsidRDefault="007529FB" w:rsidP="00DC1551">
            <w:pPr>
              <w:spacing w:after="240"/>
              <w:contextualSpacing/>
              <w:rPr>
                <w:rFonts w:cs="Times New Roman"/>
                <w:bCs/>
                <w:i/>
                <w:sz w:val="24"/>
                <w:szCs w:val="24"/>
              </w:rPr>
            </w:pPr>
            <w:r w:rsidRPr="007529FB">
              <w:rPr>
                <w:rFonts w:cs="Times New Roman"/>
                <w:bCs/>
                <w:i/>
                <w:sz w:val="24"/>
                <w:szCs w:val="24"/>
              </w:rPr>
              <w:t xml:space="preserve">Stk. 8. </w:t>
            </w:r>
            <w:r>
              <w:rPr>
                <w:rFonts w:cs="Times New Roman"/>
                <w:bCs/>
                <w:i/>
                <w:sz w:val="24"/>
                <w:szCs w:val="24"/>
              </w:rPr>
              <w:t>–</w:t>
            </w:r>
          </w:p>
          <w:p w14:paraId="45B45731" w14:textId="025BCA11" w:rsidR="007529FB" w:rsidRDefault="007529FB" w:rsidP="007529FB">
            <w:pPr>
              <w:spacing w:after="240"/>
              <w:contextualSpacing/>
              <w:rPr>
                <w:rFonts w:cs="Times New Roman"/>
                <w:bCs/>
                <w:i/>
                <w:sz w:val="24"/>
                <w:szCs w:val="24"/>
              </w:rPr>
            </w:pPr>
            <w:r w:rsidRPr="007529FB">
              <w:rPr>
                <w:rFonts w:cs="Times New Roman"/>
                <w:bCs/>
                <w:i/>
                <w:sz w:val="24"/>
                <w:szCs w:val="24"/>
              </w:rPr>
              <w:t xml:space="preserve">Stk. </w:t>
            </w:r>
            <w:r>
              <w:rPr>
                <w:rFonts w:cs="Times New Roman"/>
                <w:bCs/>
                <w:i/>
                <w:sz w:val="24"/>
                <w:szCs w:val="24"/>
              </w:rPr>
              <w:t>9</w:t>
            </w:r>
            <w:r w:rsidRPr="007529FB">
              <w:rPr>
                <w:rFonts w:cs="Times New Roman"/>
                <w:bCs/>
                <w:i/>
                <w:sz w:val="24"/>
                <w:szCs w:val="24"/>
              </w:rPr>
              <w:t xml:space="preserve">. </w:t>
            </w:r>
            <w:r>
              <w:rPr>
                <w:rFonts w:cs="Times New Roman"/>
                <w:bCs/>
                <w:i/>
                <w:sz w:val="24"/>
                <w:szCs w:val="24"/>
              </w:rPr>
              <w:t>–</w:t>
            </w:r>
          </w:p>
          <w:p w14:paraId="2841197B" w14:textId="77777777" w:rsidR="007529FB" w:rsidRDefault="007529FB" w:rsidP="00DC1551">
            <w:pPr>
              <w:spacing w:after="240"/>
              <w:contextualSpacing/>
              <w:rPr>
                <w:rFonts w:cs="Times New Roman"/>
                <w:bCs/>
                <w:i/>
                <w:sz w:val="24"/>
                <w:szCs w:val="24"/>
              </w:rPr>
            </w:pPr>
          </w:p>
          <w:p w14:paraId="47F90C31" w14:textId="06484E8C" w:rsidR="007529FB" w:rsidRPr="007529FB" w:rsidRDefault="007529FB" w:rsidP="00DC1551">
            <w:pPr>
              <w:spacing w:after="240"/>
              <w:contextualSpacing/>
              <w:rPr>
                <w:rFonts w:cs="Times New Roman"/>
                <w:bCs/>
                <w:sz w:val="24"/>
                <w:szCs w:val="24"/>
              </w:rPr>
            </w:pPr>
          </w:p>
        </w:tc>
        <w:tc>
          <w:tcPr>
            <w:tcW w:w="3608" w:type="dxa"/>
          </w:tcPr>
          <w:p w14:paraId="72259820" w14:textId="4A84A802" w:rsidR="00DC1551" w:rsidRDefault="003135CF" w:rsidP="00DC1551">
            <w:pPr>
              <w:rPr>
                <w:rFonts w:eastAsia="Calibri" w:cs="Times New Roman"/>
                <w:sz w:val="24"/>
                <w:szCs w:val="24"/>
              </w:rPr>
            </w:pPr>
            <w:r>
              <w:rPr>
                <w:rFonts w:eastAsia="Calibri" w:cs="Times New Roman"/>
                <w:b/>
                <w:sz w:val="24"/>
                <w:szCs w:val="24"/>
              </w:rPr>
              <w:t>4</w:t>
            </w:r>
            <w:r w:rsidR="00DC1551" w:rsidRPr="00DC1551">
              <w:rPr>
                <w:rFonts w:eastAsia="Calibri" w:cs="Times New Roman"/>
                <w:b/>
                <w:sz w:val="24"/>
                <w:szCs w:val="24"/>
              </w:rPr>
              <w:t>.</w:t>
            </w:r>
            <w:r w:rsidR="00DC1551" w:rsidRPr="00DC1551">
              <w:rPr>
                <w:rFonts w:eastAsia="Calibri" w:cs="Times New Roman"/>
                <w:sz w:val="24"/>
                <w:szCs w:val="24"/>
              </w:rPr>
              <w:t xml:space="preserve"> I </w:t>
            </w:r>
            <w:r w:rsidR="00DC1551" w:rsidRPr="00DC1551">
              <w:rPr>
                <w:rFonts w:eastAsia="Calibri" w:cs="Times New Roman"/>
                <w:i/>
                <w:sz w:val="24"/>
                <w:szCs w:val="24"/>
              </w:rPr>
              <w:t>§ 82, stk. 2,</w:t>
            </w:r>
            <w:r w:rsidR="00DC1551" w:rsidRPr="00DC1551">
              <w:rPr>
                <w:rFonts w:eastAsia="Calibri" w:cs="Times New Roman"/>
                <w:sz w:val="24"/>
                <w:szCs w:val="24"/>
              </w:rPr>
              <w:t xml:space="preserve"> ændres »når« til »hvis«.</w:t>
            </w:r>
          </w:p>
          <w:p w14:paraId="38557C68" w14:textId="77777777" w:rsidR="00DC1551" w:rsidRDefault="00DC1551" w:rsidP="00F674B6">
            <w:pPr>
              <w:spacing w:after="240"/>
              <w:contextualSpacing/>
              <w:rPr>
                <w:rFonts w:eastAsia="Calibri" w:cs="Times New Roman"/>
                <w:b/>
                <w:sz w:val="24"/>
                <w:szCs w:val="24"/>
              </w:rPr>
            </w:pPr>
          </w:p>
        </w:tc>
      </w:tr>
      <w:tr w:rsidR="006108C2" w:rsidRPr="007244D5" w14:paraId="3D926E30" w14:textId="77777777" w:rsidTr="00DF743A">
        <w:tc>
          <w:tcPr>
            <w:tcW w:w="3610" w:type="dxa"/>
          </w:tcPr>
          <w:p w14:paraId="073A59DD" w14:textId="77777777" w:rsidR="00DC1551" w:rsidRDefault="00DC1551" w:rsidP="00DC1551">
            <w:pPr>
              <w:spacing w:after="240"/>
              <w:contextualSpacing/>
              <w:rPr>
                <w:rFonts w:cs="Times New Roman"/>
                <w:b/>
                <w:sz w:val="24"/>
                <w:szCs w:val="24"/>
              </w:rPr>
            </w:pPr>
            <w:r w:rsidRPr="007244D5">
              <w:rPr>
                <w:rFonts w:cs="Times New Roman"/>
                <w:b/>
                <w:sz w:val="24"/>
                <w:szCs w:val="24"/>
              </w:rPr>
              <w:t xml:space="preserve">§ </w:t>
            </w:r>
            <w:r>
              <w:rPr>
                <w:rFonts w:cs="Times New Roman"/>
                <w:b/>
                <w:sz w:val="24"/>
                <w:szCs w:val="24"/>
              </w:rPr>
              <w:t>82</w:t>
            </w:r>
            <w:r w:rsidRPr="007244D5">
              <w:rPr>
                <w:rFonts w:cs="Times New Roman"/>
                <w:b/>
                <w:sz w:val="24"/>
                <w:szCs w:val="24"/>
              </w:rPr>
              <w:t xml:space="preserve">. </w:t>
            </w:r>
          </w:p>
          <w:p w14:paraId="649633F2" w14:textId="77777777" w:rsidR="00DC1551" w:rsidRDefault="00DC1551" w:rsidP="00DC1551">
            <w:pPr>
              <w:spacing w:after="240"/>
              <w:contextualSpacing/>
              <w:rPr>
                <w:rFonts w:cs="Times New Roman"/>
                <w:b/>
                <w:sz w:val="24"/>
                <w:szCs w:val="24"/>
              </w:rPr>
            </w:pPr>
          </w:p>
          <w:p w14:paraId="7153C1BF" w14:textId="77777777" w:rsidR="00DC1551" w:rsidRPr="007244D5" w:rsidRDefault="00DC1551" w:rsidP="00DC1551">
            <w:pPr>
              <w:spacing w:after="240"/>
              <w:contextualSpacing/>
              <w:rPr>
                <w:rFonts w:cs="Times New Roman"/>
                <w:sz w:val="24"/>
                <w:szCs w:val="24"/>
              </w:rPr>
            </w:pPr>
            <w:r w:rsidRPr="00813519">
              <w:rPr>
                <w:rFonts w:cs="Times New Roman"/>
                <w:i/>
                <w:sz w:val="24"/>
                <w:szCs w:val="24"/>
              </w:rPr>
              <w:t>Stk. 1.</w:t>
            </w:r>
            <w:r>
              <w:rPr>
                <w:rFonts w:cs="Times New Roman"/>
                <w:b/>
                <w:sz w:val="24"/>
                <w:szCs w:val="24"/>
              </w:rPr>
              <w:t xml:space="preserve"> - </w:t>
            </w:r>
          </w:p>
          <w:p w14:paraId="353CBFBD" w14:textId="77777777" w:rsidR="00DC1551" w:rsidRDefault="00DC1551" w:rsidP="00DC1551">
            <w:pPr>
              <w:spacing w:after="240"/>
              <w:contextualSpacing/>
              <w:rPr>
                <w:rFonts w:cs="Times New Roman"/>
                <w:i/>
                <w:sz w:val="24"/>
                <w:szCs w:val="24"/>
              </w:rPr>
            </w:pPr>
            <w:r w:rsidRPr="00813519">
              <w:rPr>
                <w:rFonts w:cs="Times New Roman"/>
                <w:i/>
                <w:sz w:val="24"/>
                <w:szCs w:val="24"/>
              </w:rPr>
              <w:lastRenderedPageBreak/>
              <w:t xml:space="preserve">Stk. 2. </w:t>
            </w:r>
            <w:r>
              <w:rPr>
                <w:rFonts w:cs="Times New Roman"/>
                <w:i/>
                <w:sz w:val="24"/>
                <w:szCs w:val="24"/>
              </w:rPr>
              <w:t>–</w:t>
            </w:r>
          </w:p>
          <w:p w14:paraId="7694792B" w14:textId="77777777" w:rsidR="00DC1551" w:rsidRDefault="00DC1551" w:rsidP="00DC1551">
            <w:pPr>
              <w:spacing w:after="240"/>
              <w:contextualSpacing/>
              <w:rPr>
                <w:rFonts w:cs="Times New Roman"/>
                <w:i/>
                <w:sz w:val="24"/>
                <w:szCs w:val="24"/>
              </w:rPr>
            </w:pPr>
            <w:r w:rsidRPr="00F85B51">
              <w:rPr>
                <w:rFonts w:cs="Times New Roman"/>
                <w:i/>
                <w:sz w:val="24"/>
                <w:szCs w:val="24"/>
              </w:rPr>
              <w:t xml:space="preserve">Stk. </w:t>
            </w:r>
            <w:r>
              <w:rPr>
                <w:rFonts w:cs="Times New Roman"/>
                <w:i/>
                <w:sz w:val="24"/>
                <w:szCs w:val="24"/>
              </w:rPr>
              <w:t>3</w:t>
            </w:r>
            <w:r w:rsidRPr="00F85B51">
              <w:rPr>
                <w:rFonts w:cs="Times New Roman"/>
                <w:i/>
                <w:sz w:val="24"/>
                <w:szCs w:val="24"/>
              </w:rPr>
              <w:t>. –</w:t>
            </w:r>
          </w:p>
          <w:p w14:paraId="38F959B6" w14:textId="77777777" w:rsidR="00DC1551" w:rsidRDefault="00DC1551" w:rsidP="00DC1551">
            <w:pPr>
              <w:spacing w:after="240"/>
              <w:contextualSpacing/>
              <w:rPr>
                <w:rFonts w:cs="Times New Roman"/>
                <w:i/>
                <w:sz w:val="24"/>
                <w:szCs w:val="24"/>
              </w:rPr>
            </w:pPr>
            <w:r w:rsidRPr="00F85B51">
              <w:rPr>
                <w:rFonts w:cs="Times New Roman"/>
                <w:i/>
                <w:sz w:val="24"/>
                <w:szCs w:val="24"/>
              </w:rPr>
              <w:t xml:space="preserve">Stk. </w:t>
            </w:r>
            <w:r>
              <w:rPr>
                <w:rFonts w:cs="Times New Roman"/>
                <w:i/>
                <w:sz w:val="24"/>
                <w:szCs w:val="24"/>
              </w:rPr>
              <w:t>4</w:t>
            </w:r>
            <w:r w:rsidRPr="00F85B51">
              <w:rPr>
                <w:rFonts w:cs="Times New Roman"/>
                <w:i/>
                <w:sz w:val="24"/>
                <w:szCs w:val="24"/>
              </w:rPr>
              <w:t>. –</w:t>
            </w:r>
          </w:p>
          <w:p w14:paraId="50F374F5" w14:textId="77777777" w:rsidR="00DC1551" w:rsidRDefault="00DC1551" w:rsidP="00DC1551">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5</w:t>
            </w:r>
            <w:r w:rsidRPr="00CC31BF">
              <w:rPr>
                <w:rFonts w:cs="Times New Roman"/>
                <w:i/>
                <w:sz w:val="24"/>
                <w:szCs w:val="24"/>
              </w:rPr>
              <w:t>. –</w:t>
            </w:r>
          </w:p>
          <w:p w14:paraId="26DAACAD" w14:textId="77777777" w:rsidR="00DC1551" w:rsidRDefault="00DC1551" w:rsidP="00DC1551">
            <w:pPr>
              <w:spacing w:after="240"/>
              <w:contextualSpacing/>
              <w:rPr>
                <w:rFonts w:cs="Times New Roman"/>
                <w:i/>
                <w:sz w:val="24"/>
                <w:szCs w:val="24"/>
              </w:rPr>
            </w:pPr>
            <w:r w:rsidRPr="00CC31BF">
              <w:rPr>
                <w:rFonts w:cs="Times New Roman"/>
                <w:i/>
                <w:sz w:val="24"/>
                <w:szCs w:val="24"/>
              </w:rPr>
              <w:t xml:space="preserve">Stk. </w:t>
            </w:r>
            <w:r>
              <w:rPr>
                <w:rFonts w:cs="Times New Roman"/>
                <w:i/>
                <w:sz w:val="24"/>
                <w:szCs w:val="24"/>
              </w:rPr>
              <w:t>6</w:t>
            </w:r>
            <w:r w:rsidRPr="00CC31BF">
              <w:rPr>
                <w:rFonts w:cs="Times New Roman"/>
                <w:i/>
                <w:sz w:val="24"/>
                <w:szCs w:val="24"/>
              </w:rPr>
              <w:t>. –</w:t>
            </w:r>
          </w:p>
          <w:p w14:paraId="6664A1E1" w14:textId="77777777" w:rsidR="007529FB" w:rsidRPr="007529FB" w:rsidRDefault="007529FB" w:rsidP="007529FB">
            <w:pPr>
              <w:spacing w:after="240"/>
              <w:contextualSpacing/>
              <w:rPr>
                <w:rFonts w:cs="Times New Roman"/>
                <w:i/>
                <w:iCs/>
                <w:sz w:val="24"/>
                <w:szCs w:val="24"/>
              </w:rPr>
            </w:pPr>
            <w:r w:rsidRPr="007529FB">
              <w:rPr>
                <w:rFonts w:cs="Times New Roman"/>
                <w:i/>
                <w:iCs/>
                <w:sz w:val="24"/>
                <w:szCs w:val="24"/>
              </w:rPr>
              <w:t>Stk. 7. –</w:t>
            </w:r>
          </w:p>
          <w:p w14:paraId="23BCA463" w14:textId="3AD067C9" w:rsidR="006108C2" w:rsidRDefault="007529FB" w:rsidP="007529FB">
            <w:pPr>
              <w:spacing w:after="240"/>
              <w:contextualSpacing/>
              <w:rPr>
                <w:rFonts w:cs="Times New Roman"/>
                <w:i/>
                <w:iCs/>
                <w:sz w:val="24"/>
                <w:szCs w:val="24"/>
              </w:rPr>
            </w:pPr>
            <w:r w:rsidRPr="007529FB">
              <w:rPr>
                <w:rFonts w:cs="Times New Roman"/>
                <w:i/>
                <w:iCs/>
                <w:sz w:val="24"/>
                <w:szCs w:val="24"/>
              </w:rPr>
              <w:t xml:space="preserve">Stk. 8. </w:t>
            </w:r>
            <w:r>
              <w:rPr>
                <w:rFonts w:cs="Times New Roman"/>
                <w:i/>
                <w:iCs/>
                <w:sz w:val="24"/>
                <w:szCs w:val="24"/>
              </w:rPr>
              <w:t>–</w:t>
            </w:r>
          </w:p>
          <w:p w14:paraId="6FB8725C" w14:textId="77777777" w:rsidR="007529FB" w:rsidRDefault="007529FB" w:rsidP="007529FB">
            <w:pPr>
              <w:spacing w:after="240"/>
              <w:contextualSpacing/>
              <w:rPr>
                <w:rFonts w:cs="Times New Roman"/>
                <w:bCs/>
                <w:i/>
                <w:sz w:val="24"/>
                <w:szCs w:val="24"/>
              </w:rPr>
            </w:pPr>
            <w:r w:rsidRPr="007529FB">
              <w:rPr>
                <w:rFonts w:cs="Times New Roman"/>
                <w:bCs/>
                <w:i/>
                <w:sz w:val="24"/>
                <w:szCs w:val="24"/>
              </w:rPr>
              <w:t xml:space="preserve">Stk. </w:t>
            </w:r>
            <w:r>
              <w:rPr>
                <w:rFonts w:cs="Times New Roman"/>
                <w:bCs/>
                <w:i/>
                <w:sz w:val="24"/>
                <w:szCs w:val="24"/>
              </w:rPr>
              <w:t>9</w:t>
            </w:r>
            <w:r w:rsidRPr="007529FB">
              <w:rPr>
                <w:rFonts w:cs="Times New Roman"/>
                <w:bCs/>
                <w:i/>
                <w:sz w:val="24"/>
                <w:szCs w:val="24"/>
              </w:rPr>
              <w:t xml:space="preserve">. </w:t>
            </w:r>
            <w:r>
              <w:rPr>
                <w:rFonts w:cs="Times New Roman"/>
                <w:bCs/>
                <w:i/>
                <w:sz w:val="24"/>
                <w:szCs w:val="24"/>
              </w:rPr>
              <w:t>–</w:t>
            </w:r>
          </w:p>
          <w:p w14:paraId="63A36DD0" w14:textId="3DA33577" w:rsidR="007529FB" w:rsidRPr="007244D5" w:rsidRDefault="007529FB" w:rsidP="007529FB">
            <w:pPr>
              <w:spacing w:after="240"/>
              <w:contextualSpacing/>
              <w:rPr>
                <w:rFonts w:cs="Times New Roman"/>
                <w:sz w:val="24"/>
                <w:szCs w:val="24"/>
              </w:rPr>
            </w:pPr>
          </w:p>
        </w:tc>
        <w:tc>
          <w:tcPr>
            <w:tcW w:w="3608" w:type="dxa"/>
          </w:tcPr>
          <w:p w14:paraId="086AC6A0" w14:textId="5E2E22CD" w:rsidR="00813519" w:rsidRPr="007244D5" w:rsidRDefault="003135CF" w:rsidP="00813519">
            <w:pPr>
              <w:rPr>
                <w:rFonts w:eastAsia="Calibri" w:cs="Times New Roman"/>
                <w:sz w:val="24"/>
                <w:szCs w:val="24"/>
              </w:rPr>
            </w:pPr>
            <w:r>
              <w:rPr>
                <w:rFonts w:eastAsia="Calibri" w:cs="Times New Roman"/>
                <w:b/>
                <w:sz w:val="24"/>
                <w:szCs w:val="24"/>
              </w:rPr>
              <w:lastRenderedPageBreak/>
              <w:t>5</w:t>
            </w:r>
            <w:r w:rsidR="00683F2A" w:rsidRPr="004E17B5">
              <w:rPr>
                <w:rFonts w:eastAsia="Calibri" w:cs="Times New Roman"/>
                <w:b/>
                <w:sz w:val="24"/>
                <w:szCs w:val="24"/>
              </w:rPr>
              <w:t>.</w:t>
            </w:r>
            <w:r w:rsidR="00683F2A">
              <w:rPr>
                <w:rFonts w:eastAsia="Calibri" w:cs="Times New Roman"/>
                <w:sz w:val="24"/>
                <w:szCs w:val="24"/>
              </w:rPr>
              <w:t xml:space="preserve"> </w:t>
            </w:r>
            <w:r w:rsidR="00813519">
              <w:rPr>
                <w:rFonts w:eastAsia="Calibri" w:cs="Times New Roman"/>
                <w:sz w:val="24"/>
                <w:szCs w:val="24"/>
              </w:rPr>
              <w:t xml:space="preserve">I </w:t>
            </w:r>
            <w:r w:rsidR="00813519" w:rsidRPr="007244D5">
              <w:rPr>
                <w:rFonts w:eastAsia="Calibri" w:cs="Times New Roman"/>
                <w:i/>
                <w:sz w:val="24"/>
                <w:szCs w:val="24"/>
              </w:rPr>
              <w:t xml:space="preserve">§ </w:t>
            </w:r>
            <w:r w:rsidR="00813519">
              <w:rPr>
                <w:rFonts w:eastAsia="Calibri" w:cs="Times New Roman"/>
                <w:i/>
                <w:sz w:val="24"/>
                <w:szCs w:val="24"/>
              </w:rPr>
              <w:t>82, stk. 6</w:t>
            </w:r>
            <w:r w:rsidR="00813519" w:rsidRPr="007244D5">
              <w:rPr>
                <w:rFonts w:eastAsia="Calibri" w:cs="Times New Roman"/>
                <w:i/>
                <w:sz w:val="24"/>
                <w:szCs w:val="24"/>
              </w:rPr>
              <w:t>,</w:t>
            </w:r>
            <w:r w:rsidR="00813519" w:rsidRPr="007244D5">
              <w:rPr>
                <w:rFonts w:eastAsia="Calibri" w:cs="Times New Roman"/>
                <w:sz w:val="24"/>
                <w:szCs w:val="24"/>
              </w:rPr>
              <w:t xml:space="preserve"> </w:t>
            </w:r>
            <w:r w:rsidR="00813519">
              <w:rPr>
                <w:rFonts w:eastAsia="Calibri" w:cs="Times New Roman"/>
                <w:sz w:val="24"/>
                <w:szCs w:val="24"/>
              </w:rPr>
              <w:t>indsættes efter stk. 6 som nyt stk.</w:t>
            </w:r>
            <w:r w:rsidR="00813519" w:rsidRPr="007244D5">
              <w:rPr>
                <w:rFonts w:eastAsia="Calibri" w:cs="Times New Roman"/>
                <w:sz w:val="24"/>
                <w:szCs w:val="24"/>
              </w:rPr>
              <w:t>:</w:t>
            </w:r>
          </w:p>
          <w:p w14:paraId="0352A100" w14:textId="77777777" w:rsidR="00813519" w:rsidRPr="007244D5" w:rsidRDefault="00813519" w:rsidP="00813519">
            <w:pPr>
              <w:ind w:firstLine="284"/>
              <w:rPr>
                <w:rFonts w:eastAsia="Calibri" w:cs="Times New Roman"/>
                <w:sz w:val="24"/>
                <w:szCs w:val="24"/>
              </w:rPr>
            </w:pPr>
            <w:r w:rsidRPr="00683F2A">
              <w:rPr>
                <w:rFonts w:eastAsia="Calibri" w:cs="Times New Roman"/>
                <w:i/>
                <w:sz w:val="24"/>
                <w:szCs w:val="24"/>
              </w:rPr>
              <w:lastRenderedPageBreak/>
              <w:t>»Stk. 7.</w:t>
            </w:r>
            <w:r w:rsidRPr="007244D5">
              <w:rPr>
                <w:rFonts w:eastAsia="Calibri" w:cs="Times New Roman"/>
                <w:i/>
                <w:sz w:val="24"/>
                <w:szCs w:val="24"/>
              </w:rPr>
              <w:t xml:space="preserve"> </w:t>
            </w:r>
            <w:r w:rsidRPr="00143B89">
              <w:rPr>
                <w:rFonts w:eastAsia="Calibri" w:cs="Times New Roman"/>
                <w:sz w:val="24"/>
                <w:szCs w:val="24"/>
              </w:rPr>
              <w:t xml:space="preserve">Ved arbejdsgiverens overtrædelse af </w:t>
            </w:r>
            <w:r>
              <w:rPr>
                <w:rFonts w:eastAsia="Calibri" w:cs="Times New Roman"/>
                <w:sz w:val="24"/>
                <w:szCs w:val="24"/>
              </w:rPr>
              <w:t xml:space="preserve">regler </w:t>
            </w:r>
            <w:r w:rsidRPr="00143B89">
              <w:rPr>
                <w:rFonts w:eastAsia="Calibri" w:cs="Times New Roman"/>
                <w:sz w:val="24"/>
                <w:szCs w:val="24"/>
              </w:rPr>
              <w:t>fastsat af beskæftigelsesministeren i medfør af § 75, stk. 1</w:t>
            </w:r>
            <w:r>
              <w:rPr>
                <w:rFonts w:eastAsia="Calibri" w:cs="Times New Roman"/>
                <w:sz w:val="24"/>
                <w:szCs w:val="24"/>
              </w:rPr>
              <w:t xml:space="preserve">, og ved bygherres overtrædelse af regler fastsat af beskæftigelsesministeren i medfør af § 37, stk. 2, nr. 2, </w:t>
            </w:r>
            <w:r w:rsidRPr="00143B89">
              <w:rPr>
                <w:rFonts w:eastAsia="Calibri" w:cs="Times New Roman"/>
                <w:sz w:val="24"/>
                <w:szCs w:val="24"/>
              </w:rPr>
              <w:t xml:space="preserve">skal der ved straffens udmåling, jf. stk. 1, </w:t>
            </w:r>
            <w:r>
              <w:rPr>
                <w:rFonts w:eastAsia="Calibri" w:cs="Times New Roman"/>
                <w:sz w:val="24"/>
                <w:szCs w:val="24"/>
              </w:rPr>
              <w:t xml:space="preserve">nr. 5, </w:t>
            </w:r>
            <w:r w:rsidRPr="00143B89">
              <w:rPr>
                <w:rFonts w:eastAsia="Calibri" w:cs="Times New Roman"/>
                <w:sz w:val="24"/>
                <w:szCs w:val="24"/>
              </w:rPr>
              <w:t>lægges vægt på virksomhedens størrelse.</w:t>
            </w:r>
            <w:r w:rsidRPr="007244D5">
              <w:rPr>
                <w:rFonts w:eastAsia="Calibri" w:cs="Times New Roman"/>
                <w:sz w:val="24"/>
                <w:szCs w:val="24"/>
              </w:rPr>
              <w:t>«</w:t>
            </w:r>
          </w:p>
          <w:p w14:paraId="13F72B4F" w14:textId="77777777" w:rsidR="00813519" w:rsidRPr="007244D5" w:rsidRDefault="00813519" w:rsidP="00813519">
            <w:pPr>
              <w:ind w:firstLine="238"/>
              <w:rPr>
                <w:rFonts w:eastAsia="Calibri" w:cs="Times New Roman"/>
                <w:sz w:val="24"/>
                <w:szCs w:val="24"/>
              </w:rPr>
            </w:pPr>
            <w:r w:rsidRPr="00114237">
              <w:t xml:space="preserve"> </w:t>
            </w:r>
            <w:r w:rsidRPr="00114237">
              <w:rPr>
                <w:rFonts w:eastAsia="Calibri" w:cs="Times New Roman"/>
                <w:sz w:val="24"/>
                <w:szCs w:val="24"/>
              </w:rPr>
              <w:t>Stk. 7-9 bliver herefter stk. 8-10</w:t>
            </w:r>
            <w:r>
              <w:rPr>
                <w:rFonts w:eastAsia="Calibri" w:cs="Times New Roman"/>
                <w:sz w:val="24"/>
                <w:szCs w:val="24"/>
              </w:rPr>
              <w:t>.</w:t>
            </w:r>
          </w:p>
          <w:p w14:paraId="0FB8BF60" w14:textId="77777777" w:rsidR="006108C2" w:rsidRPr="007244D5" w:rsidRDefault="006108C2" w:rsidP="00DF743A">
            <w:pPr>
              <w:spacing w:after="240"/>
              <w:contextualSpacing/>
              <w:rPr>
                <w:rFonts w:cs="Times New Roman"/>
                <w:b/>
                <w:sz w:val="24"/>
                <w:szCs w:val="24"/>
              </w:rPr>
            </w:pPr>
          </w:p>
        </w:tc>
      </w:tr>
      <w:tr w:rsidR="0043796C" w:rsidRPr="007244D5" w14:paraId="28CD3C8E" w14:textId="77777777" w:rsidTr="00DF743A">
        <w:tc>
          <w:tcPr>
            <w:tcW w:w="3610" w:type="dxa"/>
          </w:tcPr>
          <w:p w14:paraId="0B1DF42A" w14:textId="77777777" w:rsidR="0043796C" w:rsidRPr="007244D5" w:rsidRDefault="0043796C" w:rsidP="00DF743A">
            <w:pPr>
              <w:spacing w:after="240"/>
              <w:contextualSpacing/>
              <w:rPr>
                <w:rFonts w:cs="Times New Roman"/>
                <w:sz w:val="24"/>
                <w:szCs w:val="24"/>
              </w:rPr>
            </w:pPr>
          </w:p>
        </w:tc>
        <w:tc>
          <w:tcPr>
            <w:tcW w:w="3608" w:type="dxa"/>
          </w:tcPr>
          <w:p w14:paraId="6A00C5F1" w14:textId="4473097C" w:rsidR="0043796C" w:rsidRPr="00523DDA" w:rsidRDefault="0043796C" w:rsidP="0043796C">
            <w:pPr>
              <w:jc w:val="center"/>
              <w:rPr>
                <w:rFonts w:eastAsia="Calibri" w:cs="Times New Roman"/>
                <w:b/>
                <w:sz w:val="24"/>
                <w:szCs w:val="24"/>
              </w:rPr>
            </w:pPr>
            <w:r w:rsidRPr="0043796C">
              <w:rPr>
                <w:rFonts w:eastAsia="Calibri" w:cs="Times New Roman"/>
                <w:b/>
                <w:sz w:val="24"/>
                <w:szCs w:val="24"/>
              </w:rPr>
              <w:t>§ 2</w:t>
            </w:r>
          </w:p>
          <w:p w14:paraId="3AB68E76" w14:textId="77777777" w:rsidR="0043796C" w:rsidRPr="00523DDA" w:rsidRDefault="0043796C" w:rsidP="0043796C">
            <w:pPr>
              <w:jc w:val="center"/>
              <w:rPr>
                <w:rFonts w:eastAsia="Calibri" w:cs="Times New Roman"/>
                <w:sz w:val="24"/>
                <w:szCs w:val="24"/>
              </w:rPr>
            </w:pPr>
          </w:p>
          <w:p w14:paraId="08840B87" w14:textId="77777777" w:rsidR="0043796C" w:rsidRPr="00523DDA" w:rsidRDefault="0043796C" w:rsidP="0043796C">
            <w:pPr>
              <w:rPr>
                <w:rFonts w:eastAsia="Calibri" w:cs="Times New Roman"/>
                <w:sz w:val="24"/>
                <w:szCs w:val="24"/>
              </w:rPr>
            </w:pPr>
            <w:r w:rsidRPr="00523DDA">
              <w:rPr>
                <w:rFonts w:eastAsia="Calibri" w:cs="Times New Roman"/>
                <w:sz w:val="24"/>
                <w:szCs w:val="24"/>
              </w:rPr>
              <w:t>I lov om udstationering af lønmodtagere m.v., jf. lovbekendtgørelse nr. 38 af 2. januar 2024, som ændret ved lov nr. 1458 af 10. december 2024, foretages følgende ændringer:</w:t>
            </w:r>
          </w:p>
          <w:p w14:paraId="172CB29F" w14:textId="77777777" w:rsidR="0043796C" w:rsidRPr="004E17B5" w:rsidRDefault="0043796C" w:rsidP="00813519">
            <w:pPr>
              <w:rPr>
                <w:rFonts w:eastAsia="Calibri" w:cs="Times New Roman"/>
                <w:b/>
                <w:sz w:val="24"/>
                <w:szCs w:val="24"/>
              </w:rPr>
            </w:pPr>
          </w:p>
        </w:tc>
      </w:tr>
      <w:tr w:rsidR="0043796C" w:rsidRPr="007244D5" w14:paraId="619BBD16" w14:textId="77777777" w:rsidTr="00DF743A">
        <w:tc>
          <w:tcPr>
            <w:tcW w:w="3610" w:type="dxa"/>
          </w:tcPr>
          <w:p w14:paraId="13680750" w14:textId="1A329563" w:rsidR="0043796C" w:rsidRPr="007244D5" w:rsidRDefault="0043796C" w:rsidP="0043796C">
            <w:pPr>
              <w:spacing w:after="240"/>
              <w:contextualSpacing/>
              <w:rPr>
                <w:rFonts w:cs="Times New Roman"/>
                <w:sz w:val="24"/>
                <w:szCs w:val="24"/>
              </w:rPr>
            </w:pPr>
            <w:r w:rsidRPr="006146D9">
              <w:rPr>
                <w:rFonts w:eastAsia="Calibri" w:cs="Times New Roman"/>
                <w:b/>
                <w:sz w:val="24"/>
                <w:szCs w:val="24"/>
              </w:rPr>
              <w:t>§ 11</w:t>
            </w:r>
            <w:r w:rsidRPr="006146D9">
              <w:rPr>
                <w:rFonts w:eastAsia="Calibri" w:cs="Times New Roman"/>
                <w:sz w:val="24"/>
                <w:szCs w:val="24"/>
              </w:rPr>
              <w:t>. Beskæftigelsesministeren fremsætter i folketingsåret 2025-2</w:t>
            </w:r>
            <w:r>
              <w:rPr>
                <w:rFonts w:eastAsia="Calibri" w:cs="Times New Roman"/>
                <w:sz w:val="24"/>
                <w:szCs w:val="24"/>
              </w:rPr>
              <w:t>6 forslag om revision af loven.</w:t>
            </w:r>
          </w:p>
        </w:tc>
        <w:tc>
          <w:tcPr>
            <w:tcW w:w="3608" w:type="dxa"/>
          </w:tcPr>
          <w:p w14:paraId="7741B35E" w14:textId="2B7BFC1A" w:rsidR="0043796C" w:rsidRDefault="0043796C" w:rsidP="0043796C">
            <w:pPr>
              <w:rPr>
                <w:rFonts w:eastAsia="Calibri" w:cs="Times New Roman"/>
                <w:sz w:val="24"/>
                <w:szCs w:val="24"/>
              </w:rPr>
            </w:pPr>
            <w:r w:rsidRPr="00523DDA">
              <w:rPr>
                <w:rFonts w:eastAsia="Calibri" w:cs="Times New Roman"/>
                <w:b/>
                <w:sz w:val="24"/>
                <w:szCs w:val="24"/>
              </w:rPr>
              <w:t>1.</w:t>
            </w:r>
            <w:r w:rsidRPr="00523DDA">
              <w:rPr>
                <w:rFonts w:eastAsia="Calibri" w:cs="Times New Roman"/>
                <w:sz w:val="24"/>
                <w:szCs w:val="24"/>
              </w:rPr>
              <w:t xml:space="preserve"> </w:t>
            </w:r>
            <w:r w:rsidRPr="0043796C">
              <w:rPr>
                <w:rFonts w:cs="Times New Roman"/>
                <w:color w:val="252525"/>
                <w:sz w:val="24"/>
                <w:szCs w:val="24"/>
              </w:rPr>
              <w:t xml:space="preserve">I </w:t>
            </w:r>
            <w:r w:rsidRPr="0043796C">
              <w:rPr>
                <w:rStyle w:val="italic"/>
                <w:rFonts w:cs="Times New Roman"/>
                <w:i/>
                <w:iCs/>
                <w:color w:val="252525"/>
                <w:sz w:val="24"/>
                <w:szCs w:val="24"/>
              </w:rPr>
              <w:t>§ 11</w:t>
            </w:r>
            <w:r w:rsidRPr="0043796C">
              <w:rPr>
                <w:rFonts w:cs="Times New Roman"/>
                <w:color w:val="252525"/>
                <w:sz w:val="24"/>
                <w:szCs w:val="24"/>
              </w:rPr>
              <w:t xml:space="preserve"> ændres </w:t>
            </w:r>
            <w:r w:rsidRPr="0043796C">
              <w:rPr>
                <w:rStyle w:val="paragrafnr"/>
                <w:rFonts w:cs="Times New Roman"/>
                <w:bCs/>
                <w:color w:val="252525"/>
              </w:rPr>
              <w:t>»</w:t>
            </w:r>
            <w:r w:rsidRPr="0043796C">
              <w:rPr>
                <w:rFonts w:cs="Times New Roman"/>
                <w:color w:val="252525"/>
                <w:sz w:val="24"/>
                <w:szCs w:val="24"/>
              </w:rPr>
              <w:t xml:space="preserve">2025-26« til: </w:t>
            </w:r>
            <w:r w:rsidRPr="0043796C">
              <w:rPr>
                <w:rStyle w:val="paragrafnr"/>
                <w:rFonts w:cs="Times New Roman"/>
                <w:bCs/>
                <w:color w:val="252525"/>
              </w:rPr>
              <w:t>»</w:t>
            </w:r>
            <w:r w:rsidRPr="0043796C">
              <w:rPr>
                <w:rFonts w:cs="Times New Roman"/>
                <w:color w:val="252525"/>
                <w:sz w:val="24"/>
                <w:szCs w:val="24"/>
              </w:rPr>
              <w:t>2026-27«.</w:t>
            </w:r>
          </w:p>
          <w:p w14:paraId="2E8B26B8" w14:textId="77777777" w:rsidR="0043796C" w:rsidRDefault="0043796C" w:rsidP="0043796C">
            <w:pPr>
              <w:rPr>
                <w:rFonts w:eastAsia="Calibri" w:cs="Times New Roman"/>
                <w:sz w:val="24"/>
                <w:szCs w:val="24"/>
              </w:rPr>
            </w:pPr>
          </w:p>
          <w:p w14:paraId="18ED45CE" w14:textId="77777777" w:rsidR="0043796C" w:rsidRPr="004E17B5" w:rsidRDefault="0043796C" w:rsidP="0043796C">
            <w:pPr>
              <w:rPr>
                <w:rFonts w:eastAsia="Calibri" w:cs="Times New Roman"/>
                <w:b/>
                <w:sz w:val="24"/>
                <w:szCs w:val="24"/>
              </w:rPr>
            </w:pPr>
          </w:p>
        </w:tc>
      </w:tr>
    </w:tbl>
    <w:p w14:paraId="776404A9" w14:textId="77777777" w:rsidR="00517D5B" w:rsidRPr="005C5198" w:rsidRDefault="00517D5B" w:rsidP="006108C2"/>
    <w:p w14:paraId="0A6EAD58" w14:textId="77777777" w:rsidR="00D85865" w:rsidRDefault="00D85865" w:rsidP="00973597"/>
    <w:sectPr w:rsidR="00D85865" w:rsidSect="002E3EA1">
      <w:footerReference w:type="default" r:id="rId13"/>
      <w:headerReference w:type="first" r:id="rId14"/>
      <w:footerReference w:type="first" r:id="rId15"/>
      <w:pgSz w:w="11906" w:h="16838" w:code="9"/>
      <w:pgMar w:top="1418" w:right="3260"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D155" w14:textId="77777777" w:rsidR="00116F71" w:rsidRDefault="00116F71" w:rsidP="00D712BA">
      <w:pPr>
        <w:spacing w:line="240" w:lineRule="auto"/>
      </w:pPr>
      <w:r>
        <w:separator/>
      </w:r>
    </w:p>
  </w:endnote>
  <w:endnote w:type="continuationSeparator" w:id="0">
    <w:p w14:paraId="7FE1FBB3" w14:textId="77777777" w:rsidR="00116F71" w:rsidRDefault="00116F71"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25563A" w14:paraId="79481E7C" w14:textId="77777777" w:rsidTr="007112C6">
      <w:trPr>
        <w:trHeight w:val="255"/>
      </w:trPr>
      <w:tc>
        <w:tcPr>
          <w:tcW w:w="1418" w:type="dxa"/>
          <w:hideMark/>
        </w:tcPr>
        <w:p w14:paraId="320EB525" w14:textId="0F20AEA7" w:rsidR="0025563A" w:rsidRPr="006A1B98" w:rsidRDefault="0025563A">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sidR="002D28B4">
            <w:rPr>
              <w:rStyle w:val="Sidetal"/>
              <w:noProof/>
              <w:sz w:val="16"/>
              <w:szCs w:val="16"/>
            </w:rPr>
            <w:t>21</w:t>
          </w:r>
          <w:r w:rsidRPr="006A1B98">
            <w:rPr>
              <w:rStyle w:val="Sidetal"/>
              <w:sz w:val="16"/>
              <w:szCs w:val="16"/>
            </w:rPr>
            <w:fldChar w:fldCharType="end"/>
          </w:r>
        </w:p>
      </w:tc>
    </w:tr>
  </w:tbl>
  <w:p w14:paraId="5EC67747" w14:textId="77777777" w:rsidR="0025563A" w:rsidRDefault="0025563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25563A" w14:paraId="70CEA7F2" w14:textId="77777777" w:rsidTr="00DF743A">
      <w:tc>
        <w:tcPr>
          <w:tcW w:w="1555" w:type="dxa"/>
        </w:tcPr>
        <w:p w14:paraId="7EA3E680" w14:textId="330CF5C7" w:rsidR="0025563A" w:rsidRPr="00BD7A47" w:rsidRDefault="0025563A"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002D28B4">
            <w:rPr>
              <w:noProof/>
              <w:sz w:val="16"/>
              <w:szCs w:val="16"/>
            </w:rPr>
            <w:t>31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002D28B4">
            <w:rPr>
              <w:noProof/>
              <w:sz w:val="16"/>
              <w:szCs w:val="16"/>
            </w:rPr>
            <w:t>33</w:t>
          </w:r>
          <w:r w:rsidRPr="00BD7A47">
            <w:rPr>
              <w:sz w:val="16"/>
              <w:szCs w:val="16"/>
            </w:rPr>
            <w:fldChar w:fldCharType="end"/>
          </w:r>
        </w:p>
      </w:tc>
    </w:tr>
  </w:tbl>
  <w:p w14:paraId="430DDB09" w14:textId="77777777" w:rsidR="0025563A" w:rsidRDefault="0025563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25563A" w14:paraId="77355518" w14:textId="77777777" w:rsidTr="00960D54">
      <w:tc>
        <w:tcPr>
          <w:tcW w:w="1555" w:type="dxa"/>
        </w:tcPr>
        <w:p w14:paraId="12DE5A27" w14:textId="5EC646C1" w:rsidR="0025563A" w:rsidRPr="00BD7A47" w:rsidRDefault="0025563A"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19</w:t>
          </w:r>
          <w:r w:rsidRPr="00BD7A47">
            <w:rPr>
              <w:sz w:val="16"/>
              <w:szCs w:val="16"/>
            </w:rPr>
            <w:fldChar w:fldCharType="end"/>
          </w:r>
        </w:p>
      </w:tc>
    </w:tr>
  </w:tbl>
  <w:p w14:paraId="540E6C22" w14:textId="77777777" w:rsidR="0025563A" w:rsidRDefault="0025563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0E43" w14:textId="77777777" w:rsidR="00116F71" w:rsidRDefault="00116F71" w:rsidP="00D712BA">
      <w:pPr>
        <w:spacing w:line="240" w:lineRule="auto"/>
      </w:pPr>
      <w:r>
        <w:separator/>
      </w:r>
    </w:p>
  </w:footnote>
  <w:footnote w:type="continuationSeparator" w:id="0">
    <w:p w14:paraId="0768D80D" w14:textId="77777777" w:rsidR="00116F71" w:rsidRDefault="00116F71" w:rsidP="00D71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8A98" w14:textId="77777777" w:rsidR="0025563A" w:rsidRDefault="0025563A">
    <w:pPr>
      <w:pStyle w:val="Sidehoved"/>
    </w:pPr>
  </w:p>
  <w:p w14:paraId="4A73D32B" w14:textId="77777777" w:rsidR="0025563A" w:rsidRPr="004A7268" w:rsidRDefault="0025563A" w:rsidP="00DF743A">
    <w:pPr>
      <w:pStyle w:val="Sidehoved"/>
      <w:jc w:val="center"/>
      <w:rPr>
        <w:b/>
      </w:rPr>
    </w:pPr>
    <w:r w:rsidRPr="004A7268">
      <w:rPr>
        <w:b/>
      </w:rPr>
      <w:t>UDKAST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65A9" w14:textId="77777777" w:rsidR="0025563A" w:rsidRDefault="0025563A">
    <w:pPr>
      <w:pStyle w:val="Sidehoved"/>
    </w:pPr>
  </w:p>
  <w:p w14:paraId="35CC940D" w14:textId="524D7C55" w:rsidR="0025563A" w:rsidRPr="00D310E9" w:rsidRDefault="0025563A" w:rsidP="00D310E9">
    <w:pPr>
      <w:pStyle w:val="Sidehoved"/>
      <w:jc w:val="center"/>
      <w:rPr>
        <w:b/>
      </w:rPr>
    </w:pPr>
    <w:r w:rsidRPr="004A7268">
      <w:rPr>
        <w:b/>
      </w:rPr>
      <w:t>UDKAST</w:t>
    </w:r>
  </w:p>
  <w:p w14:paraId="045879A3" w14:textId="77777777" w:rsidR="0025563A" w:rsidRDefault="0025563A">
    <w:pPr>
      <w:pStyle w:val="Sidehoved"/>
    </w:pPr>
  </w:p>
  <w:p w14:paraId="513F1D8F" w14:textId="77777777" w:rsidR="0025563A" w:rsidRDefault="0025563A" w:rsidP="00D712BA">
    <w:pPr>
      <w:pStyle w:val="Sidehoved"/>
      <w:spacing w:line="2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769A" w14:textId="77777777" w:rsidR="0025563A" w:rsidRDefault="0025563A">
    <w:pPr>
      <w:pStyle w:val="Sidehoved"/>
    </w:pPr>
  </w:p>
  <w:p w14:paraId="005ECABD" w14:textId="77777777" w:rsidR="0025563A" w:rsidRDefault="0025563A">
    <w:pPr>
      <w:pStyle w:val="Sidehoved"/>
    </w:pPr>
  </w:p>
  <w:p w14:paraId="4F947180" w14:textId="77777777" w:rsidR="0025563A" w:rsidRDefault="0025563A">
    <w:pPr>
      <w:pStyle w:val="Sidehoved"/>
    </w:pPr>
  </w:p>
  <w:p w14:paraId="0CD3283A" w14:textId="77777777" w:rsidR="0025563A" w:rsidRDefault="0025563A" w:rsidP="00B60A17">
    <w:pPr>
      <w:pStyle w:val="Sidehoved"/>
      <w:tabs>
        <w:tab w:val="clear" w:pos="4819"/>
        <w:tab w:val="clear" w:pos="9638"/>
        <w:tab w:val="left" w:pos="2070"/>
      </w:tabs>
    </w:pPr>
  </w:p>
  <w:p w14:paraId="1BBAEA13" w14:textId="77777777" w:rsidR="0025563A" w:rsidRDefault="0025563A">
    <w:pPr>
      <w:pStyle w:val="Sidehoved"/>
    </w:pPr>
  </w:p>
  <w:p w14:paraId="6CB2ACCC" w14:textId="77777777" w:rsidR="0025563A" w:rsidRDefault="0025563A">
    <w:pPr>
      <w:pStyle w:val="Sidehoved"/>
    </w:pPr>
  </w:p>
  <w:p w14:paraId="1D9BFC68" w14:textId="77777777" w:rsidR="0025563A" w:rsidRDefault="0025563A">
    <w:pPr>
      <w:pStyle w:val="Sidehoved"/>
    </w:pPr>
  </w:p>
  <w:p w14:paraId="042EE3A6" w14:textId="77777777" w:rsidR="0025563A" w:rsidRDefault="0025563A">
    <w:pPr>
      <w:pStyle w:val="Sidehoved"/>
    </w:pPr>
  </w:p>
  <w:p w14:paraId="15DFFDD2" w14:textId="77777777" w:rsidR="0025563A" w:rsidRDefault="0025563A">
    <w:pPr>
      <w:pStyle w:val="Sidehoved"/>
    </w:pPr>
  </w:p>
  <w:p w14:paraId="4D1922B3" w14:textId="77777777" w:rsidR="0025563A" w:rsidRDefault="0025563A">
    <w:pPr>
      <w:pStyle w:val="Sidehoved"/>
    </w:pPr>
  </w:p>
  <w:p w14:paraId="58551CD2" w14:textId="77777777" w:rsidR="0025563A" w:rsidRDefault="0025563A">
    <w:pPr>
      <w:pStyle w:val="Sidehoved"/>
    </w:pPr>
  </w:p>
  <w:p w14:paraId="543F7E6D" w14:textId="77777777" w:rsidR="0025563A" w:rsidRDefault="0025563A">
    <w:pPr>
      <w:pStyle w:val="Sidehoved"/>
    </w:pPr>
  </w:p>
  <w:p w14:paraId="22E20925" w14:textId="77777777" w:rsidR="0025563A" w:rsidRDefault="0025563A">
    <w:pPr>
      <w:pStyle w:val="Sidehoved"/>
    </w:pPr>
  </w:p>
  <w:p w14:paraId="54859959" w14:textId="77777777" w:rsidR="0025563A" w:rsidRDefault="0025563A">
    <w:pPr>
      <w:pStyle w:val="Sidehoved"/>
    </w:pPr>
  </w:p>
  <w:p w14:paraId="2458BB0F" w14:textId="77777777" w:rsidR="0025563A" w:rsidRDefault="0025563A">
    <w:pPr>
      <w:pStyle w:val="Sidehoved"/>
    </w:pPr>
  </w:p>
  <w:p w14:paraId="7B0CEC1D" w14:textId="77777777" w:rsidR="0025563A" w:rsidRDefault="0025563A">
    <w:pPr>
      <w:pStyle w:val="Sidehoved"/>
    </w:pPr>
  </w:p>
  <w:p w14:paraId="39CB012F" w14:textId="77777777" w:rsidR="0025563A" w:rsidRDefault="0025563A">
    <w:pPr>
      <w:pStyle w:val="Sidehoved"/>
    </w:pPr>
  </w:p>
  <w:p w14:paraId="3BF92A3D" w14:textId="77777777" w:rsidR="0025563A" w:rsidRDefault="0025563A"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32449CA"/>
    <w:multiLevelType w:val="hybridMultilevel"/>
    <w:tmpl w:val="E2C2B9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62D472C"/>
    <w:multiLevelType w:val="hybridMultilevel"/>
    <w:tmpl w:val="C6B6DBD6"/>
    <w:lvl w:ilvl="0" w:tplc="411084F2">
      <w:start w:val="1"/>
      <w:numFmt w:val="decimal"/>
      <w:lvlText w:val="%1."/>
      <w:lvlJc w:val="left"/>
      <w:pPr>
        <w:ind w:left="598" w:hanging="360"/>
      </w:pPr>
      <w:rPr>
        <w:rFonts w:hint="default"/>
      </w:rPr>
    </w:lvl>
    <w:lvl w:ilvl="1" w:tplc="04060019" w:tentative="1">
      <w:start w:val="1"/>
      <w:numFmt w:val="lowerLetter"/>
      <w:lvlText w:val="%2."/>
      <w:lvlJc w:val="left"/>
      <w:pPr>
        <w:ind w:left="1318" w:hanging="360"/>
      </w:pPr>
    </w:lvl>
    <w:lvl w:ilvl="2" w:tplc="0406001B" w:tentative="1">
      <w:start w:val="1"/>
      <w:numFmt w:val="lowerRoman"/>
      <w:lvlText w:val="%3."/>
      <w:lvlJc w:val="right"/>
      <w:pPr>
        <w:ind w:left="2038" w:hanging="180"/>
      </w:pPr>
    </w:lvl>
    <w:lvl w:ilvl="3" w:tplc="0406000F" w:tentative="1">
      <w:start w:val="1"/>
      <w:numFmt w:val="decimal"/>
      <w:lvlText w:val="%4."/>
      <w:lvlJc w:val="left"/>
      <w:pPr>
        <w:ind w:left="2758" w:hanging="360"/>
      </w:pPr>
    </w:lvl>
    <w:lvl w:ilvl="4" w:tplc="04060019" w:tentative="1">
      <w:start w:val="1"/>
      <w:numFmt w:val="lowerLetter"/>
      <w:lvlText w:val="%5."/>
      <w:lvlJc w:val="left"/>
      <w:pPr>
        <w:ind w:left="3478" w:hanging="360"/>
      </w:pPr>
    </w:lvl>
    <w:lvl w:ilvl="5" w:tplc="0406001B" w:tentative="1">
      <w:start w:val="1"/>
      <w:numFmt w:val="lowerRoman"/>
      <w:lvlText w:val="%6."/>
      <w:lvlJc w:val="right"/>
      <w:pPr>
        <w:ind w:left="4198" w:hanging="180"/>
      </w:pPr>
    </w:lvl>
    <w:lvl w:ilvl="6" w:tplc="0406000F" w:tentative="1">
      <w:start w:val="1"/>
      <w:numFmt w:val="decimal"/>
      <w:lvlText w:val="%7."/>
      <w:lvlJc w:val="left"/>
      <w:pPr>
        <w:ind w:left="4918" w:hanging="360"/>
      </w:pPr>
    </w:lvl>
    <w:lvl w:ilvl="7" w:tplc="04060019" w:tentative="1">
      <w:start w:val="1"/>
      <w:numFmt w:val="lowerLetter"/>
      <w:lvlText w:val="%8."/>
      <w:lvlJc w:val="left"/>
      <w:pPr>
        <w:ind w:left="5638" w:hanging="360"/>
      </w:pPr>
    </w:lvl>
    <w:lvl w:ilvl="8" w:tplc="0406001B" w:tentative="1">
      <w:start w:val="1"/>
      <w:numFmt w:val="lowerRoman"/>
      <w:lvlText w:val="%9."/>
      <w:lvlJc w:val="right"/>
      <w:pPr>
        <w:ind w:left="6358" w:hanging="180"/>
      </w:pPr>
    </w:lvl>
  </w:abstractNum>
  <w:abstractNum w:abstractNumId="5"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03432183">
    <w:abstractNumId w:val="1"/>
  </w:num>
  <w:num w:numId="2" w16cid:durableId="271476567">
    <w:abstractNumId w:val="6"/>
  </w:num>
  <w:num w:numId="3" w16cid:durableId="15702">
    <w:abstractNumId w:val="0"/>
  </w:num>
  <w:num w:numId="4" w16cid:durableId="1428189503">
    <w:abstractNumId w:val="2"/>
  </w:num>
  <w:num w:numId="5" w16cid:durableId="1390037731">
    <w:abstractNumId w:val="5"/>
  </w:num>
  <w:num w:numId="6" w16cid:durableId="1236941622">
    <w:abstractNumId w:val="4"/>
  </w:num>
  <w:num w:numId="7" w16cid:durableId="1671441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25"/>
    <w:rsid w:val="000044EF"/>
    <w:rsid w:val="0000754C"/>
    <w:rsid w:val="0001030D"/>
    <w:rsid w:val="000108AA"/>
    <w:rsid w:val="00010BCD"/>
    <w:rsid w:val="00015E1A"/>
    <w:rsid w:val="00017296"/>
    <w:rsid w:val="00021448"/>
    <w:rsid w:val="0002179B"/>
    <w:rsid w:val="00022D18"/>
    <w:rsid w:val="000233B4"/>
    <w:rsid w:val="000245DD"/>
    <w:rsid w:val="00027C84"/>
    <w:rsid w:val="000330D3"/>
    <w:rsid w:val="0003320B"/>
    <w:rsid w:val="00037FEF"/>
    <w:rsid w:val="0004052D"/>
    <w:rsid w:val="000450F8"/>
    <w:rsid w:val="00046840"/>
    <w:rsid w:val="00052AB7"/>
    <w:rsid w:val="00053D07"/>
    <w:rsid w:val="000557BF"/>
    <w:rsid w:val="00055950"/>
    <w:rsid w:val="00056C9E"/>
    <w:rsid w:val="0006130E"/>
    <w:rsid w:val="000652BB"/>
    <w:rsid w:val="00067809"/>
    <w:rsid w:val="00070651"/>
    <w:rsid w:val="0007066E"/>
    <w:rsid w:val="00072A95"/>
    <w:rsid w:val="00075316"/>
    <w:rsid w:val="00075658"/>
    <w:rsid w:val="000803FC"/>
    <w:rsid w:val="000837F6"/>
    <w:rsid w:val="00084666"/>
    <w:rsid w:val="00091045"/>
    <w:rsid w:val="00091399"/>
    <w:rsid w:val="00091D20"/>
    <w:rsid w:val="00092308"/>
    <w:rsid w:val="00095E5B"/>
    <w:rsid w:val="00097EA5"/>
    <w:rsid w:val="000A7536"/>
    <w:rsid w:val="000B30BE"/>
    <w:rsid w:val="000B3EFD"/>
    <w:rsid w:val="000B5607"/>
    <w:rsid w:val="000B6A26"/>
    <w:rsid w:val="000C4D0C"/>
    <w:rsid w:val="000C52E2"/>
    <w:rsid w:val="000D22E2"/>
    <w:rsid w:val="000D7AAA"/>
    <w:rsid w:val="000E06AB"/>
    <w:rsid w:val="000E425A"/>
    <w:rsid w:val="000F293C"/>
    <w:rsid w:val="000F2E9A"/>
    <w:rsid w:val="00100305"/>
    <w:rsid w:val="00100CC7"/>
    <w:rsid w:val="00114237"/>
    <w:rsid w:val="00116F71"/>
    <w:rsid w:val="00125BD8"/>
    <w:rsid w:val="00131CB2"/>
    <w:rsid w:val="0013238A"/>
    <w:rsid w:val="00134894"/>
    <w:rsid w:val="00134EB4"/>
    <w:rsid w:val="00135C31"/>
    <w:rsid w:val="00136121"/>
    <w:rsid w:val="001362F6"/>
    <w:rsid w:val="001367C1"/>
    <w:rsid w:val="00140225"/>
    <w:rsid w:val="001411D9"/>
    <w:rsid w:val="001424F9"/>
    <w:rsid w:val="00143B89"/>
    <w:rsid w:val="00154914"/>
    <w:rsid w:val="001555CC"/>
    <w:rsid w:val="00162550"/>
    <w:rsid w:val="001655AD"/>
    <w:rsid w:val="0016636C"/>
    <w:rsid w:val="00170523"/>
    <w:rsid w:val="00172337"/>
    <w:rsid w:val="0017426E"/>
    <w:rsid w:val="001757C4"/>
    <w:rsid w:val="00175F0D"/>
    <w:rsid w:val="00176593"/>
    <w:rsid w:val="00176628"/>
    <w:rsid w:val="0017769F"/>
    <w:rsid w:val="00177CAD"/>
    <w:rsid w:val="001817A3"/>
    <w:rsid w:val="00181C0D"/>
    <w:rsid w:val="0019004F"/>
    <w:rsid w:val="0019431C"/>
    <w:rsid w:val="001A2F67"/>
    <w:rsid w:val="001B1AE0"/>
    <w:rsid w:val="001B2413"/>
    <w:rsid w:val="001B3ADC"/>
    <w:rsid w:val="001B737F"/>
    <w:rsid w:val="001B7630"/>
    <w:rsid w:val="001C09A5"/>
    <w:rsid w:val="001D1AF2"/>
    <w:rsid w:val="001D1E29"/>
    <w:rsid w:val="001D1F70"/>
    <w:rsid w:val="001D3B9D"/>
    <w:rsid w:val="001D5FA1"/>
    <w:rsid w:val="001D6EE1"/>
    <w:rsid w:val="001D7C26"/>
    <w:rsid w:val="001E5EF9"/>
    <w:rsid w:val="001F2CE7"/>
    <w:rsid w:val="001F30F8"/>
    <w:rsid w:val="00201341"/>
    <w:rsid w:val="00210440"/>
    <w:rsid w:val="00210A8D"/>
    <w:rsid w:val="00210B86"/>
    <w:rsid w:val="0021195A"/>
    <w:rsid w:val="0021689A"/>
    <w:rsid w:val="00216E9D"/>
    <w:rsid w:val="00220300"/>
    <w:rsid w:val="0022297A"/>
    <w:rsid w:val="00223D0A"/>
    <w:rsid w:val="002245F1"/>
    <w:rsid w:val="00224E8B"/>
    <w:rsid w:val="002251C9"/>
    <w:rsid w:val="002255E1"/>
    <w:rsid w:val="00230346"/>
    <w:rsid w:val="00235899"/>
    <w:rsid w:val="00237046"/>
    <w:rsid w:val="00242CEE"/>
    <w:rsid w:val="00245F78"/>
    <w:rsid w:val="0024639C"/>
    <w:rsid w:val="00247018"/>
    <w:rsid w:val="00251757"/>
    <w:rsid w:val="0025221E"/>
    <w:rsid w:val="0025286E"/>
    <w:rsid w:val="0025563A"/>
    <w:rsid w:val="00255745"/>
    <w:rsid w:val="00255A24"/>
    <w:rsid w:val="00275CD7"/>
    <w:rsid w:val="0027743C"/>
    <w:rsid w:val="00280D5C"/>
    <w:rsid w:val="002821FC"/>
    <w:rsid w:val="0028319D"/>
    <w:rsid w:val="00286668"/>
    <w:rsid w:val="0029075F"/>
    <w:rsid w:val="002914AB"/>
    <w:rsid w:val="00293B75"/>
    <w:rsid w:val="00297E57"/>
    <w:rsid w:val="002A062A"/>
    <w:rsid w:val="002A100C"/>
    <w:rsid w:val="002A4C35"/>
    <w:rsid w:val="002B21BA"/>
    <w:rsid w:val="002B223C"/>
    <w:rsid w:val="002B5414"/>
    <w:rsid w:val="002B6683"/>
    <w:rsid w:val="002B6D9D"/>
    <w:rsid w:val="002C02FF"/>
    <w:rsid w:val="002C1395"/>
    <w:rsid w:val="002C77A2"/>
    <w:rsid w:val="002D28B4"/>
    <w:rsid w:val="002D2F4A"/>
    <w:rsid w:val="002D6A76"/>
    <w:rsid w:val="002D6D9D"/>
    <w:rsid w:val="002E0E39"/>
    <w:rsid w:val="002E319D"/>
    <w:rsid w:val="002E35D3"/>
    <w:rsid w:val="002E3EA1"/>
    <w:rsid w:val="002E603F"/>
    <w:rsid w:val="002E631B"/>
    <w:rsid w:val="002E695F"/>
    <w:rsid w:val="002F0AE2"/>
    <w:rsid w:val="002F4B67"/>
    <w:rsid w:val="002F5532"/>
    <w:rsid w:val="002F5692"/>
    <w:rsid w:val="002F5F30"/>
    <w:rsid w:val="003022BE"/>
    <w:rsid w:val="00302CA3"/>
    <w:rsid w:val="00302F42"/>
    <w:rsid w:val="00312932"/>
    <w:rsid w:val="003135B6"/>
    <w:rsid w:val="003135CF"/>
    <w:rsid w:val="00316713"/>
    <w:rsid w:val="00321DAF"/>
    <w:rsid w:val="00321EBB"/>
    <w:rsid w:val="00322793"/>
    <w:rsid w:val="0032303D"/>
    <w:rsid w:val="00324468"/>
    <w:rsid w:val="0032589E"/>
    <w:rsid w:val="00327327"/>
    <w:rsid w:val="003309AB"/>
    <w:rsid w:val="003328D7"/>
    <w:rsid w:val="00336263"/>
    <w:rsid w:val="00336C36"/>
    <w:rsid w:val="00337F1A"/>
    <w:rsid w:val="003434B6"/>
    <w:rsid w:val="00343DEB"/>
    <w:rsid w:val="00343E3A"/>
    <w:rsid w:val="00345F4E"/>
    <w:rsid w:val="003479A6"/>
    <w:rsid w:val="003526CD"/>
    <w:rsid w:val="00353550"/>
    <w:rsid w:val="003543F2"/>
    <w:rsid w:val="003574A4"/>
    <w:rsid w:val="00357F5B"/>
    <w:rsid w:val="00364544"/>
    <w:rsid w:val="00364C93"/>
    <w:rsid w:val="00371B20"/>
    <w:rsid w:val="00372228"/>
    <w:rsid w:val="00374982"/>
    <w:rsid w:val="00380A65"/>
    <w:rsid w:val="0038143E"/>
    <w:rsid w:val="00387D42"/>
    <w:rsid w:val="0039399F"/>
    <w:rsid w:val="00395C90"/>
    <w:rsid w:val="00397CBC"/>
    <w:rsid w:val="003A14A8"/>
    <w:rsid w:val="003A4746"/>
    <w:rsid w:val="003B174B"/>
    <w:rsid w:val="003B2E2B"/>
    <w:rsid w:val="003B4EED"/>
    <w:rsid w:val="003B521C"/>
    <w:rsid w:val="003C400E"/>
    <w:rsid w:val="003C51BC"/>
    <w:rsid w:val="003C52D3"/>
    <w:rsid w:val="003C55ED"/>
    <w:rsid w:val="003C6CBD"/>
    <w:rsid w:val="003D026C"/>
    <w:rsid w:val="003D4F0A"/>
    <w:rsid w:val="003D6C87"/>
    <w:rsid w:val="003E1FA8"/>
    <w:rsid w:val="003E23A0"/>
    <w:rsid w:val="003E422F"/>
    <w:rsid w:val="003E49E2"/>
    <w:rsid w:val="003E6F1B"/>
    <w:rsid w:val="003E7382"/>
    <w:rsid w:val="003F03AA"/>
    <w:rsid w:val="003F2A14"/>
    <w:rsid w:val="003F307A"/>
    <w:rsid w:val="003F3B69"/>
    <w:rsid w:val="003F42FB"/>
    <w:rsid w:val="00402D92"/>
    <w:rsid w:val="0040441D"/>
    <w:rsid w:val="0041301E"/>
    <w:rsid w:val="00414DA9"/>
    <w:rsid w:val="004177B7"/>
    <w:rsid w:val="004268D5"/>
    <w:rsid w:val="00430EA5"/>
    <w:rsid w:val="004332FC"/>
    <w:rsid w:val="00434FBA"/>
    <w:rsid w:val="0043796C"/>
    <w:rsid w:val="00437AC9"/>
    <w:rsid w:val="00440A4E"/>
    <w:rsid w:val="00440C5E"/>
    <w:rsid w:val="00442067"/>
    <w:rsid w:val="00444036"/>
    <w:rsid w:val="004507C9"/>
    <w:rsid w:val="00450BA6"/>
    <w:rsid w:val="004576D3"/>
    <w:rsid w:val="004623D5"/>
    <w:rsid w:val="0046479D"/>
    <w:rsid w:val="00464FD6"/>
    <w:rsid w:val="00466CFB"/>
    <w:rsid w:val="004702A5"/>
    <w:rsid w:val="004703D9"/>
    <w:rsid w:val="00473487"/>
    <w:rsid w:val="004829A1"/>
    <w:rsid w:val="0048367E"/>
    <w:rsid w:val="00486A0C"/>
    <w:rsid w:val="004874A6"/>
    <w:rsid w:val="00491C90"/>
    <w:rsid w:val="00491CE9"/>
    <w:rsid w:val="0049308C"/>
    <w:rsid w:val="00493E75"/>
    <w:rsid w:val="004A0708"/>
    <w:rsid w:val="004A1412"/>
    <w:rsid w:val="004A1AC5"/>
    <w:rsid w:val="004A7EC3"/>
    <w:rsid w:val="004B2B00"/>
    <w:rsid w:val="004B309A"/>
    <w:rsid w:val="004B3A61"/>
    <w:rsid w:val="004B3EEE"/>
    <w:rsid w:val="004C1429"/>
    <w:rsid w:val="004C61DF"/>
    <w:rsid w:val="004C6A96"/>
    <w:rsid w:val="004D3D4D"/>
    <w:rsid w:val="004D4630"/>
    <w:rsid w:val="004D55C5"/>
    <w:rsid w:val="004D5C1A"/>
    <w:rsid w:val="004E17B5"/>
    <w:rsid w:val="004E1BC5"/>
    <w:rsid w:val="004E3645"/>
    <w:rsid w:val="004E3D3D"/>
    <w:rsid w:val="004E457F"/>
    <w:rsid w:val="004E5941"/>
    <w:rsid w:val="004E6AC8"/>
    <w:rsid w:val="004E6CCE"/>
    <w:rsid w:val="004F5E6B"/>
    <w:rsid w:val="005061B6"/>
    <w:rsid w:val="005063C7"/>
    <w:rsid w:val="00511129"/>
    <w:rsid w:val="00512DA3"/>
    <w:rsid w:val="00515670"/>
    <w:rsid w:val="005175C9"/>
    <w:rsid w:val="00517D5B"/>
    <w:rsid w:val="00530285"/>
    <w:rsid w:val="0053091C"/>
    <w:rsid w:val="00534E2B"/>
    <w:rsid w:val="00537312"/>
    <w:rsid w:val="00543F70"/>
    <w:rsid w:val="00545BEE"/>
    <w:rsid w:val="005512C2"/>
    <w:rsid w:val="00555357"/>
    <w:rsid w:val="00557CC2"/>
    <w:rsid w:val="005617EB"/>
    <w:rsid w:val="005671C8"/>
    <w:rsid w:val="00570440"/>
    <w:rsid w:val="00571C1A"/>
    <w:rsid w:val="0057309D"/>
    <w:rsid w:val="00573EBE"/>
    <w:rsid w:val="005766FC"/>
    <w:rsid w:val="005807AB"/>
    <w:rsid w:val="00583466"/>
    <w:rsid w:val="005847EC"/>
    <w:rsid w:val="00587E2A"/>
    <w:rsid w:val="0059008F"/>
    <w:rsid w:val="005931A1"/>
    <w:rsid w:val="00593CF4"/>
    <w:rsid w:val="005946EC"/>
    <w:rsid w:val="00594F75"/>
    <w:rsid w:val="005958EA"/>
    <w:rsid w:val="00596505"/>
    <w:rsid w:val="0059676C"/>
    <w:rsid w:val="00597B0B"/>
    <w:rsid w:val="005A08E0"/>
    <w:rsid w:val="005B0CAF"/>
    <w:rsid w:val="005B3D06"/>
    <w:rsid w:val="005B575D"/>
    <w:rsid w:val="005B63F1"/>
    <w:rsid w:val="005B6E09"/>
    <w:rsid w:val="005C10E5"/>
    <w:rsid w:val="005C4A8E"/>
    <w:rsid w:val="005C581D"/>
    <w:rsid w:val="005D01C6"/>
    <w:rsid w:val="005D0ECD"/>
    <w:rsid w:val="005D15FC"/>
    <w:rsid w:val="005D4C33"/>
    <w:rsid w:val="005D509B"/>
    <w:rsid w:val="005E03DB"/>
    <w:rsid w:val="005E04AE"/>
    <w:rsid w:val="005E3C37"/>
    <w:rsid w:val="005F0D42"/>
    <w:rsid w:val="005F35D5"/>
    <w:rsid w:val="005F493D"/>
    <w:rsid w:val="005F5623"/>
    <w:rsid w:val="005F5C2F"/>
    <w:rsid w:val="00601177"/>
    <w:rsid w:val="00602162"/>
    <w:rsid w:val="00603D0E"/>
    <w:rsid w:val="006043BA"/>
    <w:rsid w:val="006057C7"/>
    <w:rsid w:val="0060746E"/>
    <w:rsid w:val="006108C2"/>
    <w:rsid w:val="006118B1"/>
    <w:rsid w:val="0061657A"/>
    <w:rsid w:val="00616FB9"/>
    <w:rsid w:val="00623CD2"/>
    <w:rsid w:val="00623D28"/>
    <w:rsid w:val="00624E8A"/>
    <w:rsid w:val="00627355"/>
    <w:rsid w:val="00630266"/>
    <w:rsid w:val="006309BD"/>
    <w:rsid w:val="00632F92"/>
    <w:rsid w:val="00642A5A"/>
    <w:rsid w:val="00647A29"/>
    <w:rsid w:val="006509DB"/>
    <w:rsid w:val="0065137E"/>
    <w:rsid w:val="00653966"/>
    <w:rsid w:val="00662B0E"/>
    <w:rsid w:val="00662F30"/>
    <w:rsid w:val="0066378A"/>
    <w:rsid w:val="0066454A"/>
    <w:rsid w:val="006766DC"/>
    <w:rsid w:val="0067755D"/>
    <w:rsid w:val="006839C5"/>
    <w:rsid w:val="00683F2A"/>
    <w:rsid w:val="0068659A"/>
    <w:rsid w:val="00691E3E"/>
    <w:rsid w:val="00695CD2"/>
    <w:rsid w:val="0069608B"/>
    <w:rsid w:val="006A1B98"/>
    <w:rsid w:val="006A21C7"/>
    <w:rsid w:val="006A2A67"/>
    <w:rsid w:val="006A3B04"/>
    <w:rsid w:val="006A53F0"/>
    <w:rsid w:val="006A6DC2"/>
    <w:rsid w:val="006B1631"/>
    <w:rsid w:val="006B6177"/>
    <w:rsid w:val="006E606B"/>
    <w:rsid w:val="006F0A80"/>
    <w:rsid w:val="006F0E0B"/>
    <w:rsid w:val="006F6364"/>
    <w:rsid w:val="006F6FDC"/>
    <w:rsid w:val="006F7A99"/>
    <w:rsid w:val="00700448"/>
    <w:rsid w:val="0070598B"/>
    <w:rsid w:val="00710C9B"/>
    <w:rsid w:val="007112C6"/>
    <w:rsid w:val="00711787"/>
    <w:rsid w:val="00713502"/>
    <w:rsid w:val="00713AAD"/>
    <w:rsid w:val="00714390"/>
    <w:rsid w:val="007162AF"/>
    <w:rsid w:val="0071684D"/>
    <w:rsid w:val="00720979"/>
    <w:rsid w:val="00721368"/>
    <w:rsid w:val="00722202"/>
    <w:rsid w:val="00722E17"/>
    <w:rsid w:val="007234AB"/>
    <w:rsid w:val="00723814"/>
    <w:rsid w:val="007244D5"/>
    <w:rsid w:val="00724B03"/>
    <w:rsid w:val="00727ECF"/>
    <w:rsid w:val="007303D5"/>
    <w:rsid w:val="00730B01"/>
    <w:rsid w:val="0073754D"/>
    <w:rsid w:val="00746161"/>
    <w:rsid w:val="00747E36"/>
    <w:rsid w:val="00751348"/>
    <w:rsid w:val="007529FB"/>
    <w:rsid w:val="007572E1"/>
    <w:rsid w:val="0076070A"/>
    <w:rsid w:val="00760BF6"/>
    <w:rsid w:val="0076189F"/>
    <w:rsid w:val="00767139"/>
    <w:rsid w:val="007700E3"/>
    <w:rsid w:val="00772606"/>
    <w:rsid w:val="00783398"/>
    <w:rsid w:val="00783FD1"/>
    <w:rsid w:val="00784F00"/>
    <w:rsid w:val="0078756F"/>
    <w:rsid w:val="00787D82"/>
    <w:rsid w:val="00790132"/>
    <w:rsid w:val="00795420"/>
    <w:rsid w:val="007960DC"/>
    <w:rsid w:val="007963E1"/>
    <w:rsid w:val="007972BE"/>
    <w:rsid w:val="007A1811"/>
    <w:rsid w:val="007A4096"/>
    <w:rsid w:val="007A40E8"/>
    <w:rsid w:val="007A5FA2"/>
    <w:rsid w:val="007A62D6"/>
    <w:rsid w:val="007B03B8"/>
    <w:rsid w:val="007B13EB"/>
    <w:rsid w:val="007B1B35"/>
    <w:rsid w:val="007B4C55"/>
    <w:rsid w:val="007B547E"/>
    <w:rsid w:val="007B5D58"/>
    <w:rsid w:val="007B6ABC"/>
    <w:rsid w:val="007C27DC"/>
    <w:rsid w:val="007C559E"/>
    <w:rsid w:val="007C5CF8"/>
    <w:rsid w:val="007D2C32"/>
    <w:rsid w:val="007D3209"/>
    <w:rsid w:val="007D3BF4"/>
    <w:rsid w:val="007D7D56"/>
    <w:rsid w:val="007E026E"/>
    <w:rsid w:val="007E1B83"/>
    <w:rsid w:val="007E304A"/>
    <w:rsid w:val="007E3766"/>
    <w:rsid w:val="007F1E65"/>
    <w:rsid w:val="00800FA6"/>
    <w:rsid w:val="0080407C"/>
    <w:rsid w:val="00813519"/>
    <w:rsid w:val="00814C4C"/>
    <w:rsid w:val="00815525"/>
    <w:rsid w:val="008165C2"/>
    <w:rsid w:val="00816AB3"/>
    <w:rsid w:val="008237BE"/>
    <w:rsid w:val="00826438"/>
    <w:rsid w:val="00827EF8"/>
    <w:rsid w:val="00834BBB"/>
    <w:rsid w:val="00836C97"/>
    <w:rsid w:val="00841741"/>
    <w:rsid w:val="00842571"/>
    <w:rsid w:val="00842B47"/>
    <w:rsid w:val="00844B7E"/>
    <w:rsid w:val="0085129A"/>
    <w:rsid w:val="00851E5B"/>
    <w:rsid w:val="00851F84"/>
    <w:rsid w:val="008543A1"/>
    <w:rsid w:val="00857CB2"/>
    <w:rsid w:val="008630E4"/>
    <w:rsid w:val="00864067"/>
    <w:rsid w:val="00873270"/>
    <w:rsid w:val="00877B8D"/>
    <w:rsid w:val="0088153C"/>
    <w:rsid w:val="00882367"/>
    <w:rsid w:val="00882A1A"/>
    <w:rsid w:val="00882E68"/>
    <w:rsid w:val="008833F7"/>
    <w:rsid w:val="0089168B"/>
    <w:rsid w:val="00892FF6"/>
    <w:rsid w:val="008930AA"/>
    <w:rsid w:val="008975F7"/>
    <w:rsid w:val="008A204C"/>
    <w:rsid w:val="008A5D52"/>
    <w:rsid w:val="008A6A6F"/>
    <w:rsid w:val="008A6E21"/>
    <w:rsid w:val="008B1B72"/>
    <w:rsid w:val="008B5BA7"/>
    <w:rsid w:val="008B5ECB"/>
    <w:rsid w:val="008B7953"/>
    <w:rsid w:val="008C4B2D"/>
    <w:rsid w:val="008C512C"/>
    <w:rsid w:val="008C5F41"/>
    <w:rsid w:val="008D1A01"/>
    <w:rsid w:val="008D1B32"/>
    <w:rsid w:val="008D1C67"/>
    <w:rsid w:val="008D4DF2"/>
    <w:rsid w:val="008D5BDA"/>
    <w:rsid w:val="008E3AEB"/>
    <w:rsid w:val="008E539A"/>
    <w:rsid w:val="008F1F75"/>
    <w:rsid w:val="008F4107"/>
    <w:rsid w:val="008F4A05"/>
    <w:rsid w:val="008F4A3D"/>
    <w:rsid w:val="008F4E22"/>
    <w:rsid w:val="0090627C"/>
    <w:rsid w:val="00910274"/>
    <w:rsid w:val="0091519E"/>
    <w:rsid w:val="00916065"/>
    <w:rsid w:val="00916921"/>
    <w:rsid w:val="009269C9"/>
    <w:rsid w:val="00927CB2"/>
    <w:rsid w:val="00933A44"/>
    <w:rsid w:val="00934B9D"/>
    <w:rsid w:val="00943880"/>
    <w:rsid w:val="00952124"/>
    <w:rsid w:val="0095478B"/>
    <w:rsid w:val="00956282"/>
    <w:rsid w:val="00957AC2"/>
    <w:rsid w:val="00960D54"/>
    <w:rsid w:val="009616EA"/>
    <w:rsid w:val="00962CB0"/>
    <w:rsid w:val="009658BE"/>
    <w:rsid w:val="00970F8E"/>
    <w:rsid w:val="00973597"/>
    <w:rsid w:val="00977664"/>
    <w:rsid w:val="00980C23"/>
    <w:rsid w:val="00990450"/>
    <w:rsid w:val="009913F0"/>
    <w:rsid w:val="009A09FB"/>
    <w:rsid w:val="009A2101"/>
    <w:rsid w:val="009A2D64"/>
    <w:rsid w:val="009A3BA6"/>
    <w:rsid w:val="009A7105"/>
    <w:rsid w:val="009B0694"/>
    <w:rsid w:val="009B0F51"/>
    <w:rsid w:val="009B136B"/>
    <w:rsid w:val="009B17B3"/>
    <w:rsid w:val="009B5D8F"/>
    <w:rsid w:val="009B6780"/>
    <w:rsid w:val="009B7C29"/>
    <w:rsid w:val="009C30FD"/>
    <w:rsid w:val="009D07A9"/>
    <w:rsid w:val="009D1E81"/>
    <w:rsid w:val="009D62FC"/>
    <w:rsid w:val="009D7147"/>
    <w:rsid w:val="009E0722"/>
    <w:rsid w:val="009E1687"/>
    <w:rsid w:val="009E38F7"/>
    <w:rsid w:val="009E6568"/>
    <w:rsid w:val="009F2169"/>
    <w:rsid w:val="009F7617"/>
    <w:rsid w:val="00A007A8"/>
    <w:rsid w:val="00A01715"/>
    <w:rsid w:val="00A02D43"/>
    <w:rsid w:val="00A03755"/>
    <w:rsid w:val="00A04A35"/>
    <w:rsid w:val="00A05672"/>
    <w:rsid w:val="00A06563"/>
    <w:rsid w:val="00A07635"/>
    <w:rsid w:val="00A10FC4"/>
    <w:rsid w:val="00A146AD"/>
    <w:rsid w:val="00A15AC7"/>
    <w:rsid w:val="00A17825"/>
    <w:rsid w:val="00A2293A"/>
    <w:rsid w:val="00A233FC"/>
    <w:rsid w:val="00A258FD"/>
    <w:rsid w:val="00A25B14"/>
    <w:rsid w:val="00A25D39"/>
    <w:rsid w:val="00A30DD5"/>
    <w:rsid w:val="00A34D16"/>
    <w:rsid w:val="00A4225B"/>
    <w:rsid w:val="00A42371"/>
    <w:rsid w:val="00A456F8"/>
    <w:rsid w:val="00A459BC"/>
    <w:rsid w:val="00A52379"/>
    <w:rsid w:val="00A535BA"/>
    <w:rsid w:val="00A60894"/>
    <w:rsid w:val="00A612D1"/>
    <w:rsid w:val="00A63942"/>
    <w:rsid w:val="00A649F8"/>
    <w:rsid w:val="00A64DBF"/>
    <w:rsid w:val="00A65DBC"/>
    <w:rsid w:val="00A71F8E"/>
    <w:rsid w:val="00A72566"/>
    <w:rsid w:val="00A730BD"/>
    <w:rsid w:val="00A74517"/>
    <w:rsid w:val="00A846E0"/>
    <w:rsid w:val="00A90A20"/>
    <w:rsid w:val="00A924FD"/>
    <w:rsid w:val="00A925C6"/>
    <w:rsid w:val="00A931D4"/>
    <w:rsid w:val="00A95E82"/>
    <w:rsid w:val="00A96505"/>
    <w:rsid w:val="00AA1FEE"/>
    <w:rsid w:val="00AA31F1"/>
    <w:rsid w:val="00AA412E"/>
    <w:rsid w:val="00AA5F35"/>
    <w:rsid w:val="00AA6B07"/>
    <w:rsid w:val="00AA791A"/>
    <w:rsid w:val="00AB07A7"/>
    <w:rsid w:val="00AB22EE"/>
    <w:rsid w:val="00AB6FC0"/>
    <w:rsid w:val="00AC0C65"/>
    <w:rsid w:val="00AC1D7C"/>
    <w:rsid w:val="00AC50A6"/>
    <w:rsid w:val="00AD1155"/>
    <w:rsid w:val="00AD31B1"/>
    <w:rsid w:val="00AD39A0"/>
    <w:rsid w:val="00AD68C6"/>
    <w:rsid w:val="00AE01E2"/>
    <w:rsid w:val="00AE10D5"/>
    <w:rsid w:val="00AE6E03"/>
    <w:rsid w:val="00AE79FC"/>
    <w:rsid w:val="00AF08CD"/>
    <w:rsid w:val="00AF22EB"/>
    <w:rsid w:val="00AF2564"/>
    <w:rsid w:val="00AF5D7F"/>
    <w:rsid w:val="00AF7B2E"/>
    <w:rsid w:val="00AF7D3F"/>
    <w:rsid w:val="00B00231"/>
    <w:rsid w:val="00B00E3C"/>
    <w:rsid w:val="00B0329B"/>
    <w:rsid w:val="00B07548"/>
    <w:rsid w:val="00B115A1"/>
    <w:rsid w:val="00B12936"/>
    <w:rsid w:val="00B12A6E"/>
    <w:rsid w:val="00B1316C"/>
    <w:rsid w:val="00B13A0D"/>
    <w:rsid w:val="00B20E18"/>
    <w:rsid w:val="00B2539C"/>
    <w:rsid w:val="00B25AA4"/>
    <w:rsid w:val="00B27CEA"/>
    <w:rsid w:val="00B311DF"/>
    <w:rsid w:val="00B3213C"/>
    <w:rsid w:val="00B32287"/>
    <w:rsid w:val="00B45309"/>
    <w:rsid w:val="00B50B6A"/>
    <w:rsid w:val="00B54FAE"/>
    <w:rsid w:val="00B57FF8"/>
    <w:rsid w:val="00B60A17"/>
    <w:rsid w:val="00B60F60"/>
    <w:rsid w:val="00B64C39"/>
    <w:rsid w:val="00B66139"/>
    <w:rsid w:val="00B67FBF"/>
    <w:rsid w:val="00B709DC"/>
    <w:rsid w:val="00B70A0C"/>
    <w:rsid w:val="00B70DA2"/>
    <w:rsid w:val="00B72EAD"/>
    <w:rsid w:val="00B7356C"/>
    <w:rsid w:val="00B740A1"/>
    <w:rsid w:val="00B74844"/>
    <w:rsid w:val="00B77452"/>
    <w:rsid w:val="00B81ADF"/>
    <w:rsid w:val="00B86F94"/>
    <w:rsid w:val="00B911A7"/>
    <w:rsid w:val="00B919AF"/>
    <w:rsid w:val="00B929DF"/>
    <w:rsid w:val="00BA614B"/>
    <w:rsid w:val="00BA6D4F"/>
    <w:rsid w:val="00BA7F0A"/>
    <w:rsid w:val="00BB0D8B"/>
    <w:rsid w:val="00BB4D75"/>
    <w:rsid w:val="00BB785A"/>
    <w:rsid w:val="00BC292B"/>
    <w:rsid w:val="00BC5637"/>
    <w:rsid w:val="00BC6A45"/>
    <w:rsid w:val="00BD182D"/>
    <w:rsid w:val="00BD4ACC"/>
    <w:rsid w:val="00BD7A47"/>
    <w:rsid w:val="00BE03EA"/>
    <w:rsid w:val="00BE04BD"/>
    <w:rsid w:val="00BE2AD5"/>
    <w:rsid w:val="00BE46CC"/>
    <w:rsid w:val="00BE52AC"/>
    <w:rsid w:val="00BE6791"/>
    <w:rsid w:val="00BF0AA2"/>
    <w:rsid w:val="00C00ABA"/>
    <w:rsid w:val="00C0136F"/>
    <w:rsid w:val="00C01B77"/>
    <w:rsid w:val="00C01F70"/>
    <w:rsid w:val="00C03D9B"/>
    <w:rsid w:val="00C03E43"/>
    <w:rsid w:val="00C12D1F"/>
    <w:rsid w:val="00C1467B"/>
    <w:rsid w:val="00C204DA"/>
    <w:rsid w:val="00C20D75"/>
    <w:rsid w:val="00C21E35"/>
    <w:rsid w:val="00C24074"/>
    <w:rsid w:val="00C25AD4"/>
    <w:rsid w:val="00C33F1E"/>
    <w:rsid w:val="00C360DA"/>
    <w:rsid w:val="00C40496"/>
    <w:rsid w:val="00C44ADD"/>
    <w:rsid w:val="00C47CFF"/>
    <w:rsid w:val="00C5565E"/>
    <w:rsid w:val="00C5754D"/>
    <w:rsid w:val="00C609E5"/>
    <w:rsid w:val="00C75988"/>
    <w:rsid w:val="00C77564"/>
    <w:rsid w:val="00C80AF1"/>
    <w:rsid w:val="00C817E1"/>
    <w:rsid w:val="00C84BCD"/>
    <w:rsid w:val="00C85F1A"/>
    <w:rsid w:val="00CA3697"/>
    <w:rsid w:val="00CA3C96"/>
    <w:rsid w:val="00CA6B07"/>
    <w:rsid w:val="00CB08DC"/>
    <w:rsid w:val="00CB4B2A"/>
    <w:rsid w:val="00CB6C4E"/>
    <w:rsid w:val="00CC31BF"/>
    <w:rsid w:val="00CD05D8"/>
    <w:rsid w:val="00CD0D49"/>
    <w:rsid w:val="00CD180B"/>
    <w:rsid w:val="00CD4695"/>
    <w:rsid w:val="00CD7847"/>
    <w:rsid w:val="00CE34E0"/>
    <w:rsid w:val="00CE5137"/>
    <w:rsid w:val="00CF27EE"/>
    <w:rsid w:val="00CF3884"/>
    <w:rsid w:val="00CF7205"/>
    <w:rsid w:val="00D01D25"/>
    <w:rsid w:val="00D03C20"/>
    <w:rsid w:val="00D045D0"/>
    <w:rsid w:val="00D05F67"/>
    <w:rsid w:val="00D06325"/>
    <w:rsid w:val="00D07139"/>
    <w:rsid w:val="00D1030B"/>
    <w:rsid w:val="00D11E93"/>
    <w:rsid w:val="00D14114"/>
    <w:rsid w:val="00D15419"/>
    <w:rsid w:val="00D16EC0"/>
    <w:rsid w:val="00D22E47"/>
    <w:rsid w:val="00D23312"/>
    <w:rsid w:val="00D30AC6"/>
    <w:rsid w:val="00D30AE4"/>
    <w:rsid w:val="00D30F1E"/>
    <w:rsid w:val="00D310E9"/>
    <w:rsid w:val="00D316F4"/>
    <w:rsid w:val="00D31B5F"/>
    <w:rsid w:val="00D31F3A"/>
    <w:rsid w:val="00D36136"/>
    <w:rsid w:val="00D41B69"/>
    <w:rsid w:val="00D45314"/>
    <w:rsid w:val="00D4748D"/>
    <w:rsid w:val="00D53D55"/>
    <w:rsid w:val="00D57B2E"/>
    <w:rsid w:val="00D609EA"/>
    <w:rsid w:val="00D60C79"/>
    <w:rsid w:val="00D64520"/>
    <w:rsid w:val="00D70816"/>
    <w:rsid w:val="00D712BA"/>
    <w:rsid w:val="00D719C6"/>
    <w:rsid w:val="00D767B8"/>
    <w:rsid w:val="00D77DDB"/>
    <w:rsid w:val="00D83208"/>
    <w:rsid w:val="00D84B0E"/>
    <w:rsid w:val="00D85166"/>
    <w:rsid w:val="00D8577B"/>
    <w:rsid w:val="00D85865"/>
    <w:rsid w:val="00D859ED"/>
    <w:rsid w:val="00D865FC"/>
    <w:rsid w:val="00D918A2"/>
    <w:rsid w:val="00D951BC"/>
    <w:rsid w:val="00D96489"/>
    <w:rsid w:val="00D97C05"/>
    <w:rsid w:val="00DA054F"/>
    <w:rsid w:val="00DA07BD"/>
    <w:rsid w:val="00DA1566"/>
    <w:rsid w:val="00DA260B"/>
    <w:rsid w:val="00DA2B91"/>
    <w:rsid w:val="00DA2E5D"/>
    <w:rsid w:val="00DA4454"/>
    <w:rsid w:val="00DB2C74"/>
    <w:rsid w:val="00DB2E1A"/>
    <w:rsid w:val="00DB668D"/>
    <w:rsid w:val="00DC0538"/>
    <w:rsid w:val="00DC0DC8"/>
    <w:rsid w:val="00DC1551"/>
    <w:rsid w:val="00DD00D8"/>
    <w:rsid w:val="00DD1774"/>
    <w:rsid w:val="00DD3171"/>
    <w:rsid w:val="00DD4C73"/>
    <w:rsid w:val="00DD7E20"/>
    <w:rsid w:val="00DE136B"/>
    <w:rsid w:val="00DE3672"/>
    <w:rsid w:val="00DE5B88"/>
    <w:rsid w:val="00DE7DDA"/>
    <w:rsid w:val="00DF2C4F"/>
    <w:rsid w:val="00DF6B4D"/>
    <w:rsid w:val="00DF743A"/>
    <w:rsid w:val="00E01FDD"/>
    <w:rsid w:val="00E035AA"/>
    <w:rsid w:val="00E07386"/>
    <w:rsid w:val="00E106D3"/>
    <w:rsid w:val="00E11287"/>
    <w:rsid w:val="00E1175B"/>
    <w:rsid w:val="00E126EB"/>
    <w:rsid w:val="00E14683"/>
    <w:rsid w:val="00E22687"/>
    <w:rsid w:val="00E22F7A"/>
    <w:rsid w:val="00E3472C"/>
    <w:rsid w:val="00E35420"/>
    <w:rsid w:val="00E35E89"/>
    <w:rsid w:val="00E5310C"/>
    <w:rsid w:val="00E53BD8"/>
    <w:rsid w:val="00E559CF"/>
    <w:rsid w:val="00E56600"/>
    <w:rsid w:val="00E60807"/>
    <w:rsid w:val="00E648E1"/>
    <w:rsid w:val="00E65091"/>
    <w:rsid w:val="00E6518D"/>
    <w:rsid w:val="00E71A26"/>
    <w:rsid w:val="00E73B9F"/>
    <w:rsid w:val="00E84010"/>
    <w:rsid w:val="00E85584"/>
    <w:rsid w:val="00E86181"/>
    <w:rsid w:val="00E86A2D"/>
    <w:rsid w:val="00E91785"/>
    <w:rsid w:val="00E92553"/>
    <w:rsid w:val="00E94E09"/>
    <w:rsid w:val="00E95001"/>
    <w:rsid w:val="00E979AA"/>
    <w:rsid w:val="00EA6D56"/>
    <w:rsid w:val="00EB0CEE"/>
    <w:rsid w:val="00EB793E"/>
    <w:rsid w:val="00EC2972"/>
    <w:rsid w:val="00EC32FE"/>
    <w:rsid w:val="00EC4C6F"/>
    <w:rsid w:val="00EC4C75"/>
    <w:rsid w:val="00EC7389"/>
    <w:rsid w:val="00EC7811"/>
    <w:rsid w:val="00ED042C"/>
    <w:rsid w:val="00ED1C71"/>
    <w:rsid w:val="00ED5A91"/>
    <w:rsid w:val="00ED7426"/>
    <w:rsid w:val="00EE20CC"/>
    <w:rsid w:val="00EE2B5D"/>
    <w:rsid w:val="00EE33F8"/>
    <w:rsid w:val="00EE3427"/>
    <w:rsid w:val="00EE5EDF"/>
    <w:rsid w:val="00EE72CD"/>
    <w:rsid w:val="00EF1F6E"/>
    <w:rsid w:val="00EF6E9F"/>
    <w:rsid w:val="00F00272"/>
    <w:rsid w:val="00F003AC"/>
    <w:rsid w:val="00F01C5F"/>
    <w:rsid w:val="00F02712"/>
    <w:rsid w:val="00F04C6A"/>
    <w:rsid w:val="00F05A72"/>
    <w:rsid w:val="00F0600F"/>
    <w:rsid w:val="00F07785"/>
    <w:rsid w:val="00F12308"/>
    <w:rsid w:val="00F16342"/>
    <w:rsid w:val="00F21157"/>
    <w:rsid w:val="00F22E96"/>
    <w:rsid w:val="00F27992"/>
    <w:rsid w:val="00F31A71"/>
    <w:rsid w:val="00F37EE9"/>
    <w:rsid w:val="00F428E0"/>
    <w:rsid w:val="00F444CE"/>
    <w:rsid w:val="00F45F99"/>
    <w:rsid w:val="00F47686"/>
    <w:rsid w:val="00F52EEC"/>
    <w:rsid w:val="00F56B70"/>
    <w:rsid w:val="00F57057"/>
    <w:rsid w:val="00F65198"/>
    <w:rsid w:val="00F66D54"/>
    <w:rsid w:val="00F674B6"/>
    <w:rsid w:val="00F73009"/>
    <w:rsid w:val="00F74C84"/>
    <w:rsid w:val="00F77293"/>
    <w:rsid w:val="00F77E47"/>
    <w:rsid w:val="00F85476"/>
    <w:rsid w:val="00F85B51"/>
    <w:rsid w:val="00F92948"/>
    <w:rsid w:val="00F92EEE"/>
    <w:rsid w:val="00F95277"/>
    <w:rsid w:val="00FA28B1"/>
    <w:rsid w:val="00FA78F7"/>
    <w:rsid w:val="00FB1859"/>
    <w:rsid w:val="00FB187A"/>
    <w:rsid w:val="00FB3732"/>
    <w:rsid w:val="00FB54EB"/>
    <w:rsid w:val="00FB59C9"/>
    <w:rsid w:val="00FB75EB"/>
    <w:rsid w:val="00FC1AB4"/>
    <w:rsid w:val="00FC2CCA"/>
    <w:rsid w:val="00FC675A"/>
    <w:rsid w:val="00FC6C0C"/>
    <w:rsid w:val="00FC7419"/>
    <w:rsid w:val="00FC75AE"/>
    <w:rsid w:val="00FC7634"/>
    <w:rsid w:val="00FD2A23"/>
    <w:rsid w:val="00FD4402"/>
    <w:rsid w:val="00FE2D81"/>
    <w:rsid w:val="00FE48DB"/>
    <w:rsid w:val="00FE7C12"/>
    <w:rsid w:val="00FF0281"/>
    <w:rsid w:val="00FF442F"/>
    <w:rsid w:val="00FF7B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5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51"/>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semiHidden/>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semiHidden/>
    <w:unhideWhenUsed/>
    <w:rsid w:val="00DA2E5D"/>
    <w:pPr>
      <w:numPr>
        <w:numId w:val="3"/>
      </w:numPr>
      <w:contextualSpacing/>
    </w:pPr>
  </w:style>
  <w:style w:type="character" w:customStyle="1" w:styleId="KommentartekstTegn">
    <w:name w:val="Kommentartekst Tegn"/>
    <w:basedOn w:val="Standardskrifttypeiafsnit"/>
    <w:link w:val="Kommentartekst"/>
    <w:uiPriority w:val="99"/>
    <w:rsid w:val="006108C2"/>
    <w:rPr>
      <w:rFonts w:ascii="Times New Roman" w:hAnsi="Times New Roman"/>
      <w:sz w:val="20"/>
      <w:szCs w:val="20"/>
    </w:rPr>
  </w:style>
  <w:style w:type="paragraph" w:styleId="Kommentartekst">
    <w:name w:val="annotation text"/>
    <w:basedOn w:val="Normal"/>
    <w:link w:val="KommentartekstTegn"/>
    <w:uiPriority w:val="99"/>
    <w:unhideWhenUsed/>
    <w:rsid w:val="006108C2"/>
    <w:pPr>
      <w:spacing w:line="240" w:lineRule="auto"/>
    </w:pPr>
    <w:rPr>
      <w:sz w:val="20"/>
      <w:szCs w:val="20"/>
    </w:rPr>
  </w:style>
  <w:style w:type="character" w:customStyle="1" w:styleId="KommentartekstTegn1">
    <w:name w:val="Kommentartekst Tegn1"/>
    <w:basedOn w:val="Standardskrifttypeiafsnit"/>
    <w:uiPriority w:val="99"/>
    <w:semiHidden/>
    <w:rsid w:val="006108C2"/>
    <w:rPr>
      <w:rFonts w:ascii="Times New Roman" w:hAnsi="Times New Roman"/>
      <w:sz w:val="20"/>
      <w:szCs w:val="20"/>
    </w:rPr>
  </w:style>
  <w:style w:type="character" w:styleId="Kommentarhenvisning">
    <w:name w:val="annotation reference"/>
    <w:basedOn w:val="Standardskrifttypeiafsnit"/>
    <w:uiPriority w:val="99"/>
    <w:semiHidden/>
    <w:unhideWhenUsed/>
    <w:rsid w:val="006108C2"/>
    <w:rPr>
      <w:sz w:val="16"/>
      <w:szCs w:val="16"/>
    </w:rPr>
  </w:style>
  <w:style w:type="paragraph" w:styleId="Fodnotetekst">
    <w:name w:val="footnote text"/>
    <w:basedOn w:val="Normal"/>
    <w:link w:val="FodnotetekstTegn"/>
    <w:uiPriority w:val="99"/>
    <w:semiHidden/>
    <w:unhideWhenUsed/>
    <w:rsid w:val="006108C2"/>
    <w:pPr>
      <w:spacing w:line="240" w:lineRule="auto"/>
    </w:pPr>
    <w:rPr>
      <w:sz w:val="20"/>
      <w:szCs w:val="20"/>
    </w:rPr>
  </w:style>
  <w:style w:type="character" w:customStyle="1" w:styleId="FodnotetekstTegn">
    <w:name w:val="Fodnotetekst Tegn"/>
    <w:basedOn w:val="Standardskrifttypeiafsnit"/>
    <w:link w:val="Fodnotetekst"/>
    <w:uiPriority w:val="99"/>
    <w:semiHidden/>
    <w:rsid w:val="006108C2"/>
    <w:rPr>
      <w:rFonts w:ascii="Times New Roman" w:hAnsi="Times New Roman"/>
      <w:sz w:val="20"/>
      <w:szCs w:val="20"/>
    </w:rPr>
  </w:style>
  <w:style w:type="character" w:styleId="Fodnotehenvisning">
    <w:name w:val="footnote reference"/>
    <w:basedOn w:val="Standardskrifttypeiafsnit"/>
    <w:uiPriority w:val="99"/>
    <w:semiHidden/>
    <w:unhideWhenUsed/>
    <w:rsid w:val="006108C2"/>
    <w:rPr>
      <w:vertAlign w:val="superscript"/>
    </w:rPr>
  </w:style>
  <w:style w:type="paragraph" w:styleId="Kommentaremne">
    <w:name w:val="annotation subject"/>
    <w:basedOn w:val="Kommentartekst"/>
    <w:next w:val="Kommentartekst"/>
    <w:link w:val="KommentaremneTegn"/>
    <w:uiPriority w:val="99"/>
    <w:semiHidden/>
    <w:unhideWhenUsed/>
    <w:rsid w:val="000044EF"/>
    <w:rPr>
      <w:b/>
      <w:bCs/>
    </w:rPr>
  </w:style>
  <w:style w:type="character" w:customStyle="1" w:styleId="KommentaremneTegn">
    <w:name w:val="Kommentaremne Tegn"/>
    <w:basedOn w:val="KommentartekstTegn"/>
    <w:link w:val="Kommentaremne"/>
    <w:uiPriority w:val="99"/>
    <w:semiHidden/>
    <w:rsid w:val="000044EF"/>
    <w:rPr>
      <w:rFonts w:ascii="Times New Roman" w:hAnsi="Times New Roman"/>
      <w:b/>
      <w:bCs/>
      <w:sz w:val="20"/>
      <w:szCs w:val="20"/>
    </w:rPr>
  </w:style>
  <w:style w:type="table" w:customStyle="1" w:styleId="TableNormal">
    <w:name w:val="Table Normal"/>
    <w:uiPriority w:val="59"/>
    <w:rsid w:val="00517D5B"/>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paragraph" w:styleId="Korrektur">
    <w:name w:val="Revision"/>
    <w:hidden/>
    <w:uiPriority w:val="99"/>
    <w:semiHidden/>
    <w:rsid w:val="004576D3"/>
    <w:pPr>
      <w:spacing w:after="0" w:line="240" w:lineRule="auto"/>
    </w:pPr>
    <w:rPr>
      <w:rFonts w:ascii="Times New Roman" w:hAnsi="Times New Roman"/>
      <w:sz w:val="26"/>
    </w:rPr>
  </w:style>
  <w:style w:type="character" w:customStyle="1" w:styleId="Ulstomtale1">
    <w:name w:val="Uløst omtale1"/>
    <w:basedOn w:val="Standardskrifttypeiafsnit"/>
    <w:uiPriority w:val="99"/>
    <w:semiHidden/>
    <w:unhideWhenUsed/>
    <w:rsid w:val="00B12A6E"/>
    <w:rPr>
      <w:color w:val="605E5C"/>
      <w:shd w:val="clear" w:color="auto" w:fill="E1DFDD"/>
    </w:rPr>
  </w:style>
  <w:style w:type="paragraph" w:styleId="Billedtekst">
    <w:name w:val="caption"/>
    <w:basedOn w:val="Normal"/>
    <w:next w:val="Normal"/>
    <w:uiPriority w:val="35"/>
    <w:unhideWhenUsed/>
    <w:qFormat/>
    <w:rsid w:val="0080407C"/>
    <w:pPr>
      <w:spacing w:after="200" w:line="240" w:lineRule="auto"/>
      <w:jc w:val="left"/>
    </w:pPr>
    <w:rPr>
      <w:rFonts w:asciiTheme="minorHAnsi" w:hAnsiTheme="minorHAnsi"/>
      <w:i/>
      <w:iCs/>
      <w:color w:val="1F497D" w:themeColor="text2"/>
      <w:sz w:val="18"/>
      <w:szCs w:val="18"/>
    </w:rPr>
  </w:style>
  <w:style w:type="paragraph" w:styleId="NormalWeb">
    <w:name w:val="Normal (Web)"/>
    <w:basedOn w:val="Normal"/>
    <w:uiPriority w:val="99"/>
    <w:semiHidden/>
    <w:unhideWhenUsed/>
    <w:rsid w:val="002B223C"/>
    <w:pPr>
      <w:spacing w:before="100" w:beforeAutospacing="1" w:after="100" w:afterAutospacing="1" w:line="240" w:lineRule="auto"/>
      <w:jc w:val="left"/>
    </w:pPr>
    <w:rPr>
      <w:rFonts w:eastAsia="Times New Roman" w:cs="Times New Roman"/>
      <w:sz w:val="24"/>
      <w:szCs w:val="24"/>
      <w:lang w:eastAsia="da-DK"/>
    </w:rPr>
  </w:style>
  <w:style w:type="paragraph" w:styleId="Listeafsnit">
    <w:name w:val="List Paragraph"/>
    <w:basedOn w:val="Normal"/>
    <w:uiPriority w:val="34"/>
    <w:rsid w:val="00F674B6"/>
    <w:pPr>
      <w:ind w:left="720"/>
      <w:contextualSpacing/>
    </w:pPr>
  </w:style>
  <w:style w:type="paragraph" w:customStyle="1" w:styleId="stk2">
    <w:name w:val="stk2"/>
    <w:basedOn w:val="Normal"/>
    <w:rsid w:val="00813519"/>
    <w:pPr>
      <w:spacing w:before="100" w:beforeAutospacing="1" w:after="100" w:afterAutospacing="1" w:line="240" w:lineRule="auto"/>
      <w:jc w:val="left"/>
    </w:pPr>
    <w:rPr>
      <w:rFonts w:eastAsia="Times New Roman" w:cs="Times New Roman"/>
      <w:sz w:val="24"/>
      <w:szCs w:val="24"/>
      <w:lang w:eastAsia="da-DK"/>
    </w:rPr>
  </w:style>
  <w:style w:type="character" w:customStyle="1" w:styleId="stknr">
    <w:name w:val="stknr"/>
    <w:basedOn w:val="Standardskrifttypeiafsnit"/>
    <w:rsid w:val="00813519"/>
  </w:style>
  <w:style w:type="paragraph" w:customStyle="1" w:styleId="centreretparagraf">
    <w:name w:val="centreretparagraf"/>
    <w:basedOn w:val="Normal"/>
    <w:rsid w:val="005807AB"/>
    <w:pPr>
      <w:spacing w:before="100" w:beforeAutospacing="1" w:after="100" w:afterAutospacing="1" w:line="240" w:lineRule="auto"/>
      <w:jc w:val="left"/>
    </w:pPr>
    <w:rPr>
      <w:rFonts w:eastAsia="Times New Roman" w:cs="Times New Roman"/>
      <w:sz w:val="24"/>
      <w:szCs w:val="24"/>
      <w:lang w:eastAsia="da-DK"/>
    </w:rPr>
  </w:style>
  <w:style w:type="character" w:customStyle="1" w:styleId="italic">
    <w:name w:val="italic"/>
    <w:basedOn w:val="Standardskrifttypeiafsnit"/>
    <w:rsid w:val="005807AB"/>
  </w:style>
  <w:style w:type="character" w:customStyle="1" w:styleId="paragrafnr">
    <w:name w:val="paragrafnr"/>
    <w:basedOn w:val="Standardskrifttypeiafsnit"/>
    <w:rsid w:val="0058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3791">
      <w:bodyDiv w:val="1"/>
      <w:marLeft w:val="0"/>
      <w:marRight w:val="0"/>
      <w:marTop w:val="0"/>
      <w:marBottom w:val="0"/>
      <w:divBdr>
        <w:top w:val="none" w:sz="0" w:space="0" w:color="auto"/>
        <w:left w:val="none" w:sz="0" w:space="0" w:color="auto"/>
        <w:bottom w:val="none" w:sz="0" w:space="0" w:color="auto"/>
        <w:right w:val="none" w:sz="0" w:space="0" w:color="auto"/>
      </w:divBdr>
    </w:div>
    <w:div w:id="120197665">
      <w:bodyDiv w:val="1"/>
      <w:marLeft w:val="0"/>
      <w:marRight w:val="0"/>
      <w:marTop w:val="0"/>
      <w:marBottom w:val="0"/>
      <w:divBdr>
        <w:top w:val="none" w:sz="0" w:space="0" w:color="auto"/>
        <w:left w:val="none" w:sz="0" w:space="0" w:color="auto"/>
        <w:bottom w:val="none" w:sz="0" w:space="0" w:color="auto"/>
        <w:right w:val="none" w:sz="0" w:space="0" w:color="auto"/>
      </w:divBdr>
    </w:div>
    <w:div w:id="429006652">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862211910">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030186861">
      <w:bodyDiv w:val="1"/>
      <w:marLeft w:val="0"/>
      <w:marRight w:val="0"/>
      <w:marTop w:val="0"/>
      <w:marBottom w:val="0"/>
      <w:divBdr>
        <w:top w:val="none" w:sz="0" w:space="0" w:color="auto"/>
        <w:left w:val="none" w:sz="0" w:space="0" w:color="auto"/>
        <w:bottom w:val="none" w:sz="0" w:space="0" w:color="auto"/>
        <w:right w:val="none" w:sz="0" w:space="0" w:color="auto"/>
      </w:divBdr>
    </w:div>
    <w:div w:id="1114786271">
      <w:bodyDiv w:val="1"/>
      <w:marLeft w:val="0"/>
      <w:marRight w:val="0"/>
      <w:marTop w:val="0"/>
      <w:marBottom w:val="0"/>
      <w:divBdr>
        <w:top w:val="none" w:sz="0" w:space="0" w:color="auto"/>
        <w:left w:val="none" w:sz="0" w:space="0" w:color="auto"/>
        <w:bottom w:val="none" w:sz="0" w:space="0" w:color="auto"/>
        <w:right w:val="none" w:sz="0" w:space="0" w:color="auto"/>
      </w:divBdr>
    </w:div>
    <w:div w:id="1235772448">
      <w:bodyDiv w:val="1"/>
      <w:marLeft w:val="0"/>
      <w:marRight w:val="0"/>
      <w:marTop w:val="0"/>
      <w:marBottom w:val="0"/>
      <w:divBdr>
        <w:top w:val="none" w:sz="0" w:space="0" w:color="auto"/>
        <w:left w:val="none" w:sz="0" w:space="0" w:color="auto"/>
        <w:bottom w:val="none" w:sz="0" w:space="0" w:color="auto"/>
        <w:right w:val="none" w:sz="0" w:space="0" w:color="auto"/>
      </w:divBdr>
    </w:div>
    <w:div w:id="1763840107">
      <w:bodyDiv w:val="1"/>
      <w:marLeft w:val="0"/>
      <w:marRight w:val="0"/>
      <w:marTop w:val="0"/>
      <w:marBottom w:val="0"/>
      <w:divBdr>
        <w:top w:val="none" w:sz="0" w:space="0" w:color="auto"/>
        <w:left w:val="none" w:sz="0" w:space="0" w:color="auto"/>
        <w:bottom w:val="none" w:sz="0" w:space="0" w:color="auto"/>
        <w:right w:val="none" w:sz="0" w:space="0" w:color="auto"/>
      </w:divBdr>
    </w:div>
    <w:div w:id="1830362663">
      <w:bodyDiv w:val="1"/>
      <w:marLeft w:val="0"/>
      <w:marRight w:val="0"/>
      <w:marTop w:val="0"/>
      <w:marBottom w:val="0"/>
      <w:divBdr>
        <w:top w:val="none" w:sz="0" w:space="0" w:color="auto"/>
        <w:left w:val="none" w:sz="0" w:space="0" w:color="auto"/>
        <w:bottom w:val="none" w:sz="0" w:space="0" w:color="auto"/>
        <w:right w:val="none" w:sz="0" w:space="0" w:color="auto"/>
      </w:divBdr>
    </w:div>
    <w:div w:id="1894734803">
      <w:bodyDiv w:val="1"/>
      <w:marLeft w:val="0"/>
      <w:marRight w:val="0"/>
      <w:marTop w:val="0"/>
      <w:marBottom w:val="0"/>
      <w:divBdr>
        <w:top w:val="none" w:sz="0" w:space="0" w:color="auto"/>
        <w:left w:val="none" w:sz="0" w:space="0" w:color="auto"/>
        <w:bottom w:val="none" w:sz="0" w:space="0" w:color="auto"/>
        <w:right w:val="none" w:sz="0" w:space="0" w:color="auto"/>
      </w:divBdr>
    </w:div>
    <w:div w:id="1943564659">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Root xmlns="Captia"/>
</file>

<file path=customXml/item3.xml><?xml version="1.0" encoding="utf-8"?>
<Root xmlns="Workzone">
  <data id="B9C8395A-22D1-4D7C-9486-93FBFBEAF2F3">
    <value/>
  </data>
  <data id="447B1C19-BC31-48A7-856E-A9F697E5C8B1">
    <value/>
  </data>
  <data id="4A247CA3-F186-4472-80F1-88BC39AA9062">
    <value/>
  </data>
  <data id="9733590E-B905-4B87-B8C7-4FE6DE8F80A3">
    <value>Ida Heene Bendtsen</value>
  </data>
  <data id="B480A2E6-4AA4-46BB-A3EB-50BB1BF32DCA">
    <value>Høiberg</value>
  </data>
</Root>
</file>

<file path=customXml/itemProps1.xml><?xml version="1.0" encoding="utf-8"?>
<ds:datastoreItem xmlns:ds="http://schemas.openxmlformats.org/officeDocument/2006/customXml" ds:itemID="{D147C565-4D9B-41A1-91F0-9D233F909108}">
  <ds:schemaRefs>
    <ds:schemaRef ds:uri="http://schemas.openxmlformats.org/officeDocument/2006/bibliography"/>
  </ds:schemaRefs>
</ds:datastoreItem>
</file>

<file path=customXml/itemProps2.xml><?xml version="1.0" encoding="utf-8"?>
<ds:datastoreItem xmlns:ds="http://schemas.openxmlformats.org/officeDocument/2006/customXml" ds:itemID="{86F09886-5726-446E-BD8F-49B2237A8A7E}">
  <ds:schemaRefs>
    <ds:schemaRef ds:uri="Captia"/>
  </ds:schemaRefs>
</ds:datastoreItem>
</file>

<file path=customXml/itemProps3.xml><?xml version="1.0" encoding="utf-8"?>
<ds:datastoreItem xmlns:ds="http://schemas.openxmlformats.org/officeDocument/2006/customXml" ds:itemID="{246174EA-52C8-4468-947B-5F342AEC6C9B}">
  <ds:schemaRefs>
    <ds:schemaRef ds:uri="Workzon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10213</Words>
  <Characters>62304</Characters>
  <Application>Microsoft Office Word</Application>
  <DocSecurity>0</DocSecurity>
  <Lines>519</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2025-10-10T10:41:00Z</dcterms:created>
  <dcterms:modified xsi:type="dcterms:W3CDTF">2025-10-10T10:41:00Z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