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12422" w14:textId="55649FF3" w:rsidR="00153413" w:rsidRPr="003E0221" w:rsidRDefault="00276DB3" w:rsidP="003E0221">
      <w:pPr>
        <w:pStyle w:val="Titel"/>
        <w:jc w:val="center"/>
      </w:pPr>
      <w:r w:rsidRPr="003E0221">
        <w:t xml:space="preserve">(UDKAST) </w:t>
      </w:r>
      <w:r w:rsidR="00942EF6" w:rsidRPr="003E0221">
        <w:t xml:space="preserve">Vejledning om lægemiddel- og </w:t>
      </w:r>
      <w:proofErr w:type="spellStart"/>
      <w:r w:rsidR="00942EF6" w:rsidRPr="003E0221">
        <w:t>medicovirksomheder</w:t>
      </w:r>
      <w:proofErr w:type="spellEnd"/>
      <w:r w:rsidR="00942EF6" w:rsidRPr="003E0221">
        <w:t xml:space="preserve"> og specialforretninger med me</w:t>
      </w:r>
      <w:bookmarkStart w:id="0" w:name="_GoBack"/>
      <w:bookmarkEnd w:id="0"/>
      <w:r w:rsidR="00942EF6" w:rsidRPr="003E0221">
        <w:t>dicinsk udstyr med tilknyttede sundhedspersoner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626438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74096A" w14:textId="77777777" w:rsidR="002E3233" w:rsidRPr="00BB2E8C" w:rsidRDefault="002E3233">
          <w:pPr>
            <w:pStyle w:val="Overskrift"/>
            <w:rPr>
              <w:color w:val="auto"/>
            </w:rPr>
          </w:pPr>
          <w:r w:rsidRPr="00BB2E8C">
            <w:rPr>
              <w:color w:val="auto"/>
            </w:rPr>
            <w:t>Indhold</w:t>
          </w:r>
        </w:p>
        <w:p w14:paraId="7A7957FA" w14:textId="77777777" w:rsidR="0083363C" w:rsidRDefault="002E323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513577" w:history="1">
            <w:r w:rsidR="0083363C" w:rsidRPr="004016A7">
              <w:rPr>
                <w:rStyle w:val="Hyperlink"/>
                <w:noProof/>
              </w:rPr>
              <w:t>1 Indledning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_Toc467513577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2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1C30FCE5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78" w:history="1">
            <w:r w:rsidR="0083363C" w:rsidRPr="004016A7">
              <w:rPr>
                <w:rStyle w:val="Hyperlink"/>
                <w:noProof/>
              </w:rPr>
              <w:t>2 Omfattede virksomheder og forretninger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_Toc467513578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2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1E62A666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79" w:history="1">
            <w:r w:rsidR="0083363C" w:rsidRPr="004016A7">
              <w:rPr>
                <w:rStyle w:val="Hyperlink"/>
                <w:noProof/>
              </w:rPr>
              <w:t>2.1 Lægemiddelvirksomheder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_Toc467513579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2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49965C4A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0" w:history="1">
            <w:r w:rsidR="0083363C" w:rsidRPr="004016A7">
              <w:rPr>
                <w:rStyle w:val="Hyperlink"/>
                <w:noProof/>
              </w:rPr>
              <w:t>2.2 Medicovirksomheder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_Toc467513580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2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285F566E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1" w:history="1">
            <w:r w:rsidR="0083363C" w:rsidRPr="004016A7">
              <w:rPr>
                <w:rStyle w:val="Hyperlink"/>
                <w:noProof/>
              </w:rPr>
              <w:t>2.3 Specialforretninger med medicinsk udstyr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_Toc467513581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3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6C8381BD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2" w:history="1">
            <w:r w:rsidR="0083363C" w:rsidRPr="004016A7">
              <w:rPr>
                <w:rStyle w:val="Hyperlink"/>
                <w:noProof/>
              </w:rPr>
              <w:t>3 Hvad skal virksomhederne og forretningerne indberette?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_Toc467513582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3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0C153051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3" w:history="1">
            <w:r w:rsidR="0083363C" w:rsidRPr="004016A7">
              <w:rPr>
                <w:rStyle w:val="Hyperlink"/>
                <w:noProof/>
              </w:rPr>
              <w:t>3.1 Persongruppe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_Toc467513583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3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23EB4242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4" w:history="1">
            <w:r w:rsidR="0083363C" w:rsidRPr="004016A7">
              <w:rPr>
                <w:rStyle w:val="Hyperlink"/>
                <w:noProof/>
              </w:rPr>
              <w:t>3.2 Typer af tilknytning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_Toc467513584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3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1359A59C" w14:textId="77777777" w:rsidR="0083363C" w:rsidRDefault="003E022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5" w:history="1">
            <w:r w:rsidR="0083363C" w:rsidRPr="004016A7">
              <w:rPr>
                <w:rStyle w:val="Hyperlink"/>
                <w:noProof/>
              </w:rPr>
              <w:t>3.2.1 Hvad er ikke en tilknytning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_Toc467513585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4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71331E05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6" w:history="1">
            <w:r w:rsidR="0083363C" w:rsidRPr="004016A7">
              <w:rPr>
                <w:rStyle w:val="Hyperlink"/>
                <w:noProof/>
              </w:rPr>
              <w:t>4 Informationspligten for virksomheder og forretninger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_Toc467513586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5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5113A98A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7" w:history="1">
            <w:r w:rsidR="0083363C" w:rsidRPr="004016A7">
              <w:rPr>
                <w:rStyle w:val="Hyperlink"/>
                <w:noProof/>
              </w:rPr>
              <w:t>5 Indberetningspligten for virksomheder og forretninger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_Toc467513587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5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7A5BF98E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8" w:history="1">
            <w:r w:rsidR="0083363C" w:rsidRPr="004016A7">
              <w:rPr>
                <w:rStyle w:val="Hyperlink"/>
                <w:noProof/>
              </w:rPr>
              <w:t>5.1 Tidspunkt for indberetning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_Toc467513588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5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3581C867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89" w:history="1">
            <w:r w:rsidR="0083363C" w:rsidRPr="004016A7">
              <w:rPr>
                <w:rStyle w:val="Hyperlink"/>
                <w:noProof/>
              </w:rPr>
              <w:t>5.2 Sådan indberetter virksomheder og forretninger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_Toc467513589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6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4EF1EF29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0" w:history="1">
            <w:r w:rsidR="0083363C" w:rsidRPr="004016A7">
              <w:rPr>
                <w:rStyle w:val="Hyperlink"/>
                <w:noProof/>
              </w:rPr>
              <w:t>5.3 Sundhedspersoner skal informeres om indberetningen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_Toc467513590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6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3270C645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1" w:history="1">
            <w:r w:rsidR="0083363C" w:rsidRPr="004016A7">
              <w:rPr>
                <w:rStyle w:val="Hyperlink"/>
                <w:noProof/>
              </w:rPr>
              <w:t>5.4 Hvis virksomheden eller forretningen opdager fejl i sin indberetning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_Toc467513591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6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2B731EC2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2" w:history="1">
            <w:r w:rsidR="0083363C" w:rsidRPr="004016A7">
              <w:rPr>
                <w:rStyle w:val="Hyperlink"/>
                <w:noProof/>
              </w:rPr>
              <w:t>5.5 Lægemiddelstyrelsens anvendelse af indberetningen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_Toc467513592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6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7A6FBC35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3" w:history="1">
            <w:r w:rsidR="0083363C" w:rsidRPr="004016A7">
              <w:rPr>
                <w:rStyle w:val="Hyperlink"/>
                <w:noProof/>
              </w:rPr>
              <w:t>6 Reglerne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_Toc467513593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7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2B944540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4" w:history="1">
            <w:r w:rsidR="0083363C" w:rsidRPr="004016A7">
              <w:rPr>
                <w:rStyle w:val="Hyperlink"/>
                <w:noProof/>
              </w:rPr>
              <w:t>6.1 Informationspligten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_Toc467513594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7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723175CC" w14:textId="77777777" w:rsidR="0083363C" w:rsidRDefault="003E022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5" w:history="1">
            <w:r w:rsidR="0083363C" w:rsidRPr="004016A7">
              <w:rPr>
                <w:rStyle w:val="Hyperlink"/>
                <w:noProof/>
              </w:rPr>
              <w:t>6.2 Indberetningspligten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_Toc467513595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7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6E81133C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6" w:history="1">
            <w:r w:rsidR="0083363C" w:rsidRPr="004016A7">
              <w:rPr>
                <w:rStyle w:val="Hyperlink"/>
                <w:noProof/>
              </w:rPr>
              <w:t>7 Hvad sker der ved manglende indberetning til Lægemiddelstyrelsen eller information til sundhedspersoner?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_Toc467513596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7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68CBD603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7" w:history="1">
            <w:r w:rsidR="0083363C" w:rsidRPr="004016A7">
              <w:rPr>
                <w:rStyle w:val="Hyperlink"/>
                <w:noProof/>
              </w:rPr>
              <w:t>8 Spørgsmål og klager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_Toc467513597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8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6EDE1C9C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8" w:history="1">
            <w:r w:rsidR="0083363C" w:rsidRPr="004016A7">
              <w:rPr>
                <w:rStyle w:val="Hyperlink"/>
                <w:noProof/>
              </w:rPr>
              <w:t>9 Overgangsbestemmelser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_Toc467513598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8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59FC7F9C" w14:textId="77777777" w:rsidR="0083363C" w:rsidRDefault="003E022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67513599" w:history="1">
            <w:r w:rsidR="0083363C" w:rsidRPr="004016A7">
              <w:rPr>
                <w:rStyle w:val="Hyperlink"/>
                <w:noProof/>
              </w:rPr>
              <w:t>10 Ikrafttrædelse og tidligere vejledning</w:t>
            </w:r>
            <w:r w:rsidR="0083363C">
              <w:rPr>
                <w:noProof/>
                <w:webHidden/>
              </w:rPr>
              <w:tab/>
            </w:r>
            <w:r w:rsidR="0083363C">
              <w:rPr>
                <w:noProof/>
                <w:webHidden/>
              </w:rPr>
              <w:fldChar w:fldCharType="begin"/>
            </w:r>
            <w:r w:rsidR="0083363C">
              <w:rPr>
                <w:noProof/>
                <w:webHidden/>
              </w:rPr>
              <w:instrText xml:space="preserve"> PAGEREF _Toc467513599 \h </w:instrText>
            </w:r>
            <w:r w:rsidR="0083363C">
              <w:rPr>
                <w:noProof/>
                <w:webHidden/>
              </w:rPr>
            </w:r>
            <w:r w:rsidR="0083363C">
              <w:rPr>
                <w:noProof/>
                <w:webHidden/>
              </w:rPr>
              <w:fldChar w:fldCharType="separate"/>
            </w:r>
            <w:r w:rsidR="0083363C">
              <w:rPr>
                <w:noProof/>
                <w:webHidden/>
              </w:rPr>
              <w:t>8</w:t>
            </w:r>
            <w:r w:rsidR="0083363C">
              <w:rPr>
                <w:noProof/>
                <w:webHidden/>
              </w:rPr>
              <w:fldChar w:fldCharType="end"/>
            </w:r>
          </w:hyperlink>
        </w:p>
        <w:p w14:paraId="6D342C2F" w14:textId="46B87616" w:rsidR="00C56C55" w:rsidRDefault="002E3233" w:rsidP="00153413">
          <w:r>
            <w:rPr>
              <w:b/>
              <w:bCs/>
            </w:rPr>
            <w:fldChar w:fldCharType="end"/>
          </w:r>
        </w:p>
      </w:sdtContent>
    </w:sdt>
    <w:p w14:paraId="059005B5" w14:textId="77777777" w:rsidR="00153413" w:rsidRPr="00EE497D" w:rsidRDefault="001E0D0E" w:rsidP="00153413">
      <w:pPr>
        <w:pStyle w:val="Overskrift1"/>
        <w:rPr>
          <w:color w:val="auto"/>
        </w:rPr>
      </w:pPr>
      <w:bookmarkStart w:id="1" w:name="_Toc467513577"/>
      <w:r w:rsidRPr="00EE497D">
        <w:rPr>
          <w:color w:val="auto"/>
        </w:rPr>
        <w:lastRenderedPageBreak/>
        <w:t xml:space="preserve">1 </w:t>
      </w:r>
      <w:r w:rsidR="00153413" w:rsidRPr="00EE497D">
        <w:rPr>
          <w:color w:val="auto"/>
        </w:rPr>
        <w:t>Indledning</w:t>
      </w:r>
      <w:bookmarkEnd w:id="1"/>
    </w:p>
    <w:p w14:paraId="0137A356" w14:textId="77777777" w:rsidR="000A430D" w:rsidRDefault="00153413" w:rsidP="00153413">
      <w:r>
        <w:t xml:space="preserve">Denne </w:t>
      </w:r>
      <w:r w:rsidR="000A430D">
        <w:t>vejledning vedrører:</w:t>
      </w:r>
    </w:p>
    <w:p w14:paraId="4E81BEA8" w14:textId="77777777" w:rsidR="000A430D" w:rsidRDefault="000A430D" w:rsidP="000A430D">
      <w:pPr>
        <w:pStyle w:val="Listeafsnit"/>
        <w:numPr>
          <w:ilvl w:val="0"/>
          <w:numId w:val="1"/>
        </w:numPr>
      </w:pPr>
      <w:proofErr w:type="gramStart"/>
      <w:r>
        <w:t>lægemiddelvirksomheder</w:t>
      </w:r>
      <w:proofErr w:type="gramEnd"/>
      <w:r>
        <w:t xml:space="preserve"> med apotekere</w:t>
      </w:r>
      <w:r w:rsidR="00942EF6">
        <w:t>, læger og tandlæger tilknyttet</w:t>
      </w:r>
      <w:r>
        <w:t>.</w:t>
      </w:r>
    </w:p>
    <w:p w14:paraId="627C1782" w14:textId="77777777" w:rsidR="000A430D" w:rsidRDefault="00153413" w:rsidP="000A430D">
      <w:pPr>
        <w:pStyle w:val="Listeafsnit"/>
        <w:numPr>
          <w:ilvl w:val="0"/>
          <w:numId w:val="1"/>
        </w:numPr>
      </w:pPr>
      <w:proofErr w:type="spellStart"/>
      <w:proofErr w:type="gramStart"/>
      <w:r>
        <w:t>medicovirksomheder</w:t>
      </w:r>
      <w:proofErr w:type="spellEnd"/>
      <w:proofErr w:type="gramEnd"/>
      <w:r>
        <w:t xml:space="preserve"> </w:t>
      </w:r>
      <w:r w:rsidR="000A430D">
        <w:t>med apotekere, læger, sygeplejersker og tandlæger</w:t>
      </w:r>
      <w:r w:rsidR="00942EF6">
        <w:t xml:space="preserve"> tilknyttet</w:t>
      </w:r>
      <w:r w:rsidR="000A430D">
        <w:t xml:space="preserve">. </w:t>
      </w:r>
    </w:p>
    <w:p w14:paraId="4D9ED1C8" w14:textId="77777777" w:rsidR="00153413" w:rsidRDefault="00153413" w:rsidP="000A430D">
      <w:pPr>
        <w:pStyle w:val="Listeafsnit"/>
        <w:numPr>
          <w:ilvl w:val="0"/>
          <w:numId w:val="1"/>
        </w:numPr>
      </w:pPr>
      <w:proofErr w:type="gramStart"/>
      <w:r>
        <w:t>specialforretninger</w:t>
      </w:r>
      <w:proofErr w:type="gramEnd"/>
      <w:r>
        <w:t xml:space="preserve"> med medicinsk </w:t>
      </w:r>
      <w:r w:rsidR="000A430D">
        <w:t>udstyr med l</w:t>
      </w:r>
      <w:r w:rsidR="00B74871">
        <w:t>æ</w:t>
      </w:r>
      <w:r w:rsidR="000A430D">
        <w:t xml:space="preserve">ger </w:t>
      </w:r>
      <w:r w:rsidR="00942EF6">
        <w:t>til</w:t>
      </w:r>
      <w:r w:rsidR="006056D2">
        <w:t>knyttet</w:t>
      </w:r>
      <w:r w:rsidR="006D7AA8">
        <w:t xml:space="preserve">. </w:t>
      </w:r>
    </w:p>
    <w:p w14:paraId="60E2D3A6" w14:textId="37EBDF72" w:rsidR="00835936" w:rsidRDefault="002E3233" w:rsidP="009830ED">
      <w:pPr>
        <w:pStyle w:val="Normal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Lægemiddel- og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medicovirksomheder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og specialforretninger med medicinsk udstyr har pligt t</w:t>
      </w:r>
      <w:r w:rsidR="009830ED" w:rsidRPr="009830ED">
        <w:rPr>
          <w:rFonts w:asciiTheme="minorHAnsi" w:eastAsiaTheme="minorHAnsi" w:hAnsiTheme="minorHAnsi" w:cstheme="minorBidi"/>
          <w:lang w:eastAsia="en-US"/>
        </w:rPr>
        <w:t>il at indberette oplysninger om</w:t>
      </w:r>
      <w:r w:rsidR="009830ED">
        <w:rPr>
          <w:rFonts w:asciiTheme="minorHAnsi" w:eastAsiaTheme="minorHAnsi" w:hAnsiTheme="minorHAnsi" w:cstheme="minorBidi"/>
          <w:lang w:eastAsia="en-US"/>
        </w:rPr>
        <w:t xml:space="preserve"> de nævnte sundhedspersoner</w:t>
      </w:r>
      <w:r w:rsidR="009830ED" w:rsidRPr="009830ED">
        <w:rPr>
          <w:rFonts w:asciiTheme="minorHAnsi" w:eastAsiaTheme="minorHAnsi" w:hAnsiTheme="minorHAnsi" w:cstheme="minorBidi"/>
          <w:lang w:eastAsia="en-US"/>
        </w:rPr>
        <w:t>, der er tilknyttet virksomhederne</w:t>
      </w:r>
      <w:r w:rsidR="008433A8">
        <w:rPr>
          <w:rFonts w:asciiTheme="minorHAnsi" w:eastAsiaTheme="minorHAnsi" w:hAnsiTheme="minorHAnsi" w:cstheme="minorBidi"/>
          <w:lang w:eastAsia="en-US"/>
        </w:rPr>
        <w:t>,</w:t>
      </w:r>
      <w:r w:rsidR="00122BCA" w:rsidRPr="00122BCA">
        <w:rPr>
          <w:rFonts w:asciiTheme="minorHAnsi" w:eastAsiaTheme="minorHAnsi" w:hAnsiTheme="minorHAnsi" w:cstheme="minorBidi"/>
          <w:lang w:eastAsia="en-US"/>
        </w:rPr>
        <w:t xml:space="preserve"> </w:t>
      </w:r>
      <w:r w:rsidR="00122BCA" w:rsidRPr="009830ED">
        <w:rPr>
          <w:rFonts w:asciiTheme="minorHAnsi" w:eastAsiaTheme="minorHAnsi" w:hAnsiTheme="minorHAnsi" w:cstheme="minorBidi"/>
          <w:lang w:eastAsia="en-US"/>
        </w:rPr>
        <w:t>til</w:t>
      </w:r>
      <w:r w:rsidR="00122BCA">
        <w:rPr>
          <w:rFonts w:asciiTheme="minorHAnsi" w:eastAsiaTheme="minorHAnsi" w:hAnsiTheme="minorHAnsi" w:cstheme="minorBidi"/>
          <w:lang w:eastAsia="en-US"/>
        </w:rPr>
        <w:t xml:space="preserve"> </w:t>
      </w:r>
      <w:r w:rsidR="000721F4">
        <w:rPr>
          <w:rFonts w:asciiTheme="minorHAnsi" w:eastAsiaTheme="minorHAnsi" w:hAnsiTheme="minorHAnsi" w:cstheme="minorBidi"/>
          <w:lang w:eastAsia="en-US"/>
        </w:rPr>
        <w:t>Lægemiddelstyrelsen</w:t>
      </w:r>
      <w:r w:rsidR="009830ED" w:rsidRPr="009830ED">
        <w:rPr>
          <w:rFonts w:asciiTheme="minorHAnsi" w:eastAsiaTheme="minorHAnsi" w:hAnsiTheme="minorHAnsi" w:cstheme="minorBidi"/>
          <w:lang w:eastAsia="en-US"/>
        </w:rPr>
        <w:t xml:space="preserve">. </w:t>
      </w:r>
      <w:r w:rsidR="00835936" w:rsidRPr="00337D58">
        <w:rPr>
          <w:rFonts w:asciiTheme="minorHAnsi" w:eastAsiaTheme="minorHAnsi" w:hAnsiTheme="minorHAnsi" w:cstheme="minorBidi"/>
          <w:lang w:eastAsia="en-US"/>
        </w:rPr>
        <w:t xml:space="preserve">Indberetning skal foretages digitalt via en formular på </w:t>
      </w:r>
      <w:r w:rsidR="00A654DB">
        <w:rPr>
          <w:rFonts w:asciiTheme="minorHAnsi" w:eastAsiaTheme="minorHAnsi" w:hAnsiTheme="minorHAnsi" w:cstheme="minorBidi"/>
          <w:lang w:eastAsia="en-US"/>
        </w:rPr>
        <w:t>Lægemiddelstyrelsens</w:t>
      </w:r>
      <w:r w:rsidR="00835936" w:rsidRPr="00337D58">
        <w:rPr>
          <w:rFonts w:asciiTheme="minorHAnsi" w:eastAsiaTheme="minorHAnsi" w:hAnsiTheme="minorHAnsi" w:cstheme="minorBidi"/>
          <w:lang w:eastAsia="en-US"/>
        </w:rPr>
        <w:t xml:space="preserve"> hjemmeside en gang om året</w:t>
      </w:r>
      <w:r w:rsidR="00B657B1">
        <w:rPr>
          <w:rFonts w:asciiTheme="minorHAnsi" w:eastAsiaTheme="minorHAnsi" w:hAnsiTheme="minorHAnsi" w:cstheme="minorBidi"/>
          <w:lang w:eastAsia="en-US"/>
        </w:rPr>
        <w:t xml:space="preserve"> (senest den 31. januar)</w:t>
      </w:r>
      <w:r w:rsidR="00835936" w:rsidRPr="00337D58">
        <w:rPr>
          <w:rFonts w:asciiTheme="minorHAnsi" w:eastAsiaTheme="minorHAnsi" w:hAnsiTheme="minorHAnsi" w:cstheme="minorBidi"/>
          <w:lang w:eastAsia="en-US"/>
        </w:rPr>
        <w:t>.</w:t>
      </w:r>
    </w:p>
    <w:p w14:paraId="78DE7A04" w14:textId="77777777" w:rsidR="004C6FB5" w:rsidRDefault="006C3BE7" w:rsidP="009830ED">
      <w:pPr>
        <w:pStyle w:val="Normal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Vejledningen omhandler </w:t>
      </w:r>
      <w:r w:rsidR="009830ED">
        <w:rPr>
          <w:rFonts w:asciiTheme="minorHAnsi" w:eastAsiaTheme="minorHAnsi" w:hAnsiTheme="minorHAnsi" w:cstheme="minorBidi"/>
          <w:lang w:eastAsia="en-US"/>
        </w:rPr>
        <w:t xml:space="preserve">den informationspligt, som virksomhederne har til at oplyse de sundhedspersoner, som virksomheden indgår aftaler med, om sundhedslovens regler vedrørende tilknytning. </w:t>
      </w:r>
    </w:p>
    <w:p w14:paraId="09FBEF2E" w14:textId="1403F047" w:rsidR="00C56C55" w:rsidRDefault="009830ED" w:rsidP="009830ED">
      <w:pPr>
        <w:pStyle w:val="Normal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9830ED">
        <w:rPr>
          <w:rFonts w:asciiTheme="minorHAnsi" w:eastAsiaTheme="minorHAnsi" w:hAnsiTheme="minorHAnsi" w:cstheme="minorBidi"/>
          <w:lang w:eastAsia="en-US"/>
        </w:rPr>
        <w:t xml:space="preserve">Reglerne om </w:t>
      </w:r>
      <w:r>
        <w:rPr>
          <w:rFonts w:asciiTheme="minorHAnsi" w:eastAsiaTheme="minorHAnsi" w:hAnsiTheme="minorHAnsi" w:cstheme="minorBidi"/>
          <w:lang w:eastAsia="en-US"/>
        </w:rPr>
        <w:t xml:space="preserve">virksomhedernes pligter </w:t>
      </w:r>
      <w:r w:rsidRPr="009830ED">
        <w:rPr>
          <w:rFonts w:asciiTheme="minorHAnsi" w:eastAsiaTheme="minorHAnsi" w:hAnsiTheme="minorHAnsi" w:cstheme="minorBidi"/>
          <w:lang w:eastAsia="en-US"/>
        </w:rPr>
        <w:t xml:space="preserve">fremgår af bekendtgørelse </w:t>
      </w:r>
      <w:r w:rsidR="006E6202" w:rsidRPr="006E6202">
        <w:rPr>
          <w:rFonts w:asciiTheme="minorHAnsi" w:eastAsiaTheme="minorHAnsi" w:hAnsiTheme="minorHAnsi" w:cstheme="minorBidi"/>
          <w:lang w:eastAsia="en-US"/>
        </w:rPr>
        <w:t xml:space="preserve">nr. XX af XX </w:t>
      </w:r>
      <w:proofErr w:type="spellStart"/>
      <w:r w:rsidR="006E6202" w:rsidRPr="006E6202">
        <w:rPr>
          <w:rFonts w:asciiTheme="minorHAnsi" w:eastAsiaTheme="minorHAnsi" w:hAnsiTheme="minorHAnsi" w:cstheme="minorBidi"/>
          <w:lang w:eastAsia="en-US"/>
        </w:rPr>
        <w:t>XX</w:t>
      </w:r>
      <w:proofErr w:type="spellEnd"/>
      <w:r w:rsidR="006E6202" w:rsidRPr="006E6202">
        <w:rPr>
          <w:rFonts w:asciiTheme="minorHAnsi" w:eastAsiaTheme="minorHAnsi" w:hAnsiTheme="minorHAnsi" w:cstheme="minorBidi"/>
          <w:lang w:eastAsia="en-US"/>
        </w:rPr>
        <w:t xml:space="preserve"> XXXX </w:t>
      </w:r>
      <w:r w:rsidR="002D7717">
        <w:rPr>
          <w:rFonts w:asciiTheme="minorHAnsi" w:eastAsiaTheme="minorHAnsi" w:hAnsiTheme="minorHAnsi" w:cstheme="minorBidi"/>
          <w:lang w:eastAsia="en-US"/>
        </w:rPr>
        <w:t xml:space="preserve">om sundhedspersoners tilknytning til lægemiddel- og </w:t>
      </w:r>
      <w:proofErr w:type="spellStart"/>
      <w:r w:rsidR="002D7717">
        <w:rPr>
          <w:rFonts w:asciiTheme="minorHAnsi" w:eastAsiaTheme="minorHAnsi" w:hAnsiTheme="minorHAnsi" w:cstheme="minorBidi"/>
          <w:lang w:eastAsia="en-US"/>
        </w:rPr>
        <w:t>medicovirksomheder</w:t>
      </w:r>
      <w:proofErr w:type="spellEnd"/>
      <w:r w:rsidR="002D7717">
        <w:rPr>
          <w:rFonts w:asciiTheme="minorHAnsi" w:eastAsiaTheme="minorHAnsi" w:hAnsiTheme="minorHAnsi" w:cstheme="minorBidi"/>
          <w:lang w:eastAsia="en-US"/>
        </w:rPr>
        <w:t xml:space="preserve"> og specialforretninger med medicinsk udstyr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</w:p>
    <w:p w14:paraId="211377C7" w14:textId="77777777" w:rsidR="00B55552" w:rsidRDefault="00B55552" w:rsidP="009830ED">
      <w:pPr>
        <w:pStyle w:val="Normal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Pligterne gælder også, hvis en virksomhed eller forretning uddelegerer opgaver til 3. part f.eks. en kontraktorganisation eller konsulentvirksomhed.</w:t>
      </w:r>
    </w:p>
    <w:p w14:paraId="02E6CC63" w14:textId="77777777" w:rsidR="009830ED" w:rsidRDefault="009830ED" w:rsidP="009830ED">
      <w:pPr>
        <w:pStyle w:val="Normal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p w14:paraId="6B3BA331" w14:textId="77777777" w:rsidR="00BA6BB7" w:rsidRPr="00EE497D" w:rsidRDefault="00BA6BB7" w:rsidP="00BA6BB7">
      <w:pPr>
        <w:pStyle w:val="Overskrift1"/>
        <w:rPr>
          <w:color w:val="auto"/>
        </w:rPr>
      </w:pPr>
      <w:bookmarkStart w:id="2" w:name="_Toc467513578"/>
      <w:r w:rsidRPr="00EE497D">
        <w:rPr>
          <w:color w:val="auto"/>
        </w:rPr>
        <w:t xml:space="preserve">2 </w:t>
      </w:r>
      <w:r w:rsidR="0006262C" w:rsidRPr="00EE497D">
        <w:rPr>
          <w:color w:val="auto"/>
        </w:rPr>
        <w:t>Omfattede virksomheder</w:t>
      </w:r>
      <w:r w:rsidR="004C6FB5">
        <w:rPr>
          <w:color w:val="auto"/>
        </w:rPr>
        <w:t xml:space="preserve"> og forretninger</w:t>
      </w:r>
      <w:bookmarkEnd w:id="2"/>
    </w:p>
    <w:p w14:paraId="69F0759A" w14:textId="77777777" w:rsidR="0006262C" w:rsidRPr="0006262C" w:rsidRDefault="0006262C" w:rsidP="0006262C"/>
    <w:p w14:paraId="48DC8DF4" w14:textId="77777777" w:rsidR="0006262C" w:rsidRPr="00EE497D" w:rsidRDefault="0006262C" w:rsidP="0006262C">
      <w:pPr>
        <w:pStyle w:val="Overskrift2"/>
        <w:rPr>
          <w:color w:val="auto"/>
        </w:rPr>
      </w:pPr>
      <w:bookmarkStart w:id="3" w:name="_Toc467513579"/>
      <w:r w:rsidRPr="00EE497D">
        <w:rPr>
          <w:color w:val="auto"/>
        </w:rPr>
        <w:t>2.1 Lægemiddelvirksomheder</w:t>
      </w:r>
      <w:bookmarkEnd w:id="3"/>
    </w:p>
    <w:p w14:paraId="503EB0E4" w14:textId="77777777" w:rsidR="0006262C" w:rsidRPr="0006262C" w:rsidRDefault="0006262C" w:rsidP="0006262C">
      <w:r>
        <w:t>Indberetnings- og informationspligten er knyttet til:</w:t>
      </w:r>
    </w:p>
    <w:p w14:paraId="10150036" w14:textId="77777777" w:rsidR="0006262C" w:rsidRDefault="001F284F" w:rsidP="0006262C">
      <w:pPr>
        <w:pStyle w:val="Listeafsnit"/>
        <w:numPr>
          <w:ilvl w:val="0"/>
          <w:numId w:val="7"/>
        </w:numPr>
      </w:pPr>
      <w:proofErr w:type="gramStart"/>
      <w:r>
        <w:t>i</w:t>
      </w:r>
      <w:r w:rsidR="0006262C" w:rsidRPr="0082234B">
        <w:t>ndehavere</w:t>
      </w:r>
      <w:proofErr w:type="gramEnd"/>
      <w:r w:rsidR="0006262C" w:rsidRPr="0082234B">
        <w:t xml:space="preserve"> af en markedsføringstilladelse til et lægemiddel, der lovligt kan forhandles eller udleveres her i landet, jf. lægemiddellovens § 7</w:t>
      </w:r>
      <w:r w:rsidR="00D26B35">
        <w:t>, stk. 1</w:t>
      </w:r>
      <w:r w:rsidR="0006262C" w:rsidRPr="0082234B">
        <w:t>.</w:t>
      </w:r>
    </w:p>
    <w:p w14:paraId="10B5C1E1" w14:textId="77777777" w:rsidR="0006262C" w:rsidRDefault="001F284F" w:rsidP="0006262C">
      <w:pPr>
        <w:pStyle w:val="Listeafsnit"/>
        <w:numPr>
          <w:ilvl w:val="0"/>
          <w:numId w:val="7"/>
        </w:numPr>
      </w:pPr>
      <w:proofErr w:type="gramStart"/>
      <w:r>
        <w:t>v</w:t>
      </w:r>
      <w:r w:rsidR="0006262C" w:rsidRPr="0082234B">
        <w:t>irksomheder</w:t>
      </w:r>
      <w:proofErr w:type="gramEnd"/>
      <w:r w:rsidR="0006262C" w:rsidRPr="0082234B">
        <w:t xml:space="preserve">, der har fået tilladelse af </w:t>
      </w:r>
      <w:r w:rsidR="0006262C">
        <w:t>Sundhedsstyrelsen</w:t>
      </w:r>
      <w:r w:rsidR="00A601FD">
        <w:t xml:space="preserve"> (nu Lægemiddelstyrelsen)</w:t>
      </w:r>
      <w:r w:rsidR="0006262C" w:rsidRPr="0082234B">
        <w:t xml:space="preserve"> til fremstilling, indførsel, udførsel, oplagring, forhandling, fordeling, udlevering, opsplitning og emballering af lægemidler, jf. lægemiddellovens § 39, stk. 1.</w:t>
      </w:r>
    </w:p>
    <w:p w14:paraId="27DB994D" w14:textId="77777777" w:rsidR="00190C84" w:rsidRDefault="00190C84" w:rsidP="00190C84">
      <w:r>
        <w:t>Indberetnings- og informationspligten gælde</w:t>
      </w:r>
      <w:r w:rsidR="00146AFD">
        <w:t xml:space="preserve">r ikke for offentlige sygehuse, herunder Regionernes lægemiddelorganisation </w:t>
      </w:r>
      <w:proofErr w:type="spellStart"/>
      <w:r w:rsidR="00146AFD">
        <w:t>Amgros</w:t>
      </w:r>
      <w:proofErr w:type="spellEnd"/>
      <w:r w:rsidR="00146AFD">
        <w:t>, der er et integreret led i de offentlige sygehuse.</w:t>
      </w:r>
    </w:p>
    <w:p w14:paraId="2E94DA2B" w14:textId="77777777" w:rsidR="00190C84" w:rsidRDefault="00190C84" w:rsidP="00190C84"/>
    <w:p w14:paraId="1F826A22" w14:textId="77777777" w:rsidR="0006262C" w:rsidRPr="00EE497D" w:rsidRDefault="0006262C" w:rsidP="0006262C">
      <w:pPr>
        <w:pStyle w:val="Overskrift2"/>
        <w:rPr>
          <w:color w:val="auto"/>
        </w:rPr>
      </w:pPr>
      <w:bookmarkStart w:id="4" w:name="_Toc467513580"/>
      <w:r w:rsidRPr="00EE497D">
        <w:rPr>
          <w:color w:val="auto"/>
        </w:rPr>
        <w:t xml:space="preserve">2.2 </w:t>
      </w:r>
      <w:proofErr w:type="spellStart"/>
      <w:r w:rsidRPr="00EE497D">
        <w:rPr>
          <w:color w:val="auto"/>
        </w:rPr>
        <w:t>Medicovirksomheder</w:t>
      </w:r>
      <w:bookmarkEnd w:id="4"/>
      <w:proofErr w:type="spellEnd"/>
    </w:p>
    <w:p w14:paraId="692E4AE7" w14:textId="77777777" w:rsidR="0006262C" w:rsidRDefault="0006262C" w:rsidP="0006262C">
      <w:r>
        <w:t xml:space="preserve">Indberetnings- og informationspligten er knyttet til </w:t>
      </w:r>
      <w:r w:rsidRPr="0082234B">
        <w:t xml:space="preserve">fabrikanter, der markedsfører medicinsk udstyr i risikoklasse II a, II b eller III, medicinsk udstyr til in </w:t>
      </w:r>
      <w:proofErr w:type="spellStart"/>
      <w:r w:rsidRPr="0082234B">
        <w:t>vitro</w:t>
      </w:r>
      <w:proofErr w:type="spellEnd"/>
      <w:r w:rsidRPr="0082234B">
        <w:t xml:space="preserve">-diagnostik eller aktivt, </w:t>
      </w:r>
      <w:proofErr w:type="spellStart"/>
      <w:r w:rsidRPr="0082234B">
        <w:t>implantabelt</w:t>
      </w:r>
      <w:proofErr w:type="spellEnd"/>
      <w:r w:rsidRPr="0082234B">
        <w:t xml:space="preserve"> medicinsk udstyr, repræsentanter for fabrikanter af denne type produkter</w:t>
      </w:r>
      <w:r>
        <w:t>,</w:t>
      </w:r>
      <w:r w:rsidRPr="0082234B">
        <w:t xml:space="preserve"> samt importører og distributører af denne type produk</w:t>
      </w:r>
      <w:r>
        <w:t>ter, der er etableret i Danmark.</w:t>
      </w:r>
    </w:p>
    <w:p w14:paraId="2FFC74BC" w14:textId="77777777" w:rsidR="006E68F9" w:rsidRDefault="006E68F9" w:rsidP="0006262C"/>
    <w:p w14:paraId="03170A98" w14:textId="77777777" w:rsidR="0006262C" w:rsidRPr="00EE497D" w:rsidRDefault="0006262C" w:rsidP="0006262C">
      <w:pPr>
        <w:pStyle w:val="Overskrift2"/>
        <w:rPr>
          <w:color w:val="auto"/>
        </w:rPr>
      </w:pPr>
      <w:bookmarkStart w:id="5" w:name="_Toc467513581"/>
      <w:r w:rsidRPr="00EE497D">
        <w:rPr>
          <w:color w:val="auto"/>
        </w:rPr>
        <w:lastRenderedPageBreak/>
        <w:t xml:space="preserve">2.3 Specialforretninger </w:t>
      </w:r>
      <w:r w:rsidR="004C6FB5">
        <w:rPr>
          <w:color w:val="auto"/>
        </w:rPr>
        <w:t>med medicinsk udstyr</w:t>
      </w:r>
      <w:bookmarkEnd w:id="5"/>
    </w:p>
    <w:p w14:paraId="25FE28D6" w14:textId="77777777" w:rsidR="0006262C" w:rsidRDefault="0006262C" w:rsidP="0006262C">
      <w:r>
        <w:t>Indberetnings- og informationspligten er knyttet til f</w:t>
      </w:r>
      <w:r w:rsidRPr="00513CDB">
        <w:t xml:space="preserve">orretninger etableret i Danmark, der er specialiserede forhandlere af medicinsk udstyr i risikoklasse II a, II b eller III, medicinsk udstyr til in </w:t>
      </w:r>
      <w:proofErr w:type="spellStart"/>
      <w:r w:rsidRPr="00513CDB">
        <w:t>vitro</w:t>
      </w:r>
      <w:proofErr w:type="spellEnd"/>
      <w:r w:rsidRPr="00513CDB">
        <w:t xml:space="preserve">-diagnostik eller aktivt, </w:t>
      </w:r>
      <w:proofErr w:type="spellStart"/>
      <w:r w:rsidRPr="00513CDB">
        <w:t>implantabelt</w:t>
      </w:r>
      <w:proofErr w:type="spellEnd"/>
      <w:r w:rsidRPr="00513CDB">
        <w:t xml:space="preserve"> medicinsk udstyr og repræsentanter for sådanne forretninger. </w:t>
      </w:r>
    </w:p>
    <w:p w14:paraId="22715564" w14:textId="77777777" w:rsidR="0006262C" w:rsidRPr="00513CDB" w:rsidRDefault="0006262C" w:rsidP="0006262C">
      <w:r w:rsidRPr="00513CDB">
        <w:t xml:space="preserve">En forretning er specialiseret forhandler, når det medicinske udstyr udgør over 50 % af forretningens varesortiment og omsætning. </w:t>
      </w:r>
    </w:p>
    <w:p w14:paraId="70E597EB" w14:textId="77777777" w:rsidR="00BA6BB7" w:rsidRPr="009830ED" w:rsidRDefault="00BA6BB7" w:rsidP="009830ED">
      <w:pPr>
        <w:pStyle w:val="Normal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p w14:paraId="33021439" w14:textId="77777777" w:rsidR="001E0D0E" w:rsidRPr="00EE497D" w:rsidRDefault="00BA6BB7" w:rsidP="001E0D0E">
      <w:pPr>
        <w:pStyle w:val="Overskrift1"/>
        <w:rPr>
          <w:color w:val="auto"/>
        </w:rPr>
      </w:pPr>
      <w:bookmarkStart w:id="6" w:name="_Toc467513582"/>
      <w:r w:rsidRPr="00EE497D">
        <w:rPr>
          <w:color w:val="auto"/>
        </w:rPr>
        <w:t>3</w:t>
      </w:r>
      <w:r w:rsidR="001E0D0E" w:rsidRPr="00EE497D">
        <w:rPr>
          <w:color w:val="auto"/>
        </w:rPr>
        <w:t xml:space="preserve"> </w:t>
      </w:r>
      <w:r w:rsidR="005238A5" w:rsidRPr="00EE497D">
        <w:rPr>
          <w:color w:val="auto"/>
        </w:rPr>
        <w:t>Hv</w:t>
      </w:r>
      <w:r w:rsidR="00273624" w:rsidRPr="00EE497D">
        <w:rPr>
          <w:color w:val="auto"/>
        </w:rPr>
        <w:t>ad</w:t>
      </w:r>
      <w:r w:rsidR="005238A5" w:rsidRPr="00EE497D">
        <w:rPr>
          <w:color w:val="auto"/>
        </w:rPr>
        <w:t xml:space="preserve"> skal virksomhederne </w:t>
      </w:r>
      <w:r w:rsidR="004C6FB5">
        <w:rPr>
          <w:color w:val="auto"/>
        </w:rPr>
        <w:t xml:space="preserve">og forretningerne </w:t>
      </w:r>
      <w:r w:rsidR="005238A5" w:rsidRPr="00EE497D">
        <w:rPr>
          <w:color w:val="auto"/>
        </w:rPr>
        <w:t>indberette</w:t>
      </w:r>
      <w:r w:rsidR="001E0D0E" w:rsidRPr="00EE497D">
        <w:rPr>
          <w:color w:val="auto"/>
        </w:rPr>
        <w:t>?</w:t>
      </w:r>
      <w:bookmarkEnd w:id="6"/>
    </w:p>
    <w:p w14:paraId="71CEA04D" w14:textId="77777777" w:rsidR="00273624" w:rsidRPr="00273624" w:rsidRDefault="00273624" w:rsidP="00273624"/>
    <w:p w14:paraId="1EE8A2C2" w14:textId="77777777" w:rsidR="00273624" w:rsidRPr="00EE497D" w:rsidRDefault="00273624" w:rsidP="00273624">
      <w:pPr>
        <w:pStyle w:val="Overskrift2"/>
        <w:rPr>
          <w:color w:val="auto"/>
        </w:rPr>
      </w:pPr>
      <w:bookmarkStart w:id="7" w:name="_Toc467513583"/>
      <w:r w:rsidRPr="00EE497D">
        <w:rPr>
          <w:color w:val="auto"/>
        </w:rPr>
        <w:t>3.1 Persongruppe</w:t>
      </w:r>
      <w:bookmarkEnd w:id="7"/>
    </w:p>
    <w:p w14:paraId="5DB8BED2" w14:textId="77777777" w:rsidR="00273624" w:rsidRDefault="00273624" w:rsidP="00273624">
      <w:r>
        <w:t xml:space="preserve">Læger, sygeplejersker og tandlæger er kun omfattet af reglerne, hvis de er i klinisk arbejde. </w:t>
      </w:r>
    </w:p>
    <w:p w14:paraId="137D7009" w14:textId="77777777" w:rsidR="00273624" w:rsidRDefault="00273624" w:rsidP="00273624">
      <w:r w:rsidRPr="0082234B">
        <w:t xml:space="preserve">Ved klinisk arbejde forstås behandling af patienter og bistand med behandling af patienter. </w:t>
      </w:r>
      <w:r>
        <w:t>Reglerne omfatter således</w:t>
      </w:r>
      <w:r w:rsidRPr="0082234B">
        <w:t xml:space="preserve"> læger</w:t>
      </w:r>
      <w:r w:rsidR="006E68F9">
        <w:t>, sygeplejersker og tand</w:t>
      </w:r>
      <w:r>
        <w:t>læger</w:t>
      </w:r>
      <w:r w:rsidRPr="0082234B">
        <w:t xml:space="preserve">, der selv varetager ordination eller valg af lægemidler og medicinsk udstyr, </w:t>
      </w:r>
      <w:r>
        <w:t>og</w:t>
      </w:r>
      <w:r w:rsidRPr="0082234B">
        <w:t xml:space="preserve"> de </w:t>
      </w:r>
      <w:r>
        <w:t>læger, sygeplejersker og tandlæger</w:t>
      </w:r>
      <w:r w:rsidRPr="0082234B">
        <w:t xml:space="preserve"> i ledende stillinger, som i deres praktiske virke har væsentlig indflydelse på, hvad andre læger, tandlæger eller sygeplejersker vælger i patientbehandlingen</w:t>
      </w:r>
      <w:r>
        <w:t>, uanset at pågældende ikke selv har direkte patientbehandling</w:t>
      </w:r>
      <w:r w:rsidRPr="0082234B">
        <w:t>.</w:t>
      </w:r>
    </w:p>
    <w:p w14:paraId="4E3FB268" w14:textId="1E0359D4" w:rsidR="00B90098" w:rsidRDefault="00B90098" w:rsidP="00B90098">
      <w:r w:rsidRPr="00B40878">
        <w:t>Reglerne om tilknytning gælder også de læger</w:t>
      </w:r>
      <w:r w:rsidR="0001758B" w:rsidRPr="00B40878">
        <w:t>, sygeplejersker og tandlæger</w:t>
      </w:r>
      <w:r w:rsidRPr="00B40878">
        <w:t>, der alene har</w:t>
      </w:r>
      <w:r w:rsidR="002D17E4" w:rsidRPr="00B40878">
        <w:t xml:space="preserve"> klinisk arbejde</w:t>
      </w:r>
      <w:r w:rsidRPr="00B40878">
        <w:t xml:space="preserve"> i forbindelse med klinisk forsøg</w:t>
      </w:r>
      <w:r w:rsidR="0001758B" w:rsidRPr="00B40878">
        <w:t xml:space="preserve"> eller klinisk afprøvning</w:t>
      </w:r>
      <w:r w:rsidRPr="00B40878">
        <w:t>.</w:t>
      </w:r>
    </w:p>
    <w:p w14:paraId="6FC4ACED" w14:textId="77777777" w:rsidR="006E68F9" w:rsidRDefault="006E68F9" w:rsidP="00273624">
      <w:r>
        <w:t>Det vil sige, at:</w:t>
      </w:r>
    </w:p>
    <w:p w14:paraId="672AE76C" w14:textId="77777777" w:rsidR="00337D58" w:rsidRDefault="006E68F9" w:rsidP="00337D58">
      <w:pPr>
        <w:pStyle w:val="Listeafsnit"/>
        <w:numPr>
          <w:ilvl w:val="0"/>
          <w:numId w:val="14"/>
        </w:numPr>
      </w:pPr>
      <w:proofErr w:type="gramStart"/>
      <w:r>
        <w:t>l</w:t>
      </w:r>
      <w:r w:rsidR="00273624">
        <w:t>ægemiddelvirksomheder</w:t>
      </w:r>
      <w:proofErr w:type="gramEnd"/>
      <w:r w:rsidR="00273624">
        <w:t xml:space="preserve"> kun </w:t>
      </w:r>
      <w:r>
        <w:t xml:space="preserve">skal </w:t>
      </w:r>
      <w:r w:rsidR="00273624">
        <w:t>indberette læger og tandlæger i klinisk arbejde samt apotekere</w:t>
      </w:r>
      <w:r w:rsidR="00673A3F">
        <w:t>.</w:t>
      </w:r>
    </w:p>
    <w:p w14:paraId="73FD06A7" w14:textId="77777777" w:rsidR="00680D55" w:rsidRDefault="00337D58" w:rsidP="00337D58">
      <w:pPr>
        <w:pStyle w:val="Listeafsnit"/>
        <w:numPr>
          <w:ilvl w:val="0"/>
          <w:numId w:val="14"/>
        </w:numPr>
      </w:pPr>
      <w:proofErr w:type="spellStart"/>
      <w:proofErr w:type="gramStart"/>
      <w:r>
        <w:t>medicovirksomheder</w:t>
      </w:r>
      <w:proofErr w:type="spellEnd"/>
      <w:proofErr w:type="gramEnd"/>
      <w:r>
        <w:t xml:space="preserve"> kun skal indberette læger, sygeplejersker og tandlæger i klinisk arbejde samt apoteker. </w:t>
      </w:r>
    </w:p>
    <w:p w14:paraId="4CF52E80" w14:textId="77777777" w:rsidR="00273624" w:rsidRDefault="006E68F9" w:rsidP="00337D58">
      <w:pPr>
        <w:pStyle w:val="Listeafsnit"/>
        <w:numPr>
          <w:ilvl w:val="0"/>
          <w:numId w:val="14"/>
        </w:numPr>
      </w:pPr>
      <w:proofErr w:type="gramStart"/>
      <w:r>
        <w:t>s</w:t>
      </w:r>
      <w:r w:rsidR="00273624">
        <w:t>pecialforretninger</w:t>
      </w:r>
      <w:proofErr w:type="gramEnd"/>
      <w:r w:rsidR="00273624">
        <w:t xml:space="preserve"> med medicinsk udstyr </w:t>
      </w:r>
      <w:r w:rsidR="00673A3F">
        <w:t xml:space="preserve">kun </w:t>
      </w:r>
      <w:r>
        <w:t xml:space="preserve">skal </w:t>
      </w:r>
      <w:r w:rsidR="00673A3F">
        <w:t>indberette l</w:t>
      </w:r>
      <w:r w:rsidR="00273624">
        <w:t xml:space="preserve">æger i klinisk </w:t>
      </w:r>
      <w:r w:rsidR="00673A3F">
        <w:t>arbejde</w:t>
      </w:r>
      <w:r w:rsidR="00273624">
        <w:t>.</w:t>
      </w:r>
    </w:p>
    <w:p w14:paraId="7505CBD3" w14:textId="2A53525B" w:rsidR="00387A18" w:rsidRDefault="00D47237" w:rsidP="00273624">
      <w:r>
        <w:t xml:space="preserve">Læger, sygeplejersker og tandlæger, der </w:t>
      </w:r>
      <w:r w:rsidR="00A53277">
        <w:t xml:space="preserve">f.eks. </w:t>
      </w:r>
      <w:r>
        <w:t xml:space="preserve">udelukkende har laboratoriearbejde eller varetager administrative opgaver (og således ikke er i klinisk arbejde), er ikke omfattede af reglerne og skal derfor ikke indberettes til </w:t>
      </w:r>
      <w:r w:rsidR="00240E12">
        <w:t>Lægemiddelstyrelsen</w:t>
      </w:r>
      <w:r>
        <w:t>.</w:t>
      </w:r>
    </w:p>
    <w:p w14:paraId="7A6949FF" w14:textId="77777777" w:rsidR="001B6377" w:rsidRDefault="001B6377" w:rsidP="00273624"/>
    <w:p w14:paraId="3448AEA7" w14:textId="77777777" w:rsidR="00273624" w:rsidRPr="00EE497D" w:rsidRDefault="00387A18" w:rsidP="00387A18">
      <w:pPr>
        <w:pStyle w:val="Overskrift2"/>
        <w:rPr>
          <w:color w:val="auto"/>
        </w:rPr>
      </w:pPr>
      <w:bookmarkStart w:id="8" w:name="_Toc467513584"/>
      <w:r w:rsidRPr="00EE497D">
        <w:rPr>
          <w:color w:val="auto"/>
        </w:rPr>
        <w:t>3.2 Typer af tilknytning</w:t>
      </w:r>
      <w:bookmarkEnd w:id="8"/>
    </w:p>
    <w:p w14:paraId="63610F9D" w14:textId="77777777" w:rsidR="003F1CC4" w:rsidRDefault="00273624" w:rsidP="00273624">
      <w:r>
        <w:t xml:space="preserve">Tilknytning omfatter faglig og økonomisk tilknytning til </w:t>
      </w:r>
      <w:r w:rsidRPr="008F5EED">
        <w:t xml:space="preserve">en lægemiddel- eller </w:t>
      </w:r>
      <w:proofErr w:type="spellStart"/>
      <w:r w:rsidRPr="008F5EED">
        <w:t>medicovirksomhed</w:t>
      </w:r>
      <w:proofErr w:type="spellEnd"/>
      <w:r w:rsidRPr="008F5EED">
        <w:t xml:space="preserve"> eller forretning</w:t>
      </w:r>
      <w:r>
        <w:t xml:space="preserve">. </w:t>
      </w:r>
    </w:p>
    <w:p w14:paraId="1DA0D6CC" w14:textId="055931D9" w:rsidR="00273624" w:rsidRDefault="00273624" w:rsidP="00273624">
      <w:r>
        <w:t xml:space="preserve">Ved </w:t>
      </w:r>
      <w:r w:rsidR="00387A18">
        <w:t>en</w:t>
      </w:r>
      <w:r>
        <w:t xml:space="preserve"> faglig tilknytning udfører </w:t>
      </w:r>
      <w:r w:rsidR="00387A18">
        <w:t>sundhedspersonen</w:t>
      </w:r>
      <w:r>
        <w:t xml:space="preserve"> arbejdsopgaver med undervisning, foredrag, rådgivning i ekspertgrupper og andre opgaver af faglig art for virksomhederne. </w:t>
      </w:r>
      <w:r w:rsidRPr="008F5EED">
        <w:t xml:space="preserve">Deltagelse i forskningsprojekter, herunder kliniske forsøg, ikke-interventionsforsøg og klinisk afprøvning, </w:t>
      </w:r>
      <w:r>
        <w:t>betragtes også som en tilknytning.</w:t>
      </w:r>
      <w:r w:rsidR="00C4666E">
        <w:t xml:space="preserve"> </w:t>
      </w:r>
      <w:proofErr w:type="spellStart"/>
      <w:r w:rsidR="00C4666E">
        <w:t>Usabilitytest</w:t>
      </w:r>
      <w:proofErr w:type="spellEnd"/>
      <w:r w:rsidR="00C4666E">
        <w:t xml:space="preserve"> (medicinsk udstyr), der gennemføres før eventuel klinisk afprøvning, betragtes som forskning.</w:t>
      </w:r>
    </w:p>
    <w:p w14:paraId="1A64E08C" w14:textId="1CD16AA6" w:rsidR="00C944EE" w:rsidRDefault="00C944EE" w:rsidP="00273624">
      <w:r>
        <w:t>Ved forskning omfatter reglerne alene</w:t>
      </w:r>
      <w:r w:rsidRPr="00AA6412">
        <w:t xml:space="preserve"> de læger,</w:t>
      </w:r>
      <w:r>
        <w:t xml:space="preserve"> sygeplejersker (kun i forhold til </w:t>
      </w:r>
      <w:proofErr w:type="spellStart"/>
      <w:r>
        <w:t>medicovirksomheder</w:t>
      </w:r>
      <w:proofErr w:type="spellEnd"/>
      <w:r>
        <w:t>), tandlæger og apotekere,</w:t>
      </w:r>
      <w:r w:rsidRPr="00AA6412">
        <w:t xml:space="preserve"> der har det overordnede ansvar for gennemførelse af det</w:t>
      </w:r>
      <w:r>
        <w:t xml:space="preserve"> pågældende projekt. </w:t>
      </w:r>
      <w:r>
        <w:lastRenderedPageBreak/>
        <w:t>Det vil si</w:t>
      </w:r>
      <w:r w:rsidRPr="00AA6412">
        <w:t xml:space="preserve">ge den primære </w:t>
      </w:r>
      <w:proofErr w:type="spellStart"/>
      <w:r w:rsidRPr="00AA6412">
        <w:t>investigator</w:t>
      </w:r>
      <w:proofErr w:type="spellEnd"/>
      <w:r w:rsidRPr="00AA6412">
        <w:t xml:space="preserve"> og andre med tilsvarende ansvar</w:t>
      </w:r>
      <w:r>
        <w:t xml:space="preserve">. </w:t>
      </w:r>
      <w:proofErr w:type="spellStart"/>
      <w:r>
        <w:t>Subinvesti</w:t>
      </w:r>
      <w:r w:rsidRPr="00AA6412">
        <w:t>gatorer</w:t>
      </w:r>
      <w:proofErr w:type="spellEnd"/>
      <w:r w:rsidRPr="00AA6412">
        <w:t xml:space="preserve"> og andre med tilsvarende opgaver </w:t>
      </w:r>
      <w:r w:rsidR="003E4A33">
        <w:t>er ikke omfattet af reglerne</w:t>
      </w:r>
      <w:r w:rsidRPr="002F5A4D">
        <w:t>, med mindre de modtager honorar for deres deltagelse.</w:t>
      </w:r>
    </w:p>
    <w:p w14:paraId="49DA09CE" w14:textId="6482C7B8" w:rsidR="002F5A4D" w:rsidRPr="008F5EED" w:rsidRDefault="00A02BEB" w:rsidP="00273624">
      <w:r w:rsidRPr="00CE7F04">
        <w:t>Hvis der i en klinik med flere læger</w:t>
      </w:r>
      <w:r>
        <w:t>, sygeplejersker eller tandlæger</w:t>
      </w:r>
      <w:r w:rsidRPr="00CE7F04">
        <w:t xml:space="preserve"> gennemføres f.eks. ikke-interventionsforsøg</w:t>
      </w:r>
      <w:r>
        <w:t xml:space="preserve"> eller test af medicinsk udstyr, omfatter reglerne alene </w:t>
      </w:r>
      <w:r w:rsidRPr="0043674E">
        <w:t>de</w:t>
      </w:r>
      <w:r>
        <w:t>n eller de personer,</w:t>
      </w:r>
      <w:r w:rsidRPr="0043674E">
        <w:t xml:space="preserve"> der har det overordnede ansvar for gennemførelse af det pågældende projekt. Det vil sige den primære </w:t>
      </w:r>
      <w:proofErr w:type="spellStart"/>
      <w:r w:rsidRPr="0043674E">
        <w:t>investigator</w:t>
      </w:r>
      <w:proofErr w:type="spellEnd"/>
      <w:r w:rsidRPr="0043674E">
        <w:t xml:space="preserve"> og andre med tilsvarende ansvar. </w:t>
      </w:r>
      <w:proofErr w:type="spellStart"/>
      <w:r w:rsidRPr="0043674E">
        <w:t>Subinvestigatorer</w:t>
      </w:r>
      <w:proofErr w:type="spellEnd"/>
      <w:r w:rsidRPr="0043674E">
        <w:t xml:space="preserve"> og andre med tilsvarende opgaver </w:t>
      </w:r>
      <w:r>
        <w:t>er ikke omfattet af reglerne</w:t>
      </w:r>
      <w:r w:rsidRPr="0043674E">
        <w:t>, med mindre de modtager honorar for deres deltagelse</w:t>
      </w:r>
      <w:r>
        <w:t>.</w:t>
      </w:r>
    </w:p>
    <w:p w14:paraId="3E5D2501" w14:textId="794F5104" w:rsidR="0088095F" w:rsidRDefault="00273624" w:rsidP="0088095F">
      <w:r w:rsidRPr="008F5EED">
        <w:t>Tilknytning kan</w:t>
      </w:r>
      <w:r>
        <w:t xml:space="preserve"> være opgavebaseret eller</w:t>
      </w:r>
      <w:r w:rsidRPr="008F5EED">
        <w:t xml:space="preserve"> bestå i fuldtids</w:t>
      </w:r>
      <w:r>
        <w:t>- eller</w:t>
      </w:r>
      <w:r w:rsidRPr="008F5EED">
        <w:t xml:space="preserve"> deltidsarbejde</w:t>
      </w:r>
      <w:r>
        <w:t>.</w:t>
      </w:r>
      <w:r w:rsidRPr="008F5EED">
        <w:t xml:space="preserve"> </w:t>
      </w:r>
    </w:p>
    <w:p w14:paraId="1661697D" w14:textId="77777777" w:rsidR="00273624" w:rsidRDefault="00273624" w:rsidP="00273624">
      <w:r>
        <w:t>T</w:t>
      </w:r>
      <w:r w:rsidRPr="008F5EED">
        <w:t xml:space="preserve">illidsposter i en </w:t>
      </w:r>
      <w:r w:rsidR="006B2680">
        <w:t>lægemiddel- eller</w:t>
      </w:r>
      <w:r>
        <w:t xml:space="preserve"> </w:t>
      </w:r>
      <w:proofErr w:type="spellStart"/>
      <w:r>
        <w:t>medicovirksomhed</w:t>
      </w:r>
      <w:proofErr w:type="spellEnd"/>
      <w:r>
        <w:t xml:space="preserve"> </w:t>
      </w:r>
      <w:r w:rsidR="006B2680">
        <w:t>eller</w:t>
      </w:r>
      <w:r w:rsidRPr="008F5EED">
        <w:t xml:space="preserve"> specialforretning med medicinsk udstyr anses også som værende</w:t>
      </w:r>
      <w:r>
        <w:t xml:space="preserve"> en</w:t>
      </w:r>
      <w:r w:rsidRPr="008F5EED">
        <w:t xml:space="preserve"> tilknytning</w:t>
      </w:r>
      <w:r w:rsidR="005304C2">
        <w:t>, f.eks. som bestyrelsesmedlem</w:t>
      </w:r>
      <w:r w:rsidRPr="008F5EED">
        <w:t>.</w:t>
      </w:r>
      <w:r w:rsidRPr="00BD21B2">
        <w:t xml:space="preserve"> </w:t>
      </w:r>
    </w:p>
    <w:p w14:paraId="0D19F938" w14:textId="5ED53775" w:rsidR="00E009F7" w:rsidRPr="00A02BEB" w:rsidRDefault="00E009F7" w:rsidP="00E009F7">
      <w:r>
        <w:t xml:space="preserve">Arrangerer en lægemiddel- eller </w:t>
      </w:r>
      <w:proofErr w:type="spellStart"/>
      <w:r>
        <w:t>medicovirksomhed</w:t>
      </w:r>
      <w:proofErr w:type="spellEnd"/>
      <w:r>
        <w:t xml:space="preserve"> (eventuelt sammen med et nyhedsmedie, en patientforening eller en anden organisation) paneldebatter med offentlig adgang om emner af generel sundhedsmæssig karakter og en apoteker, læge, sygeplejerske (kun</w:t>
      </w:r>
      <w:r w:rsidR="00E868EB">
        <w:t xml:space="preserve"> i forhold til</w:t>
      </w:r>
      <w:r>
        <w:t xml:space="preserve"> </w:t>
      </w:r>
      <w:proofErr w:type="spellStart"/>
      <w:r>
        <w:t>medicovirksomhed</w:t>
      </w:r>
      <w:r w:rsidR="00E868EB">
        <w:t>er</w:t>
      </w:r>
      <w:proofErr w:type="spellEnd"/>
      <w:r>
        <w:t xml:space="preserve">) eller tandlæge deltager i panellet anses </w:t>
      </w:r>
      <w:r w:rsidRPr="00A02BEB">
        <w:t xml:space="preserve">det også som værende en tilknytning. </w:t>
      </w:r>
    </w:p>
    <w:p w14:paraId="390D5C87" w14:textId="5D3AACBC" w:rsidR="00E009F7" w:rsidRDefault="00A02BEB" w:rsidP="00273624">
      <w:r>
        <w:t xml:space="preserve">Der er også tale om en tilknytning, </w:t>
      </w:r>
      <w:r w:rsidR="00E009F7" w:rsidRPr="00A02BEB">
        <w:t xml:space="preserve">hvis debatten er arrangeret af et nyhedsmedie, en patientforening eller en anden organisation, </w:t>
      </w:r>
      <w:r>
        <w:t>og debatten</w:t>
      </w:r>
      <w:r w:rsidR="00E009F7" w:rsidRPr="00A02BEB">
        <w:t xml:space="preserve"> støttes økonomisk af en lægemiddel- eller </w:t>
      </w:r>
      <w:proofErr w:type="spellStart"/>
      <w:r w:rsidR="00E009F7" w:rsidRPr="00A02BEB">
        <w:t>medicovirksomhed</w:t>
      </w:r>
      <w:proofErr w:type="spellEnd"/>
      <w:r w:rsidR="00E009F7" w:rsidRPr="00A02BEB">
        <w:t xml:space="preserve">, og der udbetales honorar af midler fra virksomheden til en apoteker, læge, sygeplejerske (kun </w:t>
      </w:r>
      <w:r w:rsidR="00E868EB" w:rsidRPr="00A02BEB">
        <w:t>i forhold t</w:t>
      </w:r>
      <w:r w:rsidR="00FA1E78" w:rsidRPr="00A02BEB">
        <w:t>i</w:t>
      </w:r>
      <w:r w:rsidR="00E868EB" w:rsidRPr="00A02BEB">
        <w:t xml:space="preserve">l </w:t>
      </w:r>
      <w:proofErr w:type="spellStart"/>
      <w:r w:rsidR="00E009F7" w:rsidRPr="00A02BEB">
        <w:t>medicovirksomhed</w:t>
      </w:r>
      <w:r w:rsidR="00E868EB" w:rsidRPr="00A02BEB">
        <w:t>er</w:t>
      </w:r>
      <w:proofErr w:type="spellEnd"/>
      <w:r w:rsidR="00E009F7" w:rsidRPr="00A02BEB">
        <w:t>) eller tandlæge.</w:t>
      </w:r>
    </w:p>
    <w:p w14:paraId="321896E2" w14:textId="61537E07" w:rsidR="002E772E" w:rsidRDefault="002263B9" w:rsidP="00273624">
      <w:r>
        <w:t xml:space="preserve">En sundhedsperson skal indberettes uanset hvilken type af tilknytning personen har til virksomheden eller forretningen, uanset omfanget af tilknytningen og uanset om der udbetales honorar til personen. </w:t>
      </w:r>
      <w:r w:rsidR="002E772E">
        <w:t>Virksomheden</w:t>
      </w:r>
      <w:r w:rsidR="001F284F">
        <w:t xml:space="preserve"> eller forretningen</w:t>
      </w:r>
      <w:r w:rsidR="002E772E">
        <w:t xml:space="preserve"> skal </w:t>
      </w:r>
      <w:r w:rsidR="002E3233">
        <w:t xml:space="preserve">dog </w:t>
      </w:r>
      <w:r w:rsidR="002E772E">
        <w:t>ikke indberette sundhedspersoners besiddelse af værdipapirer i virksomheden</w:t>
      </w:r>
      <w:r w:rsidR="001F284F">
        <w:t xml:space="preserve"> eller forretningen</w:t>
      </w:r>
      <w:r w:rsidR="002E772E">
        <w:t>.</w:t>
      </w:r>
    </w:p>
    <w:p w14:paraId="19F754BE" w14:textId="77777777" w:rsidR="00E868EB" w:rsidRDefault="00E868EB" w:rsidP="00273624"/>
    <w:p w14:paraId="746137F6" w14:textId="77777777" w:rsidR="00C10AC3" w:rsidRDefault="00C10AC3" w:rsidP="00C10AC3">
      <w:pPr>
        <w:pStyle w:val="Overskrift3"/>
        <w:rPr>
          <w:color w:val="auto"/>
        </w:rPr>
      </w:pPr>
      <w:bookmarkStart w:id="9" w:name="_Toc467513585"/>
      <w:r w:rsidRPr="00C10AC3">
        <w:rPr>
          <w:color w:val="auto"/>
        </w:rPr>
        <w:t>3.2.1 Hvad er ikke en tilknytning</w:t>
      </w:r>
      <w:bookmarkEnd w:id="9"/>
    </w:p>
    <w:p w14:paraId="50ACCCBB" w14:textId="3C997924" w:rsidR="00C10AC3" w:rsidRPr="00C10AC3" w:rsidRDefault="00C10AC3" w:rsidP="00C10AC3">
      <w:r w:rsidRPr="00C10AC3">
        <w:t xml:space="preserve">Udgangspunktet er, at alle tilknytninger er omfattet af reglerne. Visse forhold, der relaterer sig til en virksomhed, betragtes dog ikke som værende en tilknytning, og </w:t>
      </w:r>
      <w:r w:rsidR="00E868EB">
        <w:t>virksomheden eller forretningen har derfor ikke informations- og indberetningspligt</w:t>
      </w:r>
      <w:r w:rsidR="000E23CB">
        <w:t xml:space="preserve"> i disse situationer</w:t>
      </w:r>
      <w:r w:rsidR="00E868EB">
        <w:t>.</w:t>
      </w:r>
      <w:r w:rsidRPr="00C10AC3">
        <w:t xml:space="preserve"> Det kan f.eks. være følgende:</w:t>
      </w:r>
    </w:p>
    <w:p w14:paraId="1036FF39" w14:textId="77777777" w:rsidR="00C10AC3" w:rsidRPr="00C10AC3" w:rsidRDefault="00C10AC3" w:rsidP="00C10AC3">
      <w:pPr>
        <w:numPr>
          <w:ilvl w:val="0"/>
          <w:numId w:val="17"/>
        </w:numPr>
      </w:pPr>
      <w:r w:rsidRPr="00C10AC3">
        <w:t xml:space="preserve">Indledende samtaler om et eventuelt samarbejde, hvor der ikke udbetales honorar.  </w:t>
      </w:r>
    </w:p>
    <w:p w14:paraId="28E9E6A7" w14:textId="77777777" w:rsidR="00C10AC3" w:rsidRPr="00C10AC3" w:rsidRDefault="00C10AC3" w:rsidP="00C10AC3">
      <w:pPr>
        <w:numPr>
          <w:ilvl w:val="0"/>
          <w:numId w:val="17"/>
        </w:numPr>
      </w:pPr>
      <w:r w:rsidRPr="00C10AC3">
        <w:t>Anonyme undersøgelser (f.eks. spørgeskema eller panel), hvor undersøgelsen udføres af 3. part og hvor anonymiteten mellem henholdsvis den ba</w:t>
      </w:r>
      <w:r>
        <w:t>gvedliggende virksomhed og sundhedspersonen</w:t>
      </w:r>
      <w:r w:rsidRPr="00C10AC3">
        <w:t xml:space="preserve"> opretholdes efter undersøgelsens gennemførelse. Det vi</w:t>
      </w:r>
      <w:r>
        <w:t>l sige, at virksomheden og sundhedspersonen</w:t>
      </w:r>
      <w:r w:rsidRPr="00C10AC3">
        <w:t xml:space="preserve"> ikke får kendskab til hinanden.</w:t>
      </w:r>
    </w:p>
    <w:p w14:paraId="3042704E" w14:textId="6661F717" w:rsidR="00C10AC3" w:rsidRPr="005D077A" w:rsidRDefault="00C10AC3" w:rsidP="00C10AC3">
      <w:pPr>
        <w:numPr>
          <w:ilvl w:val="0"/>
          <w:numId w:val="17"/>
        </w:numPr>
      </w:pPr>
      <w:r w:rsidRPr="00C10AC3">
        <w:t xml:space="preserve">Pressemeddelelser fra en virksomhed med citat af en </w:t>
      </w:r>
      <w:r>
        <w:t>sundhedsperson</w:t>
      </w:r>
      <w:r w:rsidRPr="00C10AC3">
        <w:t xml:space="preserve">, hvis udtalelsen relaterer sig </w:t>
      </w:r>
      <w:r w:rsidRPr="00715FFE">
        <w:t xml:space="preserve">til en tilknytning til virksomheden, som sundhedspersonen i forvejen har anmeldt til eller har fået </w:t>
      </w:r>
      <w:r w:rsidR="003B3243" w:rsidRPr="00715FFE">
        <w:t>Lægemiddelstyrelsens</w:t>
      </w:r>
      <w:r w:rsidRPr="00715FFE">
        <w:t xml:space="preserve"> tilladelse til. Dette er under forudsætning, at der ikke er tale om reklame (se bekendtgørelse nr. 1153 af 22. oktober 2014 om reklame mv. for lægemidler, § 2, nr. 7 om </w:t>
      </w:r>
      <w:r w:rsidRPr="00FA0889">
        <w:t>pressemeddelelser).</w:t>
      </w:r>
    </w:p>
    <w:p w14:paraId="638EC77C" w14:textId="3618E715" w:rsidR="00FE72C0" w:rsidRPr="00715FFE" w:rsidRDefault="003B3243" w:rsidP="003B3243">
      <w:pPr>
        <w:pStyle w:val="Listeafsnit"/>
        <w:numPr>
          <w:ilvl w:val="0"/>
          <w:numId w:val="17"/>
        </w:numPr>
      </w:pPr>
      <w:r w:rsidRPr="005D077A">
        <w:lastRenderedPageBreak/>
        <w:t>Opfølgning på konkret aftale om køb af produkt fra en virksomhed, hvor der spørges ind til tilfredshed med</w:t>
      </w:r>
      <w:r w:rsidR="002D264F" w:rsidRPr="005D077A">
        <w:t xml:space="preserve"> </w:t>
      </w:r>
      <w:r w:rsidRPr="005D077A">
        <w:t>samarbejdet, leverancen og produktet</w:t>
      </w:r>
      <w:r w:rsidR="002D264F" w:rsidRPr="005D077A">
        <w:t xml:space="preserve"> eller lignende</w:t>
      </w:r>
      <w:r w:rsidRPr="005D077A">
        <w:t xml:space="preserve">, men hvor der ikke er tale om rådgivning om f.eks. forbedring af produktet. </w:t>
      </w:r>
    </w:p>
    <w:p w14:paraId="7C0EEC5E" w14:textId="2DF767B3" w:rsidR="00FE72C0" w:rsidRPr="00C10AC3" w:rsidRDefault="00FE72C0" w:rsidP="00C10AC3">
      <w:pPr>
        <w:numPr>
          <w:ilvl w:val="0"/>
          <w:numId w:val="17"/>
        </w:numPr>
      </w:pPr>
      <w:r w:rsidRPr="00715FFE">
        <w:t xml:space="preserve">Deltagelse i et debatarrangement, som er arrangeret af et nyhedsmedie, en patientforening eller en anden organisation, og som støttes økonomisk af en lægemiddel- eller </w:t>
      </w:r>
      <w:proofErr w:type="spellStart"/>
      <w:r w:rsidRPr="00715FFE">
        <w:t>medicovirksomhed</w:t>
      </w:r>
      <w:proofErr w:type="spellEnd"/>
      <w:r w:rsidRPr="00715FFE">
        <w:t xml:space="preserve">, og der ikke udbetales honorar af midler fra lægemiddel- eller </w:t>
      </w:r>
      <w:proofErr w:type="spellStart"/>
      <w:r w:rsidRPr="00715FFE">
        <w:t>medicovirksomheden</w:t>
      </w:r>
      <w:proofErr w:type="spellEnd"/>
      <w:r w:rsidRPr="00715FFE">
        <w:t xml:space="preserve"> til en apoteker, læge, sygeplejerske </w:t>
      </w:r>
      <w:r w:rsidR="000E23CB" w:rsidRPr="00715FFE">
        <w:t>eller tandlæ</w:t>
      </w:r>
      <w:r w:rsidRPr="00715FFE">
        <w:t xml:space="preserve">ge. Er lægemiddel- eller </w:t>
      </w:r>
      <w:proofErr w:type="spellStart"/>
      <w:r w:rsidRPr="00715FFE">
        <w:t>medicovirksomheden</w:t>
      </w:r>
      <w:proofErr w:type="spellEnd"/>
      <w:r w:rsidRPr="00715FFE">
        <w:t xml:space="preserve"> (med)arrangør vil det være en tilknytning, se afsnit 3.2.</w:t>
      </w:r>
    </w:p>
    <w:p w14:paraId="7FDB3FCA" w14:textId="77777777" w:rsidR="00C10AC3" w:rsidRPr="00C10AC3" w:rsidRDefault="00C10AC3" w:rsidP="00C10AC3"/>
    <w:p w14:paraId="192B3853" w14:textId="77777777" w:rsidR="00F61CA0" w:rsidRPr="00EE497D" w:rsidRDefault="00F61CA0" w:rsidP="00F61CA0">
      <w:pPr>
        <w:pStyle w:val="Overskrift1"/>
        <w:rPr>
          <w:color w:val="auto"/>
        </w:rPr>
      </w:pPr>
      <w:bookmarkStart w:id="10" w:name="_Toc467513586"/>
      <w:r>
        <w:rPr>
          <w:color w:val="auto"/>
        </w:rPr>
        <w:t>4</w:t>
      </w:r>
      <w:r w:rsidRPr="00EE497D">
        <w:rPr>
          <w:color w:val="auto"/>
        </w:rPr>
        <w:t xml:space="preserve"> Informationspligten for virksomheder og forretninger</w:t>
      </w:r>
      <w:bookmarkEnd w:id="10"/>
    </w:p>
    <w:p w14:paraId="2A1C7915" w14:textId="04CEA17C" w:rsidR="00F61CA0" w:rsidRDefault="00F61CA0" w:rsidP="00F61CA0">
      <w:r w:rsidRPr="00AA1598">
        <w:t xml:space="preserve">Lægemiddel- og </w:t>
      </w:r>
      <w:proofErr w:type="spellStart"/>
      <w:r w:rsidRPr="00AA1598">
        <w:t>medicovirksomheder</w:t>
      </w:r>
      <w:proofErr w:type="spellEnd"/>
      <w:r w:rsidRPr="00AA1598">
        <w:t xml:space="preserve"> og specialforretninger med medicinsk udstyr skal, når de ved aftale knytter en sundhedsperson til virksomheden</w:t>
      </w:r>
      <w:r>
        <w:t xml:space="preserve"> eller forretningen</w:t>
      </w:r>
      <w:r w:rsidRPr="00AA1598">
        <w:t xml:space="preserve">, </w:t>
      </w:r>
      <w:r w:rsidRPr="00FA387B">
        <w:rPr>
          <w:rFonts w:cs="Times New Roman"/>
        </w:rPr>
        <w:t>infor</w:t>
      </w:r>
      <w:r w:rsidRPr="00FA387B">
        <w:rPr>
          <w:rFonts w:cs="Times New Roman"/>
          <w:spacing w:val="-2"/>
        </w:rPr>
        <w:t>m</w:t>
      </w:r>
      <w:r w:rsidRPr="00FA387B">
        <w:rPr>
          <w:rFonts w:cs="Times New Roman"/>
        </w:rPr>
        <w:t>ere</w:t>
      </w:r>
      <w:r w:rsidRPr="00FA387B">
        <w:rPr>
          <w:rFonts w:cs="Times New Roman"/>
          <w:spacing w:val="-10"/>
        </w:rPr>
        <w:t xml:space="preserve"> </w:t>
      </w:r>
      <w:r>
        <w:t xml:space="preserve">personen om dennes anmeldelses- eller ansøgningspligt efter sundhedsloven og om at </w:t>
      </w:r>
      <w:r w:rsidR="000E23CB">
        <w:t>Lægemiddelstyrelsen</w:t>
      </w:r>
      <w:r>
        <w:t xml:space="preserve"> offentliggør oplysninger om sundhedspersonen og tilknytningen på </w:t>
      </w:r>
      <w:r w:rsidR="000E23CB">
        <w:t>Lægemiddelstyrelsens</w:t>
      </w:r>
      <w:r>
        <w:t xml:space="preserve"> hjemmeside. </w:t>
      </w:r>
    </w:p>
    <w:p w14:paraId="215DE58F" w14:textId="77777777" w:rsidR="00F61CA0" w:rsidRDefault="00F61CA0" w:rsidP="00F61CA0">
      <w:r>
        <w:t xml:space="preserve">For </w:t>
      </w:r>
      <w:r w:rsidRPr="00AF7F5F">
        <w:rPr>
          <w:b/>
        </w:rPr>
        <w:t>lægemiddelvirksomheder</w:t>
      </w:r>
      <w:r>
        <w:t xml:space="preserve"> indebærer informationspligten, at virksomheden skal informere læger og tandlæger i klinisk arbejde, samt apotekere om reglerne, når de ved aftale knytter en af disse personer</w:t>
      </w:r>
      <w:r w:rsidRPr="001F3EB1">
        <w:t xml:space="preserve"> til</w:t>
      </w:r>
      <w:r>
        <w:t xml:space="preserve"> virksomheden</w:t>
      </w:r>
      <w:r w:rsidRPr="001F3EB1">
        <w:t>.</w:t>
      </w:r>
      <w:r>
        <w:t xml:space="preserve"> </w:t>
      </w:r>
    </w:p>
    <w:p w14:paraId="2A3C6B01" w14:textId="77777777" w:rsidR="00F61CA0" w:rsidRDefault="00F61CA0" w:rsidP="00F61CA0">
      <w:r>
        <w:t xml:space="preserve">For </w:t>
      </w:r>
      <w:proofErr w:type="spellStart"/>
      <w:r w:rsidRPr="00AF7F5F">
        <w:rPr>
          <w:b/>
        </w:rPr>
        <w:t>medicovirksomheder</w:t>
      </w:r>
      <w:proofErr w:type="spellEnd"/>
      <w:r>
        <w:t xml:space="preserve"> indebærer informationspligten, at virksomheden skal informere læger, sygeplejersker og tandlæger i klinisk arbejde, samt apotekere om reglerne</w:t>
      </w:r>
      <w:r w:rsidRPr="001F3EB1">
        <w:t>, når de</w:t>
      </w:r>
      <w:r>
        <w:t xml:space="preserve"> ved aftale knytter en af disse personer</w:t>
      </w:r>
      <w:r w:rsidRPr="001F3EB1">
        <w:t xml:space="preserve"> til</w:t>
      </w:r>
      <w:r>
        <w:t xml:space="preserve"> virksomheden</w:t>
      </w:r>
      <w:r w:rsidRPr="001F3EB1">
        <w:t>.</w:t>
      </w:r>
      <w:r>
        <w:t xml:space="preserve"> </w:t>
      </w:r>
    </w:p>
    <w:p w14:paraId="6AE1C6D9" w14:textId="77777777" w:rsidR="00F61CA0" w:rsidRPr="00BD733D" w:rsidRDefault="00F61CA0" w:rsidP="00F61CA0">
      <w:r>
        <w:t xml:space="preserve">For </w:t>
      </w:r>
      <w:r w:rsidRPr="00AF7F5F">
        <w:rPr>
          <w:b/>
        </w:rPr>
        <w:t>specialforretninger</w:t>
      </w:r>
      <w:r>
        <w:t xml:space="preserve"> </w:t>
      </w:r>
      <w:r w:rsidRPr="00C03A5C">
        <w:rPr>
          <w:b/>
        </w:rPr>
        <w:t>med medicinsk udstyr</w:t>
      </w:r>
      <w:r>
        <w:t xml:space="preserve"> indebærer informationspligten, at forretningen skal informere læger i klinisk arbejde om reglerne</w:t>
      </w:r>
      <w:r w:rsidRPr="001F3EB1">
        <w:t>, når de ved aftale knytte</w:t>
      </w:r>
      <w:r>
        <w:t>r en læge til</w:t>
      </w:r>
      <w:r w:rsidRPr="001F3EB1">
        <w:t xml:space="preserve"> </w:t>
      </w:r>
      <w:r w:rsidRPr="00BD733D">
        <w:t xml:space="preserve">forretningen. </w:t>
      </w:r>
    </w:p>
    <w:p w14:paraId="72966997" w14:textId="77777777" w:rsidR="00F61CA0" w:rsidRDefault="00F61CA0" w:rsidP="00F61CA0">
      <w:r>
        <w:t xml:space="preserve">Virksomheder og forretninger har ingen informationspligt, når en sundhedsperson får en tilknytning til virksomheden eller forretningen i form at besiddelse af værdipapirer. </w:t>
      </w:r>
    </w:p>
    <w:p w14:paraId="6C42C6F6" w14:textId="77777777" w:rsidR="00273624" w:rsidRPr="00273624" w:rsidRDefault="00273624" w:rsidP="00273624"/>
    <w:p w14:paraId="58D7C7E6" w14:textId="77777777" w:rsidR="000E4A3B" w:rsidRPr="00EE497D" w:rsidRDefault="00F61CA0" w:rsidP="000E4A3B">
      <w:pPr>
        <w:pStyle w:val="Overskrift1"/>
        <w:rPr>
          <w:color w:val="auto"/>
        </w:rPr>
      </w:pPr>
      <w:bookmarkStart w:id="11" w:name="_Toc467513587"/>
      <w:r>
        <w:rPr>
          <w:color w:val="auto"/>
        </w:rPr>
        <w:t>5</w:t>
      </w:r>
      <w:r w:rsidR="000E4A3B" w:rsidRPr="00EE497D">
        <w:rPr>
          <w:color w:val="auto"/>
        </w:rPr>
        <w:t xml:space="preserve"> </w:t>
      </w:r>
      <w:r w:rsidR="00046BF5" w:rsidRPr="00EE497D">
        <w:rPr>
          <w:color w:val="auto"/>
        </w:rPr>
        <w:t>Indberetningspligten</w:t>
      </w:r>
      <w:r w:rsidR="00877933" w:rsidRPr="00EE497D">
        <w:rPr>
          <w:color w:val="auto"/>
        </w:rPr>
        <w:t xml:space="preserve"> for</w:t>
      </w:r>
      <w:r w:rsidR="000E4A3B" w:rsidRPr="00EE497D">
        <w:rPr>
          <w:color w:val="auto"/>
        </w:rPr>
        <w:t xml:space="preserve"> virksomheder</w:t>
      </w:r>
      <w:r w:rsidR="00877933" w:rsidRPr="00EE497D">
        <w:rPr>
          <w:color w:val="auto"/>
        </w:rPr>
        <w:t xml:space="preserve"> og forretninger</w:t>
      </w:r>
      <w:bookmarkEnd w:id="11"/>
    </w:p>
    <w:p w14:paraId="691C9832" w14:textId="77777777" w:rsidR="0068177D" w:rsidRDefault="006B4C1E" w:rsidP="000E4A3B">
      <w:r>
        <w:t>Indberetningspligten</w:t>
      </w:r>
      <w:r w:rsidR="00877933">
        <w:t xml:space="preserve"> indebærer, at </w:t>
      </w:r>
      <w:r w:rsidR="00FD76FF">
        <w:t xml:space="preserve">lægemiddel- og </w:t>
      </w:r>
      <w:proofErr w:type="spellStart"/>
      <w:r w:rsidR="00FD76FF">
        <w:t>medico</w:t>
      </w:r>
      <w:r w:rsidR="00877933">
        <w:t>virksomhed</w:t>
      </w:r>
      <w:r w:rsidR="00DE64A9">
        <w:t>er</w:t>
      </w:r>
      <w:proofErr w:type="spellEnd"/>
      <w:r w:rsidR="00877933">
        <w:t xml:space="preserve"> og specialforretning</w:t>
      </w:r>
      <w:r w:rsidR="00DE64A9">
        <w:t>er</w:t>
      </w:r>
      <w:r w:rsidR="00FD76FF">
        <w:t xml:space="preserve"> med medicinsk udstyr</w:t>
      </w:r>
      <w:r w:rsidR="00877933">
        <w:t xml:space="preserve"> en gang om året </w:t>
      </w:r>
      <w:r>
        <w:t xml:space="preserve">skal </w:t>
      </w:r>
      <w:r w:rsidR="00DE64A9" w:rsidRPr="009830ED">
        <w:t>indberette oplysninger om</w:t>
      </w:r>
      <w:r w:rsidR="00DE64A9">
        <w:t xml:space="preserve"> de sundhedspersoner</w:t>
      </w:r>
      <w:r w:rsidR="0088095F">
        <w:t>,</w:t>
      </w:r>
      <w:r w:rsidR="00DE64A9" w:rsidRPr="00DE64A9">
        <w:t xml:space="preserve"> </w:t>
      </w:r>
      <w:r w:rsidR="00DE64A9">
        <w:t xml:space="preserve">de har haft tilknyttet i det foregående kalenderår. </w:t>
      </w:r>
    </w:p>
    <w:p w14:paraId="0907A79C" w14:textId="77777777" w:rsidR="000916BA" w:rsidRDefault="000916BA" w:rsidP="000E4A3B">
      <w:r>
        <w:t>Virksomheder skal ikke indberette sundhedspersoner, der har været tilknyttet virksomhedens udenlandske datterselskaber o</w:t>
      </w:r>
      <w:r w:rsidR="00F61CA0">
        <w:t>g lignende.</w:t>
      </w:r>
      <w:r>
        <w:t xml:space="preserve"> </w:t>
      </w:r>
    </w:p>
    <w:p w14:paraId="05B5BF4D" w14:textId="77777777" w:rsidR="00FD76FF" w:rsidRDefault="00FD76FF" w:rsidP="000E4A3B"/>
    <w:p w14:paraId="2878A638" w14:textId="77777777" w:rsidR="000E4A3B" w:rsidRPr="00EE497D" w:rsidRDefault="00F61CA0" w:rsidP="000E4A3B">
      <w:pPr>
        <w:pStyle w:val="Overskrift2"/>
        <w:rPr>
          <w:color w:val="auto"/>
        </w:rPr>
      </w:pPr>
      <w:bookmarkStart w:id="12" w:name="_Toc467513588"/>
      <w:r>
        <w:rPr>
          <w:color w:val="auto"/>
        </w:rPr>
        <w:t>5</w:t>
      </w:r>
      <w:r w:rsidR="000E4A3B" w:rsidRPr="00EE497D">
        <w:rPr>
          <w:color w:val="auto"/>
        </w:rPr>
        <w:t xml:space="preserve">.1 </w:t>
      </w:r>
      <w:r w:rsidR="00046BF5" w:rsidRPr="00EE497D">
        <w:rPr>
          <w:color w:val="auto"/>
        </w:rPr>
        <w:t>Tidspunkt for indberetning</w:t>
      </w:r>
      <w:bookmarkEnd w:id="12"/>
    </w:p>
    <w:p w14:paraId="378D837E" w14:textId="77777777" w:rsidR="00115D7B" w:rsidRDefault="00FD76FF" w:rsidP="0068177D">
      <w:r>
        <w:t>Indberetningen skal foretages en gang om året, senest den 31. januar</w:t>
      </w:r>
      <w:r w:rsidR="00EC721D">
        <w:t>.</w:t>
      </w:r>
      <w:r>
        <w:t xml:space="preserve"> </w:t>
      </w:r>
    </w:p>
    <w:p w14:paraId="4AFA47BF" w14:textId="77777777" w:rsidR="00FD76FF" w:rsidRDefault="00FD76FF" w:rsidP="0068177D"/>
    <w:p w14:paraId="7E9F5575" w14:textId="77777777" w:rsidR="0068177D" w:rsidRPr="00EE497D" w:rsidRDefault="00F61CA0" w:rsidP="0068177D">
      <w:pPr>
        <w:pStyle w:val="Overskrift2"/>
        <w:rPr>
          <w:color w:val="auto"/>
        </w:rPr>
      </w:pPr>
      <w:bookmarkStart w:id="13" w:name="_Toc467513589"/>
      <w:r>
        <w:rPr>
          <w:color w:val="auto"/>
        </w:rPr>
        <w:lastRenderedPageBreak/>
        <w:t>5</w:t>
      </w:r>
      <w:r w:rsidR="0068177D" w:rsidRPr="00EE497D">
        <w:rPr>
          <w:color w:val="auto"/>
        </w:rPr>
        <w:t>.2 S</w:t>
      </w:r>
      <w:r w:rsidR="0017595E" w:rsidRPr="00EE497D">
        <w:rPr>
          <w:color w:val="auto"/>
        </w:rPr>
        <w:t>ådan indberetter</w:t>
      </w:r>
      <w:r w:rsidR="0068177D" w:rsidRPr="00EE497D">
        <w:rPr>
          <w:color w:val="auto"/>
        </w:rPr>
        <w:t xml:space="preserve"> virksomheder</w:t>
      </w:r>
      <w:r w:rsidR="0017595E" w:rsidRPr="00EE497D">
        <w:rPr>
          <w:color w:val="auto"/>
        </w:rPr>
        <w:t xml:space="preserve"> og forretninger</w:t>
      </w:r>
      <w:bookmarkEnd w:id="13"/>
    </w:p>
    <w:p w14:paraId="419E58FF" w14:textId="0615B591" w:rsidR="00EC721D" w:rsidRDefault="00CD5E49" w:rsidP="000B560F">
      <w:r>
        <w:t xml:space="preserve">Indberetning skal foretages via </w:t>
      </w:r>
      <w:r w:rsidR="001A0B57">
        <w:t xml:space="preserve">en </w:t>
      </w:r>
      <w:r>
        <w:t xml:space="preserve">formular på </w:t>
      </w:r>
      <w:r w:rsidR="000E23CB">
        <w:t>Lægemiddelstyrelsens</w:t>
      </w:r>
      <w:r>
        <w:t xml:space="preserve"> hjemmeside og den tilhørende skabelon skal bruges. Der logges på </w:t>
      </w:r>
      <w:r w:rsidR="00A12CAC">
        <w:t xml:space="preserve">formularen med </w:t>
      </w:r>
      <w:proofErr w:type="spellStart"/>
      <w:r w:rsidR="00A12CAC">
        <w:t>NemID</w:t>
      </w:r>
      <w:proofErr w:type="spellEnd"/>
      <w:r w:rsidR="00A12CAC">
        <w:t xml:space="preserve"> (medarbejdersignatur). </w:t>
      </w:r>
    </w:p>
    <w:p w14:paraId="72C91343" w14:textId="1C1F3B9E" w:rsidR="00EC721D" w:rsidRDefault="000B560F" w:rsidP="000B560F">
      <w:r>
        <w:t xml:space="preserve">Indberetningen skal indeholde oplysninger om virksomhedens eller forretningens navn og CVR-nummer, de tilknyttede sundhedspersoners </w:t>
      </w:r>
      <w:r w:rsidR="00EC721D">
        <w:t xml:space="preserve">fulde </w:t>
      </w:r>
      <w:r>
        <w:t xml:space="preserve">navn, </w:t>
      </w:r>
      <w:r w:rsidR="00EC721D">
        <w:t xml:space="preserve">arbejdsplads, </w:t>
      </w:r>
      <w:r>
        <w:t>privatadresse</w:t>
      </w:r>
      <w:r w:rsidR="00CA4EE1">
        <w:t>,</w:t>
      </w:r>
      <w:r w:rsidR="00114A81">
        <w:t xml:space="preserve"> </w:t>
      </w:r>
      <w:proofErr w:type="spellStart"/>
      <w:r w:rsidR="00114A81">
        <w:t>autorisationsID</w:t>
      </w:r>
      <w:proofErr w:type="spellEnd"/>
      <w:r w:rsidR="00114A81">
        <w:t xml:space="preserve"> eller </w:t>
      </w:r>
      <w:r w:rsidR="001A0B57">
        <w:t>CPR</w:t>
      </w:r>
      <w:r w:rsidR="00114A81">
        <w:t xml:space="preserve">-nummer </w:t>
      </w:r>
      <w:r>
        <w:t xml:space="preserve">samt tidsperiode for tilknytningen. </w:t>
      </w:r>
    </w:p>
    <w:p w14:paraId="26F4EF5F" w14:textId="5A804993" w:rsidR="00FD76FF" w:rsidRDefault="00AF23A0" w:rsidP="00FD76FF">
      <w:r>
        <w:t>Når</w:t>
      </w:r>
      <w:r w:rsidR="00EC721D">
        <w:t xml:space="preserve"> indberetningen er indsendt modtager virksomheden</w:t>
      </w:r>
      <w:r w:rsidR="005E2973">
        <w:t xml:space="preserve"> eller forretningen</w:t>
      </w:r>
      <w:r w:rsidR="000B560F">
        <w:t xml:space="preserve"> en e-mail, hvori </w:t>
      </w:r>
      <w:r w:rsidR="000E23CB">
        <w:t>Lægemiddelstyrelsen</w:t>
      </w:r>
      <w:r w:rsidR="000B560F">
        <w:t xml:space="preserve"> bekræfter, at indberetningen er modtaget. E-mailen fra </w:t>
      </w:r>
      <w:r w:rsidR="000E23CB">
        <w:t>Lægemiddelstyrelsen</w:t>
      </w:r>
      <w:r w:rsidR="000B560F">
        <w:t xml:space="preserve"> sendes til den mailadresse, so</w:t>
      </w:r>
      <w:r w:rsidR="00EC721D">
        <w:t>m er</w:t>
      </w:r>
      <w:r w:rsidR="000B560F">
        <w:t xml:space="preserve"> angivet i formularen. I en ny e-mail</w:t>
      </w:r>
      <w:r w:rsidR="009F4914">
        <w:t xml:space="preserve"> fra </w:t>
      </w:r>
      <w:r w:rsidR="000E23CB">
        <w:t>Lægemiddelsstyrelsen</w:t>
      </w:r>
      <w:r w:rsidR="000B560F">
        <w:t xml:space="preserve"> bliver der oplyst et sagsnummer </w:t>
      </w:r>
      <w:r w:rsidR="00115D7B">
        <w:t>for indberetningen.</w:t>
      </w:r>
    </w:p>
    <w:p w14:paraId="1D8FD712" w14:textId="77777777" w:rsidR="00AF7F5F" w:rsidRDefault="00AF7F5F" w:rsidP="00FD76FF"/>
    <w:p w14:paraId="323A92ED" w14:textId="77777777" w:rsidR="005142C9" w:rsidRPr="00EE497D" w:rsidRDefault="00F61CA0" w:rsidP="005142C9">
      <w:pPr>
        <w:pStyle w:val="Overskrift2"/>
        <w:rPr>
          <w:color w:val="auto"/>
        </w:rPr>
      </w:pPr>
      <w:bookmarkStart w:id="14" w:name="_Toc467513590"/>
      <w:r>
        <w:rPr>
          <w:color w:val="auto"/>
        </w:rPr>
        <w:t>5</w:t>
      </w:r>
      <w:r w:rsidR="005142C9" w:rsidRPr="00EE497D">
        <w:rPr>
          <w:color w:val="auto"/>
        </w:rPr>
        <w:t xml:space="preserve">.3 </w:t>
      </w:r>
      <w:r w:rsidR="003A0EE5" w:rsidRPr="00EE497D">
        <w:rPr>
          <w:color w:val="auto"/>
        </w:rPr>
        <w:t>Sundhedspersoner skal informeres</w:t>
      </w:r>
      <w:r w:rsidR="005142C9" w:rsidRPr="00EE497D">
        <w:rPr>
          <w:color w:val="auto"/>
        </w:rPr>
        <w:t xml:space="preserve"> om indberetningen</w:t>
      </w:r>
      <w:bookmarkEnd w:id="14"/>
    </w:p>
    <w:p w14:paraId="0C234938" w14:textId="06936EDD" w:rsidR="005142C9" w:rsidRDefault="003A0EE5" w:rsidP="005142C9">
      <w:r>
        <w:t xml:space="preserve">Samtidig med indberetningen til </w:t>
      </w:r>
      <w:r w:rsidR="000E23CB">
        <w:t>Lægemiddelstyrelsen</w:t>
      </w:r>
      <w:r>
        <w:t xml:space="preserve"> skal</w:t>
      </w:r>
      <w:r w:rsidR="005142C9">
        <w:t xml:space="preserve"> lægemiddel- og </w:t>
      </w:r>
      <w:proofErr w:type="spellStart"/>
      <w:r w:rsidR="005142C9">
        <w:t>medicovirksomheder</w:t>
      </w:r>
      <w:proofErr w:type="spellEnd"/>
      <w:r w:rsidR="005142C9">
        <w:t xml:space="preserve"> og specialforretninger med medicinsk udstyr informere de berørte apotekere, læger, sygeplejesker og tandlæger om indholdet af indberetningen. Det betyder, at:</w:t>
      </w:r>
    </w:p>
    <w:p w14:paraId="40BCA8E2" w14:textId="59EF2AFB" w:rsidR="005142C9" w:rsidRDefault="005142C9" w:rsidP="005142C9">
      <w:pPr>
        <w:pStyle w:val="Listeafsnit"/>
        <w:numPr>
          <w:ilvl w:val="0"/>
          <w:numId w:val="5"/>
        </w:numPr>
      </w:pPr>
      <w:proofErr w:type="gramStart"/>
      <w:r w:rsidRPr="00D26B35">
        <w:rPr>
          <w:b/>
        </w:rPr>
        <w:t>lægemiddelvirksomheder</w:t>
      </w:r>
      <w:proofErr w:type="gramEnd"/>
      <w:r>
        <w:t xml:space="preserve"> samtidig med indberetning til </w:t>
      </w:r>
      <w:r w:rsidR="000E23CB">
        <w:t>Lægemiddelstyrelsen</w:t>
      </w:r>
      <w:r>
        <w:t xml:space="preserve">, skal informere de berørte apotekere, læger og tandlæger om indholdet af indberetningen (hvilke oplysninger, der er videregivet til </w:t>
      </w:r>
      <w:r w:rsidR="000E23CB">
        <w:t>Lægemiddelstyrelsen</w:t>
      </w:r>
      <w:r>
        <w:t>).</w:t>
      </w:r>
    </w:p>
    <w:p w14:paraId="20A7C124" w14:textId="7DCE78BF" w:rsidR="005142C9" w:rsidRDefault="005142C9" w:rsidP="005142C9">
      <w:pPr>
        <w:pStyle w:val="Listeafsnit"/>
        <w:numPr>
          <w:ilvl w:val="0"/>
          <w:numId w:val="5"/>
        </w:numPr>
      </w:pPr>
      <w:proofErr w:type="spellStart"/>
      <w:proofErr w:type="gramStart"/>
      <w:r w:rsidRPr="00D26B35">
        <w:rPr>
          <w:b/>
        </w:rPr>
        <w:t>medicovirksomheder</w:t>
      </w:r>
      <w:proofErr w:type="spellEnd"/>
      <w:proofErr w:type="gramEnd"/>
      <w:r>
        <w:t xml:space="preserve"> samtidig med indberetning til </w:t>
      </w:r>
      <w:r w:rsidR="00AC629E">
        <w:t>Lægemiddelstyrelsen</w:t>
      </w:r>
      <w:r>
        <w:t xml:space="preserve">, skal informere de berørte apotekere, læger, sygeplejersker og tandlæger om indholdet af indberetningen (hvilke oplysninger, der er videregivet til </w:t>
      </w:r>
      <w:r w:rsidR="00AC629E">
        <w:t>Lægemiddelstyrelsen</w:t>
      </w:r>
      <w:r>
        <w:t>).</w:t>
      </w:r>
    </w:p>
    <w:p w14:paraId="5EA95027" w14:textId="63D2B623" w:rsidR="005142C9" w:rsidRDefault="005142C9" w:rsidP="005142C9">
      <w:pPr>
        <w:pStyle w:val="Listeafsnit"/>
        <w:numPr>
          <w:ilvl w:val="0"/>
          <w:numId w:val="5"/>
        </w:numPr>
      </w:pPr>
      <w:proofErr w:type="gramStart"/>
      <w:r>
        <w:t>s</w:t>
      </w:r>
      <w:r w:rsidRPr="00D26B35">
        <w:rPr>
          <w:b/>
        </w:rPr>
        <w:t>pecialforretninger</w:t>
      </w:r>
      <w:proofErr w:type="gramEnd"/>
      <w:r>
        <w:t xml:space="preserve"> med medicinsk udstyr samtidig med indberetning til </w:t>
      </w:r>
      <w:r w:rsidR="00AC629E">
        <w:t>Lægemiddelstyrelsen</w:t>
      </w:r>
      <w:r>
        <w:t xml:space="preserve">, skal informere de berørte læger om indholdet af indberetningen (hvilke oplysninger, der er videregivet til </w:t>
      </w:r>
      <w:r w:rsidR="00AC629E">
        <w:t>Lægemiddelstyrelsen</w:t>
      </w:r>
      <w:r>
        <w:t>).</w:t>
      </w:r>
    </w:p>
    <w:p w14:paraId="2074CC59" w14:textId="77777777" w:rsidR="005142C9" w:rsidRDefault="005142C9" w:rsidP="005142C9"/>
    <w:p w14:paraId="3BD0468D" w14:textId="77777777" w:rsidR="005142C9" w:rsidRPr="00EE497D" w:rsidRDefault="00F61CA0" w:rsidP="005142C9">
      <w:pPr>
        <w:pStyle w:val="Overskrift2"/>
        <w:rPr>
          <w:color w:val="auto"/>
        </w:rPr>
      </w:pPr>
      <w:bookmarkStart w:id="15" w:name="_Toc467513591"/>
      <w:r>
        <w:rPr>
          <w:color w:val="auto"/>
        </w:rPr>
        <w:t>5</w:t>
      </w:r>
      <w:r w:rsidR="005142C9" w:rsidRPr="00EE497D">
        <w:rPr>
          <w:color w:val="auto"/>
        </w:rPr>
        <w:t xml:space="preserve">.4 </w:t>
      </w:r>
      <w:r w:rsidR="004D377F" w:rsidRPr="00EE497D">
        <w:rPr>
          <w:color w:val="auto"/>
        </w:rPr>
        <w:t>Hvis virksomheden</w:t>
      </w:r>
      <w:r w:rsidR="001A0B57" w:rsidRPr="00EE497D">
        <w:rPr>
          <w:color w:val="auto"/>
        </w:rPr>
        <w:t xml:space="preserve"> eller forretningen</w:t>
      </w:r>
      <w:r w:rsidR="004D377F" w:rsidRPr="00EE497D">
        <w:rPr>
          <w:color w:val="auto"/>
        </w:rPr>
        <w:t xml:space="preserve"> opdager fejl i sin indberetning</w:t>
      </w:r>
      <w:bookmarkEnd w:id="15"/>
    </w:p>
    <w:p w14:paraId="402F6F5B" w14:textId="25F3378C" w:rsidR="005142C9" w:rsidRDefault="00CD5E49" w:rsidP="005142C9">
      <w:r>
        <w:t>Opdager</w:t>
      </w:r>
      <w:r w:rsidR="00556B19">
        <w:t xml:space="preserve"> en</w:t>
      </w:r>
      <w:r w:rsidR="005142C9">
        <w:t xml:space="preserve"> lægemiddel- </w:t>
      </w:r>
      <w:r w:rsidR="00556B19">
        <w:t xml:space="preserve">eller </w:t>
      </w:r>
      <w:proofErr w:type="spellStart"/>
      <w:r w:rsidR="00556B19">
        <w:t>medicovirksomhed</w:t>
      </w:r>
      <w:proofErr w:type="spellEnd"/>
      <w:r w:rsidR="005E2973">
        <w:t xml:space="preserve"> eller </w:t>
      </w:r>
      <w:r w:rsidR="005142C9">
        <w:t>forretning</w:t>
      </w:r>
      <w:r w:rsidR="00556B19">
        <w:t xml:space="preserve"> fejl i indberetning</w:t>
      </w:r>
      <w:r>
        <w:t>en</w:t>
      </w:r>
      <w:r w:rsidR="00556B19">
        <w:t xml:space="preserve">, skal der foretages en ny indberetning til </w:t>
      </w:r>
      <w:r w:rsidR="00AC629E">
        <w:t>Lægemiddelstyrelsen</w:t>
      </w:r>
      <w:r w:rsidR="00556B19">
        <w:t xml:space="preserve">. </w:t>
      </w:r>
      <w:r w:rsidR="001A0B57">
        <w:t xml:space="preserve">Det er ikke tilstrækkeligt at indsende ændringerne. </w:t>
      </w:r>
      <w:r w:rsidR="00556B19">
        <w:t xml:space="preserve">Formularen på </w:t>
      </w:r>
      <w:r w:rsidR="00AC629E">
        <w:t>Lægemiddelstyrelsens</w:t>
      </w:r>
      <w:r w:rsidR="00556B19">
        <w:t xml:space="preserve"> hjemmeside skal benyttes og der skal vedhæftes en ny revideret liste over de personer, der var tilknyttet virksomheden</w:t>
      </w:r>
      <w:r w:rsidR="005E2973">
        <w:t xml:space="preserve"> eller forretningen</w:t>
      </w:r>
      <w:r w:rsidR="00556B19">
        <w:t xml:space="preserve"> det foregå</w:t>
      </w:r>
      <w:r w:rsidR="00AF7F5F">
        <w:t xml:space="preserve">ende kalenderår. </w:t>
      </w:r>
    </w:p>
    <w:p w14:paraId="76CFD19E" w14:textId="77777777" w:rsidR="005142C9" w:rsidRDefault="005142C9" w:rsidP="0068177D"/>
    <w:p w14:paraId="1DA99941" w14:textId="5CA3C3ED" w:rsidR="0068177D" w:rsidRPr="00EE497D" w:rsidRDefault="00F61CA0" w:rsidP="0068177D">
      <w:pPr>
        <w:pStyle w:val="Overskrift2"/>
        <w:rPr>
          <w:color w:val="auto"/>
        </w:rPr>
      </w:pPr>
      <w:bookmarkStart w:id="16" w:name="_Toc467513592"/>
      <w:r>
        <w:rPr>
          <w:color w:val="auto"/>
        </w:rPr>
        <w:t>5</w:t>
      </w:r>
      <w:r w:rsidR="001F5057" w:rsidRPr="00EE497D">
        <w:rPr>
          <w:color w:val="auto"/>
        </w:rPr>
        <w:t>.</w:t>
      </w:r>
      <w:r w:rsidR="005142C9" w:rsidRPr="00EE497D">
        <w:rPr>
          <w:color w:val="auto"/>
        </w:rPr>
        <w:t>5</w:t>
      </w:r>
      <w:r w:rsidR="0068177D" w:rsidRPr="00EE497D">
        <w:rPr>
          <w:color w:val="auto"/>
        </w:rPr>
        <w:t xml:space="preserve"> </w:t>
      </w:r>
      <w:r w:rsidR="00AC629E">
        <w:rPr>
          <w:color w:val="auto"/>
        </w:rPr>
        <w:t>Lægemiddelstyrelsens</w:t>
      </w:r>
      <w:r w:rsidR="00BF443D" w:rsidRPr="00EE497D">
        <w:rPr>
          <w:color w:val="auto"/>
        </w:rPr>
        <w:t xml:space="preserve"> a</w:t>
      </w:r>
      <w:r w:rsidR="0068177D" w:rsidRPr="00EE497D">
        <w:rPr>
          <w:color w:val="auto"/>
        </w:rPr>
        <w:t>nvendelse af indberetningen</w:t>
      </w:r>
      <w:bookmarkEnd w:id="16"/>
    </w:p>
    <w:p w14:paraId="0E691A06" w14:textId="11A050D0" w:rsidR="00FD76FF" w:rsidRDefault="00AC629E" w:rsidP="00FD76FF">
      <w:r>
        <w:t>Lægemiddelstyrelsen</w:t>
      </w:r>
      <w:r w:rsidR="00BF443D">
        <w:t xml:space="preserve"> kan</w:t>
      </w:r>
      <w:r w:rsidR="001F5057">
        <w:t xml:space="preserve"> bruge </w:t>
      </w:r>
      <w:r w:rsidR="00FD76FF">
        <w:t>indberetning</w:t>
      </w:r>
      <w:r w:rsidR="001F5057">
        <w:t>er</w:t>
      </w:r>
      <w:r w:rsidR="00FD76FF">
        <w:t xml:space="preserve"> til kontrol af, om apotekere, læger, sygeplejesker og tandlæger har anmeldt eller ansøgt om tilladelse til deres tilknytningsforhold</w:t>
      </w:r>
      <w:r w:rsidR="00BF443D">
        <w:t xml:space="preserve"> i overensstemmelse med sundhedslovens regler.</w:t>
      </w:r>
      <w:r w:rsidR="00FD76FF">
        <w:t xml:space="preserve"> </w:t>
      </w:r>
    </w:p>
    <w:p w14:paraId="71180FA0" w14:textId="4E48FCC0" w:rsidR="006C0CF5" w:rsidRDefault="00AC629E" w:rsidP="0068177D">
      <w:r>
        <w:t>Lægemiddelstyrelsen</w:t>
      </w:r>
      <w:r w:rsidR="00FD76FF">
        <w:t xml:space="preserve"> kan kræve yderligere oplysninger fra </w:t>
      </w:r>
      <w:r w:rsidR="001F5057">
        <w:t xml:space="preserve">lægemiddel- </w:t>
      </w:r>
      <w:r w:rsidR="00C16F8C">
        <w:t>eller</w:t>
      </w:r>
      <w:r w:rsidR="001F5057">
        <w:t xml:space="preserve"> </w:t>
      </w:r>
      <w:proofErr w:type="spellStart"/>
      <w:r w:rsidR="001F5057">
        <w:t>medico</w:t>
      </w:r>
      <w:r w:rsidR="00FD76FF">
        <w:t>virksomheden</w:t>
      </w:r>
      <w:proofErr w:type="spellEnd"/>
      <w:r w:rsidR="001F5057">
        <w:t xml:space="preserve"> eller specialforretningen med medicinsk udstyr</w:t>
      </w:r>
      <w:r w:rsidR="00FD76FF">
        <w:t xml:space="preserve"> om det enkelte tilknytningsforhold, herunder om tilknytningens art og omfang samt om størr</w:t>
      </w:r>
      <w:r w:rsidR="001F5057">
        <w:t xml:space="preserve">elsen af den betaling, som sundhedspersonen </w:t>
      </w:r>
      <w:r w:rsidR="00FD76FF">
        <w:t xml:space="preserve">har modtaget. </w:t>
      </w:r>
    </w:p>
    <w:p w14:paraId="431C56D9" w14:textId="77777777" w:rsidR="006B4C1E" w:rsidRDefault="006B4C1E" w:rsidP="0068177D"/>
    <w:p w14:paraId="313CA810" w14:textId="77777777" w:rsidR="00BA5BEB" w:rsidRPr="00F252B9" w:rsidRDefault="007F589A" w:rsidP="00F252B9">
      <w:pPr>
        <w:pStyle w:val="Overskrift1"/>
        <w:rPr>
          <w:color w:val="auto"/>
        </w:rPr>
      </w:pPr>
      <w:bookmarkStart w:id="17" w:name="_Toc467513593"/>
      <w:r w:rsidRPr="00F252B9">
        <w:rPr>
          <w:color w:val="auto"/>
        </w:rPr>
        <w:lastRenderedPageBreak/>
        <w:t>6</w:t>
      </w:r>
      <w:r w:rsidR="00BA5BEB" w:rsidRPr="00F252B9">
        <w:rPr>
          <w:color w:val="auto"/>
        </w:rPr>
        <w:t xml:space="preserve"> Reglerne</w:t>
      </w:r>
      <w:bookmarkEnd w:id="17"/>
    </w:p>
    <w:p w14:paraId="7F08307F" w14:textId="77777777" w:rsidR="00B80AAE" w:rsidRPr="00B80AAE" w:rsidRDefault="00B80AAE" w:rsidP="00B80AAE"/>
    <w:p w14:paraId="78396B4C" w14:textId="77777777" w:rsidR="00220B35" w:rsidRDefault="00220B35" w:rsidP="00B80AAE">
      <w:pPr>
        <w:pStyle w:val="Overskrift2"/>
        <w:rPr>
          <w:color w:val="auto"/>
        </w:rPr>
      </w:pPr>
      <w:bookmarkStart w:id="18" w:name="_Toc467513594"/>
      <w:r w:rsidRPr="008433A8">
        <w:rPr>
          <w:color w:val="auto"/>
        </w:rPr>
        <w:t>6.1 In</w:t>
      </w:r>
      <w:r w:rsidR="00CB0081">
        <w:rPr>
          <w:color w:val="auto"/>
        </w:rPr>
        <w:t>formationspligten</w:t>
      </w:r>
      <w:bookmarkEnd w:id="18"/>
    </w:p>
    <w:p w14:paraId="4DD649DB" w14:textId="46C9B6B8" w:rsidR="00CB0081" w:rsidRDefault="00CB0081" w:rsidP="00CB0081">
      <w:r>
        <w:t xml:space="preserve">Reglerne om </w:t>
      </w:r>
      <w:r w:rsidRPr="00B80AAE">
        <w:rPr>
          <w:b/>
        </w:rPr>
        <w:t>lægemiddelvirksomheders</w:t>
      </w:r>
      <w:r>
        <w:t xml:space="preserve"> informationspligt fremgår af lægemiddellovens § 43 c, stk. 1 og § 18, stk. 1 i b</w:t>
      </w:r>
      <w:r w:rsidRPr="007802EB">
        <w:t xml:space="preserve">ekendtgørelse </w:t>
      </w:r>
      <w:r w:rsidR="00114A81" w:rsidRPr="00114A81">
        <w:t xml:space="preserve">nr. XX af XX </w:t>
      </w:r>
      <w:proofErr w:type="spellStart"/>
      <w:r w:rsidR="00114A81" w:rsidRPr="00114A81">
        <w:t>XX</w:t>
      </w:r>
      <w:proofErr w:type="spellEnd"/>
      <w:r w:rsidR="00114A81" w:rsidRPr="00114A81">
        <w:t xml:space="preserve"> XXXX </w:t>
      </w:r>
      <w:r w:rsidRPr="007802EB">
        <w:t xml:space="preserve">om sundhedspersoners tilknytning til lægemiddel- og </w:t>
      </w:r>
      <w:proofErr w:type="spellStart"/>
      <w:r w:rsidRPr="007802EB">
        <w:t>medicovirksomheder</w:t>
      </w:r>
      <w:proofErr w:type="spellEnd"/>
      <w:r w:rsidRPr="007802EB">
        <w:t xml:space="preserve"> og specialforretninger med medicinsk udstyr</w:t>
      </w:r>
      <w:r>
        <w:t xml:space="preserve">.  </w:t>
      </w:r>
    </w:p>
    <w:p w14:paraId="30DC2B27" w14:textId="6FCA0F4A" w:rsidR="00CB0081" w:rsidRPr="00220B35" w:rsidRDefault="00CB0081" w:rsidP="00CB0081">
      <w:r>
        <w:t xml:space="preserve">Reglerne om </w:t>
      </w:r>
      <w:proofErr w:type="spellStart"/>
      <w:r w:rsidRPr="00B80AAE">
        <w:rPr>
          <w:b/>
        </w:rPr>
        <w:t>medicovirksomheders</w:t>
      </w:r>
      <w:proofErr w:type="spellEnd"/>
      <w:r>
        <w:t xml:space="preserve"> informationspligt fremgår af § 2 c, stk. 1 i lov om medicinsk udstyr og § 18, stk. 1 i b</w:t>
      </w:r>
      <w:r w:rsidRPr="007802EB">
        <w:t xml:space="preserve">ekendtgørelse </w:t>
      </w:r>
      <w:r w:rsidR="00114A81" w:rsidRPr="00114A81">
        <w:t xml:space="preserve">nr. XX af XX </w:t>
      </w:r>
      <w:proofErr w:type="spellStart"/>
      <w:r w:rsidR="00114A81" w:rsidRPr="00114A81">
        <w:t>XX</w:t>
      </w:r>
      <w:proofErr w:type="spellEnd"/>
      <w:r w:rsidR="00114A81" w:rsidRPr="00114A81">
        <w:t xml:space="preserve"> XXXX </w:t>
      </w:r>
      <w:r w:rsidRPr="007802EB">
        <w:t xml:space="preserve">om sundhedspersoners tilknytning til lægemiddel- og </w:t>
      </w:r>
      <w:proofErr w:type="spellStart"/>
      <w:r w:rsidRPr="007802EB">
        <w:t>medicovirksomheder</w:t>
      </w:r>
      <w:proofErr w:type="spellEnd"/>
      <w:r w:rsidRPr="007802EB">
        <w:t xml:space="preserve"> og specialforretninger med medicinsk udstyr</w:t>
      </w:r>
      <w:r w:rsidRPr="00465E14">
        <w:t>.</w:t>
      </w:r>
    </w:p>
    <w:p w14:paraId="097053C8" w14:textId="0D66FED9" w:rsidR="00CB0081" w:rsidRPr="00220B35" w:rsidRDefault="00CB0081" w:rsidP="00CB0081">
      <w:r>
        <w:t xml:space="preserve">Reglerne om </w:t>
      </w:r>
      <w:r w:rsidRPr="008433A8">
        <w:rPr>
          <w:b/>
        </w:rPr>
        <w:t>specialforretninger</w:t>
      </w:r>
      <w:r>
        <w:rPr>
          <w:b/>
        </w:rPr>
        <w:t xml:space="preserve"> med medicinsk udstyr</w:t>
      </w:r>
      <w:r w:rsidRPr="008433A8">
        <w:rPr>
          <w:b/>
        </w:rPr>
        <w:t>s</w:t>
      </w:r>
      <w:r w:rsidRPr="008433A8">
        <w:t xml:space="preserve"> informationspligt fremgår af § 2 c, stk. 2 i lov om medicinsk udstyr og § 18, stk. 2</w:t>
      </w:r>
      <w:r w:rsidRPr="00835936">
        <w:t xml:space="preserve"> i b</w:t>
      </w:r>
      <w:r w:rsidRPr="00EE497D">
        <w:t xml:space="preserve">ekendtgørelse </w:t>
      </w:r>
      <w:r w:rsidR="00114A81" w:rsidRPr="00114A81">
        <w:t xml:space="preserve">nr. XX af XX </w:t>
      </w:r>
      <w:proofErr w:type="spellStart"/>
      <w:r w:rsidR="00114A81" w:rsidRPr="00114A81">
        <w:t>XX</w:t>
      </w:r>
      <w:proofErr w:type="spellEnd"/>
      <w:r w:rsidR="00114A81" w:rsidRPr="00114A81">
        <w:t xml:space="preserve"> XXXX </w:t>
      </w:r>
      <w:r w:rsidRPr="007802EB">
        <w:t xml:space="preserve">om sundhedspersoners tilknytning til lægemiddel- og </w:t>
      </w:r>
      <w:proofErr w:type="spellStart"/>
      <w:r w:rsidRPr="007802EB">
        <w:t>medicovirksomheder</w:t>
      </w:r>
      <w:proofErr w:type="spellEnd"/>
      <w:r w:rsidRPr="007802EB">
        <w:t xml:space="preserve"> og specialforretninger med medicinsk udstyr</w:t>
      </w:r>
      <w:r w:rsidRPr="00465E14">
        <w:t>.</w:t>
      </w:r>
    </w:p>
    <w:p w14:paraId="354AE69D" w14:textId="77777777" w:rsidR="00B80AAE" w:rsidRDefault="00B80AAE" w:rsidP="0068177D"/>
    <w:p w14:paraId="157DEF67" w14:textId="77777777" w:rsidR="00B80AAE" w:rsidRPr="00337D58" w:rsidRDefault="00B80AAE" w:rsidP="00B80AAE">
      <w:pPr>
        <w:pStyle w:val="Overskrift2"/>
        <w:rPr>
          <w:color w:val="auto"/>
        </w:rPr>
      </w:pPr>
      <w:bookmarkStart w:id="19" w:name="_Toc467513595"/>
      <w:r w:rsidRPr="00337D58">
        <w:rPr>
          <w:color w:val="auto"/>
        </w:rPr>
        <w:t>6.2 In</w:t>
      </w:r>
      <w:r w:rsidR="00CB0081">
        <w:rPr>
          <w:color w:val="auto"/>
        </w:rPr>
        <w:t>dberetnings</w:t>
      </w:r>
      <w:r w:rsidRPr="00337D58">
        <w:rPr>
          <w:color w:val="auto"/>
        </w:rPr>
        <w:t>pligten</w:t>
      </w:r>
      <w:bookmarkEnd w:id="19"/>
    </w:p>
    <w:p w14:paraId="1B55F825" w14:textId="56C5DD03" w:rsidR="00CB0081" w:rsidRDefault="00CB0081" w:rsidP="00CB0081">
      <w:r>
        <w:t xml:space="preserve">Reglerne om </w:t>
      </w:r>
      <w:r w:rsidRPr="00B80AAE">
        <w:rPr>
          <w:b/>
        </w:rPr>
        <w:t>lægemiddelvirksomheders</w:t>
      </w:r>
      <w:r>
        <w:t xml:space="preserve"> indberetningspligt fremgår af lægemiddellovens § 43 b, stk. 1 og § 16, stk. 1 og § 17 i b</w:t>
      </w:r>
      <w:r w:rsidRPr="007802EB">
        <w:t xml:space="preserve">ekendtgørelse </w:t>
      </w:r>
      <w:r w:rsidR="00114A81" w:rsidRPr="00114A81">
        <w:t xml:space="preserve">nr. XX af XX </w:t>
      </w:r>
      <w:proofErr w:type="spellStart"/>
      <w:r w:rsidR="00114A81" w:rsidRPr="00114A81">
        <w:t>XX</w:t>
      </w:r>
      <w:proofErr w:type="spellEnd"/>
      <w:r w:rsidR="00114A81" w:rsidRPr="00114A81">
        <w:t xml:space="preserve"> XXXX </w:t>
      </w:r>
      <w:r w:rsidRPr="007802EB">
        <w:t xml:space="preserve">om sundhedspersoners tilknytning til lægemiddel- og </w:t>
      </w:r>
      <w:proofErr w:type="spellStart"/>
      <w:r w:rsidRPr="007802EB">
        <w:t>medicovirksomheder</w:t>
      </w:r>
      <w:proofErr w:type="spellEnd"/>
      <w:r w:rsidRPr="007802EB">
        <w:t xml:space="preserve"> og specialforretninger med medicinsk udstyr</w:t>
      </w:r>
      <w:r>
        <w:t xml:space="preserve">.  </w:t>
      </w:r>
    </w:p>
    <w:p w14:paraId="4C1D5FFC" w14:textId="32A2592B" w:rsidR="00CB0081" w:rsidRPr="00220B35" w:rsidRDefault="00CB0081" w:rsidP="00CB0081">
      <w:r>
        <w:t xml:space="preserve">Reglerne om </w:t>
      </w:r>
      <w:proofErr w:type="spellStart"/>
      <w:r w:rsidRPr="00B80AAE">
        <w:rPr>
          <w:b/>
        </w:rPr>
        <w:t>medicovirksomheders</w:t>
      </w:r>
      <w:proofErr w:type="spellEnd"/>
      <w:r>
        <w:t xml:space="preserve"> indberetningspligt fremgår af § 2 b, stk. 1 i lov om medicinsk udstyr og § 16, stk. 2 og § 17 i </w:t>
      </w:r>
      <w:r w:rsidRPr="008433A8">
        <w:t xml:space="preserve">bekendtgørelse </w:t>
      </w:r>
      <w:r w:rsidR="00114A81" w:rsidRPr="00114A81">
        <w:t xml:space="preserve">nr. XX af XX </w:t>
      </w:r>
      <w:proofErr w:type="spellStart"/>
      <w:r w:rsidR="00114A81" w:rsidRPr="00114A81">
        <w:t>XX</w:t>
      </w:r>
      <w:proofErr w:type="spellEnd"/>
      <w:r w:rsidR="00114A81" w:rsidRPr="00114A81">
        <w:t xml:space="preserve"> XXXX </w:t>
      </w:r>
      <w:r w:rsidRPr="007802EB">
        <w:t xml:space="preserve">om sundhedspersoners tilknytning til lægemiddel- og </w:t>
      </w:r>
      <w:proofErr w:type="spellStart"/>
      <w:r w:rsidRPr="007802EB">
        <w:t>medicovirksomheder</w:t>
      </w:r>
      <w:proofErr w:type="spellEnd"/>
      <w:r w:rsidRPr="007802EB">
        <w:t xml:space="preserve"> og specialforretninger med medicinsk udstyr</w:t>
      </w:r>
      <w:r w:rsidRPr="00465E14">
        <w:t>.</w:t>
      </w:r>
    </w:p>
    <w:p w14:paraId="1DF81766" w14:textId="32E066C1" w:rsidR="00CB0081" w:rsidRPr="00220B35" w:rsidRDefault="00CB0081" w:rsidP="00CB0081">
      <w:r>
        <w:t xml:space="preserve">Reglerne om </w:t>
      </w:r>
      <w:r w:rsidRPr="00B80AAE">
        <w:rPr>
          <w:b/>
        </w:rPr>
        <w:t>specialforretninger</w:t>
      </w:r>
      <w:r>
        <w:rPr>
          <w:b/>
        </w:rPr>
        <w:t xml:space="preserve"> med medicinsk udstyrs</w:t>
      </w:r>
      <w:r>
        <w:t xml:space="preserve"> indberetningspligt fremgår af § 2 b, stk. 2 i lov om medicinsk udstyr og § 16, stk. 3 og § 17 i b</w:t>
      </w:r>
      <w:r w:rsidRPr="007802EB">
        <w:t xml:space="preserve">ekendtgørelse </w:t>
      </w:r>
      <w:r w:rsidR="00114A81" w:rsidRPr="00114A81">
        <w:t xml:space="preserve">nr. XX af XX </w:t>
      </w:r>
      <w:proofErr w:type="spellStart"/>
      <w:r w:rsidR="00114A81" w:rsidRPr="00114A81">
        <w:t>XX</w:t>
      </w:r>
      <w:proofErr w:type="spellEnd"/>
      <w:r w:rsidR="00114A81" w:rsidRPr="00114A81">
        <w:t xml:space="preserve"> XXXX</w:t>
      </w:r>
      <w:r>
        <w:t xml:space="preserve"> </w:t>
      </w:r>
      <w:r w:rsidRPr="007802EB">
        <w:t xml:space="preserve">om sundhedspersoners tilknytning til lægemiddel- og </w:t>
      </w:r>
      <w:proofErr w:type="spellStart"/>
      <w:r w:rsidRPr="007802EB">
        <w:t>medicovirksomheder</w:t>
      </w:r>
      <w:proofErr w:type="spellEnd"/>
      <w:r w:rsidRPr="007802EB">
        <w:t xml:space="preserve"> og specialforretninger med medicinsk udstyr</w:t>
      </w:r>
      <w:r w:rsidRPr="00465E14">
        <w:t>.</w:t>
      </w:r>
    </w:p>
    <w:p w14:paraId="51A65728" w14:textId="77777777" w:rsidR="002D7717" w:rsidRPr="002D7717" w:rsidRDefault="002D7717" w:rsidP="002D7717"/>
    <w:p w14:paraId="756A6EB9" w14:textId="75610B34" w:rsidR="002D7717" w:rsidRDefault="002D7717" w:rsidP="002D7717">
      <w:r>
        <w:t xml:space="preserve">Reglerne om sundhedspersoners tilknytning til lægemiddel- og </w:t>
      </w:r>
      <w:proofErr w:type="spellStart"/>
      <w:r>
        <w:t>medicovirksomheder</w:t>
      </w:r>
      <w:proofErr w:type="spellEnd"/>
      <w:r>
        <w:t xml:space="preserve"> og specialforretninger med medicinsk udstyr </w:t>
      </w:r>
      <w:r w:rsidR="00C560E3">
        <w:t xml:space="preserve">fremgår af </w:t>
      </w:r>
      <w:r>
        <w:t>sundhedslovens kapitel 61 a og i b</w:t>
      </w:r>
      <w:r w:rsidRPr="007802EB">
        <w:t xml:space="preserve">ekendtgørelse </w:t>
      </w:r>
      <w:r w:rsidR="00114A81" w:rsidRPr="00114A81">
        <w:t xml:space="preserve">nr. XX af XX </w:t>
      </w:r>
      <w:proofErr w:type="spellStart"/>
      <w:r w:rsidR="00114A81" w:rsidRPr="00114A81">
        <w:t>XX</w:t>
      </w:r>
      <w:proofErr w:type="spellEnd"/>
      <w:r w:rsidR="00114A81" w:rsidRPr="00114A81">
        <w:t xml:space="preserve"> XXXX</w:t>
      </w:r>
      <w:r w:rsidR="00AD5729">
        <w:t xml:space="preserve"> </w:t>
      </w:r>
      <w:r w:rsidRPr="007802EB">
        <w:t xml:space="preserve">om sundhedspersoners tilknytning til lægemiddel- og </w:t>
      </w:r>
      <w:proofErr w:type="spellStart"/>
      <w:r w:rsidRPr="007802EB">
        <w:t>medicovirksomheder</w:t>
      </w:r>
      <w:proofErr w:type="spellEnd"/>
      <w:r w:rsidRPr="007802EB">
        <w:t xml:space="preserve"> og specialforretninger med medicinsk udstyr</w:t>
      </w:r>
      <w:r>
        <w:t xml:space="preserve">. </w:t>
      </w:r>
    </w:p>
    <w:p w14:paraId="0F269D34" w14:textId="77777777" w:rsidR="00BD733D" w:rsidRDefault="00BD733D" w:rsidP="0068177D"/>
    <w:p w14:paraId="5769A03E" w14:textId="61152CA3" w:rsidR="00A61558" w:rsidRPr="00EE497D" w:rsidRDefault="007F589A" w:rsidP="00A61558">
      <w:pPr>
        <w:pStyle w:val="Overskrift1"/>
        <w:rPr>
          <w:color w:val="auto"/>
        </w:rPr>
      </w:pPr>
      <w:bookmarkStart w:id="20" w:name="_Toc467513596"/>
      <w:r w:rsidRPr="00EE497D">
        <w:rPr>
          <w:color w:val="auto"/>
        </w:rPr>
        <w:t>7</w:t>
      </w:r>
      <w:r w:rsidR="00DA6931" w:rsidRPr="00EE497D">
        <w:rPr>
          <w:color w:val="auto"/>
        </w:rPr>
        <w:t xml:space="preserve"> </w:t>
      </w:r>
      <w:r w:rsidR="003C45FF" w:rsidRPr="00EE497D">
        <w:rPr>
          <w:color w:val="auto"/>
        </w:rPr>
        <w:t>Hvad sk</w:t>
      </w:r>
      <w:r w:rsidR="00A61558" w:rsidRPr="00EE497D">
        <w:rPr>
          <w:color w:val="auto"/>
        </w:rPr>
        <w:t>er der</w:t>
      </w:r>
      <w:r w:rsidR="007F43B4" w:rsidRPr="00EE497D">
        <w:rPr>
          <w:color w:val="auto"/>
        </w:rPr>
        <w:t xml:space="preserve"> ved manglende indberetning</w:t>
      </w:r>
      <w:r w:rsidR="003A19C9">
        <w:rPr>
          <w:color w:val="auto"/>
        </w:rPr>
        <w:t xml:space="preserve"> til </w:t>
      </w:r>
      <w:r w:rsidR="00AC629E">
        <w:rPr>
          <w:color w:val="auto"/>
        </w:rPr>
        <w:t>Lægemiddelstyrelsen</w:t>
      </w:r>
      <w:r w:rsidR="007F43B4" w:rsidRPr="00EE497D">
        <w:rPr>
          <w:color w:val="auto"/>
        </w:rPr>
        <w:t xml:space="preserve"> eller information til sundhedspersoner</w:t>
      </w:r>
      <w:r w:rsidR="00DA6931" w:rsidRPr="00EE497D">
        <w:rPr>
          <w:color w:val="auto"/>
        </w:rPr>
        <w:t>?</w:t>
      </w:r>
      <w:bookmarkEnd w:id="20"/>
    </w:p>
    <w:p w14:paraId="0A3547E3" w14:textId="65BBCBA7" w:rsidR="00C01900" w:rsidRDefault="00C01900" w:rsidP="00B947CB">
      <w:r w:rsidRPr="00B947CB">
        <w:t xml:space="preserve">Overtrædelse af kravet om indberetning til </w:t>
      </w:r>
      <w:r w:rsidR="00AC629E">
        <w:t>Lægemiddelstyrelsen</w:t>
      </w:r>
      <w:r w:rsidRPr="00B947CB">
        <w:t xml:space="preserve"> og information til sundhedspersoner, kan straffes med bøde jf. </w:t>
      </w:r>
      <w:r>
        <w:t xml:space="preserve">§ 19, </w:t>
      </w:r>
      <w:r w:rsidR="000D5429">
        <w:t>stk.</w:t>
      </w:r>
      <w:r>
        <w:t xml:space="preserve"> 1, nr. 1 i b</w:t>
      </w:r>
      <w:r w:rsidR="00A61558">
        <w:t xml:space="preserve">ekendtgørelse </w:t>
      </w:r>
      <w:r w:rsidR="00114A81" w:rsidRPr="00114A81">
        <w:t xml:space="preserve">nr. XX af XX </w:t>
      </w:r>
      <w:proofErr w:type="spellStart"/>
      <w:r w:rsidR="00114A81" w:rsidRPr="00114A81">
        <w:t>XX</w:t>
      </w:r>
      <w:proofErr w:type="spellEnd"/>
      <w:r w:rsidR="00114A81" w:rsidRPr="00114A81">
        <w:t xml:space="preserve"> XXXX </w:t>
      </w:r>
      <w:r w:rsidR="00A61558">
        <w:t xml:space="preserve">om sundhedspersoners tilknytning til lægemiddel- og </w:t>
      </w:r>
      <w:proofErr w:type="spellStart"/>
      <w:r w:rsidR="00A61558">
        <w:t>medicovirksomheder</w:t>
      </w:r>
      <w:proofErr w:type="spellEnd"/>
      <w:r w:rsidR="00A61558">
        <w:t xml:space="preserve"> og specialforretninger med medicinsk udstyr. </w:t>
      </w:r>
      <w:r w:rsidR="00B947CB">
        <w:t xml:space="preserve">Hvis en virksomhed undlader at udlevere oplysninger efter </w:t>
      </w:r>
      <w:r w:rsidR="00BD70DB">
        <w:t xml:space="preserve">bekendtgørelsens </w:t>
      </w:r>
      <w:r w:rsidR="00B947CB">
        <w:t>§ 17, stk. 4 kan dette ligeledes straffe</w:t>
      </w:r>
      <w:r w:rsidR="00BD70DB">
        <w:t>s med bøde, jf.</w:t>
      </w:r>
      <w:r w:rsidR="00B947CB">
        <w:t xml:space="preserve"> § 19, stk. 1, nr. 2.</w:t>
      </w:r>
    </w:p>
    <w:p w14:paraId="39138F61" w14:textId="77777777" w:rsidR="00DA6931" w:rsidRPr="00B947CB" w:rsidRDefault="00B82D93" w:rsidP="00B947CB">
      <w:r>
        <w:lastRenderedPageBreak/>
        <w:t>Det følger af § 19, stk. 2, at s</w:t>
      </w:r>
      <w:r w:rsidR="00A61558">
        <w:t>elskaber mv. (juridiske personer) kan pålægge</w:t>
      </w:r>
      <w:r>
        <w:t>s</w:t>
      </w:r>
      <w:r w:rsidR="00A61558">
        <w:t xml:space="preserve"> straf</w:t>
      </w:r>
      <w:r w:rsidR="007F589A">
        <w:t>ans</w:t>
      </w:r>
      <w:r w:rsidR="00A61558">
        <w:t>v</w:t>
      </w:r>
      <w:r w:rsidR="007F589A">
        <w:t>a</w:t>
      </w:r>
      <w:r w:rsidR="00A61558">
        <w:t>r efter reglerne i straffelovens 5. kapitel.</w:t>
      </w:r>
    </w:p>
    <w:p w14:paraId="3E7053C1" w14:textId="77777777" w:rsidR="00A61558" w:rsidRPr="006C0CF5" w:rsidRDefault="00A61558" w:rsidP="006C0CF5"/>
    <w:p w14:paraId="7649F2F2" w14:textId="77777777" w:rsidR="0068177D" w:rsidRPr="00EE497D" w:rsidRDefault="007F589A" w:rsidP="0068177D">
      <w:pPr>
        <w:pStyle w:val="Overskrift1"/>
        <w:rPr>
          <w:color w:val="auto"/>
        </w:rPr>
      </w:pPr>
      <w:bookmarkStart w:id="21" w:name="_Toc467513597"/>
      <w:r w:rsidRPr="00EE497D">
        <w:rPr>
          <w:color w:val="auto"/>
        </w:rPr>
        <w:t>8</w:t>
      </w:r>
      <w:r w:rsidR="00295050" w:rsidRPr="00EE497D">
        <w:rPr>
          <w:color w:val="auto"/>
        </w:rPr>
        <w:t xml:space="preserve"> </w:t>
      </w:r>
      <w:r w:rsidR="00060B8E" w:rsidRPr="00EE497D">
        <w:rPr>
          <w:color w:val="auto"/>
        </w:rPr>
        <w:t>Spørgsmål</w:t>
      </w:r>
      <w:r w:rsidR="00C45823">
        <w:rPr>
          <w:color w:val="auto"/>
        </w:rPr>
        <w:t xml:space="preserve"> og klager</w:t>
      </w:r>
      <w:bookmarkEnd w:id="21"/>
    </w:p>
    <w:p w14:paraId="0DFA13F8" w14:textId="31250BE7" w:rsidR="008433A8" w:rsidRDefault="00A61558" w:rsidP="0068177D">
      <w:r>
        <w:t xml:space="preserve">Spørgsmål til reglerne om </w:t>
      </w:r>
      <w:r w:rsidR="00060B8E">
        <w:t xml:space="preserve">indberetnings- og informationspligten for lægemiddel- og </w:t>
      </w:r>
      <w:proofErr w:type="spellStart"/>
      <w:r w:rsidR="00060B8E">
        <w:t>medicovirksomheder</w:t>
      </w:r>
      <w:proofErr w:type="spellEnd"/>
      <w:r w:rsidR="00060B8E">
        <w:t xml:space="preserve"> og specialforretninger med medicinsk udstyr</w:t>
      </w:r>
      <w:r>
        <w:t xml:space="preserve"> kan sendes til </w:t>
      </w:r>
      <w:r w:rsidR="00AC629E">
        <w:t>Lægemiddelstyrelsen</w:t>
      </w:r>
      <w:r>
        <w:t xml:space="preserve"> på</w:t>
      </w:r>
      <w:r w:rsidR="00391F17">
        <w:t xml:space="preserve"> </w:t>
      </w:r>
      <w:hyperlink r:id="rId8" w:history="1">
        <w:r w:rsidR="00391F17" w:rsidRPr="003A19C9">
          <w:t>tilknytning@dkma.dk</w:t>
        </w:r>
      </w:hyperlink>
      <w:r>
        <w:t xml:space="preserve"> eller: </w:t>
      </w:r>
    </w:p>
    <w:p w14:paraId="4DDCD3DB" w14:textId="75467063" w:rsidR="008433A8" w:rsidRDefault="00AC629E" w:rsidP="0068177D">
      <w:r>
        <w:t>Lægemiddelstyrelsen</w:t>
      </w:r>
    </w:p>
    <w:p w14:paraId="2BB84C54" w14:textId="77777777" w:rsidR="008433A8" w:rsidRDefault="003A19C9" w:rsidP="0068177D">
      <w:r>
        <w:t xml:space="preserve"> Axel Heides Gade 1</w:t>
      </w:r>
    </w:p>
    <w:p w14:paraId="58550F33" w14:textId="77777777" w:rsidR="008433A8" w:rsidRDefault="00A61558" w:rsidP="0068177D">
      <w:r>
        <w:t>2300 K</w:t>
      </w:r>
      <w:r w:rsidR="00995C64">
        <w:t>øbenhavn</w:t>
      </w:r>
      <w:r>
        <w:t xml:space="preserve"> S</w:t>
      </w:r>
      <w:r w:rsidR="00BA5BEB">
        <w:t xml:space="preserve">. </w:t>
      </w:r>
    </w:p>
    <w:p w14:paraId="52350BD1" w14:textId="3731DC90" w:rsidR="00BA5BEB" w:rsidRDefault="00BA5BEB" w:rsidP="0068177D">
      <w:r>
        <w:t xml:space="preserve">Der kan også ringes til </w:t>
      </w:r>
      <w:r w:rsidR="00AC629E">
        <w:t>Lægemiddelstyrelsen</w:t>
      </w:r>
      <w:r>
        <w:t xml:space="preserve"> på + 45 </w:t>
      </w:r>
      <w:r w:rsidR="00AC629E">
        <w:t>44 88 95 95</w:t>
      </w:r>
      <w:r>
        <w:t>.</w:t>
      </w:r>
    </w:p>
    <w:p w14:paraId="5813272B" w14:textId="77777777" w:rsidR="00C45823" w:rsidRDefault="00C45823" w:rsidP="00C45823"/>
    <w:p w14:paraId="71D27914" w14:textId="53B94B6E" w:rsidR="00C45823" w:rsidRPr="000C5827" w:rsidRDefault="00AC629E" w:rsidP="00C45823">
      <w:r>
        <w:t>Lægemiddelstyrelsens</w:t>
      </w:r>
      <w:r w:rsidR="00C45823" w:rsidRPr="00A337F6">
        <w:t xml:space="preserve"> afgørelser kan </w:t>
      </w:r>
      <w:r w:rsidR="00C45823">
        <w:t>påklages til</w:t>
      </w:r>
      <w:r w:rsidR="00C45823" w:rsidRPr="00A337F6">
        <w:t xml:space="preserve"> </w:t>
      </w:r>
      <w:r>
        <w:t>Sundheds- og Ældreministeriet</w:t>
      </w:r>
      <w:r w:rsidR="00C45823">
        <w:t xml:space="preserve">. </w:t>
      </w:r>
      <w:r w:rsidR="00C45823" w:rsidRPr="00A337F6">
        <w:t>Ministeriets adresse er:</w:t>
      </w:r>
    </w:p>
    <w:p w14:paraId="327BFA04" w14:textId="08F449EB" w:rsidR="00C45823" w:rsidRDefault="00AC629E" w:rsidP="00C45823">
      <w:r>
        <w:t>Sundheds- og Ældreministeriet</w:t>
      </w:r>
    </w:p>
    <w:p w14:paraId="593327C5" w14:textId="77777777" w:rsidR="00C45823" w:rsidRDefault="00C45823" w:rsidP="00C45823">
      <w:r w:rsidRPr="000C5827">
        <w:t>Holbergsgade 6</w:t>
      </w:r>
    </w:p>
    <w:p w14:paraId="1A8992E0" w14:textId="77777777" w:rsidR="00C45823" w:rsidRDefault="00C45823" w:rsidP="00C45823">
      <w:r>
        <w:t>1057 København K</w:t>
      </w:r>
      <w:r w:rsidRPr="000C5827">
        <w:t>.</w:t>
      </w:r>
    </w:p>
    <w:p w14:paraId="2AD45AD7" w14:textId="77777777" w:rsidR="0068177D" w:rsidRDefault="0068177D" w:rsidP="0068177D"/>
    <w:p w14:paraId="2FADBE2D" w14:textId="77777777" w:rsidR="0068177D" w:rsidRPr="00EE497D" w:rsidRDefault="007F589A" w:rsidP="0068177D">
      <w:pPr>
        <w:pStyle w:val="Overskrift1"/>
        <w:rPr>
          <w:color w:val="auto"/>
        </w:rPr>
      </w:pPr>
      <w:bookmarkStart w:id="22" w:name="_Toc467513598"/>
      <w:r w:rsidRPr="00EE497D">
        <w:rPr>
          <w:color w:val="auto"/>
        </w:rPr>
        <w:t>9</w:t>
      </w:r>
      <w:r w:rsidR="00295050" w:rsidRPr="00EE497D">
        <w:rPr>
          <w:color w:val="auto"/>
        </w:rPr>
        <w:t xml:space="preserve"> </w:t>
      </w:r>
      <w:r w:rsidR="00891A02">
        <w:rPr>
          <w:color w:val="auto"/>
        </w:rPr>
        <w:t>O</w:t>
      </w:r>
      <w:r w:rsidR="0078454C">
        <w:rPr>
          <w:color w:val="auto"/>
        </w:rPr>
        <w:t>vergangsbestemmelser</w:t>
      </w:r>
      <w:bookmarkEnd w:id="22"/>
    </w:p>
    <w:p w14:paraId="45B7EE02" w14:textId="637A5F83" w:rsidR="00B341A0" w:rsidRDefault="00B341A0" w:rsidP="0078454C">
      <w:r>
        <w:t>Fra og med indberetningen vedrørende 2016 kan l</w:t>
      </w:r>
      <w:r w:rsidR="00E42C7C">
        <w:t xml:space="preserve">ægemiddel- og </w:t>
      </w:r>
      <w:proofErr w:type="spellStart"/>
      <w:r w:rsidR="00E42C7C">
        <w:t>medicovirksomheder</w:t>
      </w:r>
      <w:proofErr w:type="spellEnd"/>
      <w:r w:rsidR="00E42C7C">
        <w:t xml:space="preserve"> og specialforretninger med medicinsk udstyr </w:t>
      </w:r>
      <w:r>
        <w:t xml:space="preserve">bruge sundhedspersoners </w:t>
      </w:r>
      <w:proofErr w:type="spellStart"/>
      <w:r w:rsidR="00E42C7C">
        <w:t>autorisationsID</w:t>
      </w:r>
      <w:proofErr w:type="spellEnd"/>
      <w:r>
        <w:t xml:space="preserve"> </w:t>
      </w:r>
      <w:r w:rsidR="00071E8D">
        <w:t xml:space="preserve">eller CPR-nummer </w:t>
      </w:r>
      <w:r>
        <w:t>i sin indberetning til Lægemiddelstyrelsen.</w:t>
      </w:r>
      <w:r w:rsidRPr="00B341A0">
        <w:t xml:space="preserve"> </w:t>
      </w:r>
    </w:p>
    <w:p w14:paraId="6038E04D" w14:textId="79E2EF9A" w:rsidR="006D4734" w:rsidRDefault="00B341A0" w:rsidP="0078454C">
      <w:r>
        <w:t xml:space="preserve">Lægemiddel- og </w:t>
      </w:r>
      <w:proofErr w:type="spellStart"/>
      <w:r>
        <w:t>medicovirksomheder</w:t>
      </w:r>
      <w:proofErr w:type="spellEnd"/>
      <w:r>
        <w:t xml:space="preserve"> og specialforretninger med medicinsk udstyr skal i indberetningen vedrørende 2016 inkludere sundhedspersoner, der har været tilknyttet virksomheden eller forretningen i forbindelse med </w:t>
      </w:r>
      <w:r w:rsidR="006D4734">
        <w:t xml:space="preserve">forskning. Det gælder uanset om personen har </w:t>
      </w:r>
      <w:r w:rsidR="00AB05E0">
        <w:t xml:space="preserve">været </w:t>
      </w:r>
      <w:r w:rsidR="00603FEA">
        <w:t>primær</w:t>
      </w:r>
      <w:r w:rsidR="00AB05E0" w:rsidRPr="00AA6412">
        <w:t xml:space="preserve"> </w:t>
      </w:r>
      <w:proofErr w:type="spellStart"/>
      <w:r w:rsidR="00AB05E0" w:rsidRPr="00AA6412">
        <w:t>investigator</w:t>
      </w:r>
      <w:proofErr w:type="spellEnd"/>
      <w:r w:rsidR="00AB05E0">
        <w:t xml:space="preserve"> (eller har haft </w:t>
      </w:r>
      <w:r w:rsidR="00AB05E0" w:rsidRPr="00AA6412">
        <w:t>tilsvarende ansvar</w:t>
      </w:r>
      <w:r w:rsidR="00AB05E0">
        <w:t>)</w:t>
      </w:r>
      <w:r w:rsidR="006D4734">
        <w:t xml:space="preserve">, eller om personen har været </w:t>
      </w:r>
      <w:proofErr w:type="spellStart"/>
      <w:r w:rsidR="006D4734">
        <w:t>subinvestigator</w:t>
      </w:r>
      <w:proofErr w:type="spellEnd"/>
      <w:r w:rsidR="006D4734" w:rsidRPr="00AA6412">
        <w:t xml:space="preserve"> </w:t>
      </w:r>
      <w:r w:rsidR="00AB05E0">
        <w:t>(</w:t>
      </w:r>
      <w:r w:rsidR="006D4734">
        <w:t xml:space="preserve">eller haft </w:t>
      </w:r>
      <w:r w:rsidR="006D4734" w:rsidRPr="00AA6412">
        <w:t>tilsvarende opgaver</w:t>
      </w:r>
      <w:r w:rsidR="00AB05E0">
        <w:t>)</w:t>
      </w:r>
      <w:r w:rsidR="006D4734">
        <w:t>.</w:t>
      </w:r>
    </w:p>
    <w:p w14:paraId="130D6AB7" w14:textId="77777777" w:rsidR="00071E8D" w:rsidRDefault="00071E8D" w:rsidP="0078454C"/>
    <w:p w14:paraId="1FE6DDDC" w14:textId="210C7DF7" w:rsidR="00891A02" w:rsidRPr="00891A02" w:rsidRDefault="00891A02" w:rsidP="00891A02">
      <w:pPr>
        <w:pStyle w:val="Overskrift1"/>
        <w:rPr>
          <w:color w:val="auto"/>
        </w:rPr>
      </w:pPr>
      <w:bookmarkStart w:id="23" w:name="_Toc467513599"/>
      <w:r w:rsidRPr="00891A02">
        <w:rPr>
          <w:color w:val="auto"/>
        </w:rPr>
        <w:t xml:space="preserve">10 </w:t>
      </w:r>
      <w:r w:rsidR="003C5C98">
        <w:rPr>
          <w:color w:val="auto"/>
        </w:rPr>
        <w:t>Ikrafttrædelse og t</w:t>
      </w:r>
      <w:r w:rsidRPr="00891A02">
        <w:rPr>
          <w:color w:val="auto"/>
        </w:rPr>
        <w:t>idligere vejledning</w:t>
      </w:r>
      <w:bookmarkEnd w:id="23"/>
    </w:p>
    <w:p w14:paraId="735D6864" w14:textId="77777777" w:rsidR="003C5C98" w:rsidRDefault="003C5C98" w:rsidP="003C5C98">
      <w:r>
        <w:t>Vejledningen træder i kraft den 1. januar 2017.</w:t>
      </w:r>
    </w:p>
    <w:p w14:paraId="288345E6" w14:textId="4DBE27E5" w:rsidR="0068177D" w:rsidRPr="0068177D" w:rsidRDefault="00891A02" w:rsidP="0068177D">
      <w:r>
        <w:t>V</w:t>
      </w:r>
      <w:r w:rsidRPr="004D02CC">
        <w:t xml:space="preserve">ejledning </w:t>
      </w:r>
      <w:r w:rsidR="003C5C98">
        <w:t>nr. 9738 af 26. juni 2015</w:t>
      </w:r>
      <w:r>
        <w:t xml:space="preserve"> </w:t>
      </w:r>
      <w:r w:rsidRPr="001B5380">
        <w:t xml:space="preserve">om lægemiddel- og </w:t>
      </w:r>
      <w:proofErr w:type="spellStart"/>
      <w:r w:rsidRPr="001B5380">
        <w:t>medicovirksomheder</w:t>
      </w:r>
      <w:proofErr w:type="spellEnd"/>
      <w:r w:rsidRPr="001B5380">
        <w:t xml:space="preserve"> og specialforretninger med medicinsk udstyr med tilknyttede sundhedspersoner</w:t>
      </w:r>
      <w:r>
        <w:t xml:space="preserve"> bortfalder.</w:t>
      </w:r>
    </w:p>
    <w:sectPr w:rsidR="0068177D" w:rsidRPr="0068177D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2908D" w14:textId="77777777" w:rsidR="00AC629E" w:rsidRDefault="00AC629E" w:rsidP="00C56C55">
      <w:pPr>
        <w:spacing w:after="0" w:line="240" w:lineRule="auto"/>
      </w:pPr>
      <w:r>
        <w:separator/>
      </w:r>
    </w:p>
  </w:endnote>
  <w:endnote w:type="continuationSeparator" w:id="0">
    <w:p w14:paraId="4731DF35" w14:textId="77777777" w:rsidR="00AC629E" w:rsidRDefault="00AC629E" w:rsidP="00C5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011030"/>
      <w:docPartObj>
        <w:docPartGallery w:val="Page Numbers (Bottom of Page)"/>
        <w:docPartUnique/>
      </w:docPartObj>
    </w:sdtPr>
    <w:sdtEndPr/>
    <w:sdtContent>
      <w:p w14:paraId="2E5AC6BC" w14:textId="3111CE41" w:rsidR="005D077A" w:rsidRDefault="005D077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21">
          <w:rPr>
            <w:noProof/>
          </w:rPr>
          <w:t>1</w:t>
        </w:r>
        <w:r>
          <w:fldChar w:fldCharType="end"/>
        </w:r>
      </w:p>
    </w:sdtContent>
  </w:sdt>
  <w:p w14:paraId="61E409E0" w14:textId="77777777" w:rsidR="005D077A" w:rsidRDefault="005D07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6ECA" w14:textId="77777777" w:rsidR="00AC629E" w:rsidRDefault="00AC629E" w:rsidP="00C56C55">
      <w:pPr>
        <w:spacing w:after="0" w:line="240" w:lineRule="auto"/>
      </w:pPr>
      <w:r>
        <w:separator/>
      </w:r>
    </w:p>
  </w:footnote>
  <w:footnote w:type="continuationSeparator" w:id="0">
    <w:p w14:paraId="05643B92" w14:textId="77777777" w:rsidR="00AC629E" w:rsidRDefault="00AC629E" w:rsidP="00C5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4BD"/>
    <w:multiLevelType w:val="hybridMultilevel"/>
    <w:tmpl w:val="9A428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D2056"/>
    <w:multiLevelType w:val="multilevel"/>
    <w:tmpl w:val="9070B638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theme="majorBidi" w:hint="default"/>
      </w:rPr>
    </w:lvl>
  </w:abstractNum>
  <w:abstractNum w:abstractNumId="2" w15:restartNumberingAfterBreak="0">
    <w:nsid w:val="0A8D01CA"/>
    <w:multiLevelType w:val="hybridMultilevel"/>
    <w:tmpl w:val="930EEB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44C2"/>
    <w:multiLevelType w:val="hybridMultilevel"/>
    <w:tmpl w:val="3626A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CB8"/>
    <w:multiLevelType w:val="hybridMultilevel"/>
    <w:tmpl w:val="AC06E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99A"/>
    <w:multiLevelType w:val="hybridMultilevel"/>
    <w:tmpl w:val="2FA89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0436"/>
    <w:multiLevelType w:val="multilevel"/>
    <w:tmpl w:val="5E287840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</w:rPr>
    </w:lvl>
  </w:abstractNum>
  <w:abstractNum w:abstractNumId="7" w15:restartNumberingAfterBreak="0">
    <w:nsid w:val="3A325D19"/>
    <w:multiLevelType w:val="hybridMultilevel"/>
    <w:tmpl w:val="A9E89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3CF6"/>
    <w:multiLevelType w:val="hybridMultilevel"/>
    <w:tmpl w:val="1C846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D5217"/>
    <w:multiLevelType w:val="hybridMultilevel"/>
    <w:tmpl w:val="F0545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83143"/>
    <w:multiLevelType w:val="hybridMultilevel"/>
    <w:tmpl w:val="43B291E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7F0CBF"/>
    <w:multiLevelType w:val="hybridMultilevel"/>
    <w:tmpl w:val="71462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E361B"/>
    <w:multiLevelType w:val="multilevel"/>
    <w:tmpl w:val="CF22EE7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cstheme="majorBidi" w:hint="default"/>
      </w:rPr>
    </w:lvl>
  </w:abstractNum>
  <w:abstractNum w:abstractNumId="13" w15:restartNumberingAfterBreak="0">
    <w:nsid w:val="6AB32379"/>
    <w:multiLevelType w:val="hybridMultilevel"/>
    <w:tmpl w:val="D1E018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7D03"/>
    <w:multiLevelType w:val="hybridMultilevel"/>
    <w:tmpl w:val="3D987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3C43"/>
    <w:multiLevelType w:val="hybridMultilevel"/>
    <w:tmpl w:val="69DCB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E4D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F6579"/>
    <w:multiLevelType w:val="hybridMultilevel"/>
    <w:tmpl w:val="4C3C1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6"/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3"/>
    <w:rsid w:val="00012421"/>
    <w:rsid w:val="00015158"/>
    <w:rsid w:val="0001758B"/>
    <w:rsid w:val="0002391B"/>
    <w:rsid w:val="000335B0"/>
    <w:rsid w:val="00046BF5"/>
    <w:rsid w:val="00050232"/>
    <w:rsid w:val="00052157"/>
    <w:rsid w:val="00055B3D"/>
    <w:rsid w:val="00060B8E"/>
    <w:rsid w:val="0006262C"/>
    <w:rsid w:val="00071E8D"/>
    <w:rsid w:val="000721F4"/>
    <w:rsid w:val="00074491"/>
    <w:rsid w:val="0008068F"/>
    <w:rsid w:val="000916BA"/>
    <w:rsid w:val="000A430D"/>
    <w:rsid w:val="000B560F"/>
    <w:rsid w:val="000C661B"/>
    <w:rsid w:val="000D5429"/>
    <w:rsid w:val="000E2222"/>
    <w:rsid w:val="000E23CB"/>
    <w:rsid w:val="000E4A3B"/>
    <w:rsid w:val="00114A81"/>
    <w:rsid w:val="00115D7B"/>
    <w:rsid w:val="001179FB"/>
    <w:rsid w:val="00122BCA"/>
    <w:rsid w:val="00146AFD"/>
    <w:rsid w:val="00153413"/>
    <w:rsid w:val="001614B3"/>
    <w:rsid w:val="0017595E"/>
    <w:rsid w:val="00190C84"/>
    <w:rsid w:val="001A0B57"/>
    <w:rsid w:val="001B5380"/>
    <w:rsid w:val="001B6377"/>
    <w:rsid w:val="001C3697"/>
    <w:rsid w:val="001D1439"/>
    <w:rsid w:val="001D62A8"/>
    <w:rsid w:val="001E0D0E"/>
    <w:rsid w:val="001F2716"/>
    <w:rsid w:val="001F284F"/>
    <w:rsid w:val="001F5057"/>
    <w:rsid w:val="00211155"/>
    <w:rsid w:val="00220B35"/>
    <w:rsid w:val="002263B9"/>
    <w:rsid w:val="00240ACF"/>
    <w:rsid w:val="00240E12"/>
    <w:rsid w:val="002713E7"/>
    <w:rsid w:val="00273624"/>
    <w:rsid w:val="00273C97"/>
    <w:rsid w:val="00276DB3"/>
    <w:rsid w:val="002902FF"/>
    <w:rsid w:val="00291F7B"/>
    <w:rsid w:val="00295050"/>
    <w:rsid w:val="002A3B21"/>
    <w:rsid w:val="002D17E4"/>
    <w:rsid w:val="002D264F"/>
    <w:rsid w:val="002D7717"/>
    <w:rsid w:val="002E3233"/>
    <w:rsid w:val="002E772E"/>
    <w:rsid w:val="002F5A4D"/>
    <w:rsid w:val="002F5A81"/>
    <w:rsid w:val="003316D8"/>
    <w:rsid w:val="00333208"/>
    <w:rsid w:val="00337D58"/>
    <w:rsid w:val="00387A18"/>
    <w:rsid w:val="00391F17"/>
    <w:rsid w:val="003A0EE5"/>
    <w:rsid w:val="003A19C9"/>
    <w:rsid w:val="003A32D0"/>
    <w:rsid w:val="003A334F"/>
    <w:rsid w:val="003B3243"/>
    <w:rsid w:val="003B7572"/>
    <w:rsid w:val="003C45FF"/>
    <w:rsid w:val="003C5C98"/>
    <w:rsid w:val="003D6998"/>
    <w:rsid w:val="003E0221"/>
    <w:rsid w:val="003E4A33"/>
    <w:rsid w:val="003F1CC4"/>
    <w:rsid w:val="003F7E79"/>
    <w:rsid w:val="004404A3"/>
    <w:rsid w:val="00454BE7"/>
    <w:rsid w:val="00465E14"/>
    <w:rsid w:val="004801A4"/>
    <w:rsid w:val="00481CA3"/>
    <w:rsid w:val="004C6FB5"/>
    <w:rsid w:val="004D377F"/>
    <w:rsid w:val="004D46D5"/>
    <w:rsid w:val="00510DB1"/>
    <w:rsid w:val="005142C9"/>
    <w:rsid w:val="00515347"/>
    <w:rsid w:val="005238A5"/>
    <w:rsid w:val="005258E6"/>
    <w:rsid w:val="005304C2"/>
    <w:rsid w:val="005529AF"/>
    <w:rsid w:val="00556B19"/>
    <w:rsid w:val="00576D1B"/>
    <w:rsid w:val="005A0600"/>
    <w:rsid w:val="005C0B0C"/>
    <w:rsid w:val="005D077A"/>
    <w:rsid w:val="005E2973"/>
    <w:rsid w:val="00603FEA"/>
    <w:rsid w:val="006056D2"/>
    <w:rsid w:val="00616C2C"/>
    <w:rsid w:val="00623D97"/>
    <w:rsid w:val="0065427A"/>
    <w:rsid w:val="00673A3F"/>
    <w:rsid w:val="00680D55"/>
    <w:rsid w:val="0068163D"/>
    <w:rsid w:val="0068177D"/>
    <w:rsid w:val="006A3212"/>
    <w:rsid w:val="006A4D9D"/>
    <w:rsid w:val="006A74F8"/>
    <w:rsid w:val="006B0ECD"/>
    <w:rsid w:val="006B2680"/>
    <w:rsid w:val="006B4C1E"/>
    <w:rsid w:val="006C0CF5"/>
    <w:rsid w:val="006C3BE7"/>
    <w:rsid w:val="006D4734"/>
    <w:rsid w:val="006D7AA8"/>
    <w:rsid w:val="006E27F6"/>
    <w:rsid w:val="006E6202"/>
    <w:rsid w:val="006E68F9"/>
    <w:rsid w:val="00700B1F"/>
    <w:rsid w:val="007104E4"/>
    <w:rsid w:val="0071548F"/>
    <w:rsid w:val="00715FFE"/>
    <w:rsid w:val="00717425"/>
    <w:rsid w:val="00717515"/>
    <w:rsid w:val="007528FF"/>
    <w:rsid w:val="00775746"/>
    <w:rsid w:val="0078454C"/>
    <w:rsid w:val="007A2197"/>
    <w:rsid w:val="007B1D16"/>
    <w:rsid w:val="007B63EF"/>
    <w:rsid w:val="007C1CDB"/>
    <w:rsid w:val="007C5CF8"/>
    <w:rsid w:val="007F43B4"/>
    <w:rsid w:val="007F589A"/>
    <w:rsid w:val="0082497D"/>
    <w:rsid w:val="00831B4C"/>
    <w:rsid w:val="0083363C"/>
    <w:rsid w:val="00835936"/>
    <w:rsid w:val="00837B7D"/>
    <w:rsid w:val="008433A8"/>
    <w:rsid w:val="00851F08"/>
    <w:rsid w:val="008527B8"/>
    <w:rsid w:val="0086323E"/>
    <w:rsid w:val="00865756"/>
    <w:rsid w:val="00873345"/>
    <w:rsid w:val="00877933"/>
    <w:rsid w:val="0088095F"/>
    <w:rsid w:val="008826A4"/>
    <w:rsid w:val="00882C67"/>
    <w:rsid w:val="00886F7F"/>
    <w:rsid w:val="00891A02"/>
    <w:rsid w:val="008969B5"/>
    <w:rsid w:val="008D6DCD"/>
    <w:rsid w:val="008E7DA3"/>
    <w:rsid w:val="008F37BC"/>
    <w:rsid w:val="009017B7"/>
    <w:rsid w:val="00922DB9"/>
    <w:rsid w:val="00942EF6"/>
    <w:rsid w:val="00945B15"/>
    <w:rsid w:val="00945CDB"/>
    <w:rsid w:val="00952195"/>
    <w:rsid w:val="0095781E"/>
    <w:rsid w:val="009578C5"/>
    <w:rsid w:val="009712F0"/>
    <w:rsid w:val="00972E57"/>
    <w:rsid w:val="00980CD5"/>
    <w:rsid w:val="009830ED"/>
    <w:rsid w:val="00995C64"/>
    <w:rsid w:val="00997970"/>
    <w:rsid w:val="009B7A09"/>
    <w:rsid w:val="009E6A36"/>
    <w:rsid w:val="009F4914"/>
    <w:rsid w:val="00A02BEB"/>
    <w:rsid w:val="00A117E3"/>
    <w:rsid w:val="00A12CAC"/>
    <w:rsid w:val="00A16A04"/>
    <w:rsid w:val="00A2367C"/>
    <w:rsid w:val="00A265EA"/>
    <w:rsid w:val="00A3057B"/>
    <w:rsid w:val="00A53277"/>
    <w:rsid w:val="00A601FD"/>
    <w:rsid w:val="00A61558"/>
    <w:rsid w:val="00A654DB"/>
    <w:rsid w:val="00A74526"/>
    <w:rsid w:val="00A91817"/>
    <w:rsid w:val="00AA126A"/>
    <w:rsid w:val="00AA1598"/>
    <w:rsid w:val="00AB05E0"/>
    <w:rsid w:val="00AB6034"/>
    <w:rsid w:val="00AC5256"/>
    <w:rsid w:val="00AC629E"/>
    <w:rsid w:val="00AD5729"/>
    <w:rsid w:val="00AE1C16"/>
    <w:rsid w:val="00AF23A0"/>
    <w:rsid w:val="00AF7F5F"/>
    <w:rsid w:val="00B12CBE"/>
    <w:rsid w:val="00B341A0"/>
    <w:rsid w:val="00B40878"/>
    <w:rsid w:val="00B55552"/>
    <w:rsid w:val="00B657B1"/>
    <w:rsid w:val="00B71002"/>
    <w:rsid w:val="00B74871"/>
    <w:rsid w:val="00B80AAE"/>
    <w:rsid w:val="00B82D93"/>
    <w:rsid w:val="00B90098"/>
    <w:rsid w:val="00B947CB"/>
    <w:rsid w:val="00B9481F"/>
    <w:rsid w:val="00B94EE9"/>
    <w:rsid w:val="00B95D26"/>
    <w:rsid w:val="00B97275"/>
    <w:rsid w:val="00BA5BEB"/>
    <w:rsid w:val="00BA6BB7"/>
    <w:rsid w:val="00BB2E8C"/>
    <w:rsid w:val="00BB7FD0"/>
    <w:rsid w:val="00BD70DB"/>
    <w:rsid w:val="00BD733D"/>
    <w:rsid w:val="00BE1D38"/>
    <w:rsid w:val="00BF1BA3"/>
    <w:rsid w:val="00BF443D"/>
    <w:rsid w:val="00BF7B80"/>
    <w:rsid w:val="00C01900"/>
    <w:rsid w:val="00C03A5C"/>
    <w:rsid w:val="00C10AC3"/>
    <w:rsid w:val="00C16F8C"/>
    <w:rsid w:val="00C42A47"/>
    <w:rsid w:val="00C45823"/>
    <w:rsid w:val="00C4666E"/>
    <w:rsid w:val="00C560E3"/>
    <w:rsid w:val="00C56C55"/>
    <w:rsid w:val="00C64813"/>
    <w:rsid w:val="00C74742"/>
    <w:rsid w:val="00C944EE"/>
    <w:rsid w:val="00CA4EE1"/>
    <w:rsid w:val="00CB0081"/>
    <w:rsid w:val="00CB3822"/>
    <w:rsid w:val="00CD5E49"/>
    <w:rsid w:val="00D26B35"/>
    <w:rsid w:val="00D40548"/>
    <w:rsid w:val="00D44D0B"/>
    <w:rsid w:val="00D4531A"/>
    <w:rsid w:val="00D47237"/>
    <w:rsid w:val="00D6520C"/>
    <w:rsid w:val="00D93732"/>
    <w:rsid w:val="00DA6931"/>
    <w:rsid w:val="00DB6B6F"/>
    <w:rsid w:val="00DB73F5"/>
    <w:rsid w:val="00DD0A46"/>
    <w:rsid w:val="00DE64A9"/>
    <w:rsid w:val="00E009F7"/>
    <w:rsid w:val="00E13FD6"/>
    <w:rsid w:val="00E42C7C"/>
    <w:rsid w:val="00E561BE"/>
    <w:rsid w:val="00E56606"/>
    <w:rsid w:val="00E665D2"/>
    <w:rsid w:val="00E70D17"/>
    <w:rsid w:val="00E71D96"/>
    <w:rsid w:val="00E868EB"/>
    <w:rsid w:val="00EC721D"/>
    <w:rsid w:val="00EE170A"/>
    <w:rsid w:val="00EE497D"/>
    <w:rsid w:val="00EF34E5"/>
    <w:rsid w:val="00F021CB"/>
    <w:rsid w:val="00F252B9"/>
    <w:rsid w:val="00F61CA0"/>
    <w:rsid w:val="00FA0889"/>
    <w:rsid w:val="00FA1E78"/>
    <w:rsid w:val="00FB4B38"/>
    <w:rsid w:val="00FC656D"/>
    <w:rsid w:val="00FD76FF"/>
    <w:rsid w:val="00FE06CC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61C3"/>
  <w15:chartTrackingRefBased/>
  <w15:docId w15:val="{62664A96-F8A8-478A-BFE9-501205DF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13"/>
  </w:style>
  <w:style w:type="paragraph" w:styleId="Overskrift1">
    <w:name w:val="heading 1"/>
    <w:basedOn w:val="Normal"/>
    <w:next w:val="Normal"/>
    <w:link w:val="Overskrift1Tegn"/>
    <w:uiPriority w:val="9"/>
    <w:qFormat/>
    <w:rsid w:val="00153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0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0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341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534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53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53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0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5219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6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6C55"/>
  </w:style>
  <w:style w:type="paragraph" w:styleId="Sidefod">
    <w:name w:val="footer"/>
    <w:basedOn w:val="Normal"/>
    <w:link w:val="SidefodTegn"/>
    <w:uiPriority w:val="99"/>
    <w:unhideWhenUsed/>
    <w:rsid w:val="00C56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6C55"/>
  </w:style>
  <w:style w:type="paragraph" w:styleId="Overskrift">
    <w:name w:val="TOC Heading"/>
    <w:basedOn w:val="Overskrift1"/>
    <w:next w:val="Normal"/>
    <w:uiPriority w:val="39"/>
    <w:unhideWhenUsed/>
    <w:qFormat/>
    <w:rsid w:val="00391F17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91F1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91F17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1F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30ED"/>
    <w:pPr>
      <w:spacing w:before="45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AA1598"/>
    <w:pPr>
      <w:widowControl w:val="0"/>
      <w:spacing w:after="0" w:line="240" w:lineRule="auto"/>
      <w:ind w:left="474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A1598"/>
    <w:rPr>
      <w:rFonts w:ascii="Times New Roman" w:eastAsia="Times New Roman" w:hAnsi="Times New Roman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68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68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68F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68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68F9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23D9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8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3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442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knytning@dkm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E02E-98B2-4901-A87C-9C55B758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2830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Jeppe  Ramsing - 9389</dc:creator>
  <cp:keywords/>
  <dc:description/>
  <cp:lastModifiedBy>Hejr</cp:lastModifiedBy>
  <cp:revision>98</cp:revision>
  <cp:lastPrinted>2016-11-16T10:52:00Z</cp:lastPrinted>
  <dcterms:created xsi:type="dcterms:W3CDTF">2016-11-11T11:32:00Z</dcterms:created>
  <dcterms:modified xsi:type="dcterms:W3CDTF">2016-11-21T17:47:00Z</dcterms:modified>
</cp:coreProperties>
</file>