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B0" w:rsidRDefault="00A67FB0" w:rsidP="00A67FB0">
      <w:pPr>
        <w:pStyle w:val="Pagedecouverture"/>
      </w:pPr>
      <w:r>
        <w:rPr>
          <w:noProof/>
          <w:lang w:val="da-DK" w:eastAsia="da-DK"/>
        </w:rPr>
        <w:drawing>
          <wp:inline distT="0" distB="0" distL="0" distR="0">
            <wp:extent cx="5724525" cy="5191125"/>
            <wp:effectExtent l="0" t="0" r="9525" b="0"/>
            <wp:docPr id="1" name="Billede 1" descr="6AEA771A46D14D06840E4C8EA2B2E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AEA771A46D14D06840E4C8EA2B2EBC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5191125"/>
                    </a:xfrm>
                    <a:prstGeom prst="rect">
                      <a:avLst/>
                    </a:prstGeom>
                    <a:noFill/>
                    <a:ln>
                      <a:noFill/>
                    </a:ln>
                  </pic:spPr>
                </pic:pic>
              </a:graphicData>
            </a:graphic>
          </wp:inline>
        </w:drawing>
      </w:r>
    </w:p>
    <w:p w:rsidR="00A67FB0" w:rsidRPr="00A01AA1" w:rsidRDefault="00A67FB0" w:rsidP="00A67FB0">
      <w:pPr>
        <w:sectPr w:rsidR="00A67FB0" w:rsidRPr="00A01AA1" w:rsidSect="009962C2">
          <w:footerReference w:type="default" r:id="rId9"/>
          <w:pgSz w:w="11907" w:h="16839" w:code="9"/>
          <w:pgMar w:top="1134" w:right="1418" w:bottom="1134" w:left="1418" w:header="709" w:footer="709" w:gutter="0"/>
          <w:pgNumType w:start="1"/>
          <w:cols w:space="720"/>
          <w:docGrid w:linePitch="326"/>
        </w:sectPr>
      </w:pPr>
    </w:p>
    <w:p w:rsidR="00A67FB0" w:rsidRPr="00A01AA1" w:rsidRDefault="00A67FB0" w:rsidP="00A67FB0">
      <w:pPr>
        <w:pStyle w:val="Typedudocument"/>
      </w:pPr>
      <w:r w:rsidRPr="009962C2">
        <w:t>COMMISSION REGULATION (EU) No …/..</w:t>
      </w:r>
    </w:p>
    <w:p w:rsidR="00A67FB0" w:rsidRPr="00A01AA1" w:rsidRDefault="00A67FB0" w:rsidP="00A67FB0">
      <w:pPr>
        <w:pStyle w:val="Datedadoption"/>
      </w:pPr>
      <w:proofErr w:type="gramStart"/>
      <w:r w:rsidRPr="009962C2">
        <w:t>of</w:t>
      </w:r>
      <w:proofErr w:type="gramEnd"/>
      <w:r w:rsidRPr="009962C2">
        <w:t xml:space="preserve"> </w:t>
      </w:r>
      <w:r w:rsidRPr="009962C2">
        <w:rPr>
          <w:rStyle w:val="Marker2"/>
        </w:rPr>
        <w:t>XXX</w:t>
      </w:r>
    </w:p>
    <w:p w:rsidR="00A67FB0" w:rsidRPr="004B2A28" w:rsidRDefault="00A67FB0" w:rsidP="00A67FB0">
      <w:pPr>
        <w:pStyle w:val="Titreobjet"/>
      </w:pPr>
      <w:proofErr w:type="gramStart"/>
      <w:r w:rsidRPr="009962C2">
        <w:t>amending</w:t>
      </w:r>
      <w:proofErr w:type="gramEnd"/>
      <w:r w:rsidRPr="009962C2">
        <w:t xml:space="preserve"> and correcting Annex II to Regulation (EC) No 1333/2008 of the European Parliament and of the Council as regards the use of certain colours in flavoured ripened cheese</w:t>
      </w:r>
    </w:p>
    <w:p w:rsidR="00A67FB0" w:rsidRPr="006571DC" w:rsidRDefault="00A67FB0" w:rsidP="00A67FB0">
      <w:pPr>
        <w:pStyle w:val="IntrtEEE"/>
      </w:pPr>
      <w:r w:rsidRPr="009962C2">
        <w:t>(Text with EEA relevance)</w:t>
      </w:r>
    </w:p>
    <w:p w:rsidR="00A67FB0" w:rsidRPr="006571DC" w:rsidRDefault="00A67FB0" w:rsidP="00A67FB0">
      <w:pPr>
        <w:pStyle w:val="Institutionquiagit"/>
      </w:pPr>
      <w:r w:rsidRPr="006571DC">
        <w:t>THE EUROPEAN COMMISSION,</w:t>
      </w:r>
    </w:p>
    <w:p w:rsidR="00A67FB0" w:rsidRPr="006571DC" w:rsidRDefault="00A67FB0" w:rsidP="00A67FB0">
      <w:r w:rsidRPr="006571DC">
        <w:t>Having regard to the Treaty on the Functioning of the European Union,</w:t>
      </w:r>
    </w:p>
    <w:p w:rsidR="00A67FB0" w:rsidRPr="006571DC" w:rsidRDefault="00A67FB0" w:rsidP="00A67FB0">
      <w:pPr>
        <w:rPr>
          <w:noProof/>
        </w:rPr>
      </w:pPr>
      <w:r w:rsidRPr="006571DC">
        <w:rPr>
          <w:noProof/>
        </w:rPr>
        <w:t>Having regard to Regulation (EC) No 1333/2008 of the European Parliament and of the Council of 16 December 2008 on food additives</w:t>
      </w:r>
      <w:r w:rsidRPr="006A2B4D">
        <w:rPr>
          <w:rStyle w:val="Fodnotehenvisning"/>
        </w:rPr>
        <w:footnoteReference w:id="1"/>
      </w:r>
      <w:r w:rsidRPr="006571DC">
        <w:rPr>
          <w:noProof/>
        </w:rPr>
        <w:t>, and in particular Article 10(3)</w:t>
      </w:r>
      <w:r w:rsidRPr="00BC6C36">
        <w:rPr>
          <w:noProof/>
        </w:rPr>
        <w:t xml:space="preserve"> </w:t>
      </w:r>
      <w:r>
        <w:rPr>
          <w:noProof/>
        </w:rPr>
        <w:t>thereof</w:t>
      </w:r>
      <w:r w:rsidRPr="006571DC">
        <w:rPr>
          <w:noProof/>
        </w:rPr>
        <w:t>,</w:t>
      </w:r>
    </w:p>
    <w:p w:rsidR="00A67FB0" w:rsidRPr="006571DC" w:rsidRDefault="00A67FB0" w:rsidP="00A67FB0">
      <w:r w:rsidRPr="006571DC">
        <w:t>Whereas:</w:t>
      </w:r>
    </w:p>
    <w:p w:rsidR="00A67FB0" w:rsidRPr="006A2B4D" w:rsidRDefault="00A67FB0" w:rsidP="00A67FB0">
      <w:pPr>
        <w:pStyle w:val="Considrant"/>
      </w:pPr>
      <w:r w:rsidRPr="006A2B4D">
        <w:t>Annex II to Regulation (EC) No 1333/2008 lays down a Union list of food additives approved for use in foods and their conditions of use.</w:t>
      </w:r>
    </w:p>
    <w:p w:rsidR="00A67FB0" w:rsidRPr="006A2B4D" w:rsidRDefault="00A67FB0" w:rsidP="00A67FB0">
      <w:pPr>
        <w:pStyle w:val="Considrant"/>
      </w:pPr>
      <w:r w:rsidRPr="006A2B4D">
        <w:t xml:space="preserve">That list may be amended in accordance with the </w:t>
      </w:r>
      <w:r>
        <w:t xml:space="preserve">common </w:t>
      </w:r>
      <w:r w:rsidRPr="006A2B4D">
        <w:t xml:space="preserve">procedure referred to in </w:t>
      </w:r>
      <w:r>
        <w:t xml:space="preserve">Article 3(1) of </w:t>
      </w:r>
      <w:r w:rsidRPr="006A2B4D">
        <w:t>Regulation (EC) No 1331/2008 of the European Parliament and of the Council</w:t>
      </w:r>
      <w:r w:rsidRPr="006571DC">
        <w:rPr>
          <w:rStyle w:val="Fodnotehenvisning"/>
        </w:rPr>
        <w:footnoteReference w:id="2"/>
      </w:r>
      <w:r>
        <w:t xml:space="preserve">, </w:t>
      </w:r>
      <w:r w:rsidRPr="006A2B4D">
        <w:t>either on the initiative of the Commission or following an application.</w:t>
      </w:r>
    </w:p>
    <w:p w:rsidR="00A67FB0" w:rsidRPr="00670316" w:rsidRDefault="00A67FB0" w:rsidP="00A67FB0">
      <w:pPr>
        <w:pStyle w:val="Considrant"/>
        <w:rPr>
          <w:noProof/>
        </w:rPr>
      </w:pPr>
      <w:r w:rsidRPr="00670316">
        <w:rPr>
          <w:noProof/>
        </w:rPr>
        <w:t>The Union list of food additives was established based on food additives permitted for use in foods in accordance with European Parliament and Council Directive 94/35/EC</w:t>
      </w:r>
      <w:r w:rsidRPr="00670316">
        <w:rPr>
          <w:rStyle w:val="Fodnotehenvisning"/>
          <w:noProof/>
        </w:rPr>
        <w:footnoteReference w:id="3"/>
      </w:r>
      <w:r w:rsidRPr="00670316">
        <w:rPr>
          <w:noProof/>
        </w:rPr>
        <w:t>, European Parliament and Council Directive 94/36/EC</w:t>
      </w:r>
      <w:r w:rsidRPr="00670316">
        <w:rPr>
          <w:rStyle w:val="Fodnotehenvisning"/>
          <w:noProof/>
        </w:rPr>
        <w:footnoteReference w:id="4"/>
      </w:r>
      <w:r w:rsidRPr="00670316">
        <w:rPr>
          <w:noProof/>
        </w:rPr>
        <w:t xml:space="preserve"> and European Parliament and Council Directive 95/2/EC</w:t>
      </w:r>
      <w:r w:rsidRPr="00670316">
        <w:rPr>
          <w:rStyle w:val="Fodnotehenvisning"/>
          <w:noProof/>
        </w:rPr>
        <w:footnoteReference w:id="5"/>
      </w:r>
      <w:r w:rsidRPr="00670316">
        <w:rPr>
          <w:noProof/>
        </w:rPr>
        <w:t xml:space="preserve"> and after reviewing their compliance with Articles 6, 7 and 8 of Regulation (EC) No 1333/2008. The Union list</w:t>
      </w:r>
      <w:r>
        <w:rPr>
          <w:noProof/>
        </w:rPr>
        <w:t xml:space="preserve"> includes the</w:t>
      </w:r>
      <w:r w:rsidRPr="00670316">
        <w:rPr>
          <w:noProof/>
        </w:rPr>
        <w:t xml:space="preserve"> food additives on the basis of the categories of food to which </w:t>
      </w:r>
      <w:r>
        <w:rPr>
          <w:noProof/>
        </w:rPr>
        <w:t>they</w:t>
      </w:r>
      <w:r w:rsidRPr="00670316">
        <w:rPr>
          <w:noProof/>
        </w:rPr>
        <w:t xml:space="preserve"> may be added</w:t>
      </w:r>
      <w:r>
        <w:rPr>
          <w:noProof/>
        </w:rPr>
        <w:t xml:space="preserve"> to</w:t>
      </w:r>
      <w:r w:rsidRPr="00670316">
        <w:rPr>
          <w:noProof/>
        </w:rPr>
        <w:t>.</w:t>
      </w:r>
    </w:p>
    <w:p w:rsidR="00A67FB0" w:rsidRDefault="00A67FB0" w:rsidP="00A67FB0">
      <w:pPr>
        <w:pStyle w:val="Considrant"/>
      </w:pPr>
      <w:r w:rsidRPr="00EB7CE3">
        <w:t>Annex V Par</w:t>
      </w:r>
      <w:r>
        <w:t>t 1 to Directive 94/36/EC lists</w:t>
      </w:r>
      <w:r w:rsidRPr="00EB7CE3">
        <w:t xml:space="preserve"> colours which may be used in foodstuffs mentioned in Annex V Part 2 and in all other foodstuffs other than those</w:t>
      </w:r>
      <w:r>
        <w:t xml:space="preserve"> listed in Annexes II and III to</w:t>
      </w:r>
      <w:r w:rsidRPr="00EB7CE3">
        <w:t xml:space="preserve"> that Directive.</w:t>
      </w:r>
    </w:p>
    <w:p w:rsidR="00A67FB0" w:rsidRDefault="00A67FB0" w:rsidP="00A67FB0">
      <w:pPr>
        <w:pStyle w:val="Considrant"/>
      </w:pPr>
      <w:r>
        <w:rPr>
          <w:noProof/>
        </w:rPr>
        <w:t xml:space="preserve">Before the esbalishment of the Union list the stakeholders were requested to provide information about the use and the need to use the food colours as listed in Annex V to Directive 94/36/EC. At that time no information was provided about the use and the need to use food colours in flavoured ripened cheese as green and red pesto cheese, wasabi cheese and green marbled herb cheese. </w:t>
      </w:r>
    </w:p>
    <w:p w:rsidR="00A67FB0" w:rsidRDefault="00A67FB0" w:rsidP="00A67FB0">
      <w:pPr>
        <w:pStyle w:val="Considrant"/>
      </w:pPr>
      <w:r w:rsidRPr="00E31CD6">
        <w:t xml:space="preserve">An application for correction of the Union list </w:t>
      </w:r>
      <w:r>
        <w:t>to continue</w:t>
      </w:r>
      <w:r w:rsidRPr="00E31CD6">
        <w:t xml:space="preserve"> the use of copper complexes of chlorophylls and </w:t>
      </w:r>
      <w:proofErr w:type="spellStart"/>
      <w:r w:rsidRPr="00E31CD6">
        <w:t>chlorophyllins</w:t>
      </w:r>
      <w:proofErr w:type="spellEnd"/>
      <w:r w:rsidRPr="00E31CD6">
        <w:t xml:space="preserve"> (E 141)</w:t>
      </w:r>
      <w:r>
        <w:t xml:space="preserve"> and</w:t>
      </w:r>
      <w:r w:rsidRPr="00E31CD6">
        <w:t xml:space="preserve"> paprika</w:t>
      </w:r>
      <w:r w:rsidRPr="00424CD2">
        <w:t xml:space="preserve"> extract, </w:t>
      </w:r>
      <w:proofErr w:type="spellStart"/>
      <w:r w:rsidRPr="00424CD2">
        <w:t>capsanthin</w:t>
      </w:r>
      <w:proofErr w:type="spellEnd"/>
      <w:r w:rsidRPr="00424CD2">
        <w:t xml:space="preserve">, </w:t>
      </w:r>
      <w:proofErr w:type="spellStart"/>
      <w:r w:rsidRPr="00424CD2">
        <w:t>capsorubin</w:t>
      </w:r>
      <w:proofErr w:type="spellEnd"/>
      <w:r>
        <w:t xml:space="preserve"> (E 160c) and an application for authorisation </w:t>
      </w:r>
      <w:r w:rsidRPr="00A11458">
        <w:t xml:space="preserve">of the use of </w:t>
      </w:r>
      <w:r>
        <w:t xml:space="preserve">cochineal, </w:t>
      </w:r>
      <w:proofErr w:type="spellStart"/>
      <w:r>
        <w:t>carminic</w:t>
      </w:r>
      <w:proofErr w:type="spellEnd"/>
      <w:r>
        <w:t xml:space="preserve"> acid, c</w:t>
      </w:r>
      <w:r w:rsidRPr="00E31CD6">
        <w:t xml:space="preserve">armines </w:t>
      </w:r>
      <w:r>
        <w:t xml:space="preserve">(E 120) and annatto, </w:t>
      </w:r>
      <w:proofErr w:type="spellStart"/>
      <w:r>
        <w:t>bixin</w:t>
      </w:r>
      <w:proofErr w:type="spellEnd"/>
      <w:r>
        <w:t xml:space="preserve">, </w:t>
      </w:r>
      <w:proofErr w:type="spellStart"/>
      <w:r>
        <w:t>n</w:t>
      </w:r>
      <w:r w:rsidRPr="00E31CD6">
        <w:t>orbixin</w:t>
      </w:r>
      <w:proofErr w:type="spellEnd"/>
      <w:r w:rsidRPr="00E31CD6">
        <w:t xml:space="preserve"> </w:t>
      </w:r>
      <w:r>
        <w:t>(</w:t>
      </w:r>
      <w:r w:rsidRPr="00E31CD6">
        <w:t>E 160b</w:t>
      </w:r>
      <w:r>
        <w:t>)</w:t>
      </w:r>
      <w:r w:rsidRPr="00E31CD6">
        <w:t xml:space="preserve"> </w:t>
      </w:r>
      <w:r>
        <w:t xml:space="preserve">in certain flavoured ripened cheeses was submitted on </w:t>
      </w:r>
      <w:r w:rsidRPr="001F3D5E">
        <w:t>2 April 2013 and</w:t>
      </w:r>
      <w:r w:rsidRPr="00A11458">
        <w:t xml:space="preserve"> </w:t>
      </w:r>
      <w:r>
        <w:t>was</w:t>
      </w:r>
      <w:r w:rsidRPr="00A11458">
        <w:t xml:space="preserve"> made available to the Member States</w:t>
      </w:r>
      <w:r w:rsidRPr="00F43965">
        <w:t xml:space="preserve"> </w:t>
      </w:r>
      <w:r w:rsidRPr="003151DD">
        <w:t>pursuant to Article 4 of Regulation (EC) No 1331/2008</w:t>
      </w:r>
      <w:r w:rsidRPr="00A11458">
        <w:t>.</w:t>
      </w:r>
      <w:r>
        <w:t xml:space="preserve"> </w:t>
      </w:r>
    </w:p>
    <w:p w:rsidR="00A67FB0" w:rsidRDefault="00A67FB0" w:rsidP="00A67FB0">
      <w:pPr>
        <w:pStyle w:val="Considrant"/>
      </w:pPr>
      <w:r>
        <w:rPr>
          <w:noProof/>
        </w:rPr>
        <w:t>Flavoured ripened cheese is not listed in Annexes II, III</w:t>
      </w:r>
      <w:r>
        <w:t xml:space="preserve"> to Directive </w:t>
      </w:r>
      <w:r w:rsidRPr="00670316">
        <w:rPr>
          <w:noProof/>
        </w:rPr>
        <w:t>94/36/EC</w:t>
      </w:r>
      <w:r>
        <w:rPr>
          <w:noProof/>
        </w:rPr>
        <w:t xml:space="preserve">, therefore, </w:t>
      </w:r>
      <w:r>
        <w:t xml:space="preserve">the Union list of food additives should be corrected to authorise the use </w:t>
      </w:r>
      <w:r w:rsidRPr="00E31CD6">
        <w:t xml:space="preserve">of copper complexes of chlorophylls and </w:t>
      </w:r>
      <w:proofErr w:type="spellStart"/>
      <w:r w:rsidRPr="00E31CD6">
        <w:t>chlorophyllins</w:t>
      </w:r>
      <w:proofErr w:type="spellEnd"/>
      <w:r w:rsidRPr="00E31CD6">
        <w:t xml:space="preserve"> (E 141)</w:t>
      </w:r>
      <w:r>
        <w:t xml:space="preserve"> and</w:t>
      </w:r>
      <w:r w:rsidRPr="00E31CD6">
        <w:t xml:space="preserve"> paprika</w:t>
      </w:r>
      <w:r w:rsidRPr="00424CD2">
        <w:t xml:space="preserve"> extract, </w:t>
      </w:r>
      <w:proofErr w:type="spellStart"/>
      <w:r w:rsidRPr="00424CD2">
        <w:t>capsanthin</w:t>
      </w:r>
      <w:proofErr w:type="spellEnd"/>
      <w:r w:rsidRPr="00424CD2">
        <w:t xml:space="preserve">, </w:t>
      </w:r>
      <w:proofErr w:type="spellStart"/>
      <w:r w:rsidRPr="00424CD2">
        <w:t>capsorubin</w:t>
      </w:r>
      <w:proofErr w:type="spellEnd"/>
      <w:r>
        <w:t xml:space="preserve"> (E 160c) in specific flavoured ripened cheeses as requested.</w:t>
      </w:r>
    </w:p>
    <w:p w:rsidR="00A67FB0" w:rsidRDefault="00A67FB0" w:rsidP="00A67FB0">
      <w:pPr>
        <w:pStyle w:val="Considrant"/>
      </w:pPr>
      <w:r w:rsidRPr="001F3D5E">
        <w:t xml:space="preserve">Cochineal, </w:t>
      </w:r>
      <w:proofErr w:type="spellStart"/>
      <w:r w:rsidRPr="001F3D5E">
        <w:t>carminic</w:t>
      </w:r>
      <w:proofErr w:type="spellEnd"/>
      <w:r w:rsidRPr="001F3D5E">
        <w:t xml:space="preserve"> acid, carmines (E 120) and annatto, </w:t>
      </w:r>
      <w:proofErr w:type="spellStart"/>
      <w:r w:rsidRPr="001F3D5E">
        <w:t>bixin</w:t>
      </w:r>
      <w:proofErr w:type="spellEnd"/>
      <w:r w:rsidRPr="001F3D5E">
        <w:t xml:space="preserve">, </w:t>
      </w:r>
      <w:proofErr w:type="spellStart"/>
      <w:r w:rsidRPr="001F3D5E">
        <w:t>norbixin</w:t>
      </w:r>
      <w:proofErr w:type="spellEnd"/>
      <w:r w:rsidRPr="001F3D5E">
        <w:t xml:space="preserve"> (E 160b) are </w:t>
      </w:r>
      <w:r>
        <w:t>currently approved for use in certain ripened cheeses. The same technological need was identified also for the use of c</w:t>
      </w:r>
      <w:r w:rsidRPr="001F3D5E">
        <w:t xml:space="preserve">ochineal, </w:t>
      </w:r>
      <w:proofErr w:type="spellStart"/>
      <w:r w:rsidRPr="001F3D5E">
        <w:t>carminic</w:t>
      </w:r>
      <w:proofErr w:type="spellEnd"/>
      <w:r w:rsidRPr="001F3D5E">
        <w:t xml:space="preserve"> acid, carmines</w:t>
      </w:r>
      <w:r>
        <w:t xml:space="preserve"> in red pesto cheese and </w:t>
      </w:r>
      <w:r w:rsidRPr="001F3D5E">
        <w:t xml:space="preserve">annatto, </w:t>
      </w:r>
      <w:proofErr w:type="spellStart"/>
      <w:r w:rsidRPr="001F3D5E">
        <w:t>bixin</w:t>
      </w:r>
      <w:proofErr w:type="spellEnd"/>
      <w:r w:rsidRPr="001F3D5E">
        <w:t xml:space="preserve">, </w:t>
      </w:r>
      <w:proofErr w:type="spellStart"/>
      <w:r w:rsidRPr="001F3D5E">
        <w:t>norbixin</w:t>
      </w:r>
      <w:proofErr w:type="spellEnd"/>
      <w:r>
        <w:t xml:space="preserve"> in </w:t>
      </w:r>
      <w:r w:rsidRPr="00573F46">
        <w:t>red and green pesto cheese</w:t>
      </w:r>
      <w:r>
        <w:t>.</w:t>
      </w:r>
    </w:p>
    <w:p w:rsidR="00A67FB0" w:rsidRDefault="00A67FB0" w:rsidP="00A67FB0">
      <w:pPr>
        <w:pStyle w:val="Considrant"/>
      </w:pPr>
      <w:r w:rsidRPr="00C033AA">
        <w:t xml:space="preserve">The current approvals of cochineal, </w:t>
      </w:r>
      <w:proofErr w:type="spellStart"/>
      <w:r w:rsidRPr="00C033AA">
        <w:t>carminic</w:t>
      </w:r>
      <w:proofErr w:type="spellEnd"/>
      <w:r w:rsidRPr="00C033AA">
        <w:t xml:space="preserve"> acid, carmines and annatto, </w:t>
      </w:r>
      <w:proofErr w:type="spellStart"/>
      <w:r w:rsidRPr="00C033AA">
        <w:t>bixin</w:t>
      </w:r>
      <w:proofErr w:type="spellEnd"/>
      <w:r w:rsidRPr="00C033AA">
        <w:t xml:space="preserve">, </w:t>
      </w:r>
      <w:proofErr w:type="spellStart"/>
      <w:r w:rsidRPr="00C033AA">
        <w:t>norbixin</w:t>
      </w:r>
      <w:proofErr w:type="spellEnd"/>
      <w:r w:rsidRPr="00C033AA">
        <w:t xml:space="preserve"> take into account the Acceptable Daily Intakes (ADI) established by the Scientific Committee for Food in 1983 and 1979 respectively. The Report from the Commission on Dietary Food Additive Int</w:t>
      </w:r>
      <w:r>
        <w:t>ake in the European Union</w:t>
      </w:r>
      <w:r>
        <w:rPr>
          <w:rStyle w:val="Fodnotehenvisning"/>
        </w:rPr>
        <w:footnoteReference w:id="6"/>
      </w:r>
      <w:r>
        <w:t xml:space="preserve"> </w:t>
      </w:r>
      <w:r w:rsidRPr="00C033AA">
        <w:t>concluded</w:t>
      </w:r>
      <w:r>
        <w:t xml:space="preserve"> that</w:t>
      </w:r>
      <w:r w:rsidRPr="00F94D49">
        <w:t xml:space="preserve"> </w:t>
      </w:r>
      <w:r w:rsidRPr="00C033AA">
        <w:t xml:space="preserve">cochineal, </w:t>
      </w:r>
      <w:proofErr w:type="spellStart"/>
      <w:r w:rsidRPr="00C033AA">
        <w:t>carminic</w:t>
      </w:r>
      <w:proofErr w:type="spellEnd"/>
      <w:r w:rsidRPr="00C033AA">
        <w:t xml:space="preserve"> acid, carmines</w:t>
      </w:r>
      <w:r>
        <w:t xml:space="preserve"> </w:t>
      </w:r>
      <w:r w:rsidRPr="00F94D49">
        <w:t>needed no further examination</w:t>
      </w:r>
      <w:r>
        <w:t xml:space="preserve"> since the theoretical conservative intake estimate based on actual food consumption data combined with the maximum permitted usage levels (Tier 2) did not exceed the ADI for both adults and children. The same conclusion was reached for </w:t>
      </w:r>
      <w:r w:rsidRPr="00C033AA">
        <w:t xml:space="preserve">annatto, </w:t>
      </w:r>
      <w:proofErr w:type="spellStart"/>
      <w:r w:rsidRPr="00C033AA">
        <w:t>bixin</w:t>
      </w:r>
      <w:proofErr w:type="spellEnd"/>
      <w:r w:rsidRPr="00C033AA">
        <w:t xml:space="preserve">, </w:t>
      </w:r>
      <w:proofErr w:type="spellStart"/>
      <w:r w:rsidRPr="00C033AA">
        <w:t>norbixin</w:t>
      </w:r>
      <w:proofErr w:type="spellEnd"/>
      <w:r>
        <w:t xml:space="preserve"> for adults, however, for children it was concluded that </w:t>
      </w:r>
      <w:r w:rsidRPr="0025461B">
        <w:t>further detailed intake estimation</w:t>
      </w:r>
      <w:r>
        <w:t xml:space="preserve"> using actual national food consumption data combined with the actual usage levels of the additive (Tier 3) was needed since the ADI was exceeded using Tier 2 approach. </w:t>
      </w:r>
    </w:p>
    <w:p w:rsidR="00A67FB0" w:rsidRDefault="00A67FB0" w:rsidP="00A67FB0">
      <w:pPr>
        <w:pStyle w:val="Considrant"/>
      </w:pPr>
      <w:r>
        <w:t>Red and green pesto cheeses are niche products representing a small volume in the total cheese market.</w:t>
      </w:r>
      <w:r w:rsidRPr="001C64AE">
        <w:t xml:space="preserve"> </w:t>
      </w:r>
      <w:r>
        <w:t>It is not expected that the authorisation of use of c</w:t>
      </w:r>
      <w:r w:rsidRPr="001F3D5E">
        <w:t xml:space="preserve">ochineal, </w:t>
      </w:r>
      <w:proofErr w:type="spellStart"/>
      <w:r w:rsidRPr="001F3D5E">
        <w:t>carminic</w:t>
      </w:r>
      <w:proofErr w:type="spellEnd"/>
      <w:r w:rsidRPr="001F3D5E">
        <w:t xml:space="preserve"> acid, carmines</w:t>
      </w:r>
      <w:r>
        <w:t xml:space="preserve"> in red pesto cheese and </w:t>
      </w:r>
      <w:r w:rsidRPr="001F3D5E">
        <w:t xml:space="preserve">annatto, </w:t>
      </w:r>
      <w:proofErr w:type="spellStart"/>
      <w:r w:rsidRPr="001F3D5E">
        <w:t>bixin</w:t>
      </w:r>
      <w:proofErr w:type="spellEnd"/>
      <w:r w:rsidRPr="001F3D5E">
        <w:t xml:space="preserve">, </w:t>
      </w:r>
      <w:proofErr w:type="spellStart"/>
      <w:r w:rsidRPr="001F3D5E">
        <w:t>norbixin</w:t>
      </w:r>
      <w:proofErr w:type="spellEnd"/>
      <w:r>
        <w:t xml:space="preserve"> in </w:t>
      </w:r>
      <w:r w:rsidRPr="00573F46">
        <w:t>red and green pesto cheese</w:t>
      </w:r>
      <w:r>
        <w:t xml:space="preserve"> would have a significant impact on the total exposure to both colours.</w:t>
      </w:r>
    </w:p>
    <w:p w:rsidR="00A67FB0" w:rsidRPr="006A2B4D" w:rsidRDefault="00A67FB0" w:rsidP="00A67FB0">
      <w:pPr>
        <w:pStyle w:val="Considrant"/>
      </w:pPr>
      <w:r w:rsidRPr="006A2B4D">
        <w:t xml:space="preserve">Pursuant to Article 3(2) of Regulation (EC) No 1331/2008, the Commission is to seek the opinion of the Authority in order to update the Union list of food additives set out in Annex II to Regulation (EC) No 1333/2008, except where </w:t>
      </w:r>
      <w:r>
        <w:t>such</w:t>
      </w:r>
      <w:r w:rsidRPr="006A2B4D">
        <w:t xml:space="preserve"> update is not liable to have an effect on human health. Since the extension of use of </w:t>
      </w:r>
      <w:r>
        <w:t>c</w:t>
      </w:r>
      <w:r w:rsidRPr="001F3D5E">
        <w:t xml:space="preserve">ochineal, </w:t>
      </w:r>
      <w:proofErr w:type="spellStart"/>
      <w:r w:rsidRPr="001F3D5E">
        <w:t>carminic</w:t>
      </w:r>
      <w:proofErr w:type="spellEnd"/>
      <w:r w:rsidRPr="001F3D5E">
        <w:t xml:space="preserve"> acid, carmines</w:t>
      </w:r>
      <w:r>
        <w:t xml:space="preserve"> to red pesto cheese and </w:t>
      </w:r>
      <w:r w:rsidRPr="001F3D5E">
        <w:t xml:space="preserve">annatto, </w:t>
      </w:r>
      <w:proofErr w:type="spellStart"/>
      <w:r w:rsidRPr="001F3D5E">
        <w:t>bixin</w:t>
      </w:r>
      <w:proofErr w:type="spellEnd"/>
      <w:r w:rsidRPr="001F3D5E">
        <w:t xml:space="preserve">, </w:t>
      </w:r>
      <w:proofErr w:type="spellStart"/>
      <w:r w:rsidRPr="001F3D5E">
        <w:t>norbixin</w:t>
      </w:r>
      <w:proofErr w:type="spellEnd"/>
      <w:r>
        <w:t xml:space="preserve"> to </w:t>
      </w:r>
      <w:r w:rsidRPr="00573F46">
        <w:t>red and green pesto cheese</w:t>
      </w:r>
      <w:r>
        <w:t xml:space="preserve"> constitute</w:t>
      </w:r>
      <w:r w:rsidRPr="006A2B4D">
        <w:t xml:space="preserve"> an update of that list which is not liable to have an effect on human health, it is not necessary to seek the opinion of the Authority.</w:t>
      </w:r>
    </w:p>
    <w:p w:rsidR="00A67FB0" w:rsidRPr="006A2B4D" w:rsidRDefault="00A67FB0" w:rsidP="00A67FB0">
      <w:pPr>
        <w:pStyle w:val="Considrant"/>
      </w:pPr>
      <w:r w:rsidRPr="006A2B4D">
        <w:t>Therefore, Annex II to Regulation (EC) No 1333/2008 should be amended accordingly.</w:t>
      </w:r>
    </w:p>
    <w:p w:rsidR="00A67FB0" w:rsidRPr="006571DC" w:rsidRDefault="00A67FB0" w:rsidP="00A67FB0">
      <w:pPr>
        <w:pStyle w:val="Considrant"/>
      </w:pPr>
      <w:r w:rsidRPr="006A2B4D">
        <w:t>The measures provided for in this Regulation are in accordance with the opinion of the Standing Committee on the Food Chain and Animal Health</w:t>
      </w:r>
      <w:r w:rsidRPr="006571DC">
        <w:t>,</w:t>
      </w:r>
      <w:r>
        <w:t xml:space="preserve"> </w:t>
      </w:r>
    </w:p>
    <w:p w:rsidR="00A67FB0" w:rsidRPr="006571DC" w:rsidRDefault="00A67FB0" w:rsidP="00A67FB0">
      <w:pPr>
        <w:pStyle w:val="Formuledadoption"/>
      </w:pPr>
      <w:r w:rsidRPr="006571DC">
        <w:t>HAS ADOPTED THIS REGULATION:</w:t>
      </w:r>
    </w:p>
    <w:p w:rsidR="00A67FB0" w:rsidRPr="006571DC" w:rsidRDefault="00A67FB0" w:rsidP="00A67FB0">
      <w:pPr>
        <w:pStyle w:val="Titrearticle"/>
      </w:pPr>
      <w:r w:rsidRPr="006571DC">
        <w:t>Article 1</w:t>
      </w:r>
    </w:p>
    <w:p w:rsidR="00A67FB0" w:rsidRPr="006571DC" w:rsidRDefault="00A67FB0" w:rsidP="00A67FB0">
      <w:pPr>
        <w:rPr>
          <w:noProof/>
        </w:rPr>
      </w:pPr>
      <w:r w:rsidRPr="006571DC">
        <w:rPr>
          <w:noProof/>
        </w:rPr>
        <w:t>Annex II to Regulation (EC) No 1333/2008 is amended in accordance with the Annex to this Regulation.</w:t>
      </w:r>
    </w:p>
    <w:p w:rsidR="00A67FB0" w:rsidRPr="006571DC" w:rsidRDefault="00A67FB0" w:rsidP="00A67FB0">
      <w:pPr>
        <w:keepNext/>
        <w:spacing w:before="360"/>
        <w:jc w:val="center"/>
        <w:rPr>
          <w:i/>
        </w:rPr>
      </w:pPr>
      <w:r w:rsidRPr="006571DC">
        <w:rPr>
          <w:i/>
          <w:noProof/>
        </w:rPr>
        <w:t>Article</w:t>
      </w:r>
      <w:r w:rsidRPr="006571DC">
        <w:rPr>
          <w:i/>
        </w:rPr>
        <w:t xml:space="preserve"> 2</w:t>
      </w:r>
    </w:p>
    <w:p w:rsidR="00A67FB0" w:rsidRPr="006571DC" w:rsidRDefault="00A67FB0" w:rsidP="00A67FB0">
      <w:pPr>
        <w:rPr>
          <w:noProof/>
        </w:rPr>
      </w:pPr>
      <w:r w:rsidRPr="006571DC">
        <w:rPr>
          <w:noProof/>
        </w:rPr>
        <w:t xml:space="preserve">This Regulation shall enter into force on the twentieth day following that of its publication in the </w:t>
      </w:r>
      <w:r w:rsidRPr="006571DC">
        <w:rPr>
          <w:i/>
          <w:noProof/>
        </w:rPr>
        <w:t>Official Journal of the European Union</w:t>
      </w:r>
      <w:r w:rsidRPr="006571DC">
        <w:rPr>
          <w:noProof/>
        </w:rPr>
        <w:t>.</w:t>
      </w:r>
    </w:p>
    <w:p w:rsidR="00A67FB0" w:rsidRPr="006571DC" w:rsidRDefault="00A67FB0" w:rsidP="00A67FB0">
      <w:pPr>
        <w:spacing w:before="480"/>
      </w:pPr>
      <w:r w:rsidRPr="006571DC">
        <w:t>This Regulation shall be binding in its entirety and directly applicable in all Member States.</w:t>
      </w:r>
    </w:p>
    <w:p w:rsidR="00A67FB0" w:rsidRPr="006571DC" w:rsidRDefault="00A67FB0" w:rsidP="00A67FB0">
      <w:pPr>
        <w:keepNext/>
        <w:spacing w:after="0"/>
      </w:pPr>
      <w:r w:rsidRPr="006571DC">
        <w:t xml:space="preserve">Done at Brussels, </w:t>
      </w:r>
    </w:p>
    <w:p w:rsidR="00A67FB0" w:rsidRPr="006571DC" w:rsidRDefault="00A67FB0" w:rsidP="00A67FB0">
      <w:pPr>
        <w:keepNext/>
        <w:tabs>
          <w:tab w:val="left" w:pos="4252"/>
        </w:tabs>
        <w:spacing w:before="720" w:after="0"/>
        <w:outlineLvl w:val="0"/>
        <w:rPr>
          <w:i/>
          <w:noProof/>
        </w:rPr>
      </w:pPr>
      <w:r w:rsidRPr="006571DC">
        <w:rPr>
          <w:i/>
        </w:rPr>
        <w:tab/>
      </w:r>
      <w:r w:rsidRPr="006571DC">
        <w:rPr>
          <w:i/>
          <w:noProof/>
        </w:rPr>
        <w:t>For the Commission</w:t>
      </w:r>
    </w:p>
    <w:p w:rsidR="00A67FB0" w:rsidRPr="006571DC" w:rsidRDefault="00A67FB0" w:rsidP="00A67FB0">
      <w:pPr>
        <w:tabs>
          <w:tab w:val="left" w:pos="4252"/>
        </w:tabs>
        <w:spacing w:before="0" w:after="0"/>
        <w:jc w:val="left"/>
        <w:rPr>
          <w:i/>
          <w:noProof/>
        </w:rPr>
      </w:pPr>
      <w:r w:rsidRPr="006571DC">
        <w:rPr>
          <w:i/>
        </w:rPr>
        <w:tab/>
      </w:r>
      <w:r w:rsidRPr="006571DC">
        <w:rPr>
          <w:i/>
          <w:noProof/>
        </w:rPr>
        <w:t>The President</w:t>
      </w:r>
    </w:p>
    <w:p w:rsidR="00A67FB0" w:rsidRPr="006571DC" w:rsidRDefault="00A67FB0" w:rsidP="00A67FB0">
      <w:pPr>
        <w:tabs>
          <w:tab w:val="left" w:pos="4252"/>
        </w:tabs>
        <w:spacing w:before="0" w:after="0"/>
        <w:jc w:val="left"/>
        <w:rPr>
          <w:i/>
          <w:noProof/>
        </w:rPr>
      </w:pPr>
      <w:r w:rsidRPr="006571DC">
        <w:rPr>
          <w:i/>
          <w:noProof/>
        </w:rPr>
        <w:tab/>
        <w:t>José Manuel BARROSO</w:t>
      </w:r>
    </w:p>
    <w:p w:rsidR="00A67FB0" w:rsidRPr="001D48CB" w:rsidRDefault="00A67FB0" w:rsidP="00A67FB0">
      <w:pPr>
        <w:tabs>
          <w:tab w:val="left" w:pos="4252"/>
        </w:tabs>
        <w:spacing w:before="0" w:after="0"/>
        <w:jc w:val="left"/>
        <w:rPr>
          <w:i/>
          <w:noProof/>
        </w:rPr>
      </w:pPr>
      <w:r w:rsidRPr="006571DC">
        <w:rPr>
          <w:i/>
          <w:noProof/>
        </w:rPr>
        <w:tab/>
      </w:r>
    </w:p>
    <w:p w:rsidR="00A67FB0" w:rsidRPr="001D48CB" w:rsidRDefault="00A67FB0" w:rsidP="00A67FB0">
      <w:pPr>
        <w:keepNext/>
        <w:tabs>
          <w:tab w:val="left" w:pos="4252"/>
        </w:tabs>
        <w:spacing w:before="720" w:after="0"/>
        <w:rPr>
          <w:i/>
        </w:rPr>
        <w:sectPr w:rsidR="00A67FB0" w:rsidRPr="001D48CB" w:rsidSect="009962C2">
          <w:footerReference w:type="default" r:id="rId10"/>
          <w:footerReference w:type="first" r:id="rId11"/>
          <w:pgSz w:w="11907" w:h="16839"/>
          <w:pgMar w:top="1134" w:right="1417" w:bottom="1134" w:left="1417" w:header="709" w:footer="709" w:gutter="0"/>
          <w:cols w:space="708"/>
          <w:docGrid w:linePitch="360"/>
        </w:sectPr>
      </w:pPr>
    </w:p>
    <w:p w:rsidR="00A67FB0" w:rsidRPr="001D48CB" w:rsidRDefault="00A67FB0" w:rsidP="00A67FB0">
      <w:pPr>
        <w:jc w:val="center"/>
        <w:rPr>
          <w:b/>
          <w:noProof/>
          <w:u w:val="single"/>
        </w:rPr>
      </w:pPr>
      <w:r w:rsidRPr="001D48CB">
        <w:rPr>
          <w:b/>
          <w:noProof/>
          <w:u w:val="single"/>
        </w:rPr>
        <w:t>ANNEX</w:t>
      </w:r>
    </w:p>
    <w:p w:rsidR="00A67FB0" w:rsidRPr="00B36494" w:rsidRDefault="00A67FB0" w:rsidP="00A67FB0">
      <w:pPr>
        <w:rPr>
          <w:rFonts w:cs="EUAlbertina"/>
          <w:noProof/>
        </w:rPr>
      </w:pPr>
      <w:r w:rsidRPr="006A5D87">
        <w:rPr>
          <w:noProof/>
        </w:rPr>
        <w:t>In Part E of Annex II to Regulation (EC) No 1333/2008</w:t>
      </w:r>
      <w:r>
        <w:rPr>
          <w:noProof/>
        </w:rPr>
        <w:t>,</w:t>
      </w:r>
      <w:r w:rsidRPr="006A5D87">
        <w:rPr>
          <w:noProof/>
        </w:rPr>
        <w:t xml:space="preserve"> in</w:t>
      </w:r>
      <w:r w:rsidRPr="0000163C">
        <w:rPr>
          <w:rFonts w:cs="EUAlbertina"/>
          <w:noProof/>
        </w:rPr>
        <w:t xml:space="preserve"> food </w:t>
      </w:r>
      <w:r w:rsidRPr="00A07D66">
        <w:rPr>
          <w:rFonts w:cs="EUAlbertina"/>
          <w:noProof/>
        </w:rPr>
        <w:t>sub</w:t>
      </w:r>
      <w:r w:rsidRPr="00B36494">
        <w:rPr>
          <w:rFonts w:cs="EUAlbertina"/>
          <w:noProof/>
        </w:rPr>
        <w:t xml:space="preserve">category </w:t>
      </w:r>
      <w:r>
        <w:rPr>
          <w:rFonts w:cs="EUAlbertina"/>
          <w:noProof/>
        </w:rPr>
        <w:t>1.7.2</w:t>
      </w:r>
      <w:r w:rsidRPr="00463302">
        <w:rPr>
          <w:rFonts w:cs="EUAlbertina"/>
          <w:noProof/>
        </w:rPr>
        <w:t xml:space="preserve"> </w:t>
      </w:r>
      <w:r>
        <w:rPr>
          <w:rFonts w:cs="EUAlbertina"/>
          <w:noProof/>
        </w:rPr>
        <w:t>'Ripened cheese</w:t>
      </w:r>
      <w:r w:rsidRPr="006A5D87">
        <w:rPr>
          <w:rFonts w:cs="EUAlbertina"/>
          <w:noProof/>
        </w:rPr>
        <w:t>',</w:t>
      </w:r>
      <w:r>
        <w:rPr>
          <w:rFonts w:cs="EUAlbertina"/>
          <w:noProof/>
        </w:rPr>
        <w:t xml:space="preserve"> the entries</w:t>
      </w:r>
      <w:r w:rsidRPr="000D0EE5">
        <w:rPr>
          <w:rFonts w:cs="EUAlbertina"/>
          <w:noProof/>
        </w:rPr>
        <w:t xml:space="preserve"> </w:t>
      </w:r>
      <w:r w:rsidRPr="0000163C">
        <w:rPr>
          <w:rFonts w:cs="EUAlbertina"/>
          <w:noProof/>
        </w:rPr>
        <w:t xml:space="preserve">for E </w:t>
      </w:r>
      <w:r>
        <w:rPr>
          <w:rFonts w:cs="EUAlbertina"/>
          <w:noProof/>
        </w:rPr>
        <w:t>120, E 141, E 160b and E 160c are</w:t>
      </w:r>
      <w:r w:rsidRPr="0000163C">
        <w:rPr>
          <w:rFonts w:cs="EUAlbertina"/>
          <w:noProof/>
        </w:rPr>
        <w:t xml:space="preserve"> replaced by the follo</w:t>
      </w:r>
      <w:r w:rsidRPr="00A07D66">
        <w:rPr>
          <w:rFonts w:cs="EUAlbertina"/>
          <w:noProof/>
        </w:rPr>
        <w:t>wing:</w:t>
      </w:r>
    </w:p>
    <w:tbl>
      <w:tblPr>
        <w:tblW w:w="14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532"/>
        <w:gridCol w:w="3652"/>
        <w:gridCol w:w="1336"/>
        <w:gridCol w:w="1205"/>
        <w:gridCol w:w="6212"/>
      </w:tblGrid>
      <w:tr w:rsidR="00A67FB0" w:rsidRPr="00AB50E5" w:rsidTr="00DE720A">
        <w:trPr>
          <w:trHeight w:val="256"/>
        </w:trPr>
        <w:tc>
          <w:tcPr>
            <w:tcW w:w="851" w:type="dxa"/>
            <w:shd w:val="clear" w:color="auto" w:fill="auto"/>
            <w:noWrap/>
          </w:tcPr>
          <w:p w:rsidR="00A67FB0" w:rsidRPr="00653058" w:rsidRDefault="00A67FB0" w:rsidP="00DE720A">
            <w:pPr>
              <w:spacing w:before="40" w:after="40"/>
              <w:jc w:val="left"/>
              <w:rPr>
                <w:noProof/>
                <w:sz w:val="20"/>
              </w:rPr>
            </w:pPr>
          </w:p>
        </w:tc>
        <w:tc>
          <w:tcPr>
            <w:tcW w:w="1532" w:type="dxa"/>
            <w:shd w:val="clear" w:color="auto" w:fill="auto"/>
            <w:noWrap/>
          </w:tcPr>
          <w:p w:rsidR="00A67FB0" w:rsidRPr="00653058" w:rsidRDefault="00A67FB0" w:rsidP="00DE720A">
            <w:pPr>
              <w:spacing w:before="40" w:after="40"/>
              <w:jc w:val="left"/>
              <w:rPr>
                <w:noProof/>
                <w:sz w:val="20"/>
              </w:rPr>
            </w:pPr>
            <w:r>
              <w:rPr>
                <w:noProof/>
                <w:sz w:val="20"/>
              </w:rPr>
              <w:t>"E 120</w:t>
            </w:r>
          </w:p>
        </w:tc>
        <w:tc>
          <w:tcPr>
            <w:tcW w:w="3652" w:type="dxa"/>
            <w:shd w:val="clear" w:color="auto" w:fill="auto"/>
            <w:noWrap/>
          </w:tcPr>
          <w:p w:rsidR="00A67FB0" w:rsidRPr="00653058" w:rsidRDefault="00A67FB0" w:rsidP="00DE720A">
            <w:pPr>
              <w:spacing w:before="40" w:after="40"/>
              <w:jc w:val="left"/>
              <w:rPr>
                <w:noProof/>
                <w:sz w:val="20"/>
              </w:rPr>
            </w:pPr>
            <w:r w:rsidRPr="007B328F">
              <w:rPr>
                <w:noProof/>
                <w:sz w:val="20"/>
              </w:rPr>
              <w:t>Cochineal, Carminic acid, Carmines</w:t>
            </w:r>
          </w:p>
        </w:tc>
        <w:tc>
          <w:tcPr>
            <w:tcW w:w="1336" w:type="dxa"/>
            <w:shd w:val="clear" w:color="auto" w:fill="auto"/>
            <w:noWrap/>
          </w:tcPr>
          <w:p w:rsidR="00A67FB0" w:rsidRPr="0004595D" w:rsidRDefault="00A67FB0" w:rsidP="00DE720A">
            <w:pPr>
              <w:spacing w:before="40" w:after="40"/>
              <w:jc w:val="left"/>
              <w:rPr>
                <w:noProof/>
                <w:sz w:val="20"/>
              </w:rPr>
            </w:pPr>
            <w:r w:rsidRPr="0004595D">
              <w:rPr>
                <w:noProof/>
                <w:sz w:val="20"/>
              </w:rPr>
              <w:t>125</w:t>
            </w:r>
          </w:p>
        </w:tc>
        <w:tc>
          <w:tcPr>
            <w:tcW w:w="1205" w:type="dxa"/>
            <w:shd w:val="clear" w:color="auto" w:fill="auto"/>
            <w:noWrap/>
          </w:tcPr>
          <w:p w:rsidR="00A67FB0" w:rsidRPr="00653058" w:rsidRDefault="00A67FB0" w:rsidP="00DE720A">
            <w:pPr>
              <w:spacing w:before="40" w:after="40"/>
              <w:jc w:val="left"/>
              <w:rPr>
                <w:noProof/>
                <w:sz w:val="20"/>
              </w:rPr>
            </w:pPr>
          </w:p>
        </w:tc>
        <w:tc>
          <w:tcPr>
            <w:tcW w:w="6212" w:type="dxa"/>
            <w:shd w:val="clear" w:color="auto" w:fill="auto"/>
          </w:tcPr>
          <w:p w:rsidR="00A67FB0" w:rsidRPr="00AB50E5" w:rsidRDefault="00A67FB0" w:rsidP="00DE720A">
            <w:pPr>
              <w:spacing w:before="40" w:after="40"/>
              <w:jc w:val="left"/>
              <w:rPr>
                <w:noProof/>
                <w:sz w:val="20"/>
              </w:rPr>
            </w:pPr>
            <w:r w:rsidRPr="0004595D">
              <w:rPr>
                <w:noProof/>
                <w:sz w:val="20"/>
              </w:rPr>
              <w:t xml:space="preserve">only red marbled </w:t>
            </w:r>
            <w:r>
              <w:rPr>
                <w:noProof/>
                <w:sz w:val="20"/>
              </w:rPr>
              <w:t>and red pesto cheese</w:t>
            </w:r>
          </w:p>
        </w:tc>
      </w:tr>
      <w:tr w:rsidR="00A67FB0" w:rsidRPr="00CA43EA" w:rsidTr="00DE720A">
        <w:trPr>
          <w:trHeight w:val="256"/>
        </w:trPr>
        <w:tc>
          <w:tcPr>
            <w:tcW w:w="851" w:type="dxa"/>
            <w:shd w:val="clear" w:color="auto" w:fill="auto"/>
            <w:noWrap/>
          </w:tcPr>
          <w:p w:rsidR="00A67FB0" w:rsidRPr="00AB50E5" w:rsidRDefault="00A67FB0" w:rsidP="00DE720A">
            <w:pPr>
              <w:spacing w:before="40" w:after="40"/>
              <w:jc w:val="left"/>
              <w:rPr>
                <w:noProof/>
                <w:sz w:val="20"/>
              </w:rPr>
            </w:pPr>
          </w:p>
        </w:tc>
        <w:tc>
          <w:tcPr>
            <w:tcW w:w="1532" w:type="dxa"/>
            <w:shd w:val="clear" w:color="auto" w:fill="auto"/>
            <w:noWrap/>
          </w:tcPr>
          <w:p w:rsidR="00A67FB0" w:rsidRPr="00AB50E5" w:rsidRDefault="00A67FB0" w:rsidP="00DE720A">
            <w:pPr>
              <w:spacing w:before="40" w:after="40"/>
              <w:jc w:val="left"/>
              <w:rPr>
                <w:noProof/>
                <w:sz w:val="20"/>
                <w:lang w:val="it-IT"/>
              </w:rPr>
            </w:pPr>
            <w:r>
              <w:rPr>
                <w:noProof/>
                <w:sz w:val="20"/>
                <w:lang w:val="it-IT"/>
              </w:rPr>
              <w:t>E 141</w:t>
            </w:r>
          </w:p>
        </w:tc>
        <w:tc>
          <w:tcPr>
            <w:tcW w:w="3652" w:type="dxa"/>
            <w:shd w:val="clear" w:color="auto" w:fill="auto"/>
            <w:noWrap/>
          </w:tcPr>
          <w:p w:rsidR="00A67FB0" w:rsidRPr="0004595D" w:rsidRDefault="00A67FB0" w:rsidP="00DE720A">
            <w:pPr>
              <w:spacing w:before="40" w:after="40"/>
              <w:jc w:val="left"/>
              <w:rPr>
                <w:noProof/>
                <w:sz w:val="20"/>
              </w:rPr>
            </w:pPr>
            <w:r w:rsidRPr="0004595D">
              <w:rPr>
                <w:noProof/>
                <w:sz w:val="20"/>
              </w:rPr>
              <w:t>Copper complexes of chlorophylls and chlorophyllins</w:t>
            </w:r>
          </w:p>
        </w:tc>
        <w:tc>
          <w:tcPr>
            <w:tcW w:w="1336" w:type="dxa"/>
            <w:shd w:val="clear" w:color="auto" w:fill="auto"/>
            <w:noWrap/>
          </w:tcPr>
          <w:p w:rsidR="00A67FB0" w:rsidRPr="0004595D" w:rsidRDefault="00A67FB0" w:rsidP="00DE720A">
            <w:pPr>
              <w:spacing w:before="40" w:after="40"/>
              <w:jc w:val="left"/>
              <w:rPr>
                <w:i/>
                <w:noProof/>
                <w:sz w:val="20"/>
              </w:rPr>
            </w:pPr>
            <w:r w:rsidRPr="0004595D">
              <w:rPr>
                <w:i/>
                <w:noProof/>
                <w:sz w:val="20"/>
                <w:lang w:val="it-IT"/>
              </w:rPr>
              <w:t>quantum satis</w:t>
            </w:r>
          </w:p>
        </w:tc>
        <w:tc>
          <w:tcPr>
            <w:tcW w:w="1205" w:type="dxa"/>
            <w:shd w:val="clear" w:color="auto" w:fill="auto"/>
            <w:noWrap/>
          </w:tcPr>
          <w:p w:rsidR="00A67FB0" w:rsidRPr="00CA372C" w:rsidRDefault="00A67FB0" w:rsidP="00DE720A">
            <w:pPr>
              <w:spacing w:before="40" w:after="40"/>
              <w:jc w:val="left"/>
              <w:rPr>
                <w:noProof/>
                <w:sz w:val="20"/>
              </w:rPr>
            </w:pPr>
          </w:p>
        </w:tc>
        <w:tc>
          <w:tcPr>
            <w:tcW w:w="6212" w:type="dxa"/>
            <w:shd w:val="clear" w:color="auto" w:fill="auto"/>
          </w:tcPr>
          <w:p w:rsidR="00A67FB0" w:rsidRPr="0004595D" w:rsidRDefault="00A67FB0" w:rsidP="00DE720A">
            <w:pPr>
              <w:spacing w:before="40" w:after="40"/>
              <w:jc w:val="left"/>
              <w:rPr>
                <w:noProof/>
                <w:sz w:val="20"/>
              </w:rPr>
            </w:pPr>
            <w:r w:rsidRPr="0004595D">
              <w:rPr>
                <w:noProof/>
                <w:sz w:val="20"/>
              </w:rPr>
              <w:t xml:space="preserve">only </w:t>
            </w:r>
            <w:r w:rsidRPr="0004595D">
              <w:rPr>
                <w:i/>
                <w:noProof/>
                <w:sz w:val="20"/>
              </w:rPr>
              <w:t>sage Derby cheese</w:t>
            </w:r>
            <w:r>
              <w:rPr>
                <w:noProof/>
                <w:sz w:val="20"/>
              </w:rPr>
              <w:t>, green and red pesto cheese, wasabi cheese and green marbled herb cheese</w:t>
            </w:r>
          </w:p>
        </w:tc>
      </w:tr>
      <w:tr w:rsidR="00A67FB0" w:rsidRPr="00CA43EA" w:rsidTr="00DE720A">
        <w:trPr>
          <w:trHeight w:val="256"/>
        </w:trPr>
        <w:tc>
          <w:tcPr>
            <w:tcW w:w="851" w:type="dxa"/>
            <w:shd w:val="clear" w:color="auto" w:fill="auto"/>
            <w:noWrap/>
          </w:tcPr>
          <w:p w:rsidR="00A67FB0" w:rsidRPr="00AB50E5" w:rsidRDefault="00A67FB0" w:rsidP="00DE720A">
            <w:pPr>
              <w:spacing w:before="40" w:after="40"/>
              <w:jc w:val="left"/>
              <w:rPr>
                <w:noProof/>
                <w:sz w:val="20"/>
              </w:rPr>
            </w:pPr>
          </w:p>
        </w:tc>
        <w:tc>
          <w:tcPr>
            <w:tcW w:w="1532" w:type="dxa"/>
            <w:shd w:val="clear" w:color="auto" w:fill="auto"/>
            <w:noWrap/>
          </w:tcPr>
          <w:p w:rsidR="00A67FB0" w:rsidRPr="00AB50E5" w:rsidRDefault="00A67FB0" w:rsidP="00DE720A">
            <w:pPr>
              <w:spacing w:before="40" w:after="40"/>
              <w:jc w:val="left"/>
              <w:rPr>
                <w:noProof/>
                <w:sz w:val="20"/>
                <w:lang w:val="it-IT"/>
              </w:rPr>
            </w:pPr>
            <w:r>
              <w:rPr>
                <w:noProof/>
                <w:sz w:val="20"/>
                <w:lang w:val="it-IT"/>
              </w:rPr>
              <w:t>E 160b</w:t>
            </w:r>
          </w:p>
        </w:tc>
        <w:tc>
          <w:tcPr>
            <w:tcW w:w="3652" w:type="dxa"/>
            <w:shd w:val="clear" w:color="auto" w:fill="auto"/>
            <w:noWrap/>
          </w:tcPr>
          <w:p w:rsidR="00A67FB0" w:rsidRPr="00AB50E5" w:rsidRDefault="00A67FB0" w:rsidP="00DE720A">
            <w:pPr>
              <w:spacing w:before="40" w:after="40"/>
              <w:jc w:val="left"/>
              <w:rPr>
                <w:noProof/>
                <w:sz w:val="20"/>
                <w:lang w:val="it-IT"/>
              </w:rPr>
            </w:pPr>
            <w:r w:rsidRPr="00F77621">
              <w:rPr>
                <w:noProof/>
                <w:sz w:val="20"/>
                <w:lang w:val="it-IT"/>
              </w:rPr>
              <w:t>Annatto, Bixin, Norbixin</w:t>
            </w:r>
          </w:p>
        </w:tc>
        <w:tc>
          <w:tcPr>
            <w:tcW w:w="1336" w:type="dxa"/>
            <w:shd w:val="clear" w:color="auto" w:fill="auto"/>
            <w:noWrap/>
          </w:tcPr>
          <w:p w:rsidR="00A67FB0" w:rsidRPr="00C6344C" w:rsidRDefault="00A67FB0" w:rsidP="00DE720A">
            <w:pPr>
              <w:spacing w:before="40" w:after="40"/>
              <w:jc w:val="left"/>
              <w:rPr>
                <w:noProof/>
                <w:sz w:val="20"/>
                <w:lang w:val="it-IT"/>
              </w:rPr>
            </w:pPr>
            <w:r>
              <w:rPr>
                <w:noProof/>
                <w:sz w:val="20"/>
                <w:lang w:val="it-IT"/>
              </w:rPr>
              <w:t>50</w:t>
            </w:r>
          </w:p>
        </w:tc>
        <w:tc>
          <w:tcPr>
            <w:tcW w:w="1205" w:type="dxa"/>
            <w:shd w:val="clear" w:color="auto" w:fill="auto"/>
            <w:noWrap/>
          </w:tcPr>
          <w:p w:rsidR="00A67FB0" w:rsidRPr="00CA372C" w:rsidRDefault="00A67FB0" w:rsidP="00DE720A">
            <w:pPr>
              <w:spacing w:before="40" w:after="40"/>
              <w:jc w:val="left"/>
              <w:rPr>
                <w:noProof/>
                <w:sz w:val="20"/>
              </w:rPr>
            </w:pPr>
          </w:p>
        </w:tc>
        <w:tc>
          <w:tcPr>
            <w:tcW w:w="6212" w:type="dxa"/>
            <w:shd w:val="clear" w:color="auto" w:fill="auto"/>
          </w:tcPr>
          <w:p w:rsidR="00A67FB0" w:rsidRDefault="00A67FB0" w:rsidP="00DE720A">
            <w:pPr>
              <w:spacing w:before="40" w:after="40"/>
              <w:jc w:val="left"/>
              <w:rPr>
                <w:noProof/>
                <w:sz w:val="20"/>
              </w:rPr>
            </w:pPr>
            <w:r w:rsidRPr="00F77621">
              <w:rPr>
                <w:noProof/>
                <w:sz w:val="20"/>
              </w:rPr>
              <w:t xml:space="preserve">only </w:t>
            </w:r>
            <w:r w:rsidRPr="00F77621">
              <w:rPr>
                <w:i/>
                <w:noProof/>
                <w:sz w:val="20"/>
              </w:rPr>
              <w:t>red Leicester</w:t>
            </w:r>
            <w:r w:rsidRPr="00F77621">
              <w:rPr>
                <w:noProof/>
                <w:sz w:val="20"/>
              </w:rPr>
              <w:t xml:space="preserve"> cheese</w:t>
            </w:r>
            <w:r>
              <w:rPr>
                <w:noProof/>
                <w:sz w:val="20"/>
              </w:rPr>
              <w:t xml:space="preserve"> and red and green pesto cheese</w:t>
            </w:r>
          </w:p>
        </w:tc>
      </w:tr>
      <w:tr w:rsidR="00A67FB0" w:rsidRPr="00CA43EA" w:rsidTr="00DE720A">
        <w:trPr>
          <w:trHeight w:val="256"/>
        </w:trPr>
        <w:tc>
          <w:tcPr>
            <w:tcW w:w="851" w:type="dxa"/>
            <w:shd w:val="clear" w:color="auto" w:fill="auto"/>
            <w:noWrap/>
          </w:tcPr>
          <w:p w:rsidR="00A67FB0" w:rsidRPr="00AB50E5" w:rsidRDefault="00A67FB0" w:rsidP="00DE720A">
            <w:pPr>
              <w:spacing w:before="40" w:after="40"/>
              <w:jc w:val="left"/>
              <w:rPr>
                <w:noProof/>
                <w:sz w:val="20"/>
              </w:rPr>
            </w:pPr>
          </w:p>
        </w:tc>
        <w:tc>
          <w:tcPr>
            <w:tcW w:w="1532" w:type="dxa"/>
            <w:shd w:val="clear" w:color="auto" w:fill="auto"/>
            <w:noWrap/>
          </w:tcPr>
          <w:p w:rsidR="00A67FB0" w:rsidRPr="00EC4442" w:rsidRDefault="00A67FB0" w:rsidP="00DE720A">
            <w:pPr>
              <w:spacing w:before="40" w:after="40"/>
              <w:jc w:val="left"/>
              <w:rPr>
                <w:noProof/>
                <w:sz w:val="20"/>
              </w:rPr>
            </w:pPr>
            <w:r>
              <w:rPr>
                <w:noProof/>
                <w:sz w:val="20"/>
              </w:rPr>
              <w:t>E 160c</w:t>
            </w:r>
          </w:p>
        </w:tc>
        <w:tc>
          <w:tcPr>
            <w:tcW w:w="3652" w:type="dxa"/>
            <w:shd w:val="clear" w:color="auto" w:fill="auto"/>
            <w:noWrap/>
          </w:tcPr>
          <w:p w:rsidR="00A67FB0" w:rsidRPr="00EC4442" w:rsidRDefault="00A67FB0" w:rsidP="00DE720A">
            <w:pPr>
              <w:spacing w:before="40" w:after="40"/>
              <w:jc w:val="left"/>
              <w:rPr>
                <w:noProof/>
                <w:sz w:val="20"/>
              </w:rPr>
            </w:pPr>
            <w:r w:rsidRPr="00EC4442">
              <w:rPr>
                <w:noProof/>
                <w:sz w:val="20"/>
              </w:rPr>
              <w:t>Paprika extract, capsanthin, capsorubin</w:t>
            </w:r>
          </w:p>
        </w:tc>
        <w:tc>
          <w:tcPr>
            <w:tcW w:w="1336" w:type="dxa"/>
            <w:shd w:val="clear" w:color="auto" w:fill="auto"/>
            <w:noWrap/>
          </w:tcPr>
          <w:p w:rsidR="00A67FB0" w:rsidRPr="00EC4442" w:rsidRDefault="00A67FB0" w:rsidP="00DE720A">
            <w:pPr>
              <w:spacing w:before="40" w:after="40"/>
              <w:jc w:val="left"/>
              <w:rPr>
                <w:noProof/>
                <w:sz w:val="20"/>
              </w:rPr>
            </w:pPr>
            <w:r w:rsidRPr="0004595D">
              <w:rPr>
                <w:i/>
                <w:noProof/>
                <w:sz w:val="20"/>
                <w:lang w:val="it-IT"/>
              </w:rPr>
              <w:t>quantum satis</w:t>
            </w:r>
          </w:p>
        </w:tc>
        <w:tc>
          <w:tcPr>
            <w:tcW w:w="1205" w:type="dxa"/>
            <w:shd w:val="clear" w:color="auto" w:fill="auto"/>
            <w:noWrap/>
          </w:tcPr>
          <w:p w:rsidR="00A67FB0" w:rsidRPr="00CA372C" w:rsidRDefault="00A67FB0" w:rsidP="00DE720A">
            <w:pPr>
              <w:spacing w:before="40" w:after="40"/>
              <w:jc w:val="left"/>
              <w:rPr>
                <w:noProof/>
                <w:sz w:val="20"/>
              </w:rPr>
            </w:pPr>
          </w:p>
        </w:tc>
        <w:tc>
          <w:tcPr>
            <w:tcW w:w="6212" w:type="dxa"/>
            <w:shd w:val="clear" w:color="auto" w:fill="auto"/>
          </w:tcPr>
          <w:p w:rsidR="00A67FB0" w:rsidRDefault="00A67FB0" w:rsidP="00DE720A">
            <w:pPr>
              <w:spacing w:before="40" w:after="40"/>
              <w:jc w:val="left"/>
              <w:rPr>
                <w:noProof/>
                <w:sz w:val="20"/>
              </w:rPr>
            </w:pPr>
            <w:r w:rsidRPr="00EC4442">
              <w:rPr>
                <w:noProof/>
                <w:sz w:val="20"/>
              </w:rPr>
              <w:t xml:space="preserve">only ripened range, yellow and broken-white cheese </w:t>
            </w:r>
            <w:r>
              <w:rPr>
                <w:noProof/>
                <w:sz w:val="20"/>
              </w:rPr>
              <w:t>and green and red pesto cheese"</w:t>
            </w:r>
          </w:p>
        </w:tc>
      </w:tr>
    </w:tbl>
    <w:p w:rsidR="00A67FB0" w:rsidRPr="0037754E" w:rsidRDefault="00A67FB0" w:rsidP="00A67FB0">
      <w:pPr>
        <w:keepNext/>
        <w:tabs>
          <w:tab w:val="left" w:pos="4252"/>
        </w:tabs>
        <w:spacing w:before="0" w:after="0"/>
      </w:pPr>
    </w:p>
    <w:p w:rsidR="00A67FB0" w:rsidRPr="0037754E" w:rsidRDefault="00A67FB0" w:rsidP="00A67FB0"/>
    <w:p w:rsidR="003061A5" w:rsidRDefault="003061A5"/>
    <w:sectPr w:rsidR="003061A5" w:rsidSect="009962C2">
      <w:headerReference w:type="default" r:id="rId12"/>
      <w:footerReference w:type="default" r:id="rId13"/>
      <w:headerReference w:type="first" r:id="rId14"/>
      <w:footerReference w:type="first" r:id="rId15"/>
      <w:pgSz w:w="16839" w:h="11907" w:orient="landscape" w:code="9"/>
      <w:pgMar w:top="1418" w:right="1134" w:bottom="1418"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FBC" w:rsidRDefault="002A5FBC" w:rsidP="00A67FB0">
      <w:pPr>
        <w:spacing w:before="0" w:after="0"/>
      </w:pPr>
      <w:r>
        <w:separator/>
      </w:r>
    </w:p>
  </w:endnote>
  <w:endnote w:type="continuationSeparator" w:id="0">
    <w:p w:rsidR="002A5FBC" w:rsidRDefault="002A5FBC" w:rsidP="00A67F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B0" w:rsidRPr="00745818" w:rsidRDefault="00A67FB0" w:rsidP="00745818">
    <w:pPr>
      <w:pStyle w:val="Sidefod"/>
      <w:rPr>
        <w:rFonts w:ascii="Arial" w:hAnsi="Arial" w:cs="Arial"/>
        <w:b/>
        <w:sz w:val="48"/>
      </w:rPr>
    </w:pPr>
    <w:r w:rsidRPr="00745818">
      <w:rPr>
        <w:rFonts w:ascii="Arial" w:hAnsi="Arial" w:cs="Arial"/>
        <w:b/>
        <w:sz w:val="48"/>
      </w:rPr>
      <w:t>EN</w:t>
    </w:r>
    <w:r w:rsidRPr="00745818">
      <w:rPr>
        <w:rFonts w:ascii="Arial" w:hAnsi="Arial" w:cs="Arial"/>
        <w:b/>
        <w:sz w:val="48"/>
      </w:rPr>
      <w:tab/>
    </w:r>
    <w:r w:rsidRPr="00745818">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rsidRPr="00745818">
      <w:tab/>
    </w:r>
    <w:proofErr w:type="spellStart"/>
    <w:r w:rsidRPr="00745818">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B0" w:rsidRPr="00745818" w:rsidRDefault="00A67FB0" w:rsidP="00745818">
    <w:pPr>
      <w:pStyle w:val="Sidefod"/>
      <w:rPr>
        <w:rFonts w:ascii="Arial" w:hAnsi="Arial" w:cs="Arial"/>
        <w:b/>
        <w:sz w:val="48"/>
      </w:rPr>
    </w:pPr>
    <w:r w:rsidRPr="00745818">
      <w:rPr>
        <w:rFonts w:ascii="Arial" w:hAnsi="Arial" w:cs="Arial"/>
        <w:b/>
        <w:sz w:val="48"/>
      </w:rPr>
      <w:t>EN</w:t>
    </w:r>
    <w:r w:rsidRPr="00745818">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rsidRPr="00745818">
      <w:tab/>
    </w:r>
    <w:r w:rsidRPr="0074581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B0" w:rsidRPr="009962C2" w:rsidRDefault="00A67FB0" w:rsidP="00745818">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C2" w:rsidRPr="00745818" w:rsidRDefault="002A5FBC" w:rsidP="00745818">
    <w:pPr>
      <w:pStyle w:val="FooterLandscape"/>
      <w:rPr>
        <w:rFonts w:ascii="Arial" w:hAnsi="Arial" w:cs="Arial"/>
        <w:b/>
        <w:sz w:val="48"/>
      </w:rPr>
    </w:pPr>
    <w:r w:rsidRPr="00745818">
      <w:rPr>
        <w:rFonts w:ascii="Arial" w:hAnsi="Arial" w:cs="Arial"/>
        <w:b/>
        <w:sz w:val="48"/>
      </w:rPr>
      <w:t>EN</w:t>
    </w:r>
    <w:r w:rsidRPr="00745818">
      <w:rPr>
        <w:rFonts w:ascii="Arial" w:hAnsi="Arial" w:cs="Arial"/>
        <w:b/>
        <w:sz w:val="48"/>
      </w:rPr>
      <w:tab/>
    </w:r>
    <w:r>
      <w:fldChar w:fldCharType="begin"/>
    </w:r>
    <w:r>
      <w:instrText xml:space="preserve"> PAGE  \* MERGEFORMAT </w:instrText>
    </w:r>
    <w:r>
      <w:fldChar w:fldCharType="separate"/>
    </w:r>
    <w:r w:rsidR="00A67FB0">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rsidRPr="00745818">
      <w:tab/>
    </w:r>
    <w:r w:rsidRPr="00745818">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C2" w:rsidRPr="009962C2" w:rsidRDefault="002A5FBC" w:rsidP="00745818">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FBC" w:rsidRDefault="002A5FBC" w:rsidP="00A67FB0">
      <w:pPr>
        <w:spacing w:before="0" w:after="0"/>
      </w:pPr>
      <w:r>
        <w:separator/>
      </w:r>
    </w:p>
  </w:footnote>
  <w:footnote w:type="continuationSeparator" w:id="0">
    <w:p w:rsidR="002A5FBC" w:rsidRDefault="002A5FBC" w:rsidP="00A67FB0">
      <w:pPr>
        <w:spacing w:before="0" w:after="0"/>
      </w:pPr>
      <w:r>
        <w:continuationSeparator/>
      </w:r>
    </w:p>
  </w:footnote>
  <w:footnote w:id="1">
    <w:p w:rsidR="00A67FB0" w:rsidRPr="00A61502" w:rsidRDefault="00A67FB0" w:rsidP="00A67FB0">
      <w:pPr>
        <w:pStyle w:val="Fodnotetekst"/>
      </w:pPr>
      <w:r w:rsidRPr="00A61502">
        <w:rPr>
          <w:rStyle w:val="Fodnotehenvisning"/>
        </w:rPr>
        <w:footnoteRef/>
      </w:r>
      <w:r w:rsidRPr="00A61502">
        <w:tab/>
        <w:t>OJ L 354, 31.12.2008, p. 16.</w:t>
      </w:r>
    </w:p>
  </w:footnote>
  <w:footnote w:id="2">
    <w:p w:rsidR="00A67FB0" w:rsidRPr="00A61502" w:rsidRDefault="00A67FB0" w:rsidP="00A67FB0">
      <w:pPr>
        <w:pStyle w:val="Fodnotetekst"/>
      </w:pPr>
      <w:r w:rsidRPr="00A61502">
        <w:rPr>
          <w:rStyle w:val="Fodnotehenvisning"/>
        </w:rPr>
        <w:footnoteRef/>
      </w:r>
      <w:r w:rsidRPr="00A61502">
        <w:tab/>
        <w:t>Regulation (EC) No 1331/2008 of the European Parliament and of the Council of 16 December 2008 establishing a common authorisation procedure for food additives, food enzymes and food flavourings (OJ L 354, 31.12.2008, p. 1).</w:t>
      </w:r>
    </w:p>
  </w:footnote>
  <w:footnote w:id="3">
    <w:p w:rsidR="00A67FB0" w:rsidRPr="00A61502" w:rsidRDefault="00A67FB0" w:rsidP="00A67FB0">
      <w:pPr>
        <w:pStyle w:val="Fodnotetekst"/>
      </w:pPr>
      <w:r w:rsidRPr="00A61502">
        <w:rPr>
          <w:rStyle w:val="Fodnotehenvisning"/>
        </w:rPr>
        <w:footnoteRef/>
      </w:r>
      <w:r w:rsidRPr="00A61502">
        <w:tab/>
        <w:t xml:space="preserve">European Parliament </w:t>
      </w:r>
      <w:r>
        <w:t>and Council Directive 94/35/EC of 30 June 1994 on sweeteners for use in foodstuffs (</w:t>
      </w:r>
      <w:r w:rsidRPr="00A61502">
        <w:t>OJ L 237, 10.9.1994, p. 3</w:t>
      </w:r>
      <w:r>
        <w:t>)</w:t>
      </w:r>
      <w:r w:rsidRPr="00A61502">
        <w:t>.</w:t>
      </w:r>
    </w:p>
  </w:footnote>
  <w:footnote w:id="4">
    <w:p w:rsidR="00A67FB0" w:rsidRPr="00A61502" w:rsidRDefault="00A67FB0" w:rsidP="00A67FB0">
      <w:pPr>
        <w:pStyle w:val="Fodnotetekst"/>
      </w:pPr>
      <w:r w:rsidRPr="00A61502">
        <w:rPr>
          <w:rStyle w:val="Fodnotehenvisning"/>
        </w:rPr>
        <w:footnoteRef/>
      </w:r>
      <w:r w:rsidRPr="00A61502">
        <w:tab/>
        <w:t xml:space="preserve">European Parliament </w:t>
      </w:r>
      <w:r>
        <w:t>and Council Directive 94/36/EC of 30 June 1994 on colours for use in foodstuffs (</w:t>
      </w:r>
      <w:r w:rsidRPr="00A61502">
        <w:t>OJ L 237, 10.9.1994, p. 13</w:t>
      </w:r>
      <w:r>
        <w:t>)</w:t>
      </w:r>
      <w:r w:rsidRPr="00A61502">
        <w:t>.</w:t>
      </w:r>
    </w:p>
  </w:footnote>
  <w:footnote w:id="5">
    <w:p w:rsidR="00A67FB0" w:rsidRPr="00A61502" w:rsidRDefault="00A67FB0" w:rsidP="00A67FB0">
      <w:pPr>
        <w:pStyle w:val="Fodnotetekst"/>
      </w:pPr>
      <w:r w:rsidRPr="00A61502">
        <w:rPr>
          <w:rStyle w:val="Fodnotehenvisning"/>
        </w:rPr>
        <w:footnoteRef/>
      </w:r>
      <w:r w:rsidRPr="00A61502">
        <w:tab/>
        <w:t xml:space="preserve">European Parliament </w:t>
      </w:r>
      <w:r>
        <w:t>and Council Directive 95/2/EC of 20 February 1995 on food additives other than colours and sweeteners (</w:t>
      </w:r>
      <w:r w:rsidRPr="00A61502">
        <w:t>OJ L 61, 18.3.1995, p. 1</w:t>
      </w:r>
      <w:r>
        <w:t>)</w:t>
      </w:r>
      <w:r w:rsidRPr="00A61502">
        <w:t>.</w:t>
      </w:r>
    </w:p>
  </w:footnote>
  <w:footnote w:id="6">
    <w:p w:rsidR="00A67FB0" w:rsidRDefault="00A67FB0" w:rsidP="00A67FB0">
      <w:pPr>
        <w:pStyle w:val="Fodnotetekst"/>
      </w:pPr>
      <w:r>
        <w:rPr>
          <w:rStyle w:val="Fodnotehenvisning"/>
        </w:rPr>
        <w:footnoteRef/>
      </w:r>
      <w:r>
        <w:t xml:space="preserve"> </w:t>
      </w:r>
      <w:r>
        <w:tab/>
      </w:r>
      <w:proofErr w:type="gramStart"/>
      <w:r w:rsidRPr="00C033AA">
        <w:t>COM(</w:t>
      </w:r>
      <w:proofErr w:type="gramEnd"/>
      <w:r w:rsidRPr="00C033AA">
        <w:t>2001) 542 final.</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C2" w:rsidRPr="009962C2" w:rsidRDefault="002A5FBC" w:rsidP="00745818">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C2" w:rsidRPr="009962C2" w:rsidRDefault="002A5FBC" w:rsidP="00745818">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FB0"/>
    <w:rsid w:val="002A5FBC"/>
    <w:rsid w:val="003061A5"/>
    <w:rsid w:val="00A67F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FB0"/>
    <w:pPr>
      <w:spacing w:before="120" w:after="120" w:line="240" w:lineRule="auto"/>
      <w:jc w:val="both"/>
    </w:pPr>
    <w:rPr>
      <w:rFonts w:ascii="Times New Roman" w:eastAsia="Times New Roman" w:hAnsi="Times New Roman" w:cs="Times New Roman"/>
      <w:sz w:val="24"/>
      <w:szCs w:val="2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rsid w:val="00A67FB0"/>
    <w:pPr>
      <w:tabs>
        <w:tab w:val="center" w:pos="4535"/>
        <w:tab w:val="right" w:pos="9071"/>
        <w:tab w:val="right" w:pos="9921"/>
      </w:tabs>
      <w:spacing w:before="360" w:after="0"/>
      <w:ind w:left="-850" w:right="-850"/>
      <w:jc w:val="left"/>
    </w:pPr>
  </w:style>
  <w:style w:type="character" w:customStyle="1" w:styleId="SidefodTegn">
    <w:name w:val="Sidefod Tegn"/>
    <w:basedOn w:val="Standardskrifttypeiafsnit"/>
    <w:link w:val="Sidefod"/>
    <w:rsid w:val="00A67FB0"/>
    <w:rPr>
      <w:rFonts w:ascii="Times New Roman" w:eastAsia="Times New Roman" w:hAnsi="Times New Roman" w:cs="Times New Roman"/>
      <w:sz w:val="24"/>
      <w:szCs w:val="24"/>
      <w:lang w:val="en-GB"/>
    </w:rPr>
  </w:style>
  <w:style w:type="paragraph" w:styleId="Fodnotetekst">
    <w:name w:val="footnote text"/>
    <w:basedOn w:val="Normal"/>
    <w:link w:val="FodnotetekstTegn"/>
    <w:semiHidden/>
    <w:rsid w:val="00A67FB0"/>
    <w:pPr>
      <w:spacing w:before="0" w:after="0"/>
      <w:ind w:left="720" w:hanging="720"/>
    </w:pPr>
    <w:rPr>
      <w:sz w:val="20"/>
      <w:szCs w:val="20"/>
    </w:rPr>
  </w:style>
  <w:style w:type="character" w:customStyle="1" w:styleId="FodnotetekstTegn">
    <w:name w:val="Fodnotetekst Tegn"/>
    <w:basedOn w:val="Standardskrifttypeiafsnit"/>
    <w:link w:val="Fodnotetekst"/>
    <w:semiHidden/>
    <w:rsid w:val="00A67FB0"/>
    <w:rPr>
      <w:rFonts w:ascii="Times New Roman" w:eastAsia="Times New Roman" w:hAnsi="Times New Roman" w:cs="Times New Roman"/>
      <w:sz w:val="20"/>
      <w:szCs w:val="20"/>
      <w:lang w:val="en-GB"/>
    </w:rPr>
  </w:style>
  <w:style w:type="paragraph" w:customStyle="1" w:styleId="HeaderLandscape">
    <w:name w:val="HeaderLandscape"/>
    <w:basedOn w:val="Normal"/>
    <w:rsid w:val="00A67FB0"/>
    <w:pPr>
      <w:tabs>
        <w:tab w:val="center" w:pos="7285"/>
        <w:tab w:val="right" w:pos="14003"/>
      </w:tabs>
      <w:spacing w:before="0"/>
    </w:pPr>
    <w:rPr>
      <w:rFonts w:eastAsia="Calibri"/>
      <w:szCs w:val="22"/>
    </w:rPr>
  </w:style>
  <w:style w:type="paragraph" w:customStyle="1" w:styleId="FooterLandscape">
    <w:name w:val="FooterLandscape"/>
    <w:basedOn w:val="Normal"/>
    <w:rsid w:val="00A67FB0"/>
    <w:pPr>
      <w:tabs>
        <w:tab w:val="center" w:pos="7285"/>
        <w:tab w:val="center" w:pos="10913"/>
        <w:tab w:val="right" w:pos="15137"/>
      </w:tabs>
      <w:spacing w:before="360" w:after="0"/>
      <w:ind w:left="-567" w:right="-567"/>
      <w:jc w:val="left"/>
    </w:pPr>
  </w:style>
  <w:style w:type="character" w:styleId="Fodnotehenvisning">
    <w:name w:val="footnote reference"/>
    <w:semiHidden/>
    <w:rsid w:val="00A67FB0"/>
    <w:rPr>
      <w:shd w:val="clear" w:color="auto" w:fill="auto"/>
      <w:vertAlign w:val="superscript"/>
    </w:rPr>
  </w:style>
  <w:style w:type="character" w:customStyle="1" w:styleId="Marker2">
    <w:name w:val="Marker2"/>
    <w:rsid w:val="00A67FB0"/>
    <w:rPr>
      <w:color w:val="FF0000"/>
      <w:shd w:val="clear" w:color="auto" w:fill="auto"/>
    </w:rPr>
  </w:style>
  <w:style w:type="paragraph" w:customStyle="1" w:styleId="Considrant">
    <w:name w:val="Considérant"/>
    <w:basedOn w:val="Normal"/>
    <w:rsid w:val="00A67FB0"/>
    <w:pPr>
      <w:numPr>
        <w:numId w:val="1"/>
      </w:numPr>
    </w:pPr>
  </w:style>
  <w:style w:type="paragraph" w:customStyle="1" w:styleId="Datedadoption">
    <w:name w:val="Date d'adoption"/>
    <w:basedOn w:val="Normal"/>
    <w:next w:val="Titreobjet"/>
    <w:rsid w:val="00A67FB0"/>
    <w:pPr>
      <w:spacing w:before="360" w:after="0"/>
      <w:jc w:val="center"/>
    </w:pPr>
    <w:rPr>
      <w:b/>
    </w:rPr>
  </w:style>
  <w:style w:type="paragraph" w:customStyle="1" w:styleId="Formuledadoption">
    <w:name w:val="Formule d'adoption"/>
    <w:basedOn w:val="Normal"/>
    <w:next w:val="Titrearticle"/>
    <w:rsid w:val="00A67FB0"/>
    <w:pPr>
      <w:keepNext/>
    </w:pPr>
  </w:style>
  <w:style w:type="paragraph" w:customStyle="1" w:styleId="Institutionquiagit">
    <w:name w:val="Institution qui agit"/>
    <w:basedOn w:val="Normal"/>
    <w:next w:val="Normal"/>
    <w:rsid w:val="00A67FB0"/>
    <w:pPr>
      <w:keepNext/>
      <w:spacing w:before="600"/>
    </w:pPr>
  </w:style>
  <w:style w:type="paragraph" w:customStyle="1" w:styleId="Titrearticle">
    <w:name w:val="Titre article"/>
    <w:basedOn w:val="Normal"/>
    <w:next w:val="Normal"/>
    <w:rsid w:val="00A67FB0"/>
    <w:pPr>
      <w:keepNext/>
      <w:spacing w:before="360"/>
      <w:jc w:val="center"/>
    </w:pPr>
    <w:rPr>
      <w:i/>
    </w:rPr>
  </w:style>
  <w:style w:type="paragraph" w:customStyle="1" w:styleId="Titreobjet">
    <w:name w:val="Titre objet"/>
    <w:basedOn w:val="Normal"/>
    <w:next w:val="Normal"/>
    <w:rsid w:val="00A67FB0"/>
    <w:pPr>
      <w:spacing w:before="360" w:after="360"/>
      <w:jc w:val="center"/>
    </w:pPr>
    <w:rPr>
      <w:b/>
    </w:rPr>
  </w:style>
  <w:style w:type="paragraph" w:customStyle="1" w:styleId="Typedudocument">
    <w:name w:val="Type du document"/>
    <w:basedOn w:val="Normal"/>
    <w:next w:val="Titreobjet"/>
    <w:rsid w:val="00A67FB0"/>
    <w:pPr>
      <w:spacing w:before="360" w:after="0"/>
      <w:jc w:val="center"/>
    </w:pPr>
    <w:rPr>
      <w:b/>
    </w:rPr>
  </w:style>
  <w:style w:type="paragraph" w:customStyle="1" w:styleId="Pagedecouverture">
    <w:name w:val="Page de couverture"/>
    <w:basedOn w:val="Normal"/>
    <w:next w:val="Normal"/>
    <w:rsid w:val="00A67FB0"/>
    <w:pPr>
      <w:spacing w:before="0" w:after="0"/>
    </w:pPr>
  </w:style>
  <w:style w:type="paragraph" w:customStyle="1" w:styleId="IntrtEEE">
    <w:name w:val="Intérêt EEE"/>
    <w:basedOn w:val="Normal"/>
    <w:next w:val="Normal"/>
    <w:rsid w:val="00A67FB0"/>
    <w:pPr>
      <w:spacing w:before="360" w:after="240"/>
      <w:jc w:val="center"/>
    </w:pPr>
  </w:style>
  <w:style w:type="paragraph" w:styleId="Markeringsbobletekst">
    <w:name w:val="Balloon Text"/>
    <w:basedOn w:val="Normal"/>
    <w:link w:val="MarkeringsbobletekstTegn"/>
    <w:uiPriority w:val="99"/>
    <w:semiHidden/>
    <w:unhideWhenUsed/>
    <w:rsid w:val="00A67FB0"/>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67FB0"/>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FB0"/>
    <w:pPr>
      <w:spacing w:before="120" w:after="120" w:line="240" w:lineRule="auto"/>
      <w:jc w:val="both"/>
    </w:pPr>
    <w:rPr>
      <w:rFonts w:ascii="Times New Roman" w:eastAsia="Times New Roman" w:hAnsi="Times New Roman" w:cs="Times New Roman"/>
      <w:sz w:val="24"/>
      <w:szCs w:val="2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rsid w:val="00A67FB0"/>
    <w:pPr>
      <w:tabs>
        <w:tab w:val="center" w:pos="4535"/>
        <w:tab w:val="right" w:pos="9071"/>
        <w:tab w:val="right" w:pos="9921"/>
      </w:tabs>
      <w:spacing w:before="360" w:after="0"/>
      <w:ind w:left="-850" w:right="-850"/>
      <w:jc w:val="left"/>
    </w:pPr>
  </w:style>
  <w:style w:type="character" w:customStyle="1" w:styleId="SidefodTegn">
    <w:name w:val="Sidefod Tegn"/>
    <w:basedOn w:val="Standardskrifttypeiafsnit"/>
    <w:link w:val="Sidefod"/>
    <w:rsid w:val="00A67FB0"/>
    <w:rPr>
      <w:rFonts w:ascii="Times New Roman" w:eastAsia="Times New Roman" w:hAnsi="Times New Roman" w:cs="Times New Roman"/>
      <w:sz w:val="24"/>
      <w:szCs w:val="24"/>
      <w:lang w:val="en-GB"/>
    </w:rPr>
  </w:style>
  <w:style w:type="paragraph" w:styleId="Fodnotetekst">
    <w:name w:val="footnote text"/>
    <w:basedOn w:val="Normal"/>
    <w:link w:val="FodnotetekstTegn"/>
    <w:semiHidden/>
    <w:rsid w:val="00A67FB0"/>
    <w:pPr>
      <w:spacing w:before="0" w:after="0"/>
      <w:ind w:left="720" w:hanging="720"/>
    </w:pPr>
    <w:rPr>
      <w:sz w:val="20"/>
      <w:szCs w:val="20"/>
    </w:rPr>
  </w:style>
  <w:style w:type="character" w:customStyle="1" w:styleId="FodnotetekstTegn">
    <w:name w:val="Fodnotetekst Tegn"/>
    <w:basedOn w:val="Standardskrifttypeiafsnit"/>
    <w:link w:val="Fodnotetekst"/>
    <w:semiHidden/>
    <w:rsid w:val="00A67FB0"/>
    <w:rPr>
      <w:rFonts w:ascii="Times New Roman" w:eastAsia="Times New Roman" w:hAnsi="Times New Roman" w:cs="Times New Roman"/>
      <w:sz w:val="20"/>
      <w:szCs w:val="20"/>
      <w:lang w:val="en-GB"/>
    </w:rPr>
  </w:style>
  <w:style w:type="paragraph" w:customStyle="1" w:styleId="HeaderLandscape">
    <w:name w:val="HeaderLandscape"/>
    <w:basedOn w:val="Normal"/>
    <w:rsid w:val="00A67FB0"/>
    <w:pPr>
      <w:tabs>
        <w:tab w:val="center" w:pos="7285"/>
        <w:tab w:val="right" w:pos="14003"/>
      </w:tabs>
      <w:spacing w:before="0"/>
    </w:pPr>
    <w:rPr>
      <w:rFonts w:eastAsia="Calibri"/>
      <w:szCs w:val="22"/>
    </w:rPr>
  </w:style>
  <w:style w:type="paragraph" w:customStyle="1" w:styleId="FooterLandscape">
    <w:name w:val="FooterLandscape"/>
    <w:basedOn w:val="Normal"/>
    <w:rsid w:val="00A67FB0"/>
    <w:pPr>
      <w:tabs>
        <w:tab w:val="center" w:pos="7285"/>
        <w:tab w:val="center" w:pos="10913"/>
        <w:tab w:val="right" w:pos="15137"/>
      </w:tabs>
      <w:spacing w:before="360" w:after="0"/>
      <w:ind w:left="-567" w:right="-567"/>
      <w:jc w:val="left"/>
    </w:pPr>
  </w:style>
  <w:style w:type="character" w:styleId="Fodnotehenvisning">
    <w:name w:val="footnote reference"/>
    <w:semiHidden/>
    <w:rsid w:val="00A67FB0"/>
    <w:rPr>
      <w:shd w:val="clear" w:color="auto" w:fill="auto"/>
      <w:vertAlign w:val="superscript"/>
    </w:rPr>
  </w:style>
  <w:style w:type="character" w:customStyle="1" w:styleId="Marker2">
    <w:name w:val="Marker2"/>
    <w:rsid w:val="00A67FB0"/>
    <w:rPr>
      <w:color w:val="FF0000"/>
      <w:shd w:val="clear" w:color="auto" w:fill="auto"/>
    </w:rPr>
  </w:style>
  <w:style w:type="paragraph" w:customStyle="1" w:styleId="Considrant">
    <w:name w:val="Considérant"/>
    <w:basedOn w:val="Normal"/>
    <w:rsid w:val="00A67FB0"/>
    <w:pPr>
      <w:numPr>
        <w:numId w:val="1"/>
      </w:numPr>
    </w:pPr>
  </w:style>
  <w:style w:type="paragraph" w:customStyle="1" w:styleId="Datedadoption">
    <w:name w:val="Date d'adoption"/>
    <w:basedOn w:val="Normal"/>
    <w:next w:val="Titreobjet"/>
    <w:rsid w:val="00A67FB0"/>
    <w:pPr>
      <w:spacing w:before="360" w:after="0"/>
      <w:jc w:val="center"/>
    </w:pPr>
    <w:rPr>
      <w:b/>
    </w:rPr>
  </w:style>
  <w:style w:type="paragraph" w:customStyle="1" w:styleId="Formuledadoption">
    <w:name w:val="Formule d'adoption"/>
    <w:basedOn w:val="Normal"/>
    <w:next w:val="Titrearticle"/>
    <w:rsid w:val="00A67FB0"/>
    <w:pPr>
      <w:keepNext/>
    </w:pPr>
  </w:style>
  <w:style w:type="paragraph" w:customStyle="1" w:styleId="Institutionquiagit">
    <w:name w:val="Institution qui agit"/>
    <w:basedOn w:val="Normal"/>
    <w:next w:val="Normal"/>
    <w:rsid w:val="00A67FB0"/>
    <w:pPr>
      <w:keepNext/>
      <w:spacing w:before="600"/>
    </w:pPr>
  </w:style>
  <w:style w:type="paragraph" w:customStyle="1" w:styleId="Titrearticle">
    <w:name w:val="Titre article"/>
    <w:basedOn w:val="Normal"/>
    <w:next w:val="Normal"/>
    <w:rsid w:val="00A67FB0"/>
    <w:pPr>
      <w:keepNext/>
      <w:spacing w:before="360"/>
      <w:jc w:val="center"/>
    </w:pPr>
    <w:rPr>
      <w:i/>
    </w:rPr>
  </w:style>
  <w:style w:type="paragraph" w:customStyle="1" w:styleId="Titreobjet">
    <w:name w:val="Titre objet"/>
    <w:basedOn w:val="Normal"/>
    <w:next w:val="Normal"/>
    <w:rsid w:val="00A67FB0"/>
    <w:pPr>
      <w:spacing w:before="360" w:after="360"/>
      <w:jc w:val="center"/>
    </w:pPr>
    <w:rPr>
      <w:b/>
    </w:rPr>
  </w:style>
  <w:style w:type="paragraph" w:customStyle="1" w:styleId="Typedudocument">
    <w:name w:val="Type du document"/>
    <w:basedOn w:val="Normal"/>
    <w:next w:val="Titreobjet"/>
    <w:rsid w:val="00A67FB0"/>
    <w:pPr>
      <w:spacing w:before="360" w:after="0"/>
      <w:jc w:val="center"/>
    </w:pPr>
    <w:rPr>
      <w:b/>
    </w:rPr>
  </w:style>
  <w:style w:type="paragraph" w:customStyle="1" w:styleId="Pagedecouverture">
    <w:name w:val="Page de couverture"/>
    <w:basedOn w:val="Normal"/>
    <w:next w:val="Normal"/>
    <w:rsid w:val="00A67FB0"/>
    <w:pPr>
      <w:spacing w:before="0" w:after="0"/>
    </w:pPr>
  </w:style>
  <w:style w:type="paragraph" w:customStyle="1" w:styleId="IntrtEEE">
    <w:name w:val="Intérêt EEE"/>
    <w:basedOn w:val="Normal"/>
    <w:next w:val="Normal"/>
    <w:rsid w:val="00A67FB0"/>
    <w:pPr>
      <w:spacing w:before="360" w:after="240"/>
      <w:jc w:val="center"/>
    </w:pPr>
  </w:style>
  <w:style w:type="paragraph" w:styleId="Markeringsbobletekst">
    <w:name w:val="Balloon Text"/>
    <w:basedOn w:val="Normal"/>
    <w:link w:val="MarkeringsbobletekstTegn"/>
    <w:uiPriority w:val="99"/>
    <w:semiHidden/>
    <w:unhideWhenUsed/>
    <w:rsid w:val="00A67FB0"/>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67FB0"/>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5437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Fødevarestyrelsen</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Grossmann (FVST)</dc:creator>
  <cp:keywords/>
  <dc:description/>
  <cp:lastModifiedBy/>
  <cp:revision>1</cp:revision>
  <dcterms:created xsi:type="dcterms:W3CDTF">2014-06-03T07:55:00Z</dcterms:created>
</cp:coreProperties>
</file>