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4CBE" w:rsidRDefault="006D169A" w:rsidP="00571B20">
      <w:pPr>
        <w:pStyle w:val="Brdtekst"/>
      </w:pPr>
      <w:r>
        <w:t>ViSikrer</w:t>
      </w:r>
      <w:r w:rsidR="00571B20">
        <w:t xml:space="preserve"> Aps</w:t>
      </w:r>
    </w:p>
    <w:p w:rsidR="00571B20" w:rsidRDefault="00571B20" w:rsidP="00571B20">
      <w:pPr>
        <w:pStyle w:val="Brdtekst"/>
        <w:rPr>
          <w:rFonts w:eastAsiaTheme="majorEastAsia" w:cstheme="minorHAnsi"/>
          <w:bCs/>
        </w:rPr>
      </w:pPr>
      <w:r w:rsidRPr="00A010BB">
        <w:rPr>
          <w:rFonts w:eastAsiaTheme="majorEastAsia" w:cstheme="minorHAnsi"/>
          <w:bCs/>
        </w:rPr>
        <w:t xml:space="preserve">Egeparken 3, </w:t>
      </w:r>
    </w:p>
    <w:p w:rsidR="00571B20" w:rsidRPr="00A010BB" w:rsidRDefault="00571B20" w:rsidP="00571B20">
      <w:pPr>
        <w:pStyle w:val="Brdtekst"/>
        <w:rPr>
          <w:rFonts w:eastAsia="Times New Roman" w:cstheme="minorHAnsi"/>
          <w:color w:val="FFFFFF"/>
          <w:lang w:eastAsia="da-DK"/>
        </w:rPr>
      </w:pPr>
      <w:r w:rsidRPr="00A010BB">
        <w:rPr>
          <w:rFonts w:eastAsiaTheme="majorEastAsia" w:cstheme="minorHAnsi"/>
          <w:bCs/>
        </w:rPr>
        <w:t>4862 Guldborg</w:t>
      </w:r>
    </w:p>
    <w:p w:rsidR="00571B20" w:rsidRPr="00A85199" w:rsidRDefault="00571B20" w:rsidP="00571B20">
      <w:pPr>
        <w:pStyle w:val="Brdtekst"/>
        <w:rPr>
          <w:rFonts w:eastAsia="Times New Roman" w:cstheme="minorHAnsi"/>
          <w:lang w:eastAsia="da-DK"/>
        </w:rPr>
      </w:pPr>
      <w:r w:rsidRPr="00A85199">
        <w:rPr>
          <w:rFonts w:eastAsiaTheme="majorEastAsia" w:cstheme="minorHAnsi"/>
          <w:bCs/>
        </w:rPr>
        <w:t xml:space="preserve">CVR: </w:t>
      </w:r>
      <w:r w:rsidRPr="00A85199">
        <w:rPr>
          <w:rFonts w:eastAsia="Times New Roman" w:cstheme="minorHAnsi"/>
          <w:color w:val="000000"/>
          <w:lang w:eastAsia="da-DK"/>
        </w:rPr>
        <w:t>40969861</w:t>
      </w:r>
    </w:p>
    <w:p w:rsidR="006D169A" w:rsidRDefault="00E921D0" w:rsidP="006D169A">
      <w:pPr>
        <w:pStyle w:val="Brdtekst"/>
        <w:jc w:val="right"/>
      </w:pPr>
      <w:r>
        <w:t>2</w:t>
      </w:r>
      <w:r w:rsidR="00E83D31">
        <w:t>8</w:t>
      </w:r>
      <w:r w:rsidR="006D169A">
        <w:t>. ju</w:t>
      </w:r>
      <w:r>
        <w:t>l</w:t>
      </w:r>
      <w:r w:rsidR="006D169A">
        <w:t>i 2020</w:t>
      </w:r>
    </w:p>
    <w:p w:rsidR="00BF1FB5" w:rsidRDefault="00BF1FB5" w:rsidP="00E86483">
      <w:pPr>
        <w:pStyle w:val="Brdtekst"/>
      </w:pPr>
    </w:p>
    <w:p w:rsidR="001000B1" w:rsidRPr="00571B20" w:rsidRDefault="001000B1" w:rsidP="00571B20">
      <w:pPr>
        <w:pStyle w:val="Brdtekst"/>
      </w:pPr>
      <w:r w:rsidRPr="00571B20">
        <w:t xml:space="preserve">Til </w:t>
      </w:r>
    </w:p>
    <w:p w:rsidR="001000B1" w:rsidRPr="00571B20" w:rsidRDefault="001000B1" w:rsidP="00571B20">
      <w:pPr>
        <w:pStyle w:val="Brdtekst"/>
      </w:pPr>
      <w:r w:rsidRPr="00571B20">
        <w:t>Trafik-, Bygge- og Boligstyrelsen</w:t>
      </w:r>
    </w:p>
    <w:p w:rsidR="001000B1" w:rsidRPr="00571B20" w:rsidRDefault="001000B1" w:rsidP="00571B20">
      <w:pPr>
        <w:pStyle w:val="Brdtekst"/>
      </w:pPr>
    </w:p>
    <w:p w:rsidR="001000B1" w:rsidRPr="00571B20" w:rsidRDefault="001000B1" w:rsidP="00571B20">
      <w:pPr>
        <w:pStyle w:val="Brdtekst"/>
        <w:rPr>
          <w:b/>
          <w:bCs/>
        </w:rPr>
      </w:pPr>
      <w:r w:rsidRPr="00571B20">
        <w:rPr>
          <w:b/>
          <w:bCs/>
        </w:rPr>
        <w:t>Emne:</w:t>
      </w:r>
    </w:p>
    <w:p w:rsidR="001000B1" w:rsidRPr="00571B20" w:rsidRDefault="001000B1" w:rsidP="00571B20">
      <w:pPr>
        <w:pStyle w:val="Brdtekst"/>
        <w:rPr>
          <w:b/>
          <w:bCs/>
        </w:rPr>
      </w:pPr>
      <w:r w:rsidRPr="00571B20">
        <w:rPr>
          <w:b/>
          <w:bCs/>
        </w:rPr>
        <w:t>Høringssvar nye bekendtgørelser om sikring af Havne og Havnefaciliteter samt vejledning om godkendelse af RSO</w:t>
      </w:r>
      <w:r w:rsidR="00571B20" w:rsidRPr="00571B20">
        <w:rPr>
          <w:b/>
          <w:bCs/>
        </w:rPr>
        <w:t>.</w:t>
      </w:r>
    </w:p>
    <w:p w:rsidR="00571B20" w:rsidRPr="00571B20" w:rsidRDefault="00571B20" w:rsidP="00571B20">
      <w:pPr>
        <w:pStyle w:val="Brdtekst"/>
      </w:pPr>
    </w:p>
    <w:p w:rsidR="00571B20" w:rsidRPr="00571B20" w:rsidRDefault="00571B20" w:rsidP="00571B20">
      <w:pPr>
        <w:pStyle w:val="Brdtekst"/>
      </w:pPr>
      <w:r w:rsidRPr="00571B20">
        <w:t>Ref.:</w:t>
      </w:r>
    </w:p>
    <w:p w:rsidR="00571B20" w:rsidRPr="00571B20" w:rsidRDefault="00571B20" w:rsidP="00571B20">
      <w:pPr>
        <w:pStyle w:val="Brdtekst"/>
      </w:pPr>
      <w:r>
        <w:t>Skrivelse fra Trafik-, Bygge og Boligstyrelse</w:t>
      </w:r>
      <w:r w:rsidRPr="00571B20">
        <w:t xml:space="preserve"> TS60306-00007 </w:t>
      </w:r>
      <w:r>
        <w:t>af 9. juni 2020</w:t>
      </w:r>
      <w:r>
        <w:rPr>
          <w:lang w:bidi="ar-SA"/>
        </w:rPr>
        <w:t>.</w:t>
      </w:r>
    </w:p>
    <w:p w:rsidR="001000B1" w:rsidRDefault="001000B1" w:rsidP="00E86483">
      <w:pPr>
        <w:pStyle w:val="Brdtekst"/>
      </w:pPr>
    </w:p>
    <w:p w:rsidR="00F64642" w:rsidRDefault="00377004" w:rsidP="00E86483">
      <w:pPr>
        <w:pStyle w:val="Brdtekst"/>
      </w:pPr>
      <w:r>
        <w:t>Hermed</w:t>
      </w:r>
      <w:r w:rsidR="00F64642">
        <w:t xml:space="preserve"> ViSikrers</w:t>
      </w:r>
      <w:r w:rsidR="004A2B59">
        <w:t xml:space="preserve"> </w:t>
      </w:r>
      <w:r w:rsidR="00E83D31">
        <w:t>høringssvar</w:t>
      </w:r>
      <w:r w:rsidR="00F64642">
        <w:t>.</w:t>
      </w:r>
    </w:p>
    <w:p w:rsidR="00377004" w:rsidRDefault="00377004" w:rsidP="00E86483">
      <w:pPr>
        <w:pStyle w:val="Brdtekst"/>
      </w:pPr>
      <w:r>
        <w:t>Overordnet set har ViSikrer tre fokusområder:</w:t>
      </w:r>
    </w:p>
    <w:p w:rsidR="00915EEE" w:rsidRDefault="00377004" w:rsidP="00915EEE">
      <w:pPr>
        <w:pStyle w:val="Brdtekst"/>
        <w:numPr>
          <w:ilvl w:val="0"/>
          <w:numId w:val="34"/>
        </w:numPr>
      </w:pPr>
      <w:r w:rsidRPr="00915EEE">
        <w:rPr>
          <w:u w:val="single"/>
        </w:rPr>
        <w:t>Klageadgang</w:t>
      </w:r>
      <w:r>
        <w:t>:</w:t>
      </w:r>
      <w:r w:rsidR="00915EEE">
        <w:t xml:space="preserve"> </w:t>
      </w:r>
      <w:r w:rsidR="00915EEE" w:rsidRPr="00775120">
        <w:t>Af hensyn til Trafik-, Bygge- og Boligstyrelsens legitimitet over havne og havnefaciliteter bør der være</w:t>
      </w:r>
      <w:r w:rsidR="00915EEE">
        <w:t xml:space="preserve"> etableres</w:t>
      </w:r>
      <w:r w:rsidR="00915EEE" w:rsidRPr="00775120">
        <w:t xml:space="preserve"> en klageadgang</w:t>
      </w:r>
      <w:r w:rsidR="00915EEE">
        <w:t xml:space="preserve"> for de afgørelser, som Trafik-, Bygge- og Boligstyrelsen træffer overfor erhvervslivet. </w:t>
      </w:r>
    </w:p>
    <w:p w:rsidR="000E2DE5" w:rsidRDefault="00915EEE" w:rsidP="000E2DE5">
      <w:pPr>
        <w:pStyle w:val="Brdtekst"/>
        <w:numPr>
          <w:ilvl w:val="0"/>
          <w:numId w:val="34"/>
        </w:numPr>
      </w:pPr>
      <w:r>
        <w:rPr>
          <w:u w:val="single"/>
        </w:rPr>
        <w:t xml:space="preserve">En </w:t>
      </w:r>
      <w:r w:rsidR="00377004" w:rsidRPr="00915EEE">
        <w:rPr>
          <w:u w:val="single"/>
        </w:rPr>
        <w:t>RSO</w:t>
      </w:r>
      <w:r>
        <w:rPr>
          <w:u w:val="single"/>
        </w:rPr>
        <w:t>-s</w:t>
      </w:r>
      <w:r w:rsidR="00377004" w:rsidRPr="00915EEE">
        <w:rPr>
          <w:u w:val="single"/>
        </w:rPr>
        <w:t xml:space="preserve"> mulighed for at arbejde såvel med PSA som med PSP</w:t>
      </w:r>
      <w:r w:rsidR="00377004">
        <w:t>:</w:t>
      </w:r>
      <w:r>
        <w:t xml:space="preserve"> </w:t>
      </w:r>
      <w:r w:rsidRPr="00775120">
        <w:t>Denne begrænsning er medtaget direkte fra EU-direktivet</w:t>
      </w:r>
      <w:r>
        <w:t xml:space="preserve">, </w:t>
      </w:r>
      <w:r w:rsidRPr="00775120">
        <w:t xml:space="preserve">så er der altså ikke tale om en </w:t>
      </w:r>
      <w:r>
        <w:t xml:space="preserve">national </w:t>
      </w:r>
      <w:r w:rsidRPr="00775120">
        <w:t xml:space="preserve">overimplementering. Det er imidlertid vor opfattelse, at EU i direktivet overimplementerer i forhold til ISPS-reglerne. </w:t>
      </w:r>
      <w:r w:rsidR="000E2DE5">
        <w:t>I et lille land med mange små og mellemstore havne vil denne overimplementering uvægerligt betyde øgede omkostninger og besvær for havnene. Derfor bør det være et indsatsområde for Trafik-, Bygge- og Boligstyrelse at få dette ændret i EU.</w:t>
      </w:r>
    </w:p>
    <w:p w:rsidR="00F64642" w:rsidRDefault="00775120" w:rsidP="00E86483">
      <w:pPr>
        <w:pStyle w:val="Brdtekst"/>
        <w:numPr>
          <w:ilvl w:val="0"/>
          <w:numId w:val="34"/>
        </w:numPr>
      </w:pPr>
      <w:r w:rsidRPr="001000B1">
        <w:rPr>
          <w:u w:val="single"/>
        </w:rPr>
        <w:t xml:space="preserve">Mulighed for midlertidig </w:t>
      </w:r>
      <w:r w:rsidR="000E2DE5" w:rsidRPr="001000B1">
        <w:rPr>
          <w:u w:val="single"/>
        </w:rPr>
        <w:t xml:space="preserve">sårbarhedsvurdering og </w:t>
      </w:r>
      <w:r w:rsidRPr="001000B1">
        <w:rPr>
          <w:u w:val="single"/>
        </w:rPr>
        <w:t>sikringsplan indtil et forandringsprojekt er færdiggjort</w:t>
      </w:r>
      <w:r>
        <w:t>:</w:t>
      </w:r>
      <w:r w:rsidR="000E2DE5">
        <w:t xml:space="preserve"> </w:t>
      </w:r>
      <w:r w:rsidR="000E2DE5" w:rsidRPr="001000B1">
        <w:rPr>
          <w:iCs/>
        </w:rPr>
        <w:t>Når en</w:t>
      </w:r>
      <w:r w:rsidR="000E2DE5">
        <w:t xml:space="preserve"> revideret havnesårbarhedsvurdering og sikringsplan skal være godkendt af Trafik-, Bygge- og Boligstyrelsen, før større ændringer i havnens fysiske struktur kan gennemføres, eller havnen eller dele af havnen kan anvendes</w:t>
      </w:r>
      <w:r w:rsidR="001000B1">
        <w:t>, så kan det virke begrænsende en havns udvikling.  ViSikrer vil gerne opfordre til, at der udvikles et system for midlertidige vurderinger og planer, som kan være gældende indtil en forandring/</w:t>
      </w:r>
      <w:proofErr w:type="gramStart"/>
      <w:r w:rsidR="001000B1">
        <w:t>udbygning</w:t>
      </w:r>
      <w:proofErr w:type="gramEnd"/>
      <w:r w:rsidR="00E83D31">
        <w:t xml:space="preserve"> </w:t>
      </w:r>
      <w:r w:rsidR="001000B1">
        <w:t>er færdiggjort.</w:t>
      </w:r>
    </w:p>
    <w:p w:rsidR="001000B1" w:rsidRDefault="001000B1" w:rsidP="001000B1">
      <w:pPr>
        <w:pStyle w:val="Brdtekst"/>
        <w:rPr>
          <w:lang w:eastAsia="da-DK"/>
        </w:rPr>
      </w:pPr>
      <w:r>
        <w:rPr>
          <w:lang w:eastAsia="da-DK"/>
        </w:rPr>
        <w:t>Af mere generel/administrativ karakter finder Vi</w:t>
      </w:r>
      <w:r w:rsidR="001A1AFC">
        <w:rPr>
          <w:lang w:eastAsia="da-DK"/>
        </w:rPr>
        <w:t>S</w:t>
      </w:r>
      <w:r>
        <w:rPr>
          <w:lang w:eastAsia="da-DK"/>
        </w:rPr>
        <w:t>ikrer</w:t>
      </w:r>
    </w:p>
    <w:p w:rsidR="001000B1" w:rsidRDefault="001000B1" w:rsidP="001000B1">
      <w:pPr>
        <w:pStyle w:val="Brdtekst"/>
        <w:numPr>
          <w:ilvl w:val="0"/>
          <w:numId w:val="36"/>
        </w:numPr>
        <w:rPr>
          <w:lang w:eastAsia="da-DK"/>
        </w:rPr>
      </w:pPr>
      <w:r>
        <w:rPr>
          <w:lang w:eastAsia="da-DK"/>
        </w:rPr>
        <w:t>at politiets medvirken til udfærdigelse af sårbarhedsvurderinger udgår, eller der indarbejdes sagsbehandlingstider for politiets medvirken til disse;</w:t>
      </w:r>
    </w:p>
    <w:p w:rsidR="001000B1" w:rsidRDefault="001000B1" w:rsidP="001000B1">
      <w:pPr>
        <w:pStyle w:val="Brdtekst"/>
        <w:numPr>
          <w:ilvl w:val="0"/>
          <w:numId w:val="35"/>
        </w:numPr>
        <w:rPr>
          <w:lang w:eastAsia="da-DK"/>
        </w:rPr>
      </w:pPr>
      <w:r>
        <w:rPr>
          <w:lang w:eastAsia="da-DK"/>
        </w:rPr>
        <w:t>at RSO bør få adgang til myndighedernes data</w:t>
      </w:r>
      <w:r w:rsidR="001A1AFC">
        <w:rPr>
          <w:lang w:eastAsia="da-DK"/>
        </w:rPr>
        <w:t>, herunder IMO,</w:t>
      </w:r>
      <w:r>
        <w:rPr>
          <w:lang w:eastAsia="da-DK"/>
        </w:rPr>
        <w:t xml:space="preserve"> vedr. de havne og havnefaciliteter, som de har et kontraktligt samarbejde med; og</w:t>
      </w:r>
    </w:p>
    <w:p w:rsidR="001000B1" w:rsidRPr="00377004" w:rsidRDefault="001000B1" w:rsidP="001000B1">
      <w:pPr>
        <w:pStyle w:val="Brdtekst"/>
        <w:numPr>
          <w:ilvl w:val="0"/>
          <w:numId w:val="35"/>
        </w:numPr>
        <w:rPr>
          <w:rFonts w:cstheme="minorBidi"/>
          <w:sz w:val="22"/>
        </w:rPr>
      </w:pPr>
      <w:r>
        <w:rPr>
          <w:lang w:eastAsia="da-DK"/>
        </w:rPr>
        <w:t>at der bør være en ensartet administrativ praksis for godkendelse af sårbarhedsvurderinger og sikringsplaner ved Trafik-, Bygge- og Boligstyrelsen.</w:t>
      </w:r>
    </w:p>
    <w:p w:rsidR="00BF1FB5" w:rsidRDefault="006D169A" w:rsidP="00E921D0">
      <w:pPr>
        <w:pStyle w:val="Overskrift1"/>
      </w:pPr>
      <w:r>
        <w:t>Bemærkninger til u</w:t>
      </w:r>
      <w:r w:rsidR="00BF1FB5" w:rsidRPr="00BF1FB5">
        <w:t>dkast til bekendtgørelse om sikring af havne</w:t>
      </w:r>
    </w:p>
    <w:tbl>
      <w:tblPr>
        <w:tblStyle w:val="Tabel-Gitter"/>
        <w:tblW w:w="0" w:type="auto"/>
        <w:tblLook w:val="04A0" w:firstRow="1" w:lastRow="0" w:firstColumn="1" w:lastColumn="0" w:noHBand="0" w:noVBand="1"/>
      </w:tblPr>
      <w:tblGrid>
        <w:gridCol w:w="902"/>
        <w:gridCol w:w="4951"/>
        <w:gridCol w:w="3769"/>
      </w:tblGrid>
      <w:tr w:rsidR="00BF1FB5" w:rsidRPr="00775120" w:rsidTr="000352BA">
        <w:trPr>
          <w:tblHeader/>
        </w:trPr>
        <w:tc>
          <w:tcPr>
            <w:tcW w:w="902" w:type="dxa"/>
            <w:shd w:val="clear" w:color="auto" w:fill="DBDBDB" w:themeFill="accent3" w:themeFillTint="66"/>
          </w:tcPr>
          <w:p w:rsidR="00BF1FB5" w:rsidRPr="00775120" w:rsidRDefault="00BF1FB5" w:rsidP="00775120">
            <w:pPr>
              <w:pStyle w:val="Brdtekst"/>
            </w:pPr>
            <w:r w:rsidRPr="00775120">
              <w:t>Paragraf</w:t>
            </w:r>
          </w:p>
        </w:tc>
        <w:tc>
          <w:tcPr>
            <w:tcW w:w="4951" w:type="dxa"/>
            <w:shd w:val="clear" w:color="auto" w:fill="DBDBDB" w:themeFill="accent3" w:themeFillTint="66"/>
          </w:tcPr>
          <w:p w:rsidR="00BF1FB5" w:rsidRPr="00775120" w:rsidRDefault="00BF1FB5" w:rsidP="00775120">
            <w:pPr>
              <w:pStyle w:val="Brdtekst"/>
            </w:pPr>
            <w:r w:rsidRPr="00775120">
              <w:t>Diskussion</w:t>
            </w:r>
          </w:p>
        </w:tc>
        <w:tc>
          <w:tcPr>
            <w:tcW w:w="3769" w:type="dxa"/>
            <w:shd w:val="clear" w:color="auto" w:fill="DBDBDB" w:themeFill="accent3" w:themeFillTint="66"/>
          </w:tcPr>
          <w:p w:rsidR="00BF1FB5" w:rsidRPr="00775120" w:rsidRDefault="00BF1FB5" w:rsidP="00775120">
            <w:pPr>
              <w:pStyle w:val="Brdtekst"/>
            </w:pPr>
            <w:r w:rsidRPr="00775120">
              <w:t>Forslag</w:t>
            </w:r>
          </w:p>
        </w:tc>
      </w:tr>
      <w:tr w:rsidR="00BF1FB5" w:rsidRPr="00775120" w:rsidTr="000352BA">
        <w:tc>
          <w:tcPr>
            <w:tcW w:w="902" w:type="dxa"/>
          </w:tcPr>
          <w:p w:rsidR="00BF1FB5" w:rsidRPr="00775120" w:rsidRDefault="00BF1FB5" w:rsidP="00775120">
            <w:pPr>
              <w:pStyle w:val="Brdtekst"/>
            </w:pPr>
            <w:r w:rsidRPr="00775120">
              <w:t>§ 1</w:t>
            </w:r>
          </w:p>
          <w:p w:rsidR="00BB1E8B" w:rsidRPr="00775120" w:rsidRDefault="00BB1E8B" w:rsidP="00775120">
            <w:pPr>
              <w:pStyle w:val="Brdtekst"/>
            </w:pPr>
            <w:r w:rsidRPr="00775120">
              <w:t>Stk. 3</w:t>
            </w:r>
          </w:p>
        </w:tc>
        <w:tc>
          <w:tcPr>
            <w:tcW w:w="4951" w:type="dxa"/>
          </w:tcPr>
          <w:p w:rsidR="00BB1E8B" w:rsidRPr="00775120" w:rsidRDefault="00BB1E8B" w:rsidP="00775120">
            <w:pPr>
              <w:pStyle w:val="Brdtekst"/>
            </w:pPr>
            <w:r w:rsidRPr="00775120">
              <w:t>”Hvis en havn alene har en enkelt havnefacilitet, som er omfattet af en godkendt havnefacilitetssikringsplan, og hvor havnesårbarhedsvurderingen viser, at havnefacilitetens sikringsmæssige afgrænsning reelt svarer til havnens sikringsmæssige afgrænsning, jf. § 4, stk. 4,</w:t>
            </w:r>
            <w:r w:rsidRPr="00775120">
              <w:rPr>
                <w:rStyle w:val="apple-converted-space"/>
              </w:rPr>
              <w:t> </w:t>
            </w:r>
            <w:r w:rsidRPr="00775120">
              <w:t>kan havnen undtages fra at udarbejde en havnesikringsplan.”</w:t>
            </w:r>
          </w:p>
          <w:p w:rsidR="00BB1E8B" w:rsidRPr="00775120" w:rsidRDefault="00BB1E8B" w:rsidP="00775120">
            <w:pPr>
              <w:pStyle w:val="Brdtekst"/>
            </w:pPr>
            <w:r w:rsidRPr="00775120">
              <w:lastRenderedPageBreak/>
              <w:t>I henhold til EUROPA-PARLAMENTETS OG RÅDETS DIREKTIV</w:t>
            </w:r>
            <w:r w:rsidRPr="00775120">
              <w:rPr>
                <w:rStyle w:val="apple-converted-space"/>
              </w:rPr>
              <w:t> </w:t>
            </w:r>
            <w:r w:rsidRPr="00775120">
              <w:t>2005/65/EF</w:t>
            </w:r>
          </w:p>
          <w:p w:rsidR="00BB1E8B" w:rsidRPr="00775120" w:rsidRDefault="00BB1E8B" w:rsidP="00775120">
            <w:pPr>
              <w:pStyle w:val="Brdtekst"/>
            </w:pPr>
            <w:r w:rsidRPr="00775120">
              <w:t>”Pkt. 4. Såfremt afgrænsningen af en havnefacilitet, som defineret i forordning (EF) nr. 725/2004, er fastlagt af en medlemsstat på en sådan måde, at havnen reelt er omfattet heraf, viger bestemmelserne i dette direktiv for bestemmelserne i forordning (EF) nr. 725/2004.”</w:t>
            </w:r>
          </w:p>
          <w:p w:rsidR="00BF1FB5" w:rsidRPr="00775120" w:rsidRDefault="00BB1E8B" w:rsidP="00775120">
            <w:pPr>
              <w:pStyle w:val="Brdtekst"/>
            </w:pPr>
            <w:r w:rsidRPr="00775120">
              <w:t>Heraf ses, at Trafik-, Bygge- og Boligstyrelsen faktisk kan formulere sig på en sådan måde, at en havn, hvor én havnefacilitet og havn er sammenfaldende, også kan undlade at udarbejde havnesårbarhedsvurdering.</w:t>
            </w:r>
          </w:p>
        </w:tc>
        <w:tc>
          <w:tcPr>
            <w:tcW w:w="3769" w:type="dxa"/>
          </w:tcPr>
          <w:p w:rsidR="00BF1FB5" w:rsidRPr="00775120" w:rsidRDefault="00BB1E8B" w:rsidP="00775120">
            <w:pPr>
              <w:pStyle w:val="Brdtekst"/>
            </w:pPr>
            <w:r w:rsidRPr="00775120">
              <w:lastRenderedPageBreak/>
              <w:t>”Hvis en havn alene har en enkelt havnefacilitet, som er omfattet af en godkendt havnefacilitetssikringsplan, og hvor havnefacilitetens sikringsmæssige afgrænsning reelt svarer til havnens sikringsmæssige afgrænsning, jf. § 4, stk. 4,</w:t>
            </w:r>
            <w:r w:rsidRPr="00775120">
              <w:rPr>
                <w:rStyle w:val="apple-converted-space"/>
              </w:rPr>
              <w:t> </w:t>
            </w:r>
            <w:r w:rsidRPr="00775120">
              <w:t xml:space="preserve">kan havnen undtages fra at udarbejde </w:t>
            </w:r>
            <w:r w:rsidRPr="00775120">
              <w:lastRenderedPageBreak/>
              <w:t>såvel havnesårbarhedsvurdering som havnesikringsplan.”</w:t>
            </w:r>
          </w:p>
        </w:tc>
      </w:tr>
      <w:tr w:rsidR="00BF1FB5" w:rsidRPr="00775120" w:rsidTr="000352BA">
        <w:tc>
          <w:tcPr>
            <w:tcW w:w="902" w:type="dxa"/>
          </w:tcPr>
          <w:p w:rsidR="00BF1FB5" w:rsidRPr="00775120" w:rsidRDefault="00BF1FB5" w:rsidP="00775120">
            <w:pPr>
              <w:pStyle w:val="Brdtekst"/>
            </w:pPr>
            <w:r w:rsidRPr="00775120">
              <w:lastRenderedPageBreak/>
              <w:t>§ 2</w:t>
            </w:r>
          </w:p>
        </w:tc>
        <w:tc>
          <w:tcPr>
            <w:tcW w:w="4951" w:type="dxa"/>
          </w:tcPr>
          <w:p w:rsidR="00BF1FB5" w:rsidRPr="00775120" w:rsidRDefault="00BF1FB5" w:rsidP="00775120">
            <w:pPr>
              <w:pStyle w:val="Brdtekst"/>
            </w:pPr>
            <w:r w:rsidRPr="00775120">
              <w:t>Ingen bemærkninger</w:t>
            </w:r>
          </w:p>
        </w:tc>
        <w:tc>
          <w:tcPr>
            <w:tcW w:w="3769" w:type="dxa"/>
          </w:tcPr>
          <w:p w:rsidR="00BF1FB5" w:rsidRPr="00775120" w:rsidRDefault="00BF1FB5" w:rsidP="00775120">
            <w:pPr>
              <w:pStyle w:val="Brdtekst"/>
            </w:pPr>
            <w:r w:rsidRPr="00775120">
              <w:t>Ingen</w:t>
            </w:r>
          </w:p>
        </w:tc>
      </w:tr>
      <w:tr w:rsidR="00BF1FB5" w:rsidRPr="00775120" w:rsidTr="000352BA">
        <w:tc>
          <w:tcPr>
            <w:tcW w:w="902" w:type="dxa"/>
          </w:tcPr>
          <w:p w:rsidR="00BF1FB5" w:rsidRPr="00775120" w:rsidRDefault="00BF1FB5" w:rsidP="00775120">
            <w:pPr>
              <w:pStyle w:val="Brdtekst"/>
            </w:pPr>
            <w:r w:rsidRPr="00775120">
              <w:t>§ 3</w:t>
            </w:r>
          </w:p>
        </w:tc>
        <w:tc>
          <w:tcPr>
            <w:tcW w:w="4951" w:type="dxa"/>
          </w:tcPr>
          <w:p w:rsidR="00BF1FB5" w:rsidRPr="00775120" w:rsidRDefault="00BF1FB5" w:rsidP="00775120">
            <w:pPr>
              <w:pStyle w:val="Brdtekst"/>
            </w:pPr>
            <w:r w:rsidRPr="00775120">
              <w:t>Enig i at bekendtgørelsen anvender ”havnen” (”juridisk person”), som den overordnede ansvarlige. Det kan ikke blive PSO. PSO er ansvarlig overfor ledelsen af havnen.</w:t>
            </w:r>
          </w:p>
          <w:p w:rsidR="00BF1FB5" w:rsidRPr="00775120" w:rsidRDefault="00BF1FB5" w:rsidP="00775120">
            <w:pPr>
              <w:pStyle w:val="Brdtekst"/>
            </w:pPr>
            <w:r w:rsidRPr="00775120">
              <w:t>Ansvar kan ikke delegeres.</w:t>
            </w:r>
          </w:p>
        </w:tc>
        <w:tc>
          <w:tcPr>
            <w:tcW w:w="3769" w:type="dxa"/>
          </w:tcPr>
          <w:p w:rsidR="00BF1FB5" w:rsidRPr="00775120" w:rsidRDefault="00BF1FB5" w:rsidP="00775120">
            <w:pPr>
              <w:pStyle w:val="Brdtekst"/>
            </w:pPr>
            <w:r w:rsidRPr="00775120">
              <w:t>Ingen</w:t>
            </w:r>
          </w:p>
        </w:tc>
      </w:tr>
      <w:tr w:rsidR="00D9245C" w:rsidRPr="00775120" w:rsidTr="000352BA">
        <w:tc>
          <w:tcPr>
            <w:tcW w:w="902" w:type="dxa"/>
          </w:tcPr>
          <w:p w:rsidR="00D9245C" w:rsidRPr="00775120" w:rsidRDefault="00D9245C" w:rsidP="00775120">
            <w:pPr>
              <w:pStyle w:val="Brdtekst"/>
            </w:pPr>
            <w:r w:rsidRPr="00775120">
              <w:t>§ 4</w:t>
            </w:r>
          </w:p>
          <w:p w:rsidR="00D9245C" w:rsidRPr="00775120" w:rsidRDefault="00D9245C" w:rsidP="00775120">
            <w:pPr>
              <w:pStyle w:val="Brdtekst"/>
            </w:pPr>
            <w:r w:rsidRPr="00775120">
              <w:t>Stk. 8.</w:t>
            </w:r>
          </w:p>
        </w:tc>
        <w:tc>
          <w:tcPr>
            <w:tcW w:w="4951" w:type="dxa"/>
          </w:tcPr>
          <w:p w:rsidR="00D9245C" w:rsidRPr="00775120" w:rsidRDefault="00D9245C" w:rsidP="00775120">
            <w:pPr>
              <w:pStyle w:val="Brdtekst"/>
            </w:pPr>
            <w:r w:rsidRPr="00775120">
              <w:t>Skal der være en udløbsdato på 5 år, når sårbarhedsvurderingen i forvejen skal revideres hver gang der sker noget nyt på havnen eller i trusselsbilledet?</w:t>
            </w:r>
          </w:p>
          <w:p w:rsidR="00377004" w:rsidRPr="00775120" w:rsidRDefault="00E42666" w:rsidP="00775120">
            <w:pPr>
              <w:pStyle w:val="Brdtekst"/>
            </w:pPr>
            <w:r w:rsidRPr="00775120">
              <w:t>Hvilken begrundelse er der for dette?</w:t>
            </w:r>
            <w:r w:rsidR="00377004" w:rsidRPr="00775120">
              <w:t xml:space="preserve"> </w:t>
            </w:r>
          </w:p>
          <w:p w:rsidR="00E42666" w:rsidRPr="00775120" w:rsidRDefault="00377004" w:rsidP="00775120">
            <w:pPr>
              <w:pStyle w:val="Brdtekst"/>
            </w:pPr>
            <w:r w:rsidRPr="00775120">
              <w:t>ViSikrer er opmærksom på, at det er en betingelse i EUROPA-PARLAMENTETS OG RÅDETS FORORDNING (EF) Nr. 725/2004 af 31. marts 2004 om bedre sikring af skibe og havnefaciliteter. Men mener, at dette krav kunne tages op til revision.</w:t>
            </w:r>
          </w:p>
        </w:tc>
        <w:tc>
          <w:tcPr>
            <w:tcW w:w="3769" w:type="dxa"/>
          </w:tcPr>
          <w:p w:rsidR="00D9245C" w:rsidRPr="00775120" w:rsidRDefault="00D9245C" w:rsidP="00775120">
            <w:pPr>
              <w:pStyle w:val="Brdtekst"/>
            </w:pPr>
            <w:r w:rsidRPr="00775120">
              <w:t>Stk. 8. kan udgå</w:t>
            </w:r>
            <w:r w:rsidR="009918CC" w:rsidRPr="00775120">
              <w:t xml:space="preserve"> </w:t>
            </w:r>
          </w:p>
        </w:tc>
      </w:tr>
      <w:tr w:rsidR="00BF1FB5" w:rsidRPr="00775120" w:rsidTr="000352BA">
        <w:tc>
          <w:tcPr>
            <w:tcW w:w="902" w:type="dxa"/>
          </w:tcPr>
          <w:p w:rsidR="00BF1FB5" w:rsidRPr="00775120" w:rsidRDefault="00BF1FB5" w:rsidP="00775120">
            <w:pPr>
              <w:pStyle w:val="Brdtekst"/>
            </w:pPr>
          </w:p>
        </w:tc>
        <w:tc>
          <w:tcPr>
            <w:tcW w:w="4951" w:type="dxa"/>
          </w:tcPr>
          <w:p w:rsidR="00BF1FB5" w:rsidRPr="00775120" w:rsidRDefault="00BF1FB5" w:rsidP="00775120">
            <w:pPr>
              <w:pStyle w:val="Brdtekst"/>
            </w:pPr>
            <w:r w:rsidRPr="00775120">
              <w:t>Det er hensigtsmæssigt overfor havnenes planlægning, at der i denne paragraf er et punkt, der præciserer indenfor hvilket tidsrum Trafik-, Bygge- og Boligstyrelsen skal have behandlet en fremsendt sårbarhedsvurdering.</w:t>
            </w:r>
          </w:p>
        </w:tc>
        <w:tc>
          <w:tcPr>
            <w:tcW w:w="3769" w:type="dxa"/>
          </w:tcPr>
          <w:p w:rsidR="00BF1FB5" w:rsidRPr="00775120" w:rsidRDefault="00E42666" w:rsidP="00775120">
            <w:pPr>
              <w:pStyle w:val="Brdtekst"/>
            </w:pPr>
            <w:r w:rsidRPr="00775120">
              <w:t>Forslag til n</w:t>
            </w:r>
            <w:r w:rsidR="00D9245C" w:rsidRPr="00775120">
              <w:t>y s</w:t>
            </w:r>
            <w:r w:rsidR="00BF1FB5" w:rsidRPr="00775120">
              <w:t xml:space="preserve">tk. </w:t>
            </w:r>
            <w:r w:rsidR="00D9245C" w:rsidRPr="00775120">
              <w:t>8 eller 9</w:t>
            </w:r>
            <w:r w:rsidR="00BF1FB5" w:rsidRPr="00775120">
              <w:t xml:space="preserve">. </w:t>
            </w:r>
            <w:r w:rsidR="00D9245C" w:rsidRPr="00775120">
              <w:t>”</w:t>
            </w:r>
            <w:r w:rsidR="00BF1FB5" w:rsidRPr="00775120">
              <w:t xml:space="preserve">Havnen sender sårbarhedsvurderingen for havnen til godkendelse i Trafik-, Bygge- og Boligstyrelsen, som træffer afgørelse om godkendelse senest 3 måneder efter modtagelsen af denne, hvis den </w:t>
            </w:r>
            <w:r w:rsidRPr="00775120">
              <w:t xml:space="preserve">i øvrigt </w:t>
            </w:r>
            <w:r w:rsidR="00BF1FB5" w:rsidRPr="00775120">
              <w:t>opfylder kravene i denne bekendtgørelse.</w:t>
            </w:r>
            <w:r w:rsidR="00D9245C" w:rsidRPr="00775120">
              <w:t>”</w:t>
            </w:r>
          </w:p>
        </w:tc>
      </w:tr>
      <w:tr w:rsidR="00D9245C" w:rsidRPr="00775120" w:rsidTr="000352BA">
        <w:tc>
          <w:tcPr>
            <w:tcW w:w="902" w:type="dxa"/>
          </w:tcPr>
          <w:p w:rsidR="00D9245C" w:rsidRPr="00775120" w:rsidRDefault="00D9245C" w:rsidP="00775120">
            <w:pPr>
              <w:pStyle w:val="Brdtekst"/>
            </w:pPr>
            <w:r w:rsidRPr="00775120">
              <w:t>§ 5</w:t>
            </w:r>
          </w:p>
        </w:tc>
        <w:tc>
          <w:tcPr>
            <w:tcW w:w="4951" w:type="dxa"/>
          </w:tcPr>
          <w:p w:rsidR="00E42666" w:rsidRPr="00775120" w:rsidRDefault="00E42666" w:rsidP="00775120">
            <w:pPr>
              <w:pStyle w:val="Brdtekst"/>
            </w:pPr>
            <w:r w:rsidRPr="00775120">
              <w:t>D</w:t>
            </w:r>
            <w:r w:rsidR="00D9245C" w:rsidRPr="00775120">
              <w:t>et</w:t>
            </w:r>
            <w:r w:rsidRPr="00775120">
              <w:t>te</w:t>
            </w:r>
            <w:r w:rsidR="00D9245C" w:rsidRPr="00775120">
              <w:t xml:space="preserve"> fremgår også af EU-forordningen. Paragraffen </w:t>
            </w:r>
            <w:r w:rsidRPr="00775120">
              <w:t xml:space="preserve">giver dog ingen mening uden forklaring og </w:t>
            </w:r>
            <w:r w:rsidR="00D9245C" w:rsidRPr="00775120">
              <w:t>bør dog udgå, med mindre det kan forklares, hvorfor det skal være her.</w:t>
            </w:r>
          </w:p>
        </w:tc>
        <w:tc>
          <w:tcPr>
            <w:tcW w:w="3769" w:type="dxa"/>
          </w:tcPr>
          <w:p w:rsidR="00D9245C" w:rsidRPr="00775120" w:rsidRDefault="00D9245C" w:rsidP="00775120">
            <w:pPr>
              <w:pStyle w:val="Brdtekst"/>
            </w:pPr>
            <w:r w:rsidRPr="00775120">
              <w:t>Kan udgå</w:t>
            </w:r>
          </w:p>
        </w:tc>
      </w:tr>
      <w:tr w:rsidR="00D9245C" w:rsidRPr="00775120" w:rsidTr="000352BA">
        <w:tc>
          <w:tcPr>
            <w:tcW w:w="902" w:type="dxa"/>
          </w:tcPr>
          <w:p w:rsidR="00D9245C" w:rsidRPr="00775120" w:rsidRDefault="00D9245C" w:rsidP="00775120">
            <w:pPr>
              <w:pStyle w:val="Brdtekst"/>
            </w:pPr>
            <w:r w:rsidRPr="00775120">
              <w:t>§ 6</w:t>
            </w:r>
          </w:p>
        </w:tc>
        <w:tc>
          <w:tcPr>
            <w:tcW w:w="4951" w:type="dxa"/>
          </w:tcPr>
          <w:p w:rsidR="00D9245C" w:rsidRPr="00775120" w:rsidRDefault="00D9245C" w:rsidP="00775120">
            <w:pPr>
              <w:pStyle w:val="Brdtekst"/>
            </w:pPr>
            <w:r w:rsidRPr="00775120">
              <w:t>Ingen bemærkninger</w:t>
            </w:r>
          </w:p>
        </w:tc>
        <w:tc>
          <w:tcPr>
            <w:tcW w:w="3769" w:type="dxa"/>
          </w:tcPr>
          <w:p w:rsidR="00D9245C" w:rsidRPr="00775120" w:rsidRDefault="00D9245C" w:rsidP="00775120">
            <w:pPr>
              <w:pStyle w:val="Brdtekst"/>
            </w:pPr>
            <w:r w:rsidRPr="00775120">
              <w:t>Ingen</w:t>
            </w:r>
          </w:p>
        </w:tc>
      </w:tr>
      <w:tr w:rsidR="00BF1FB5" w:rsidRPr="00775120" w:rsidTr="000352BA">
        <w:tc>
          <w:tcPr>
            <w:tcW w:w="902" w:type="dxa"/>
          </w:tcPr>
          <w:p w:rsidR="00BF1FB5" w:rsidRPr="00775120" w:rsidRDefault="00BF1FB5" w:rsidP="00775120">
            <w:pPr>
              <w:pStyle w:val="Brdtekst"/>
            </w:pPr>
            <w:r w:rsidRPr="00775120">
              <w:t>§ 7</w:t>
            </w:r>
          </w:p>
        </w:tc>
        <w:tc>
          <w:tcPr>
            <w:tcW w:w="4951" w:type="dxa"/>
          </w:tcPr>
          <w:p w:rsidR="00BF1FB5" w:rsidRPr="00775120" w:rsidRDefault="00BF1FB5" w:rsidP="00775120">
            <w:pPr>
              <w:pStyle w:val="Brdtekst"/>
            </w:pPr>
            <w:r w:rsidRPr="00775120">
              <w:t>Ingen bemærkninger</w:t>
            </w:r>
          </w:p>
        </w:tc>
        <w:tc>
          <w:tcPr>
            <w:tcW w:w="3769" w:type="dxa"/>
          </w:tcPr>
          <w:p w:rsidR="00BF1FB5" w:rsidRPr="00775120" w:rsidRDefault="00BF1FB5" w:rsidP="00775120">
            <w:pPr>
              <w:pStyle w:val="Brdtekst"/>
            </w:pPr>
            <w:r w:rsidRPr="00775120">
              <w:t>Ingen</w:t>
            </w:r>
          </w:p>
        </w:tc>
      </w:tr>
      <w:tr w:rsidR="00377004" w:rsidRPr="00775120" w:rsidTr="000352BA">
        <w:tc>
          <w:tcPr>
            <w:tcW w:w="902" w:type="dxa"/>
          </w:tcPr>
          <w:p w:rsidR="00377004" w:rsidRPr="00775120" w:rsidRDefault="00377004" w:rsidP="00775120">
            <w:pPr>
              <w:pStyle w:val="Brdtekst"/>
            </w:pPr>
            <w:r w:rsidRPr="00775120">
              <w:t>§ 8</w:t>
            </w:r>
          </w:p>
        </w:tc>
        <w:tc>
          <w:tcPr>
            <w:tcW w:w="4951" w:type="dxa"/>
          </w:tcPr>
          <w:p w:rsidR="00377004" w:rsidRPr="00775120" w:rsidRDefault="00377004" w:rsidP="00775120">
            <w:pPr>
              <w:pStyle w:val="Brdtekst"/>
            </w:pPr>
            <w:r w:rsidRPr="00775120">
              <w:t>Skal der være en udløbsdato på 5 år, når sårbarhedsvurderingen i forvejen skal revideres hver gang der sker noget nyt på havnen eller i trusselsbilledet?</w:t>
            </w:r>
          </w:p>
          <w:p w:rsidR="00377004" w:rsidRPr="00775120" w:rsidRDefault="00377004" w:rsidP="00775120">
            <w:pPr>
              <w:pStyle w:val="Brdtekst"/>
            </w:pPr>
            <w:r w:rsidRPr="00775120">
              <w:t xml:space="preserve">Hvilken begrundelse er der for dette? </w:t>
            </w:r>
          </w:p>
          <w:p w:rsidR="00377004" w:rsidRPr="00775120" w:rsidRDefault="00377004" w:rsidP="00775120">
            <w:pPr>
              <w:pStyle w:val="Brdtekst"/>
            </w:pPr>
            <w:r w:rsidRPr="00775120">
              <w:t>ViSikrer er opmærksom på, at det er en betingelse i EUROPA-PARLAMENTETS OG RÅDETS FORORDNING (EF) Nr. 725/2004 af 31. marts 2004 om bedre sikring af skibe og havnefaciliteter. Men mener, at dette krav kunne tages op til revision.</w:t>
            </w:r>
          </w:p>
        </w:tc>
        <w:tc>
          <w:tcPr>
            <w:tcW w:w="3769" w:type="dxa"/>
          </w:tcPr>
          <w:p w:rsidR="00377004" w:rsidRPr="00775120" w:rsidRDefault="00377004" w:rsidP="00775120">
            <w:pPr>
              <w:pStyle w:val="Brdtekst"/>
            </w:pPr>
            <w:r w:rsidRPr="00775120">
              <w:t xml:space="preserve">Stk. 1. kan udgå </w:t>
            </w:r>
          </w:p>
        </w:tc>
      </w:tr>
      <w:tr w:rsidR="005C13A1" w:rsidRPr="00775120" w:rsidTr="000352BA">
        <w:tc>
          <w:tcPr>
            <w:tcW w:w="902" w:type="dxa"/>
          </w:tcPr>
          <w:p w:rsidR="005C13A1" w:rsidRPr="00775120" w:rsidRDefault="005C13A1" w:rsidP="00775120">
            <w:pPr>
              <w:pStyle w:val="Brdtekst"/>
            </w:pPr>
            <w:r w:rsidRPr="00775120">
              <w:lastRenderedPageBreak/>
              <w:t>§ 9</w:t>
            </w:r>
          </w:p>
          <w:p w:rsidR="005C13A1" w:rsidRPr="00775120" w:rsidRDefault="005C13A1" w:rsidP="00775120">
            <w:pPr>
              <w:pStyle w:val="Brdtekst"/>
            </w:pPr>
            <w:r w:rsidRPr="00775120">
              <w:t>Stk. 2.</w:t>
            </w:r>
          </w:p>
        </w:tc>
        <w:tc>
          <w:tcPr>
            <w:tcW w:w="4951" w:type="dxa"/>
          </w:tcPr>
          <w:p w:rsidR="005C13A1" w:rsidRPr="00775120" w:rsidRDefault="005C13A1" w:rsidP="00775120">
            <w:pPr>
              <w:pStyle w:val="Brdtekst"/>
            </w:pPr>
            <w:r w:rsidRPr="00775120">
              <w:t>Ved en større ændring i grundlaget for en sårbarhedsvurdering bør det specifikt anføres, at markante ændringer i trusselsbilledet også er en større ændring.</w:t>
            </w:r>
          </w:p>
        </w:tc>
        <w:tc>
          <w:tcPr>
            <w:tcW w:w="3769" w:type="dxa"/>
          </w:tcPr>
          <w:p w:rsidR="005C13A1" w:rsidRPr="00775120" w:rsidRDefault="005C13A1" w:rsidP="00775120">
            <w:pPr>
              <w:pStyle w:val="Brdtekst"/>
            </w:pPr>
            <w:proofErr w:type="gramStart"/>
            <w:r w:rsidRPr="00775120">
              <w:t>”....</w:t>
            </w:r>
            <w:proofErr w:type="gramEnd"/>
            <w:r w:rsidRPr="00775120">
              <w:t>, herunder ændringer trusselsbilledet,....”</w:t>
            </w:r>
          </w:p>
        </w:tc>
      </w:tr>
      <w:tr w:rsidR="00BF1FB5" w:rsidRPr="00775120" w:rsidTr="000352BA">
        <w:tc>
          <w:tcPr>
            <w:tcW w:w="902" w:type="dxa"/>
          </w:tcPr>
          <w:p w:rsidR="00E42666" w:rsidRPr="00775120" w:rsidRDefault="00E42666" w:rsidP="00775120">
            <w:pPr>
              <w:pStyle w:val="Brdtekst"/>
            </w:pPr>
            <w:r w:rsidRPr="00775120">
              <w:t>§ 9</w:t>
            </w:r>
          </w:p>
          <w:p w:rsidR="00D9245C" w:rsidRPr="00775120" w:rsidRDefault="00D9245C" w:rsidP="00775120">
            <w:pPr>
              <w:pStyle w:val="Brdtekst"/>
            </w:pPr>
            <w:r w:rsidRPr="00775120">
              <w:t>Stk. 3.</w:t>
            </w:r>
          </w:p>
        </w:tc>
        <w:tc>
          <w:tcPr>
            <w:tcW w:w="4951" w:type="dxa"/>
          </w:tcPr>
          <w:p w:rsidR="00E13C89" w:rsidRPr="00775120" w:rsidRDefault="00E42666" w:rsidP="00775120">
            <w:pPr>
              <w:pStyle w:val="Brdtekst"/>
            </w:pPr>
            <w:r w:rsidRPr="00775120">
              <w:t xml:space="preserve">En havn er et dynamisk sted, hvor der løbende sker udvidelser og ændringer for at tilpasse havnen til transportbehovet. </w:t>
            </w:r>
            <w:r w:rsidR="00E13C89" w:rsidRPr="00775120">
              <w:t xml:space="preserve">Når havnen starter en udbygning, er det ikke altid, at havnen kender slutdetaljerne før langt henne i arbejdet. </w:t>
            </w:r>
            <w:r w:rsidRPr="00775120">
              <w:t xml:space="preserve">Det </w:t>
            </w:r>
            <w:r w:rsidR="00D9245C" w:rsidRPr="00775120">
              <w:t xml:space="preserve">er </w:t>
            </w:r>
            <w:r w:rsidRPr="00775120">
              <w:t>derfor både</w:t>
            </w:r>
            <w:r w:rsidR="00D9245C" w:rsidRPr="00775120">
              <w:t xml:space="preserve"> svært og dyrt for havnene at </w:t>
            </w:r>
            <w:r w:rsidRPr="00775120">
              <w:t xml:space="preserve">skulle have en forhåndsgodkendelse </w:t>
            </w:r>
            <w:r w:rsidR="00E13C89" w:rsidRPr="00775120">
              <w:t xml:space="preserve">af sårbarhedsvurderingen </w:t>
            </w:r>
            <w:r w:rsidRPr="00775120">
              <w:t>f</w:t>
            </w:r>
            <w:r w:rsidR="00E13C89" w:rsidRPr="00775120">
              <w:t>ø</w:t>
            </w:r>
            <w:r w:rsidRPr="00775120">
              <w:t>r ændringer i en havn iværksættes.</w:t>
            </w:r>
            <w:r w:rsidR="00D9245C" w:rsidRPr="00775120">
              <w:t xml:space="preserve"> </w:t>
            </w:r>
          </w:p>
          <w:p w:rsidR="00BF1FB5" w:rsidRPr="00775120" w:rsidRDefault="00E13C89" w:rsidP="00775120">
            <w:pPr>
              <w:pStyle w:val="Brdtekst"/>
            </w:pPr>
            <w:r w:rsidRPr="00775120">
              <w:t>Stk. 3.</w:t>
            </w:r>
            <w:r w:rsidR="00D9245C" w:rsidRPr="00775120">
              <w:t xml:space="preserve"> bør erstattes </w:t>
            </w:r>
            <w:r w:rsidRPr="00775120">
              <w:t xml:space="preserve">med </w:t>
            </w:r>
            <w:r w:rsidR="00D9245C" w:rsidRPr="00775120">
              <w:t>en tekst der forklarer</w:t>
            </w:r>
            <w:r w:rsidRPr="00775120">
              <w:t>,</w:t>
            </w:r>
            <w:r w:rsidR="005C13A1" w:rsidRPr="00775120">
              <w:t xml:space="preserve"> hvordan havnen skal lave </w:t>
            </w:r>
            <w:r w:rsidRPr="00775120">
              <w:t>midlertidig sårbarhedsvurdering,</w:t>
            </w:r>
            <w:r w:rsidR="005C13A1" w:rsidRPr="00775120">
              <w:t xml:space="preserve"> der forklarer </w:t>
            </w:r>
            <w:r w:rsidRPr="00775120">
              <w:t>sårbarheder</w:t>
            </w:r>
            <w:r w:rsidR="005C13A1" w:rsidRPr="00775120">
              <w:t xml:space="preserve"> i overgangsfasen.</w:t>
            </w:r>
          </w:p>
        </w:tc>
        <w:tc>
          <w:tcPr>
            <w:tcW w:w="3769" w:type="dxa"/>
          </w:tcPr>
          <w:p w:rsidR="00BF1FB5" w:rsidRPr="00775120" w:rsidRDefault="005C13A1" w:rsidP="00775120">
            <w:pPr>
              <w:pStyle w:val="Brdtekst"/>
            </w:pPr>
            <w:r w:rsidRPr="00775120">
              <w:t>Nyt stk. 3.</w:t>
            </w:r>
          </w:p>
        </w:tc>
      </w:tr>
      <w:tr w:rsidR="005C13A1" w:rsidRPr="00775120" w:rsidTr="000352BA">
        <w:tc>
          <w:tcPr>
            <w:tcW w:w="902" w:type="dxa"/>
          </w:tcPr>
          <w:p w:rsidR="005C13A1" w:rsidRPr="00775120" w:rsidRDefault="005C13A1" w:rsidP="00775120">
            <w:pPr>
              <w:pStyle w:val="Brdtekst"/>
            </w:pPr>
            <w:r w:rsidRPr="00775120">
              <w:t>§ 10</w:t>
            </w:r>
          </w:p>
          <w:p w:rsidR="005C13A1" w:rsidRPr="00775120" w:rsidRDefault="005C13A1" w:rsidP="00775120">
            <w:pPr>
              <w:pStyle w:val="Brdtekst"/>
            </w:pPr>
            <w:r w:rsidRPr="00775120">
              <w:t>Stk. 4.</w:t>
            </w:r>
          </w:p>
        </w:tc>
        <w:tc>
          <w:tcPr>
            <w:tcW w:w="4951" w:type="dxa"/>
          </w:tcPr>
          <w:p w:rsidR="00E13C89" w:rsidRPr="00775120" w:rsidRDefault="00E13C89" w:rsidP="00775120">
            <w:pPr>
              <w:pStyle w:val="Brdtekst"/>
            </w:pPr>
            <w:r w:rsidRPr="00775120">
              <w:t xml:space="preserve">En havn er et dynamisk sted, hvor der løbende sker udvidelser og ændringer for at tilpasse havnen til transportbehovet. Når havnen starter en udbygning, er det ikke altid, at havnen kender slutdetaljerne før langt henne i arbejdet. Det er derfor både svært og dyrt for havnene at skulle have en forhåndsgodkendelse af sikringsplanen før ændringer i en havn iværksættes. </w:t>
            </w:r>
          </w:p>
          <w:p w:rsidR="005C13A1" w:rsidRPr="00775120" w:rsidRDefault="00E13C89" w:rsidP="00775120">
            <w:pPr>
              <w:pStyle w:val="Brdtekst"/>
            </w:pPr>
            <w:r w:rsidRPr="00775120">
              <w:t>Stk. 3. bør erstattes med en tekst der forklarer, hvordan havnen skal lave midlertidig sikringsplan, der forklarer hvordan man sikrer i overgangsfasen.</w:t>
            </w:r>
          </w:p>
        </w:tc>
        <w:tc>
          <w:tcPr>
            <w:tcW w:w="3769" w:type="dxa"/>
          </w:tcPr>
          <w:p w:rsidR="005C13A1" w:rsidRPr="00775120" w:rsidRDefault="005C13A1" w:rsidP="00775120">
            <w:pPr>
              <w:pStyle w:val="Brdtekst"/>
            </w:pPr>
            <w:r w:rsidRPr="00775120">
              <w:t>Nyt stk. 4.</w:t>
            </w:r>
          </w:p>
        </w:tc>
      </w:tr>
      <w:tr w:rsidR="005C13A1" w:rsidRPr="00775120" w:rsidTr="000352BA">
        <w:tc>
          <w:tcPr>
            <w:tcW w:w="902" w:type="dxa"/>
          </w:tcPr>
          <w:p w:rsidR="005C13A1" w:rsidRPr="00775120" w:rsidRDefault="005C13A1" w:rsidP="00775120">
            <w:pPr>
              <w:pStyle w:val="Brdtekst"/>
            </w:pPr>
            <w:r w:rsidRPr="00775120">
              <w:t>§ 11</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12</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13</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14</w:t>
            </w:r>
          </w:p>
          <w:p w:rsidR="005C13A1" w:rsidRPr="00775120" w:rsidRDefault="005C13A1" w:rsidP="00775120">
            <w:pPr>
              <w:pStyle w:val="Brdtekst"/>
            </w:pPr>
            <w:r w:rsidRPr="00775120">
              <w:t>Stk. 3, 3)</w:t>
            </w:r>
          </w:p>
        </w:tc>
        <w:tc>
          <w:tcPr>
            <w:tcW w:w="4951" w:type="dxa"/>
          </w:tcPr>
          <w:p w:rsidR="005C13A1" w:rsidRPr="00775120" w:rsidRDefault="00E13C89" w:rsidP="00775120">
            <w:pPr>
              <w:pStyle w:val="Brdtekst"/>
            </w:pPr>
            <w:r w:rsidRPr="00775120">
              <w:t>Denne paragraf e</w:t>
            </w:r>
            <w:r w:rsidR="005C13A1" w:rsidRPr="00775120">
              <w:t xml:space="preserve">r </w:t>
            </w:r>
            <w:r w:rsidRPr="00775120">
              <w:t xml:space="preserve">udtryk for en alt </w:t>
            </w:r>
            <w:r w:rsidR="005C13A1" w:rsidRPr="00775120">
              <w:t>for detaljestyret</w:t>
            </w:r>
            <w:r w:rsidRPr="00775120">
              <w:t xml:space="preserve"> tilgang</w:t>
            </w:r>
            <w:r w:rsidR="005C13A1" w:rsidRPr="00775120">
              <w:t xml:space="preserve"> </w:t>
            </w:r>
            <w:r w:rsidRPr="00775120">
              <w:t xml:space="preserve">(Micro Management), </w:t>
            </w:r>
            <w:r w:rsidR="005C13A1" w:rsidRPr="00775120">
              <w:t xml:space="preserve">og </w:t>
            </w:r>
            <w:r w:rsidRPr="00775120">
              <w:t xml:space="preserve">paragraffen </w:t>
            </w:r>
            <w:r w:rsidR="005C13A1" w:rsidRPr="00775120">
              <w:t xml:space="preserve">giver dermed udtryk for </w:t>
            </w:r>
            <w:r w:rsidRPr="00775120">
              <w:t xml:space="preserve">en grundlæggende </w:t>
            </w:r>
            <w:r w:rsidR="005C13A1" w:rsidRPr="00775120">
              <w:t>mistillid til havnenes evne til at lede arbejdet</w:t>
            </w:r>
            <w:r w:rsidRPr="00775120">
              <w:t xml:space="preserve"> og sikre egen havn.</w:t>
            </w:r>
          </w:p>
        </w:tc>
        <w:tc>
          <w:tcPr>
            <w:tcW w:w="3769" w:type="dxa"/>
          </w:tcPr>
          <w:p w:rsidR="005C13A1" w:rsidRPr="00775120" w:rsidRDefault="00E13C89" w:rsidP="00775120">
            <w:pPr>
              <w:pStyle w:val="Brdtekst"/>
            </w:pPr>
            <w:r w:rsidRPr="00775120">
              <w:t xml:space="preserve">Stk. 2 til </w:t>
            </w:r>
            <w:r w:rsidR="00034DF7" w:rsidRPr="00775120">
              <w:t xml:space="preserve">stk. </w:t>
            </w:r>
            <w:r w:rsidRPr="00775120">
              <w:t xml:space="preserve">6 </w:t>
            </w:r>
            <w:r w:rsidR="00034DF7" w:rsidRPr="00775120">
              <w:t>bør udgå.</w:t>
            </w:r>
          </w:p>
        </w:tc>
      </w:tr>
      <w:tr w:rsidR="005C13A1" w:rsidRPr="00775120" w:rsidTr="000352BA">
        <w:tc>
          <w:tcPr>
            <w:tcW w:w="902" w:type="dxa"/>
          </w:tcPr>
          <w:p w:rsidR="005C13A1" w:rsidRPr="00775120" w:rsidRDefault="005C13A1" w:rsidP="00775120">
            <w:pPr>
              <w:pStyle w:val="Brdtekst"/>
            </w:pPr>
            <w:r w:rsidRPr="00775120">
              <w:t>§ 15</w:t>
            </w:r>
          </w:p>
        </w:tc>
        <w:tc>
          <w:tcPr>
            <w:tcW w:w="4951" w:type="dxa"/>
          </w:tcPr>
          <w:p w:rsidR="005C13A1" w:rsidRPr="00775120" w:rsidRDefault="00E85BC5" w:rsidP="00775120">
            <w:pPr>
              <w:pStyle w:val="Brdtekst"/>
            </w:pPr>
            <w:r w:rsidRPr="00775120">
              <w:t>Det bør indføjes, at mindst hver tredje ”</w:t>
            </w:r>
            <w:proofErr w:type="spellStart"/>
            <w:r w:rsidRPr="00775120">
              <w:t>full</w:t>
            </w:r>
            <w:proofErr w:type="spellEnd"/>
            <w:r w:rsidRPr="00775120">
              <w:t xml:space="preserve"> </w:t>
            </w:r>
            <w:proofErr w:type="spellStart"/>
            <w:r w:rsidRPr="00775120">
              <w:t>scale</w:t>
            </w:r>
            <w:proofErr w:type="spellEnd"/>
            <w:r w:rsidRPr="00775120">
              <w:t>” øvelse skal afholdes som en ”live” øvelse på havnen.</w:t>
            </w:r>
          </w:p>
        </w:tc>
        <w:tc>
          <w:tcPr>
            <w:tcW w:w="3769" w:type="dxa"/>
          </w:tcPr>
          <w:p w:rsidR="005C13A1" w:rsidRPr="00775120" w:rsidRDefault="00E85BC5" w:rsidP="00775120">
            <w:pPr>
              <w:pStyle w:val="Brdtekst"/>
            </w:pPr>
            <w:r w:rsidRPr="00775120">
              <w:t>Nyt stk. 5. ” Øvelser i henhold til stk. 4 skal mindst hver tredje gang afholdes som ”live” øvelse på havnen”</w:t>
            </w:r>
          </w:p>
          <w:p w:rsidR="00E85BC5" w:rsidRPr="00775120" w:rsidRDefault="00E85BC5" w:rsidP="00775120">
            <w:pPr>
              <w:pStyle w:val="Brdtekst"/>
            </w:pPr>
            <w:r w:rsidRPr="00775120">
              <w:t>Nuværende stk. 5 bliver så til stk. 6.</w:t>
            </w:r>
          </w:p>
        </w:tc>
      </w:tr>
      <w:tr w:rsidR="005C13A1" w:rsidRPr="00775120" w:rsidTr="000352BA">
        <w:tc>
          <w:tcPr>
            <w:tcW w:w="902" w:type="dxa"/>
          </w:tcPr>
          <w:p w:rsidR="005C13A1" w:rsidRPr="00775120" w:rsidRDefault="005C13A1" w:rsidP="00775120">
            <w:pPr>
              <w:pStyle w:val="Brdtekst"/>
            </w:pPr>
            <w:r w:rsidRPr="00775120">
              <w:t>§ 16</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17</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18</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19</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20</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21</w:t>
            </w:r>
          </w:p>
          <w:p w:rsidR="00824F0E" w:rsidRPr="00775120" w:rsidRDefault="00824F0E" w:rsidP="00775120">
            <w:pPr>
              <w:pStyle w:val="Brdtekst"/>
            </w:pPr>
            <w:r w:rsidRPr="00775120">
              <w:t>Stk. 3.</w:t>
            </w:r>
          </w:p>
        </w:tc>
        <w:tc>
          <w:tcPr>
            <w:tcW w:w="4951" w:type="dxa"/>
          </w:tcPr>
          <w:p w:rsidR="00034DF7" w:rsidRPr="00775120" w:rsidRDefault="00034DF7" w:rsidP="00775120">
            <w:pPr>
              <w:pStyle w:val="Brdtekst"/>
            </w:pPr>
            <w:r w:rsidRPr="00775120">
              <w:t>Denne begrænsning e</w:t>
            </w:r>
            <w:r w:rsidR="00824F0E" w:rsidRPr="00775120">
              <w:t xml:space="preserve">r medtaget direkte fra EU-direktivet. </w:t>
            </w:r>
            <w:r w:rsidRPr="00775120">
              <w:t xml:space="preserve">Som også understreget af TBST under høringen den 24. juni 20, så er der altså ikke tale om en overimplementering fra TBST-side. Det er imidlertid vores </w:t>
            </w:r>
            <w:r w:rsidRPr="00775120">
              <w:lastRenderedPageBreak/>
              <w:t xml:space="preserve">opfattelse, at der er tale om, at EU i direktivet overimplementerer i forhold til ISPS-reglerne. </w:t>
            </w:r>
          </w:p>
          <w:p w:rsidR="00824F0E" w:rsidRPr="00775120" w:rsidRDefault="00034DF7" w:rsidP="00775120">
            <w:pPr>
              <w:pStyle w:val="Brdtekst"/>
            </w:pPr>
            <w:r w:rsidRPr="00775120">
              <w:t>En fortsat praksis</w:t>
            </w:r>
            <w:r w:rsidR="00BE3DE1" w:rsidRPr="00775120">
              <w:t>,</w:t>
            </w:r>
            <w:r w:rsidRPr="00775120">
              <w:t xml:space="preserve"> hvor en anerkendt RSO ikke både kan udarbejde sårbarhedsvurdering og sikringsplan</w:t>
            </w:r>
            <w:r w:rsidR="00BE3DE1" w:rsidRPr="00775120">
              <w:t>,</w:t>
            </w:r>
            <w:r w:rsidRPr="00775120">
              <w:t xml:space="preserve"> vil umiddelbart være både fordyrende og besværligt f</w:t>
            </w:r>
            <w:r w:rsidR="00824F0E" w:rsidRPr="00775120">
              <w:t>or havnene</w:t>
            </w:r>
            <w:r w:rsidRPr="00775120">
              <w:t>. De</w:t>
            </w:r>
            <w:r w:rsidR="004A2B59" w:rsidRPr="00775120">
              <w:t>nne fordyrende besværlighed</w:t>
            </w:r>
            <w:r w:rsidRPr="00775120">
              <w:t xml:space="preserve"> er uanset om havnen selv er anerkendt RSO eller den anvender en udefra kommende RSO.</w:t>
            </w:r>
          </w:p>
          <w:p w:rsidR="00377004" w:rsidRPr="00775120" w:rsidRDefault="00BE3DE1" w:rsidP="00775120">
            <w:pPr>
              <w:pStyle w:val="Brdtekst"/>
            </w:pPr>
            <w:r w:rsidRPr="00775120">
              <w:t xml:space="preserve">Danmark er fortsat domineret af mange små og mellemstore havne. Det er i samfundets interesse, at det fortsætter. Et hvert fordyrende element, som denne unødvendige regel, er med til at øge muligheden for at flere små havne bliver nedlagt. </w:t>
            </w:r>
          </w:p>
          <w:p w:rsidR="00377004" w:rsidRPr="00775120" w:rsidRDefault="00377004" w:rsidP="00775120">
            <w:pPr>
              <w:pStyle w:val="Brdtekst"/>
            </w:pPr>
            <w:r w:rsidRPr="00775120">
              <w:t xml:space="preserve">Det giver således ingen mening at stille betingelsen, at samme RSO ikke kan lave sikringsplan og sårbarhedsvurdering, når der, jævnfør denne bekendtgørelse, ikke er nogen krav til den, der så skal lave sårbarhedsvurderingen. </w:t>
            </w:r>
          </w:p>
          <w:p w:rsidR="00BE3DE1" w:rsidRPr="00775120" w:rsidRDefault="00377004" w:rsidP="00775120">
            <w:pPr>
              <w:pStyle w:val="Brdtekst"/>
            </w:pPr>
            <w:proofErr w:type="spellStart"/>
            <w:r w:rsidRPr="00775120">
              <w:t>TBST´s</w:t>
            </w:r>
            <w:proofErr w:type="spellEnd"/>
            <w:r w:rsidRPr="00775120">
              <w:t xml:space="preserve"> argument om, at det giver en vis kvalitetssikring, at det ikke er den samme, der laver sårbarhedsvurdering og sikringsplan er også forkert, idet kvalitetssikringen af sårbarhedsvurderingen er sket inden – og i forbindelse med godkendelsen ved TBST af sårbarhedsvurderingen. Der skulle helst ikke være brug for kvalitetssikring af en godkendt sårbarhedsvurdering</w:t>
            </w:r>
          </w:p>
        </w:tc>
        <w:tc>
          <w:tcPr>
            <w:tcW w:w="3769" w:type="dxa"/>
          </w:tcPr>
          <w:p w:rsidR="005C13A1" w:rsidRPr="00775120" w:rsidRDefault="00824F0E" w:rsidP="00775120">
            <w:pPr>
              <w:pStyle w:val="Brdtekst"/>
            </w:pPr>
            <w:r w:rsidRPr="00775120">
              <w:lastRenderedPageBreak/>
              <w:t>Stk. 3. bør udgå</w:t>
            </w:r>
            <w:r w:rsidR="004A2B59" w:rsidRPr="00775120">
              <w:t>.</w:t>
            </w:r>
          </w:p>
          <w:p w:rsidR="003625DD" w:rsidRPr="00775120" w:rsidRDefault="004A2B59" w:rsidP="00775120">
            <w:pPr>
              <w:pStyle w:val="Brdtekst"/>
            </w:pPr>
            <w:r w:rsidRPr="00775120">
              <w:t xml:space="preserve">TBST bør arbejde på, at denne overimplementering fra </w:t>
            </w:r>
            <w:r w:rsidR="00BB1E8B" w:rsidRPr="00775120">
              <w:t>EU-side</w:t>
            </w:r>
            <w:r w:rsidRPr="00775120">
              <w:t xml:space="preserve"> fjernes, så EU implementerer ISPS-reglerne som de er </w:t>
            </w:r>
            <w:r w:rsidRPr="00775120">
              <w:lastRenderedPageBreak/>
              <w:t>tiltænkt</w:t>
            </w:r>
          </w:p>
        </w:tc>
      </w:tr>
      <w:tr w:rsidR="005C13A1" w:rsidRPr="00775120" w:rsidTr="000352BA">
        <w:tc>
          <w:tcPr>
            <w:tcW w:w="902" w:type="dxa"/>
          </w:tcPr>
          <w:p w:rsidR="005C13A1" w:rsidRPr="00775120" w:rsidRDefault="005C13A1" w:rsidP="00775120">
            <w:pPr>
              <w:pStyle w:val="Brdtekst"/>
            </w:pPr>
            <w:r w:rsidRPr="00775120">
              <w:lastRenderedPageBreak/>
              <w:t>§ 22</w:t>
            </w:r>
          </w:p>
        </w:tc>
        <w:tc>
          <w:tcPr>
            <w:tcW w:w="4951" w:type="dxa"/>
          </w:tcPr>
          <w:p w:rsidR="005C13A1" w:rsidRPr="00775120" w:rsidRDefault="00824F0E" w:rsidP="00775120">
            <w:pPr>
              <w:pStyle w:val="Brdtekst"/>
            </w:pPr>
            <w:r w:rsidRPr="00775120">
              <w:t>Hvorfor 5 år?</w:t>
            </w:r>
          </w:p>
        </w:tc>
        <w:tc>
          <w:tcPr>
            <w:tcW w:w="3769" w:type="dxa"/>
          </w:tcPr>
          <w:p w:rsidR="005C13A1" w:rsidRPr="00775120" w:rsidRDefault="00824F0E" w:rsidP="00775120">
            <w:pPr>
              <w:pStyle w:val="Brdtekst"/>
            </w:pPr>
            <w:r w:rsidRPr="00775120">
              <w:t>forklaring bør indgå</w:t>
            </w:r>
          </w:p>
        </w:tc>
      </w:tr>
      <w:tr w:rsidR="005C13A1" w:rsidRPr="00775120" w:rsidTr="000352BA">
        <w:tc>
          <w:tcPr>
            <w:tcW w:w="902" w:type="dxa"/>
          </w:tcPr>
          <w:p w:rsidR="005C13A1" w:rsidRPr="00775120" w:rsidRDefault="005C13A1" w:rsidP="00775120">
            <w:pPr>
              <w:pStyle w:val="Brdtekst"/>
            </w:pPr>
            <w:r w:rsidRPr="00775120">
              <w:t>§ 23</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24</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25</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26</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27</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28</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29</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30</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31</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32</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824F0E" w:rsidRPr="00775120" w:rsidTr="000352BA">
        <w:tc>
          <w:tcPr>
            <w:tcW w:w="902" w:type="dxa"/>
          </w:tcPr>
          <w:p w:rsidR="00824F0E" w:rsidRPr="00775120" w:rsidRDefault="00824F0E" w:rsidP="00775120">
            <w:pPr>
              <w:pStyle w:val="Brdtekst"/>
            </w:pPr>
            <w:r w:rsidRPr="00775120">
              <w:t>§ 33</w:t>
            </w:r>
          </w:p>
        </w:tc>
        <w:tc>
          <w:tcPr>
            <w:tcW w:w="4951" w:type="dxa"/>
          </w:tcPr>
          <w:p w:rsidR="00824F0E" w:rsidRPr="00775120" w:rsidRDefault="00824F0E" w:rsidP="00775120">
            <w:pPr>
              <w:pStyle w:val="Brdtekst"/>
            </w:pPr>
            <w:r w:rsidRPr="00775120">
              <w:t xml:space="preserve">Af hensyn til Trafik-, Bygge- og Boligstyrelsens legitimitet over havne og havnefaciliteter bør der være en klageadgang. </w:t>
            </w:r>
          </w:p>
          <w:p w:rsidR="00824F0E" w:rsidRPr="00775120" w:rsidRDefault="00824F0E" w:rsidP="00775120">
            <w:pPr>
              <w:pStyle w:val="Brdtekst"/>
            </w:pPr>
            <w:r w:rsidRPr="00775120">
              <w:t xml:space="preserve">Det </w:t>
            </w:r>
            <w:r w:rsidR="004A2B59" w:rsidRPr="00775120">
              <w:t>virker</w:t>
            </w:r>
            <w:r w:rsidRPr="00775120">
              <w:t xml:space="preserve"> udemokratisk, hvis en styrelse i Danmark agerer så egenrådigt, at den ikke etablerer en klageadgang for sine arbitrære afgørelser.</w:t>
            </w:r>
          </w:p>
        </w:tc>
        <w:tc>
          <w:tcPr>
            <w:tcW w:w="3769" w:type="dxa"/>
          </w:tcPr>
          <w:p w:rsidR="00824F0E" w:rsidRPr="00775120" w:rsidRDefault="00824F0E" w:rsidP="00775120">
            <w:pPr>
              <w:pStyle w:val="Brdtekst"/>
            </w:pPr>
            <w:r w:rsidRPr="00775120">
              <w:t>Etabler en klageadgang.</w:t>
            </w:r>
          </w:p>
        </w:tc>
      </w:tr>
      <w:tr w:rsidR="005C13A1" w:rsidRPr="00775120" w:rsidTr="000352BA">
        <w:tc>
          <w:tcPr>
            <w:tcW w:w="902" w:type="dxa"/>
          </w:tcPr>
          <w:p w:rsidR="005C13A1" w:rsidRPr="00775120" w:rsidRDefault="005C13A1" w:rsidP="00775120">
            <w:pPr>
              <w:pStyle w:val="Brdtekst"/>
            </w:pPr>
            <w:r w:rsidRPr="00775120">
              <w:t>§ 34</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t>§ 35</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5C13A1" w:rsidRPr="00775120" w:rsidTr="000352BA">
        <w:tc>
          <w:tcPr>
            <w:tcW w:w="902" w:type="dxa"/>
          </w:tcPr>
          <w:p w:rsidR="005C13A1" w:rsidRPr="00775120" w:rsidRDefault="005C13A1" w:rsidP="00775120">
            <w:pPr>
              <w:pStyle w:val="Brdtekst"/>
            </w:pPr>
            <w:r w:rsidRPr="00775120">
              <w:lastRenderedPageBreak/>
              <w:t xml:space="preserve">§ 36 </w:t>
            </w:r>
          </w:p>
        </w:tc>
        <w:tc>
          <w:tcPr>
            <w:tcW w:w="4951" w:type="dxa"/>
          </w:tcPr>
          <w:p w:rsidR="005C13A1" w:rsidRPr="00775120" w:rsidRDefault="005C13A1" w:rsidP="00775120">
            <w:pPr>
              <w:pStyle w:val="Brdtekst"/>
            </w:pPr>
            <w:r w:rsidRPr="00775120">
              <w:t>Ingen bemærkninger</w:t>
            </w:r>
          </w:p>
        </w:tc>
        <w:tc>
          <w:tcPr>
            <w:tcW w:w="3769" w:type="dxa"/>
          </w:tcPr>
          <w:p w:rsidR="005C13A1" w:rsidRPr="00775120" w:rsidRDefault="005C13A1" w:rsidP="00775120">
            <w:pPr>
              <w:pStyle w:val="Brdtekst"/>
            </w:pPr>
            <w:r w:rsidRPr="00775120">
              <w:t>Ingen</w:t>
            </w:r>
          </w:p>
        </w:tc>
      </w:tr>
      <w:tr w:rsidR="00824F0E" w:rsidRPr="00775120" w:rsidTr="000352BA">
        <w:tc>
          <w:tcPr>
            <w:tcW w:w="902" w:type="dxa"/>
          </w:tcPr>
          <w:p w:rsidR="00824F0E" w:rsidRPr="00775120" w:rsidRDefault="00824F0E" w:rsidP="00775120">
            <w:pPr>
              <w:pStyle w:val="Brdtekst"/>
            </w:pPr>
            <w:r w:rsidRPr="00775120">
              <w:t>§ 37</w:t>
            </w:r>
          </w:p>
          <w:p w:rsidR="006D169A" w:rsidRPr="00775120" w:rsidRDefault="006D169A" w:rsidP="00775120">
            <w:pPr>
              <w:pStyle w:val="Brdtekst"/>
            </w:pPr>
            <w:r w:rsidRPr="00775120">
              <w:t>Stk. 2.</w:t>
            </w:r>
          </w:p>
        </w:tc>
        <w:tc>
          <w:tcPr>
            <w:tcW w:w="4951" w:type="dxa"/>
          </w:tcPr>
          <w:p w:rsidR="00824F0E" w:rsidRPr="00775120" w:rsidRDefault="00824F0E" w:rsidP="00775120">
            <w:pPr>
              <w:pStyle w:val="Brdtekst"/>
            </w:pPr>
            <w:r w:rsidRPr="00775120">
              <w:t>Der er lidt uklart.  Hvis ViSikrer laver en sårbarhedsvurdering, som indsendt til TBST den 1. februar 2021, men som TBST ikke har godkendt den 31. marts 2021?</w:t>
            </w:r>
          </w:p>
        </w:tc>
        <w:tc>
          <w:tcPr>
            <w:tcW w:w="3769" w:type="dxa"/>
          </w:tcPr>
          <w:p w:rsidR="00824F0E" w:rsidRPr="00775120" w:rsidRDefault="00824F0E" w:rsidP="00775120">
            <w:pPr>
              <w:pStyle w:val="Brdtekst"/>
            </w:pPr>
            <w:r w:rsidRPr="00775120">
              <w:t>Klarificér</w:t>
            </w:r>
          </w:p>
        </w:tc>
      </w:tr>
    </w:tbl>
    <w:p w:rsidR="008F4CBE" w:rsidRPr="00E921D0" w:rsidRDefault="006D169A" w:rsidP="008F4CBE">
      <w:pPr>
        <w:pStyle w:val="Overskrift1"/>
      </w:pPr>
      <w:r>
        <w:t>Bemærkninger til udkast til</w:t>
      </w:r>
      <w:r w:rsidR="008F4CBE" w:rsidRPr="00BF1FB5">
        <w:t xml:space="preserve"> Bekendtgørelse om sikring af havnefaciliteter</w:t>
      </w:r>
    </w:p>
    <w:tbl>
      <w:tblPr>
        <w:tblStyle w:val="Tabel-Gitter"/>
        <w:tblW w:w="0" w:type="auto"/>
        <w:tblLook w:val="04A0" w:firstRow="1" w:lastRow="0" w:firstColumn="1" w:lastColumn="0" w:noHBand="0" w:noVBand="1"/>
      </w:tblPr>
      <w:tblGrid>
        <w:gridCol w:w="902"/>
        <w:gridCol w:w="4951"/>
        <w:gridCol w:w="3769"/>
      </w:tblGrid>
      <w:tr w:rsidR="00021184" w:rsidRPr="00775120" w:rsidTr="00021184">
        <w:trPr>
          <w:tblHeader/>
        </w:trPr>
        <w:tc>
          <w:tcPr>
            <w:tcW w:w="902" w:type="dxa"/>
            <w:shd w:val="clear" w:color="auto" w:fill="DBDBDB" w:themeFill="accent3" w:themeFillTint="66"/>
          </w:tcPr>
          <w:p w:rsidR="00E12892" w:rsidRPr="00775120" w:rsidRDefault="00E12892" w:rsidP="00775120">
            <w:pPr>
              <w:pStyle w:val="Brdtekst"/>
            </w:pPr>
            <w:r w:rsidRPr="00775120">
              <w:t>Paragraf</w:t>
            </w:r>
          </w:p>
        </w:tc>
        <w:tc>
          <w:tcPr>
            <w:tcW w:w="4951" w:type="dxa"/>
            <w:shd w:val="clear" w:color="auto" w:fill="DBDBDB" w:themeFill="accent3" w:themeFillTint="66"/>
          </w:tcPr>
          <w:p w:rsidR="00E12892" w:rsidRPr="00775120" w:rsidRDefault="00E12892" w:rsidP="00775120">
            <w:pPr>
              <w:pStyle w:val="Brdtekst"/>
            </w:pPr>
            <w:r w:rsidRPr="00775120">
              <w:t>Diskussion</w:t>
            </w:r>
          </w:p>
        </w:tc>
        <w:tc>
          <w:tcPr>
            <w:tcW w:w="3769" w:type="dxa"/>
            <w:shd w:val="clear" w:color="auto" w:fill="DBDBDB" w:themeFill="accent3" w:themeFillTint="66"/>
          </w:tcPr>
          <w:p w:rsidR="00E12892" w:rsidRPr="00775120" w:rsidRDefault="00E12892" w:rsidP="00775120">
            <w:pPr>
              <w:pStyle w:val="Brdtekst"/>
            </w:pPr>
            <w:r w:rsidRPr="00775120">
              <w:t>Forslag</w:t>
            </w:r>
          </w:p>
        </w:tc>
      </w:tr>
      <w:tr w:rsidR="00021184" w:rsidRPr="00775120" w:rsidTr="00021184">
        <w:tc>
          <w:tcPr>
            <w:tcW w:w="902" w:type="dxa"/>
          </w:tcPr>
          <w:p w:rsidR="00E12892" w:rsidRPr="00775120" w:rsidRDefault="00E12892" w:rsidP="00775120">
            <w:pPr>
              <w:pStyle w:val="Brdtekst"/>
            </w:pPr>
            <w:r w:rsidRPr="00775120">
              <w:t>§ 1</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12892" w:rsidP="00775120">
            <w:pPr>
              <w:pStyle w:val="Brdtekst"/>
            </w:pPr>
            <w:r w:rsidRPr="00775120">
              <w:t>Ingen</w:t>
            </w:r>
          </w:p>
        </w:tc>
      </w:tr>
      <w:tr w:rsidR="00021184" w:rsidRPr="00775120" w:rsidTr="00021184">
        <w:tc>
          <w:tcPr>
            <w:tcW w:w="902" w:type="dxa"/>
          </w:tcPr>
          <w:p w:rsidR="00E12892" w:rsidRPr="00775120" w:rsidRDefault="00E12892" w:rsidP="00775120">
            <w:pPr>
              <w:pStyle w:val="Brdtekst"/>
            </w:pPr>
            <w:r w:rsidRPr="00775120">
              <w:t>§ 2</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12892" w:rsidP="00775120">
            <w:pPr>
              <w:pStyle w:val="Brdtekst"/>
            </w:pPr>
            <w:r w:rsidRPr="00775120">
              <w:t>Ingen</w:t>
            </w:r>
          </w:p>
        </w:tc>
      </w:tr>
      <w:tr w:rsidR="00021184" w:rsidRPr="00775120" w:rsidTr="00021184">
        <w:tc>
          <w:tcPr>
            <w:tcW w:w="902" w:type="dxa"/>
          </w:tcPr>
          <w:p w:rsidR="00E12892" w:rsidRPr="00775120" w:rsidRDefault="00E12892" w:rsidP="00775120">
            <w:pPr>
              <w:pStyle w:val="Brdtekst"/>
            </w:pPr>
            <w:r w:rsidRPr="00775120">
              <w:t>§ 3</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12892" w:rsidP="00775120">
            <w:pPr>
              <w:pStyle w:val="Brdtekst"/>
            </w:pPr>
            <w:r w:rsidRPr="00775120">
              <w:t>Ingen</w:t>
            </w:r>
          </w:p>
        </w:tc>
      </w:tr>
      <w:tr w:rsidR="00021184" w:rsidRPr="00775120" w:rsidTr="00021184">
        <w:tc>
          <w:tcPr>
            <w:tcW w:w="902" w:type="dxa"/>
          </w:tcPr>
          <w:p w:rsidR="00E12892" w:rsidRPr="00775120" w:rsidRDefault="00E12892" w:rsidP="00775120">
            <w:pPr>
              <w:pStyle w:val="Brdtekst"/>
            </w:pPr>
            <w:r w:rsidRPr="00775120">
              <w:t>§ 4</w:t>
            </w:r>
          </w:p>
        </w:tc>
        <w:tc>
          <w:tcPr>
            <w:tcW w:w="4951" w:type="dxa"/>
          </w:tcPr>
          <w:p w:rsidR="00E12892" w:rsidRPr="00775120" w:rsidRDefault="00E12892" w:rsidP="00775120">
            <w:pPr>
              <w:pStyle w:val="Brdtekst"/>
            </w:pPr>
            <w:r w:rsidRPr="00775120">
              <w:t>Enig i at bekendtgørelsen anvender ”havnen” (”juridisk person”), som den overordnede ansvarlige. Det kan aldrig blive PSO eller PFSO. De er jo ansvarlig overfor henholdsvis ledelsen af havnen henholdsvis havnefacilitet.</w:t>
            </w:r>
          </w:p>
          <w:p w:rsidR="00E12892" w:rsidRPr="00775120" w:rsidRDefault="00E12892" w:rsidP="00775120">
            <w:pPr>
              <w:pStyle w:val="Brdtekst"/>
            </w:pPr>
            <w:r w:rsidRPr="00775120">
              <w:t xml:space="preserve">Men kan havnen delegere ansvaret for overholdelse af loven til en selvstændig terminaloperatør? </w:t>
            </w:r>
          </w:p>
          <w:p w:rsidR="00E12892" w:rsidRPr="00775120" w:rsidRDefault="00E12892" w:rsidP="00775120">
            <w:pPr>
              <w:pStyle w:val="Brdtekst"/>
            </w:pPr>
            <w:r w:rsidRPr="00775120">
              <w:t>Ansvar kan ikke delegeres.</w:t>
            </w:r>
          </w:p>
        </w:tc>
        <w:tc>
          <w:tcPr>
            <w:tcW w:w="3769" w:type="dxa"/>
          </w:tcPr>
          <w:p w:rsidR="00E12892" w:rsidRPr="00775120" w:rsidRDefault="004A2B59" w:rsidP="00775120">
            <w:pPr>
              <w:pStyle w:val="Brdtekst"/>
            </w:pPr>
            <w:r w:rsidRPr="00775120">
              <w:t>Overvejelse</w:t>
            </w:r>
          </w:p>
        </w:tc>
      </w:tr>
      <w:tr w:rsidR="00021184" w:rsidRPr="00775120" w:rsidTr="00021184">
        <w:tc>
          <w:tcPr>
            <w:tcW w:w="902" w:type="dxa"/>
          </w:tcPr>
          <w:p w:rsidR="00E12892" w:rsidRPr="00775120" w:rsidRDefault="00021184" w:rsidP="00775120">
            <w:pPr>
              <w:pStyle w:val="Brdtekst"/>
            </w:pPr>
            <w:r w:rsidRPr="00775120">
              <w:t xml:space="preserve">§ </w:t>
            </w:r>
            <w:r w:rsidR="00E12892" w:rsidRPr="00775120">
              <w:t>5</w:t>
            </w:r>
          </w:p>
        </w:tc>
        <w:tc>
          <w:tcPr>
            <w:tcW w:w="4951" w:type="dxa"/>
          </w:tcPr>
          <w:p w:rsidR="00E12892" w:rsidRPr="00775120" w:rsidRDefault="00E12892" w:rsidP="00775120">
            <w:pPr>
              <w:pStyle w:val="Brdtekst"/>
            </w:pPr>
            <w:r w:rsidRPr="00775120">
              <w:t>Det er hensigtsmæssigt overfor havnefaciliteterne</w:t>
            </w:r>
            <w:r w:rsidR="00021184" w:rsidRPr="00775120">
              <w:t>s</w:t>
            </w:r>
            <w:r w:rsidRPr="00775120">
              <w:t xml:space="preserve"> og havnene</w:t>
            </w:r>
            <w:r w:rsidR="00021184" w:rsidRPr="00775120">
              <w:t>s planlægning</w:t>
            </w:r>
            <w:r w:rsidRPr="00775120">
              <w:t>, at der i de</w:t>
            </w:r>
            <w:r w:rsidR="00183877" w:rsidRPr="00775120">
              <w:t>nne paragraf er et punkt, der præciserer indenfor hvilket tidsrum Trafik-, Bygge- og Boligstyrelsen skal have behandlet en fremsendt sårbarhedsvurdering.</w:t>
            </w:r>
          </w:p>
        </w:tc>
        <w:tc>
          <w:tcPr>
            <w:tcW w:w="3769" w:type="dxa"/>
          </w:tcPr>
          <w:p w:rsidR="00E12892" w:rsidRPr="00775120" w:rsidRDefault="004A2B59" w:rsidP="00775120">
            <w:pPr>
              <w:pStyle w:val="Brdtekst"/>
            </w:pPr>
            <w:r w:rsidRPr="00775120">
              <w:t>Forslag til nyt s</w:t>
            </w:r>
            <w:r w:rsidR="00183877" w:rsidRPr="00775120">
              <w:t xml:space="preserve">tk. 7. </w:t>
            </w:r>
            <w:r w:rsidRPr="00775120">
              <w:t>”</w:t>
            </w:r>
            <w:r w:rsidR="00183877" w:rsidRPr="00775120">
              <w:t xml:space="preserve">Havnen sender </w:t>
            </w:r>
            <w:r w:rsidR="00021184" w:rsidRPr="00775120">
              <w:t>sårbarhedsvurderingen</w:t>
            </w:r>
            <w:r w:rsidR="00183877" w:rsidRPr="00775120">
              <w:t xml:space="preserve"> for en havnefacilitet til godkendelse i Trafik-, Bygge- og Boligstyrelsen, som træffer afgørelse om godkendelse</w:t>
            </w:r>
            <w:r w:rsidR="00021184" w:rsidRPr="00775120">
              <w:t xml:space="preserve"> </w:t>
            </w:r>
            <w:r w:rsidR="00183877" w:rsidRPr="00775120">
              <w:t>senest</w:t>
            </w:r>
            <w:r w:rsidR="00021184" w:rsidRPr="00775120">
              <w:t xml:space="preserve"> </w:t>
            </w:r>
            <w:r w:rsidR="00183877" w:rsidRPr="00775120">
              <w:t>3</w:t>
            </w:r>
            <w:r w:rsidR="00021184" w:rsidRPr="00775120">
              <w:t xml:space="preserve"> </w:t>
            </w:r>
            <w:r w:rsidR="00183877" w:rsidRPr="00775120">
              <w:t>måneder</w:t>
            </w:r>
            <w:r w:rsidR="00021184" w:rsidRPr="00775120">
              <w:t xml:space="preserve"> </w:t>
            </w:r>
            <w:r w:rsidR="00183877" w:rsidRPr="00775120">
              <w:t>efter</w:t>
            </w:r>
            <w:r w:rsidR="00021184" w:rsidRPr="00775120">
              <w:t xml:space="preserve"> </w:t>
            </w:r>
            <w:r w:rsidR="00183877" w:rsidRPr="00775120">
              <w:t>modtagelsen</w:t>
            </w:r>
            <w:r w:rsidR="00021184" w:rsidRPr="00775120">
              <w:t xml:space="preserve"> </w:t>
            </w:r>
            <w:r w:rsidR="00183877" w:rsidRPr="00775120">
              <w:t>af</w:t>
            </w:r>
            <w:r w:rsidR="00021184" w:rsidRPr="00775120">
              <w:t xml:space="preserve"> en ansøgning om godkendelse </w:t>
            </w:r>
            <w:r w:rsidR="00183877" w:rsidRPr="00775120">
              <w:t>af</w:t>
            </w:r>
            <w:r w:rsidR="00021184" w:rsidRPr="00775120">
              <w:t xml:space="preserve"> </w:t>
            </w:r>
            <w:r w:rsidR="00183877" w:rsidRPr="00775120">
              <w:t>en</w:t>
            </w:r>
            <w:r w:rsidR="00021184" w:rsidRPr="00775120">
              <w:t xml:space="preserve"> </w:t>
            </w:r>
            <w:r w:rsidR="00183877" w:rsidRPr="00775120">
              <w:t>s</w:t>
            </w:r>
            <w:r w:rsidR="00021184" w:rsidRPr="00775120">
              <w:t>årbarhedsvurdering</w:t>
            </w:r>
            <w:r w:rsidR="00183877" w:rsidRPr="00775120">
              <w:t>,</w:t>
            </w:r>
            <w:r w:rsidR="00021184" w:rsidRPr="00775120">
              <w:t xml:space="preserve"> </w:t>
            </w:r>
            <w:r w:rsidR="00183877" w:rsidRPr="00775120">
              <w:t>hvis</w:t>
            </w:r>
            <w:r w:rsidR="00021184" w:rsidRPr="00775120">
              <w:t xml:space="preserve"> denne opfylder </w:t>
            </w:r>
            <w:r w:rsidR="00183877" w:rsidRPr="00775120">
              <w:t>kravene</w:t>
            </w:r>
            <w:r w:rsidR="00021184" w:rsidRPr="00775120">
              <w:t xml:space="preserve"> </w:t>
            </w:r>
            <w:r w:rsidR="00183877" w:rsidRPr="00775120">
              <w:t>i</w:t>
            </w:r>
            <w:r w:rsidR="00021184" w:rsidRPr="00775120">
              <w:t xml:space="preserve"> </w:t>
            </w:r>
            <w:r w:rsidR="00183877" w:rsidRPr="00775120">
              <w:t>d</w:t>
            </w:r>
            <w:r w:rsidR="00021184" w:rsidRPr="00775120">
              <w:t>e</w:t>
            </w:r>
            <w:r w:rsidR="00183877" w:rsidRPr="00775120">
              <w:t>nne</w:t>
            </w:r>
            <w:r w:rsidR="00021184" w:rsidRPr="00775120">
              <w:t xml:space="preserve"> </w:t>
            </w:r>
            <w:r w:rsidR="00183877" w:rsidRPr="00775120">
              <w:t>bekendtgø</w:t>
            </w:r>
            <w:r w:rsidR="00021184" w:rsidRPr="00775120">
              <w:t>r</w:t>
            </w:r>
            <w:r w:rsidR="00183877" w:rsidRPr="00775120">
              <w:t>else</w:t>
            </w:r>
            <w:r w:rsidR="00021184" w:rsidRPr="00775120">
              <w:t>.</w:t>
            </w:r>
            <w:r w:rsidRPr="00775120">
              <w:t>”</w:t>
            </w:r>
          </w:p>
        </w:tc>
      </w:tr>
      <w:tr w:rsidR="004A2B59" w:rsidRPr="00775120" w:rsidTr="00021184">
        <w:tc>
          <w:tcPr>
            <w:tcW w:w="902" w:type="dxa"/>
          </w:tcPr>
          <w:p w:rsidR="004A2B59" w:rsidRPr="00775120" w:rsidRDefault="004A2B59" w:rsidP="00775120">
            <w:pPr>
              <w:pStyle w:val="Brdtekst"/>
            </w:pPr>
            <w:r w:rsidRPr="00775120">
              <w:t>§ 6</w:t>
            </w:r>
          </w:p>
        </w:tc>
        <w:tc>
          <w:tcPr>
            <w:tcW w:w="4951" w:type="dxa"/>
          </w:tcPr>
          <w:p w:rsidR="004A2B59" w:rsidRPr="00775120" w:rsidRDefault="004A2B59" w:rsidP="00775120">
            <w:pPr>
              <w:pStyle w:val="Brdtekst"/>
            </w:pPr>
            <w:r w:rsidRPr="00775120">
              <w:t>Dette fremgår også af EU-forordningen. Paragraffen giver dog ingen mening uden forklaring og bør dog udgå, med mindre det kan forklares, hvorfor det skal være her.</w:t>
            </w:r>
          </w:p>
        </w:tc>
        <w:tc>
          <w:tcPr>
            <w:tcW w:w="3769" w:type="dxa"/>
          </w:tcPr>
          <w:p w:rsidR="004A2B59" w:rsidRPr="00775120" w:rsidRDefault="004A2B59" w:rsidP="00775120">
            <w:pPr>
              <w:pStyle w:val="Brdtekst"/>
            </w:pPr>
            <w:r w:rsidRPr="00775120">
              <w:t>Kan udgå</w:t>
            </w:r>
          </w:p>
        </w:tc>
      </w:tr>
      <w:tr w:rsidR="00021184" w:rsidRPr="00775120" w:rsidTr="00021184">
        <w:tc>
          <w:tcPr>
            <w:tcW w:w="902" w:type="dxa"/>
          </w:tcPr>
          <w:p w:rsidR="00E12892" w:rsidRPr="00775120" w:rsidRDefault="00621278" w:rsidP="00775120">
            <w:pPr>
              <w:pStyle w:val="Brdtekst"/>
            </w:pPr>
            <w:r w:rsidRPr="00775120">
              <w:t xml:space="preserve">§ </w:t>
            </w:r>
            <w:r w:rsidR="00E12892" w:rsidRPr="00775120">
              <w:t>7</w:t>
            </w:r>
          </w:p>
        </w:tc>
        <w:tc>
          <w:tcPr>
            <w:tcW w:w="4951" w:type="dxa"/>
          </w:tcPr>
          <w:p w:rsidR="00E12892" w:rsidRPr="00775120" w:rsidRDefault="00621278" w:rsidP="00775120">
            <w:pPr>
              <w:pStyle w:val="Brdtekst"/>
            </w:pPr>
            <w:r w:rsidRPr="00775120">
              <w:t>Ingen bemærkninger</w:t>
            </w:r>
          </w:p>
        </w:tc>
        <w:tc>
          <w:tcPr>
            <w:tcW w:w="3769" w:type="dxa"/>
          </w:tcPr>
          <w:p w:rsidR="00E12892" w:rsidRPr="00775120" w:rsidRDefault="00621278" w:rsidP="00775120">
            <w:pPr>
              <w:pStyle w:val="Brdtekst"/>
            </w:pPr>
            <w:r w:rsidRPr="00775120">
              <w:t>Ingen</w:t>
            </w:r>
          </w:p>
        </w:tc>
      </w:tr>
      <w:tr w:rsidR="00621278" w:rsidRPr="00775120" w:rsidTr="00021184">
        <w:tc>
          <w:tcPr>
            <w:tcW w:w="902" w:type="dxa"/>
          </w:tcPr>
          <w:p w:rsidR="00621278" w:rsidRPr="00775120" w:rsidRDefault="00621278" w:rsidP="00775120">
            <w:pPr>
              <w:pStyle w:val="Brdtekst"/>
            </w:pPr>
            <w:r w:rsidRPr="00775120">
              <w:t>§ 8</w:t>
            </w:r>
          </w:p>
        </w:tc>
        <w:tc>
          <w:tcPr>
            <w:tcW w:w="4951" w:type="dxa"/>
          </w:tcPr>
          <w:p w:rsidR="004A2B59" w:rsidRPr="00775120" w:rsidRDefault="00E80BA4" w:rsidP="00775120">
            <w:pPr>
              <w:pStyle w:val="Brdtekst"/>
            </w:pPr>
            <w:r w:rsidRPr="00775120">
              <w:t>Muligheden for ”Ækvivalente sikringsarrangementer”</w:t>
            </w:r>
            <w:r w:rsidR="00621278" w:rsidRPr="00775120">
              <w:t xml:space="preserve"> fremgår også af EU-forordningen. </w:t>
            </w:r>
          </w:p>
          <w:p w:rsidR="00E80BA4" w:rsidRPr="00775120" w:rsidRDefault="00E80BA4" w:rsidP="00775120">
            <w:pPr>
              <w:pStyle w:val="Brdtekst"/>
            </w:pPr>
            <w:r w:rsidRPr="00775120">
              <w:t>Det fremgår imidlertid ikke af bekendtgørelsen i hvilke situationer dette kan være en mulighed.</w:t>
            </w:r>
          </w:p>
          <w:p w:rsidR="00621278" w:rsidRPr="00775120" w:rsidRDefault="00621278" w:rsidP="00775120">
            <w:pPr>
              <w:pStyle w:val="Brdtekst"/>
            </w:pPr>
            <w:r w:rsidRPr="00775120">
              <w:t xml:space="preserve">Paragraffen </w:t>
            </w:r>
            <w:r w:rsidR="00E80BA4" w:rsidRPr="00775120">
              <w:t xml:space="preserve">om ”Ækvivalente sikringsarrangementer” bør </w:t>
            </w:r>
            <w:r w:rsidR="00BE3DE1" w:rsidRPr="00775120">
              <w:t xml:space="preserve">derfor </w:t>
            </w:r>
            <w:r w:rsidR="00E80BA4" w:rsidRPr="00775120">
              <w:t>f</w:t>
            </w:r>
            <w:r w:rsidRPr="00775120">
              <w:t>orklares</w:t>
            </w:r>
            <w:r w:rsidR="00E80BA4" w:rsidRPr="00775120">
              <w:t xml:space="preserve"> for at give mening</w:t>
            </w:r>
            <w:r w:rsidRPr="00775120">
              <w:t>.</w:t>
            </w:r>
          </w:p>
        </w:tc>
        <w:tc>
          <w:tcPr>
            <w:tcW w:w="3769" w:type="dxa"/>
          </w:tcPr>
          <w:p w:rsidR="00621278" w:rsidRPr="00775120" w:rsidRDefault="00E80BA4" w:rsidP="00775120">
            <w:pPr>
              <w:pStyle w:val="Brdtekst"/>
            </w:pPr>
            <w:r w:rsidRPr="00775120">
              <w:t>Bør forklares</w:t>
            </w:r>
          </w:p>
        </w:tc>
      </w:tr>
      <w:tr w:rsidR="00021184" w:rsidRPr="00775120" w:rsidTr="00021184">
        <w:tc>
          <w:tcPr>
            <w:tcW w:w="902" w:type="dxa"/>
          </w:tcPr>
          <w:p w:rsidR="00E12892" w:rsidRPr="00775120" w:rsidRDefault="00621278" w:rsidP="00775120">
            <w:pPr>
              <w:pStyle w:val="Brdtekst"/>
            </w:pPr>
            <w:r w:rsidRPr="00775120">
              <w:t xml:space="preserve">§ </w:t>
            </w:r>
            <w:r w:rsidR="00E12892" w:rsidRPr="00775120">
              <w:t>9</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621278" w:rsidP="00775120">
            <w:pPr>
              <w:pStyle w:val="Brdtekst"/>
            </w:pPr>
            <w:r w:rsidRPr="00775120">
              <w:t>Ingen</w:t>
            </w:r>
          </w:p>
        </w:tc>
      </w:tr>
      <w:tr w:rsidR="00021184" w:rsidRPr="00775120" w:rsidTr="00021184">
        <w:tc>
          <w:tcPr>
            <w:tcW w:w="902" w:type="dxa"/>
          </w:tcPr>
          <w:p w:rsidR="00E12892" w:rsidRPr="00775120" w:rsidRDefault="00621278" w:rsidP="00775120">
            <w:pPr>
              <w:pStyle w:val="Brdtekst"/>
            </w:pPr>
            <w:r w:rsidRPr="00775120">
              <w:t xml:space="preserve">§ </w:t>
            </w:r>
            <w:r w:rsidR="00E12892" w:rsidRPr="00775120">
              <w:t>10</w:t>
            </w:r>
          </w:p>
          <w:p w:rsidR="00621278" w:rsidRPr="00775120" w:rsidRDefault="00621278" w:rsidP="00775120">
            <w:pPr>
              <w:pStyle w:val="Brdtekst"/>
            </w:pPr>
            <w:r w:rsidRPr="00775120">
              <w:t>Stk. 2.</w:t>
            </w:r>
          </w:p>
        </w:tc>
        <w:tc>
          <w:tcPr>
            <w:tcW w:w="4951" w:type="dxa"/>
          </w:tcPr>
          <w:p w:rsidR="00E12892" w:rsidRPr="00775120" w:rsidRDefault="00621278" w:rsidP="00775120">
            <w:pPr>
              <w:pStyle w:val="Brdtekst"/>
            </w:pPr>
            <w:r w:rsidRPr="00775120">
              <w:t>Ved en større ændring i grundlaget for en sårbarhedsvurdering bør det</w:t>
            </w:r>
            <w:r w:rsidR="00E92275" w:rsidRPr="00775120">
              <w:t xml:space="preserve"> </w:t>
            </w:r>
            <w:r w:rsidRPr="00775120">
              <w:t>specifikt anføres, at markante ændringer i trusselsbilledet også er en større ændring.</w:t>
            </w:r>
          </w:p>
        </w:tc>
        <w:tc>
          <w:tcPr>
            <w:tcW w:w="3769" w:type="dxa"/>
          </w:tcPr>
          <w:p w:rsidR="00E12892" w:rsidRPr="00775120" w:rsidRDefault="00E92275" w:rsidP="00775120">
            <w:pPr>
              <w:pStyle w:val="Brdtekst"/>
            </w:pPr>
            <w:proofErr w:type="gramStart"/>
            <w:r w:rsidRPr="00775120">
              <w:t>....</w:t>
            </w:r>
            <w:proofErr w:type="gramEnd"/>
            <w:r w:rsidRPr="00775120">
              <w:t xml:space="preserve">, herunder ændringer </w:t>
            </w:r>
            <w:r w:rsidR="00BE3DE1" w:rsidRPr="00775120">
              <w:t xml:space="preserve">i </w:t>
            </w:r>
            <w:r w:rsidRPr="00775120">
              <w:t>trusselsbilledet,....</w:t>
            </w:r>
          </w:p>
        </w:tc>
      </w:tr>
      <w:tr w:rsidR="00021184" w:rsidRPr="00775120" w:rsidTr="00021184">
        <w:tc>
          <w:tcPr>
            <w:tcW w:w="902" w:type="dxa"/>
          </w:tcPr>
          <w:p w:rsidR="00E12892" w:rsidRPr="00775120" w:rsidRDefault="00E92275" w:rsidP="00775120">
            <w:pPr>
              <w:pStyle w:val="Brdtekst"/>
            </w:pPr>
            <w:r w:rsidRPr="00775120">
              <w:lastRenderedPageBreak/>
              <w:t xml:space="preserve">§ </w:t>
            </w:r>
            <w:r w:rsidR="00E12892" w:rsidRPr="00775120">
              <w:t>11</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12</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13</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14</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15</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16</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17</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E92275" w:rsidRPr="00775120" w:rsidTr="00021184">
        <w:tc>
          <w:tcPr>
            <w:tcW w:w="902" w:type="dxa"/>
          </w:tcPr>
          <w:p w:rsidR="00E92275" w:rsidRPr="00775120" w:rsidRDefault="00E92275" w:rsidP="00775120">
            <w:pPr>
              <w:pStyle w:val="Brdtekst"/>
            </w:pPr>
            <w:r w:rsidRPr="00775120">
              <w:t>§ 18</w:t>
            </w:r>
          </w:p>
        </w:tc>
        <w:tc>
          <w:tcPr>
            <w:tcW w:w="4951" w:type="dxa"/>
          </w:tcPr>
          <w:p w:rsidR="00E92275" w:rsidRPr="00775120" w:rsidRDefault="00E92275" w:rsidP="00775120">
            <w:pPr>
              <w:pStyle w:val="Brdtekst"/>
            </w:pPr>
            <w:r w:rsidRPr="00775120">
              <w:t>Ingen bemærkninger</w:t>
            </w:r>
          </w:p>
        </w:tc>
        <w:tc>
          <w:tcPr>
            <w:tcW w:w="3769" w:type="dxa"/>
          </w:tcPr>
          <w:p w:rsidR="00E92275" w:rsidRPr="00775120" w:rsidRDefault="00E92275" w:rsidP="00775120">
            <w:pPr>
              <w:pStyle w:val="Brdtekst"/>
            </w:pPr>
            <w:r w:rsidRPr="00775120">
              <w:t>Ingen</w:t>
            </w:r>
          </w:p>
        </w:tc>
      </w:tr>
      <w:tr w:rsidR="00E92275" w:rsidRPr="00775120" w:rsidTr="00021184">
        <w:tc>
          <w:tcPr>
            <w:tcW w:w="902" w:type="dxa"/>
          </w:tcPr>
          <w:p w:rsidR="00E92275" w:rsidRPr="00775120" w:rsidRDefault="00E92275" w:rsidP="00775120">
            <w:pPr>
              <w:pStyle w:val="Brdtekst"/>
            </w:pPr>
            <w:r w:rsidRPr="00775120">
              <w:t>§ 19</w:t>
            </w:r>
          </w:p>
        </w:tc>
        <w:tc>
          <w:tcPr>
            <w:tcW w:w="4951" w:type="dxa"/>
          </w:tcPr>
          <w:p w:rsidR="00E92275" w:rsidRPr="00775120" w:rsidRDefault="00E92275" w:rsidP="00775120">
            <w:pPr>
              <w:pStyle w:val="Brdtekst"/>
            </w:pPr>
            <w:r w:rsidRPr="00775120">
              <w:t>Ingen bemærkninger</w:t>
            </w:r>
          </w:p>
        </w:tc>
        <w:tc>
          <w:tcPr>
            <w:tcW w:w="3769" w:type="dxa"/>
          </w:tcPr>
          <w:p w:rsidR="00E92275" w:rsidRPr="00775120" w:rsidRDefault="00E92275" w:rsidP="00775120">
            <w:pPr>
              <w:pStyle w:val="Brdtekst"/>
            </w:pPr>
            <w:r w:rsidRPr="00775120">
              <w:t>Ingen</w:t>
            </w:r>
          </w:p>
        </w:tc>
      </w:tr>
      <w:tr w:rsidR="00E92275" w:rsidRPr="00775120" w:rsidTr="00021184">
        <w:tc>
          <w:tcPr>
            <w:tcW w:w="902" w:type="dxa"/>
          </w:tcPr>
          <w:p w:rsidR="00E92275" w:rsidRPr="00775120" w:rsidRDefault="00E92275" w:rsidP="00775120">
            <w:pPr>
              <w:pStyle w:val="Brdtekst"/>
            </w:pPr>
            <w:r w:rsidRPr="00775120">
              <w:t>§ 20</w:t>
            </w:r>
          </w:p>
        </w:tc>
        <w:tc>
          <w:tcPr>
            <w:tcW w:w="4951" w:type="dxa"/>
          </w:tcPr>
          <w:p w:rsidR="00E92275" w:rsidRPr="00775120" w:rsidRDefault="00E92275" w:rsidP="00775120">
            <w:pPr>
              <w:pStyle w:val="Brdtekst"/>
            </w:pPr>
            <w:r w:rsidRPr="00775120">
              <w:t>Ingen bemærkninger</w:t>
            </w:r>
          </w:p>
        </w:tc>
        <w:tc>
          <w:tcPr>
            <w:tcW w:w="3769" w:type="dxa"/>
          </w:tcPr>
          <w:p w:rsidR="00E92275" w:rsidRPr="00775120" w:rsidRDefault="00E92275" w:rsidP="00775120">
            <w:pPr>
              <w:pStyle w:val="Brdtekst"/>
            </w:pPr>
            <w:r w:rsidRPr="00775120">
              <w:t>Ingen</w:t>
            </w:r>
          </w:p>
        </w:tc>
      </w:tr>
      <w:tr w:rsidR="00E92275" w:rsidRPr="00775120" w:rsidTr="00021184">
        <w:tc>
          <w:tcPr>
            <w:tcW w:w="902" w:type="dxa"/>
          </w:tcPr>
          <w:p w:rsidR="00E92275" w:rsidRPr="00775120" w:rsidRDefault="00E92275" w:rsidP="00775120">
            <w:pPr>
              <w:pStyle w:val="Brdtekst"/>
            </w:pPr>
            <w:r w:rsidRPr="00775120">
              <w:t>§ 21</w:t>
            </w:r>
          </w:p>
        </w:tc>
        <w:tc>
          <w:tcPr>
            <w:tcW w:w="4951" w:type="dxa"/>
          </w:tcPr>
          <w:p w:rsidR="00E92275" w:rsidRPr="00775120" w:rsidRDefault="00E92275" w:rsidP="00775120">
            <w:pPr>
              <w:pStyle w:val="Brdtekst"/>
            </w:pPr>
            <w:r w:rsidRPr="00775120">
              <w:t>Ingen bemærkninger</w:t>
            </w:r>
          </w:p>
        </w:tc>
        <w:tc>
          <w:tcPr>
            <w:tcW w:w="3769" w:type="dxa"/>
          </w:tcPr>
          <w:p w:rsidR="00E92275"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22</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23</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24</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25</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26</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27</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28</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29</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30</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31</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32</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33</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34</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E92275" w:rsidP="00775120">
            <w:pPr>
              <w:pStyle w:val="Brdtekst"/>
            </w:pPr>
            <w:r w:rsidRPr="00775120">
              <w:t xml:space="preserve">§ </w:t>
            </w:r>
            <w:r w:rsidR="00E12892" w:rsidRPr="00775120">
              <w:t>35</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E92275" w:rsidP="00775120">
            <w:pPr>
              <w:pStyle w:val="Brdtekst"/>
            </w:pPr>
            <w:r w:rsidRPr="00775120">
              <w:t>Ingen</w:t>
            </w:r>
          </w:p>
        </w:tc>
      </w:tr>
      <w:tr w:rsidR="00021184" w:rsidRPr="00775120" w:rsidTr="00021184">
        <w:tc>
          <w:tcPr>
            <w:tcW w:w="902" w:type="dxa"/>
          </w:tcPr>
          <w:p w:rsidR="00E12892" w:rsidRPr="00775120" w:rsidRDefault="005E4426" w:rsidP="00775120">
            <w:pPr>
              <w:pStyle w:val="Brdtekst"/>
            </w:pPr>
            <w:r w:rsidRPr="00775120">
              <w:t xml:space="preserve">§ </w:t>
            </w:r>
            <w:r w:rsidR="00E12892" w:rsidRPr="00775120">
              <w:t xml:space="preserve">36 </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5E4426" w:rsidP="00775120">
            <w:pPr>
              <w:pStyle w:val="Brdtekst"/>
            </w:pPr>
            <w:r w:rsidRPr="00775120">
              <w:t>Ingen</w:t>
            </w:r>
          </w:p>
        </w:tc>
      </w:tr>
      <w:tr w:rsidR="00021184" w:rsidRPr="00775120" w:rsidTr="00021184">
        <w:tc>
          <w:tcPr>
            <w:tcW w:w="902" w:type="dxa"/>
          </w:tcPr>
          <w:p w:rsidR="00E12892" w:rsidRPr="00775120" w:rsidRDefault="005E4426" w:rsidP="00775120">
            <w:pPr>
              <w:pStyle w:val="Brdtekst"/>
            </w:pPr>
            <w:r w:rsidRPr="00775120">
              <w:t xml:space="preserve">§ </w:t>
            </w:r>
            <w:r w:rsidR="00E12892" w:rsidRPr="00775120">
              <w:t>37</w:t>
            </w:r>
          </w:p>
        </w:tc>
        <w:tc>
          <w:tcPr>
            <w:tcW w:w="4951" w:type="dxa"/>
          </w:tcPr>
          <w:p w:rsidR="005E4426" w:rsidRPr="00775120" w:rsidRDefault="005E4426" w:rsidP="00775120">
            <w:pPr>
              <w:pStyle w:val="Brdtekst"/>
            </w:pPr>
            <w:r w:rsidRPr="00775120">
              <w:t>Af hensyn til Trafik-, Bygge- og Boligstyrelsens legitimitet over</w:t>
            </w:r>
            <w:r w:rsidR="004A2B59" w:rsidRPr="00775120">
              <w:t>for</w:t>
            </w:r>
            <w:r w:rsidRPr="00775120">
              <w:t xml:space="preserve"> havne og havnefaciliteter bør der være</w:t>
            </w:r>
            <w:r w:rsidR="00E12892" w:rsidRPr="00775120">
              <w:t xml:space="preserve"> en klageadgang. </w:t>
            </w:r>
          </w:p>
          <w:p w:rsidR="00E12892" w:rsidRPr="00775120" w:rsidRDefault="005E4426" w:rsidP="00775120">
            <w:pPr>
              <w:pStyle w:val="Brdtekst"/>
            </w:pPr>
            <w:r w:rsidRPr="00775120">
              <w:t>Det</w:t>
            </w:r>
            <w:r w:rsidR="004A2B59" w:rsidRPr="00775120">
              <w:t xml:space="preserve"> virker</w:t>
            </w:r>
            <w:r w:rsidRPr="00775120">
              <w:t xml:space="preserve"> udemokratisk, hvis en styrelse i Danmark agerer så egenrådigt, at den ikke etablerer en klageadgang for sine arbitrære afgørelser.</w:t>
            </w:r>
          </w:p>
        </w:tc>
        <w:tc>
          <w:tcPr>
            <w:tcW w:w="3769" w:type="dxa"/>
          </w:tcPr>
          <w:p w:rsidR="00E12892" w:rsidRPr="00775120" w:rsidRDefault="005E4426" w:rsidP="00775120">
            <w:pPr>
              <w:pStyle w:val="Brdtekst"/>
            </w:pPr>
            <w:r w:rsidRPr="00775120">
              <w:t>Etabler en klageadgang.</w:t>
            </w:r>
          </w:p>
        </w:tc>
      </w:tr>
      <w:tr w:rsidR="00021184" w:rsidRPr="00775120" w:rsidTr="00021184">
        <w:tc>
          <w:tcPr>
            <w:tcW w:w="902" w:type="dxa"/>
          </w:tcPr>
          <w:p w:rsidR="00E12892" w:rsidRPr="00775120" w:rsidRDefault="005E4426" w:rsidP="00775120">
            <w:pPr>
              <w:pStyle w:val="Brdtekst"/>
            </w:pPr>
            <w:r w:rsidRPr="00775120">
              <w:t xml:space="preserve">§ </w:t>
            </w:r>
            <w:r w:rsidR="00E12892" w:rsidRPr="00775120">
              <w:t>38</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5E4426" w:rsidP="00775120">
            <w:pPr>
              <w:pStyle w:val="Brdtekst"/>
            </w:pPr>
            <w:r w:rsidRPr="00775120">
              <w:t>Ingen</w:t>
            </w:r>
          </w:p>
        </w:tc>
      </w:tr>
      <w:tr w:rsidR="00021184" w:rsidRPr="00775120" w:rsidTr="00021184">
        <w:tc>
          <w:tcPr>
            <w:tcW w:w="902" w:type="dxa"/>
          </w:tcPr>
          <w:p w:rsidR="00E12892" w:rsidRPr="00775120" w:rsidRDefault="005E4426" w:rsidP="00775120">
            <w:pPr>
              <w:pStyle w:val="Brdtekst"/>
            </w:pPr>
            <w:r w:rsidRPr="00775120">
              <w:t xml:space="preserve">§ </w:t>
            </w:r>
            <w:r w:rsidR="00E12892" w:rsidRPr="00775120">
              <w:t>39</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5E4426" w:rsidP="00775120">
            <w:pPr>
              <w:pStyle w:val="Brdtekst"/>
            </w:pPr>
            <w:r w:rsidRPr="00775120">
              <w:t>Ingen</w:t>
            </w:r>
          </w:p>
        </w:tc>
      </w:tr>
      <w:tr w:rsidR="00021184" w:rsidRPr="00775120" w:rsidTr="00021184">
        <w:tc>
          <w:tcPr>
            <w:tcW w:w="902" w:type="dxa"/>
          </w:tcPr>
          <w:p w:rsidR="00E12892" w:rsidRPr="00775120" w:rsidRDefault="005E4426" w:rsidP="00775120">
            <w:pPr>
              <w:pStyle w:val="Brdtekst"/>
            </w:pPr>
            <w:r w:rsidRPr="00775120">
              <w:t xml:space="preserve">§ </w:t>
            </w:r>
            <w:r w:rsidR="00E12892" w:rsidRPr="00775120">
              <w:t>40</w:t>
            </w:r>
          </w:p>
        </w:tc>
        <w:tc>
          <w:tcPr>
            <w:tcW w:w="4951" w:type="dxa"/>
          </w:tcPr>
          <w:p w:rsidR="00E12892" w:rsidRPr="00775120" w:rsidRDefault="00E12892" w:rsidP="00775120">
            <w:pPr>
              <w:pStyle w:val="Brdtekst"/>
            </w:pPr>
            <w:r w:rsidRPr="00775120">
              <w:t>Ingen bemærkninger</w:t>
            </w:r>
          </w:p>
        </w:tc>
        <w:tc>
          <w:tcPr>
            <w:tcW w:w="3769" w:type="dxa"/>
          </w:tcPr>
          <w:p w:rsidR="00E12892" w:rsidRPr="00775120" w:rsidRDefault="005E4426" w:rsidP="00775120">
            <w:pPr>
              <w:pStyle w:val="Brdtekst"/>
            </w:pPr>
            <w:r w:rsidRPr="00775120">
              <w:t>Ingen</w:t>
            </w:r>
          </w:p>
        </w:tc>
      </w:tr>
      <w:tr w:rsidR="00021184" w:rsidRPr="00775120" w:rsidTr="00021184">
        <w:tc>
          <w:tcPr>
            <w:tcW w:w="902" w:type="dxa"/>
          </w:tcPr>
          <w:p w:rsidR="00E12892" w:rsidRPr="00775120" w:rsidRDefault="005E4426" w:rsidP="00775120">
            <w:pPr>
              <w:pStyle w:val="Brdtekst"/>
            </w:pPr>
            <w:r w:rsidRPr="00775120">
              <w:t xml:space="preserve">§ </w:t>
            </w:r>
            <w:r w:rsidR="00E12892" w:rsidRPr="00775120">
              <w:t>41</w:t>
            </w:r>
          </w:p>
          <w:p w:rsidR="005E4426" w:rsidRPr="00775120" w:rsidRDefault="005E4426" w:rsidP="00775120">
            <w:pPr>
              <w:pStyle w:val="Brdtekst"/>
            </w:pPr>
            <w:r w:rsidRPr="00775120">
              <w:lastRenderedPageBreak/>
              <w:t>Stk. 2.</w:t>
            </w:r>
          </w:p>
        </w:tc>
        <w:tc>
          <w:tcPr>
            <w:tcW w:w="4951" w:type="dxa"/>
          </w:tcPr>
          <w:p w:rsidR="00E12892" w:rsidRPr="00775120" w:rsidRDefault="005E4426" w:rsidP="00775120">
            <w:pPr>
              <w:pStyle w:val="Brdtekst"/>
            </w:pPr>
            <w:r w:rsidRPr="00775120">
              <w:lastRenderedPageBreak/>
              <w:t xml:space="preserve">Der er lidt uklart. </w:t>
            </w:r>
            <w:r w:rsidR="00E12892" w:rsidRPr="00775120">
              <w:t xml:space="preserve"> </w:t>
            </w:r>
            <w:r w:rsidRPr="00775120">
              <w:t>H</w:t>
            </w:r>
            <w:r w:rsidR="00E12892" w:rsidRPr="00775120">
              <w:t xml:space="preserve">vis ViSikrer laver en </w:t>
            </w:r>
            <w:r w:rsidR="00E12892" w:rsidRPr="00775120">
              <w:lastRenderedPageBreak/>
              <w:t>sårbarhed</w:t>
            </w:r>
            <w:r w:rsidRPr="00775120">
              <w:t>s</w:t>
            </w:r>
            <w:r w:rsidR="00E12892" w:rsidRPr="00775120">
              <w:t xml:space="preserve">vurdering, som indsendt </w:t>
            </w:r>
            <w:r w:rsidRPr="00775120">
              <w:t xml:space="preserve">til TBST </w:t>
            </w:r>
            <w:r w:rsidR="00E12892" w:rsidRPr="00775120">
              <w:t xml:space="preserve">den 1. februar 2021, men som </w:t>
            </w:r>
            <w:r w:rsidRPr="00775120">
              <w:t>TBST</w:t>
            </w:r>
            <w:r w:rsidR="00E12892" w:rsidRPr="00775120">
              <w:t xml:space="preserve"> ikke har godkendt den 31. marts 2021?</w:t>
            </w:r>
          </w:p>
        </w:tc>
        <w:tc>
          <w:tcPr>
            <w:tcW w:w="3769" w:type="dxa"/>
          </w:tcPr>
          <w:p w:rsidR="00E12892" w:rsidRPr="00775120" w:rsidRDefault="005E4426" w:rsidP="00775120">
            <w:pPr>
              <w:pStyle w:val="Brdtekst"/>
            </w:pPr>
            <w:r w:rsidRPr="00775120">
              <w:lastRenderedPageBreak/>
              <w:t>Klarificér</w:t>
            </w:r>
          </w:p>
        </w:tc>
      </w:tr>
    </w:tbl>
    <w:p w:rsidR="00E921D0" w:rsidRPr="009D12A7" w:rsidRDefault="00E921D0" w:rsidP="00E921D0">
      <w:pPr>
        <w:pStyle w:val="Overskrift1"/>
      </w:pPr>
      <w:r>
        <w:t>Bemærkninger til vejledningen ”</w:t>
      </w:r>
      <w:r w:rsidRPr="009D12A7">
        <w:t xml:space="preserve">Godkendelse af </w:t>
      </w:r>
      <w:r>
        <w:t>a</w:t>
      </w:r>
      <w:r w:rsidRPr="009D12A7">
        <w:t>nerkendte sikringsorganisationer</w:t>
      </w:r>
      <w:r>
        <w:t>”</w:t>
      </w:r>
    </w:p>
    <w:tbl>
      <w:tblPr>
        <w:tblStyle w:val="Tabel-Gitter"/>
        <w:tblW w:w="0" w:type="auto"/>
        <w:tblLook w:val="04A0" w:firstRow="1" w:lastRow="0" w:firstColumn="1" w:lastColumn="0" w:noHBand="0" w:noVBand="1"/>
      </w:tblPr>
      <w:tblGrid>
        <w:gridCol w:w="902"/>
        <w:gridCol w:w="4951"/>
        <w:gridCol w:w="3769"/>
      </w:tblGrid>
      <w:tr w:rsidR="00E921D0" w:rsidRPr="00775120" w:rsidTr="00E62D23">
        <w:trPr>
          <w:tblHeader/>
        </w:trPr>
        <w:tc>
          <w:tcPr>
            <w:tcW w:w="902" w:type="dxa"/>
            <w:shd w:val="clear" w:color="auto" w:fill="DBDBDB" w:themeFill="accent3" w:themeFillTint="66"/>
          </w:tcPr>
          <w:p w:rsidR="00E921D0" w:rsidRPr="00775120" w:rsidRDefault="00E921D0" w:rsidP="00775120">
            <w:pPr>
              <w:pStyle w:val="Brdtekst"/>
            </w:pPr>
            <w:r w:rsidRPr="00775120">
              <w:t>Punkt</w:t>
            </w:r>
          </w:p>
        </w:tc>
        <w:tc>
          <w:tcPr>
            <w:tcW w:w="4951" w:type="dxa"/>
            <w:shd w:val="clear" w:color="auto" w:fill="DBDBDB" w:themeFill="accent3" w:themeFillTint="66"/>
          </w:tcPr>
          <w:p w:rsidR="00E921D0" w:rsidRPr="00775120" w:rsidRDefault="00E921D0" w:rsidP="00775120">
            <w:pPr>
              <w:pStyle w:val="Brdtekst"/>
            </w:pPr>
            <w:r w:rsidRPr="00775120">
              <w:t>Diskussion</w:t>
            </w:r>
          </w:p>
        </w:tc>
        <w:tc>
          <w:tcPr>
            <w:tcW w:w="3769" w:type="dxa"/>
            <w:shd w:val="clear" w:color="auto" w:fill="DBDBDB" w:themeFill="accent3" w:themeFillTint="66"/>
          </w:tcPr>
          <w:p w:rsidR="00E921D0" w:rsidRPr="00775120" w:rsidRDefault="00E921D0" w:rsidP="00775120">
            <w:pPr>
              <w:pStyle w:val="Brdtekst"/>
            </w:pPr>
            <w:r w:rsidRPr="00775120">
              <w:t>Forslag</w:t>
            </w:r>
          </w:p>
        </w:tc>
      </w:tr>
      <w:tr w:rsidR="00E921D0" w:rsidRPr="00775120" w:rsidTr="00E921D0">
        <w:trPr>
          <w:tblHeader/>
        </w:trPr>
        <w:tc>
          <w:tcPr>
            <w:tcW w:w="902" w:type="dxa"/>
            <w:shd w:val="clear" w:color="auto" w:fill="auto"/>
          </w:tcPr>
          <w:p w:rsidR="00E921D0" w:rsidRPr="00775120" w:rsidRDefault="00E921D0" w:rsidP="00775120">
            <w:pPr>
              <w:pStyle w:val="Brdtekst"/>
              <w:jc w:val="center"/>
            </w:pPr>
            <w:r w:rsidRPr="00775120">
              <w:t>1</w:t>
            </w:r>
          </w:p>
        </w:tc>
        <w:tc>
          <w:tcPr>
            <w:tcW w:w="4951" w:type="dxa"/>
            <w:shd w:val="clear" w:color="auto" w:fill="auto"/>
          </w:tcPr>
          <w:p w:rsidR="00E921D0" w:rsidRPr="00775120" w:rsidRDefault="00E921D0" w:rsidP="00775120">
            <w:pPr>
              <w:pStyle w:val="Brdtekst"/>
            </w:pPr>
            <w:r w:rsidRPr="00775120">
              <w:t>Ingen bemærkninger</w:t>
            </w:r>
          </w:p>
        </w:tc>
        <w:tc>
          <w:tcPr>
            <w:tcW w:w="3769" w:type="dxa"/>
            <w:shd w:val="clear" w:color="auto" w:fill="auto"/>
          </w:tcPr>
          <w:p w:rsidR="00E921D0" w:rsidRPr="00775120" w:rsidRDefault="00E921D0" w:rsidP="00775120">
            <w:pPr>
              <w:pStyle w:val="Brdtekst"/>
            </w:pPr>
            <w:r w:rsidRPr="00775120">
              <w:t>Ingen</w:t>
            </w:r>
          </w:p>
        </w:tc>
      </w:tr>
      <w:tr w:rsidR="00E921D0" w:rsidRPr="00775120" w:rsidTr="00E921D0">
        <w:trPr>
          <w:tblHeader/>
        </w:trPr>
        <w:tc>
          <w:tcPr>
            <w:tcW w:w="902" w:type="dxa"/>
            <w:shd w:val="clear" w:color="auto" w:fill="auto"/>
          </w:tcPr>
          <w:p w:rsidR="00E921D0" w:rsidRPr="00775120" w:rsidRDefault="00E921D0" w:rsidP="00775120">
            <w:pPr>
              <w:pStyle w:val="Brdtekst"/>
              <w:jc w:val="center"/>
            </w:pPr>
            <w:r w:rsidRPr="00775120">
              <w:t>2</w:t>
            </w:r>
          </w:p>
        </w:tc>
        <w:tc>
          <w:tcPr>
            <w:tcW w:w="4951" w:type="dxa"/>
            <w:shd w:val="clear" w:color="auto" w:fill="auto"/>
          </w:tcPr>
          <w:p w:rsidR="00E921D0" w:rsidRPr="00775120" w:rsidRDefault="00E921D0" w:rsidP="00775120">
            <w:pPr>
              <w:pStyle w:val="Brdtekst"/>
            </w:pPr>
            <w:r w:rsidRPr="00775120">
              <w:t>”Personale, der er involveret i udarbejdelsen af sårbarhedsvurderinger, skal desuden have de påkrævede kvalifikationer og være sikkerhedsgodkendt til ”FORTROLIGT”.”</w:t>
            </w:r>
          </w:p>
          <w:p w:rsidR="00E921D0" w:rsidRPr="00775120" w:rsidRDefault="00E921D0" w:rsidP="00775120">
            <w:pPr>
              <w:pStyle w:val="Brdtekst"/>
            </w:pPr>
            <w:r w:rsidRPr="00775120">
              <w:t>Vejledningen refererer flere gange til erfaring fra militær eller politi.</w:t>
            </w:r>
            <w:r w:rsidR="007E2D20" w:rsidRPr="00775120">
              <w:t xml:space="preserve"> I dette punkt fremgår det derimod ikke i hvilken udstrækning en gældende sikkerhedsgodkendelse til f.eks. ”HEMMELIG” </w:t>
            </w:r>
            <w:r w:rsidR="00E83D31">
              <w:t xml:space="preserve">gennem forsvar eller politi </w:t>
            </w:r>
            <w:r w:rsidR="007E2D20" w:rsidRPr="00775120">
              <w:t>kan erstatte TBST godkendelse.</w:t>
            </w:r>
          </w:p>
        </w:tc>
        <w:tc>
          <w:tcPr>
            <w:tcW w:w="3769" w:type="dxa"/>
            <w:shd w:val="clear" w:color="auto" w:fill="auto"/>
          </w:tcPr>
          <w:p w:rsidR="00E921D0" w:rsidRPr="00775120" w:rsidRDefault="007E2D20" w:rsidP="00775120">
            <w:pPr>
              <w:pStyle w:val="Brdtekst"/>
            </w:pPr>
            <w:r w:rsidRPr="00775120">
              <w:t>Beskriv andre sikkerhedsgodkendelser.</w:t>
            </w:r>
          </w:p>
        </w:tc>
      </w:tr>
      <w:tr w:rsidR="00E921D0" w:rsidRPr="00775120" w:rsidTr="00E921D0">
        <w:trPr>
          <w:tblHeader/>
        </w:trPr>
        <w:tc>
          <w:tcPr>
            <w:tcW w:w="902" w:type="dxa"/>
            <w:shd w:val="clear" w:color="auto" w:fill="auto"/>
          </w:tcPr>
          <w:p w:rsidR="00E921D0" w:rsidRPr="00775120" w:rsidRDefault="007E2D20" w:rsidP="00775120">
            <w:pPr>
              <w:pStyle w:val="Brdtekst"/>
              <w:jc w:val="center"/>
            </w:pPr>
            <w:r w:rsidRPr="00775120">
              <w:t>3</w:t>
            </w:r>
          </w:p>
        </w:tc>
        <w:tc>
          <w:tcPr>
            <w:tcW w:w="4951" w:type="dxa"/>
            <w:shd w:val="clear" w:color="auto" w:fill="auto"/>
          </w:tcPr>
          <w:p w:rsidR="00E921D0" w:rsidRPr="00775120" w:rsidRDefault="007E2D20" w:rsidP="00775120">
            <w:pPr>
              <w:pStyle w:val="Brdtekst"/>
            </w:pPr>
            <w:r w:rsidRPr="00775120">
              <w:t>Ingen bemærkninger</w:t>
            </w:r>
          </w:p>
        </w:tc>
        <w:tc>
          <w:tcPr>
            <w:tcW w:w="3769" w:type="dxa"/>
            <w:shd w:val="clear" w:color="auto" w:fill="auto"/>
          </w:tcPr>
          <w:p w:rsidR="00E921D0" w:rsidRPr="00775120" w:rsidRDefault="007E2D20" w:rsidP="00775120">
            <w:pPr>
              <w:pStyle w:val="Brdtekst"/>
            </w:pPr>
            <w:r w:rsidRPr="00775120">
              <w:t>Ingen</w:t>
            </w:r>
          </w:p>
        </w:tc>
      </w:tr>
      <w:tr w:rsidR="00E921D0" w:rsidRPr="00775120" w:rsidTr="00E921D0">
        <w:trPr>
          <w:tblHeader/>
        </w:trPr>
        <w:tc>
          <w:tcPr>
            <w:tcW w:w="902" w:type="dxa"/>
            <w:shd w:val="clear" w:color="auto" w:fill="auto"/>
          </w:tcPr>
          <w:p w:rsidR="00E921D0" w:rsidRPr="00775120" w:rsidRDefault="007E2D20" w:rsidP="00775120">
            <w:pPr>
              <w:pStyle w:val="Brdtekst"/>
              <w:jc w:val="center"/>
            </w:pPr>
            <w:r w:rsidRPr="00775120">
              <w:t>4</w:t>
            </w:r>
          </w:p>
        </w:tc>
        <w:tc>
          <w:tcPr>
            <w:tcW w:w="4951" w:type="dxa"/>
            <w:shd w:val="clear" w:color="auto" w:fill="auto"/>
          </w:tcPr>
          <w:p w:rsidR="00E921D0" w:rsidRPr="00775120" w:rsidRDefault="001A1AFC" w:rsidP="00775120">
            <w:pPr>
              <w:pStyle w:val="Brdtekst"/>
            </w:pPr>
            <w:r>
              <w:t>Ingen bemærkninger</w:t>
            </w:r>
          </w:p>
        </w:tc>
        <w:tc>
          <w:tcPr>
            <w:tcW w:w="3769" w:type="dxa"/>
            <w:shd w:val="clear" w:color="auto" w:fill="auto"/>
          </w:tcPr>
          <w:p w:rsidR="00E921D0" w:rsidRPr="00775120" w:rsidRDefault="001A1AFC" w:rsidP="00775120">
            <w:pPr>
              <w:pStyle w:val="Brdtekst"/>
            </w:pPr>
            <w:r>
              <w:t>Ingen</w:t>
            </w:r>
          </w:p>
        </w:tc>
      </w:tr>
    </w:tbl>
    <w:p w:rsidR="003625DD" w:rsidRDefault="003625DD" w:rsidP="001000B1"/>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tblGrid>
      <w:tr w:rsidR="00571B20" w:rsidRPr="00A010BB" w:rsidTr="003F5810">
        <w:tc>
          <w:tcPr>
            <w:tcW w:w="2407" w:type="dxa"/>
          </w:tcPr>
          <w:p w:rsidR="00571B20" w:rsidRPr="00A010BB" w:rsidRDefault="00571B20" w:rsidP="003F5810">
            <w:pPr>
              <w:spacing w:beforeLines="60" w:before="144" w:afterLines="60" w:after="144"/>
              <w:rPr>
                <w:rFonts w:eastAsiaTheme="majorEastAsia" w:cstheme="minorHAnsi"/>
                <w:bCs/>
              </w:rPr>
            </w:pPr>
            <w:r w:rsidRPr="00A010BB">
              <w:rPr>
                <w:rFonts w:eastAsiaTheme="majorEastAsia" w:cstheme="minorHAnsi"/>
                <w:bCs/>
              </w:rPr>
              <w:t>Partner</w:t>
            </w:r>
          </w:p>
        </w:tc>
        <w:tc>
          <w:tcPr>
            <w:tcW w:w="2407" w:type="dxa"/>
          </w:tcPr>
          <w:p w:rsidR="00571B20" w:rsidRPr="00A010BB" w:rsidRDefault="00571B20" w:rsidP="003F5810">
            <w:pPr>
              <w:spacing w:beforeLines="60" w:before="144" w:afterLines="60" w:after="144"/>
              <w:rPr>
                <w:rFonts w:eastAsiaTheme="majorEastAsia" w:cstheme="minorHAnsi"/>
                <w:bCs/>
              </w:rPr>
            </w:pPr>
            <w:r w:rsidRPr="00A010BB">
              <w:rPr>
                <w:rFonts w:eastAsiaTheme="majorEastAsia" w:cstheme="minorHAnsi"/>
                <w:bCs/>
              </w:rPr>
              <w:t>Dato</w:t>
            </w:r>
          </w:p>
        </w:tc>
      </w:tr>
      <w:tr w:rsidR="00571B20" w:rsidRPr="00A010BB" w:rsidTr="003F5810">
        <w:tc>
          <w:tcPr>
            <w:tcW w:w="2407" w:type="dxa"/>
          </w:tcPr>
          <w:p w:rsidR="00571B20" w:rsidRPr="00A010BB" w:rsidRDefault="00571B20" w:rsidP="003F5810">
            <w:pPr>
              <w:spacing w:beforeLines="60" w:before="144" w:afterLines="60" w:after="144"/>
              <w:rPr>
                <w:rFonts w:eastAsiaTheme="majorEastAsia" w:cstheme="minorHAnsi"/>
                <w:bCs/>
              </w:rPr>
            </w:pPr>
            <w:r w:rsidRPr="00815AA7">
              <w:rPr>
                <w:rFonts w:eastAsiaTheme="majorEastAsia" w:cstheme="minorHAnsi"/>
                <w:bCs/>
              </w:rPr>
              <w:t>Eigil Schjønning</w:t>
            </w:r>
          </w:p>
        </w:tc>
        <w:tc>
          <w:tcPr>
            <w:tcW w:w="2407" w:type="dxa"/>
          </w:tcPr>
          <w:p w:rsidR="00571B20" w:rsidRPr="00A010BB" w:rsidRDefault="00571B20" w:rsidP="003F5810">
            <w:pPr>
              <w:spacing w:beforeLines="60" w:before="144" w:afterLines="60" w:after="144"/>
              <w:rPr>
                <w:rFonts w:eastAsiaTheme="majorEastAsia" w:cstheme="minorHAnsi"/>
                <w:bCs/>
              </w:rPr>
            </w:pPr>
            <w:r>
              <w:rPr>
                <w:rFonts w:eastAsiaTheme="majorEastAsia" w:cstheme="minorHAnsi"/>
                <w:bCs/>
              </w:rPr>
              <w:t>26. juli 2020</w:t>
            </w:r>
          </w:p>
        </w:tc>
      </w:tr>
      <w:tr w:rsidR="00571B20" w:rsidRPr="00A010BB" w:rsidTr="003F5810">
        <w:tc>
          <w:tcPr>
            <w:tcW w:w="2407" w:type="dxa"/>
          </w:tcPr>
          <w:p w:rsidR="00571B20" w:rsidRPr="00A010BB" w:rsidRDefault="00571B20" w:rsidP="003F5810">
            <w:pPr>
              <w:spacing w:beforeLines="60" w:before="144" w:afterLines="60" w:after="144"/>
              <w:rPr>
                <w:rFonts w:eastAsiaTheme="majorEastAsia" w:cstheme="minorHAnsi"/>
                <w:bCs/>
              </w:rPr>
            </w:pPr>
            <w:r w:rsidRPr="00A010BB">
              <w:rPr>
                <w:rFonts w:eastAsiaTheme="majorEastAsia" w:cstheme="minorHAnsi"/>
                <w:bCs/>
              </w:rPr>
              <w:t>Underskrift:</w:t>
            </w:r>
          </w:p>
        </w:tc>
        <w:tc>
          <w:tcPr>
            <w:tcW w:w="2407" w:type="dxa"/>
          </w:tcPr>
          <w:p w:rsidR="00571B20" w:rsidRPr="00A010BB" w:rsidRDefault="00571B20" w:rsidP="003F5810">
            <w:pPr>
              <w:spacing w:beforeLines="60" w:before="144" w:afterLines="60" w:after="144"/>
              <w:rPr>
                <w:rFonts w:eastAsiaTheme="majorEastAsia" w:cstheme="minorHAnsi"/>
                <w:bCs/>
              </w:rPr>
            </w:pPr>
            <w:r w:rsidRPr="00C22142">
              <w:rPr>
                <w:b/>
                <w:bCs/>
                <w:noProof/>
                <w:lang w:eastAsia="da-DK"/>
              </w:rPr>
              <w:drawing>
                <wp:inline distT="0" distB="0" distL="0" distR="0" wp14:anchorId="7787024F" wp14:editId="1170799A">
                  <wp:extent cx="965140" cy="551815"/>
                  <wp:effectExtent l="0" t="0" r="63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7210" cy="575868"/>
                          </a:xfrm>
                          <a:prstGeom prst="rect">
                            <a:avLst/>
                          </a:prstGeom>
                        </pic:spPr>
                      </pic:pic>
                    </a:graphicData>
                  </a:graphic>
                </wp:inline>
              </w:drawing>
            </w:r>
          </w:p>
        </w:tc>
      </w:tr>
    </w:tbl>
    <w:p w:rsidR="00571B20" w:rsidRPr="00377004" w:rsidRDefault="00571B20" w:rsidP="001000B1"/>
    <w:sectPr w:rsidR="00571B20" w:rsidRPr="00377004" w:rsidSect="005708E8">
      <w:headerReference w:type="default" r:id="rId8"/>
      <w:footerReference w:type="even"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7D53" w:rsidRDefault="006F7D53" w:rsidP="006851F9">
      <w:r>
        <w:separator/>
      </w:r>
    </w:p>
  </w:endnote>
  <w:endnote w:type="continuationSeparator" w:id="0">
    <w:p w:rsidR="006F7D53" w:rsidRDefault="006F7D53" w:rsidP="0068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Overskrifter C">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1721397629"/>
      <w:docPartObj>
        <w:docPartGallery w:val="Page Numbers (Bottom of Page)"/>
        <w:docPartUnique/>
      </w:docPartObj>
    </w:sdtPr>
    <w:sdtEndPr>
      <w:rPr>
        <w:rStyle w:val="Sidetal"/>
      </w:rPr>
    </w:sdtEndPr>
    <w:sdtContent>
      <w:p w:rsidR="006851F9" w:rsidRDefault="006851F9" w:rsidP="00521A5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6851F9" w:rsidRDefault="006851F9" w:rsidP="006851F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51F9" w:rsidRPr="001A1AFC" w:rsidRDefault="006851F9" w:rsidP="00521A50">
    <w:pPr>
      <w:pStyle w:val="Sidefod"/>
      <w:framePr w:wrap="none" w:vAnchor="text" w:hAnchor="margin" w:xAlign="right" w:y="1"/>
      <w:rPr>
        <w:rStyle w:val="Sidetal"/>
        <w:rFonts w:cstheme="minorHAnsi"/>
      </w:rPr>
    </w:pPr>
  </w:p>
  <w:p w:rsidR="006851F9" w:rsidRDefault="006851F9" w:rsidP="006851F9">
    <w:pPr>
      <w:pStyle w:val="Sidefod"/>
      <w:ind w:right="360"/>
    </w:pPr>
    <w:r w:rsidRPr="001A1AFC">
      <w:rPr>
        <w:rFonts w:cstheme="minorHAnsi"/>
      </w:rPr>
      <w:t>Version 2006</w:t>
    </w:r>
    <w:r w:rsidR="006D169A" w:rsidRPr="001A1AFC">
      <w:rPr>
        <w:rFonts w:cstheme="minorHAnsi"/>
      </w:rPr>
      <w:t>2</w:t>
    </w:r>
    <w:r w:rsidR="00E83D31">
      <w:rPr>
        <w:rFonts w:cstheme="minorHAnsi"/>
      </w:rPr>
      <w:t>8</w:t>
    </w:r>
    <w:r w:rsidR="001A1AFC" w:rsidRPr="001A1AFC">
      <w:rPr>
        <w:rFonts w:cstheme="minorHAnsi"/>
      </w:rPr>
      <w:tab/>
    </w:r>
    <w:r w:rsidR="001A1AFC" w:rsidRPr="001A1AFC">
      <w:rPr>
        <w:rFonts w:cstheme="minorHAnsi"/>
      </w:rPr>
      <w:tab/>
      <w:t xml:space="preserve">Side </w:t>
    </w:r>
    <w:r w:rsidR="001A1AFC" w:rsidRPr="001A1AFC">
      <w:rPr>
        <w:rFonts w:cstheme="minorHAnsi"/>
      </w:rPr>
      <w:fldChar w:fldCharType="begin"/>
    </w:r>
    <w:r w:rsidR="001A1AFC" w:rsidRPr="001A1AFC">
      <w:rPr>
        <w:rFonts w:cstheme="minorHAnsi"/>
      </w:rPr>
      <w:instrText xml:space="preserve"> PAGE </w:instrText>
    </w:r>
    <w:r w:rsidR="001A1AFC" w:rsidRPr="001A1AFC">
      <w:rPr>
        <w:rFonts w:cstheme="minorHAnsi"/>
      </w:rPr>
      <w:fldChar w:fldCharType="separate"/>
    </w:r>
    <w:r w:rsidR="001A1AFC" w:rsidRPr="001A1AFC">
      <w:rPr>
        <w:rFonts w:cstheme="minorHAnsi"/>
        <w:noProof/>
      </w:rPr>
      <w:t>1</w:t>
    </w:r>
    <w:r w:rsidR="001A1AFC" w:rsidRPr="001A1AFC">
      <w:rPr>
        <w:rFonts w:cstheme="minorHAnsi"/>
      </w:rPr>
      <w:fldChar w:fldCharType="end"/>
    </w:r>
    <w:r w:rsidR="001A1AFC" w:rsidRPr="001A1AFC">
      <w:rPr>
        <w:rFonts w:cstheme="minorHAnsi"/>
      </w:rPr>
      <w:t xml:space="preserve"> af </w:t>
    </w:r>
    <w:r w:rsidR="001A1AFC" w:rsidRPr="001A1AFC">
      <w:rPr>
        <w:rFonts w:cstheme="minorHAnsi"/>
      </w:rPr>
      <w:fldChar w:fldCharType="begin"/>
    </w:r>
    <w:r w:rsidR="001A1AFC" w:rsidRPr="001A1AFC">
      <w:rPr>
        <w:rFonts w:cstheme="minorHAnsi"/>
      </w:rPr>
      <w:instrText xml:space="preserve"> NUMPAGES </w:instrText>
    </w:r>
    <w:r w:rsidR="001A1AFC" w:rsidRPr="001A1AFC">
      <w:rPr>
        <w:rFonts w:cstheme="minorHAnsi"/>
      </w:rPr>
      <w:fldChar w:fldCharType="separate"/>
    </w:r>
    <w:r w:rsidR="001A1AFC" w:rsidRPr="001A1AFC">
      <w:rPr>
        <w:rFonts w:cstheme="minorHAnsi"/>
        <w:noProof/>
      </w:rPr>
      <w:t>7</w:t>
    </w:r>
    <w:r w:rsidR="001A1AFC" w:rsidRPr="001A1AFC">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7D53" w:rsidRDefault="006F7D53" w:rsidP="006851F9">
      <w:r>
        <w:separator/>
      </w:r>
    </w:p>
  </w:footnote>
  <w:footnote w:type="continuationSeparator" w:id="0">
    <w:p w:rsidR="006F7D53" w:rsidRDefault="006F7D53" w:rsidP="0068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3D31" w:rsidRDefault="00E83D31">
    <w:pPr>
      <w:pStyle w:val="Sidehoved"/>
    </w:pPr>
    <w:r w:rsidRPr="00E83D31">
      <w:drawing>
        <wp:inline distT="0" distB="0" distL="0" distR="0" wp14:anchorId="7BA35DB8" wp14:editId="0F23BA5A">
          <wp:extent cx="1402291" cy="365125"/>
          <wp:effectExtent l="0" t="0" r="0" b="3175"/>
          <wp:docPr id="1" name="Billede 3">
            <a:extLst xmlns:a="http://schemas.openxmlformats.org/drawingml/2006/main">
              <a:ext uri="{FF2B5EF4-FFF2-40B4-BE49-F238E27FC236}">
                <a16:creationId xmlns:a16="http://schemas.microsoft.com/office/drawing/2014/main" id="{46BBEAD1-D3CC-AD48-A7BF-28D1B6EC88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a:extLst>
                      <a:ext uri="{FF2B5EF4-FFF2-40B4-BE49-F238E27FC236}">
                        <a16:creationId xmlns:a16="http://schemas.microsoft.com/office/drawing/2014/main" id="{46BBEAD1-D3CC-AD48-A7BF-28D1B6EC88F8}"/>
                      </a:ext>
                    </a:extLst>
                  </pic:cNvPr>
                  <pic:cNvPicPr>
                    <a:picLocks noChangeAspect="1"/>
                  </pic:cNvPicPr>
                </pic:nvPicPr>
                <pic:blipFill>
                  <a:blip r:embed="rId1"/>
                  <a:stretch>
                    <a:fillRect/>
                  </a:stretch>
                </pic:blipFill>
                <pic:spPr>
                  <a:xfrm>
                    <a:off x="0" y="0"/>
                    <a:ext cx="1402291" cy="365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DA2"/>
    <w:multiLevelType w:val="multilevel"/>
    <w:tmpl w:val="16BC7DAE"/>
    <w:lvl w:ilvl="0">
      <w:start w:val="1"/>
      <w:numFmt w:val="decimal"/>
      <w:lvlText w:val="%1"/>
      <w:lvlJc w:val="left"/>
      <w:pPr>
        <w:ind w:left="432" w:hanging="432"/>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A162AD4"/>
    <w:multiLevelType w:val="multilevel"/>
    <w:tmpl w:val="C3EA8F56"/>
    <w:lvl w:ilvl="0">
      <w:start w:val="1"/>
      <w:numFmt w:val="decimal"/>
      <w:lvlText w:val="%1"/>
      <w:lvlJc w:val="left"/>
      <w:pPr>
        <w:ind w:left="0" w:firstLine="0"/>
      </w:pPr>
      <w:rPr>
        <w:rFonts w:asciiTheme="minorHAnsi" w:hAnsiTheme="minorHAnsi" w:hint="default"/>
        <w:b w:val="0"/>
        <w:i w:val="0"/>
        <w:sz w:val="32"/>
      </w:rPr>
    </w:lvl>
    <w:lvl w:ilvl="1">
      <w:start w:val="1"/>
      <w:numFmt w:val="decimal"/>
      <w:lvlText w:val="%1.%2"/>
      <w:lvlJc w:val="left"/>
      <w:pPr>
        <w:tabs>
          <w:tab w:val="num" w:pos="851"/>
        </w:tabs>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B219F5"/>
    <w:multiLevelType w:val="hybridMultilevel"/>
    <w:tmpl w:val="F9ACC7F8"/>
    <w:lvl w:ilvl="0" w:tplc="DD5A539A">
      <w:start w:val="1"/>
      <w:numFmt w:val="bullet"/>
      <w:lvlText w:val=""/>
      <w:lvlJc w:val="left"/>
      <w:pPr>
        <w:ind w:left="567" w:hanging="283"/>
      </w:pPr>
      <w:rPr>
        <w:rFonts w:ascii="Symbol" w:hAnsi="Symbol" w:hint="default"/>
        <w:color w:val="auto"/>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E443D5"/>
    <w:multiLevelType w:val="hybridMultilevel"/>
    <w:tmpl w:val="E844FD78"/>
    <w:lvl w:ilvl="0" w:tplc="DD5A539A">
      <w:start w:val="1"/>
      <w:numFmt w:val="bullet"/>
      <w:lvlText w:val=""/>
      <w:lvlJc w:val="left"/>
      <w:pPr>
        <w:ind w:left="567" w:hanging="283"/>
      </w:pPr>
      <w:rPr>
        <w:rFonts w:ascii="Symbol" w:hAnsi="Symbol" w:hint="default"/>
        <w:color w:val="auto"/>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6954EE"/>
    <w:multiLevelType w:val="multilevel"/>
    <w:tmpl w:val="946A2F7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2%1..%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134010"/>
    <w:multiLevelType w:val="multilevel"/>
    <w:tmpl w:val="E5E65B9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CD84872"/>
    <w:multiLevelType w:val="multilevel"/>
    <w:tmpl w:val="0624F7B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87431E"/>
    <w:multiLevelType w:val="multilevel"/>
    <w:tmpl w:val="22E6143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B41EFB"/>
    <w:multiLevelType w:val="multilevel"/>
    <w:tmpl w:val="95C8B3AE"/>
    <w:lvl w:ilvl="0">
      <w:start w:val="5"/>
      <w:numFmt w:val="decimal"/>
      <w:lvlText w:val="%1"/>
      <w:lvlJc w:val="left"/>
      <w:pPr>
        <w:ind w:left="360" w:hanging="360"/>
      </w:pPr>
      <w:rPr>
        <w:rFonts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987EE0"/>
    <w:multiLevelType w:val="multilevel"/>
    <w:tmpl w:val="80666602"/>
    <w:lvl w:ilvl="0">
      <w:start w:val="1"/>
      <w:numFmt w:val="decimal"/>
      <w:lvlText w:val="%1."/>
      <w:lvlJc w:val="left"/>
      <w:pPr>
        <w:tabs>
          <w:tab w:val="num" w:pos="567"/>
        </w:tabs>
        <w:ind w:left="0" w:firstLine="0"/>
      </w:pPr>
      <w:rPr>
        <w:rFonts w:hint="default"/>
      </w:rPr>
    </w:lvl>
    <w:lvl w:ilvl="1">
      <w:start w:val="1"/>
      <w:numFmt w:val="decimal"/>
      <w:pStyle w:val="Overskrift2"/>
      <w:lvlText w:val="%1.%2."/>
      <w:lvlJc w:val="left"/>
      <w:pPr>
        <w:tabs>
          <w:tab w:val="num" w:pos="567"/>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34753713"/>
    <w:multiLevelType w:val="multilevel"/>
    <w:tmpl w:val="D4880D42"/>
    <w:lvl w:ilvl="0">
      <w:start w:val="1"/>
      <w:numFmt w:val="decimal"/>
      <w:lvlText w:val="%1."/>
      <w:lvlJc w:val="left"/>
      <w:pPr>
        <w:tabs>
          <w:tab w:val="num" w:pos="567"/>
        </w:tabs>
        <w:ind w:left="0" w:firstLine="0"/>
      </w:pPr>
      <w:rPr>
        <w:rFonts w:hint="default"/>
      </w:rPr>
    </w:lvl>
    <w:lvl w:ilvl="1">
      <w:start w:val="1"/>
      <w:numFmt w:val="decima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67"/>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494982"/>
    <w:multiLevelType w:val="hybridMultilevel"/>
    <w:tmpl w:val="404862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AC85754"/>
    <w:multiLevelType w:val="multilevel"/>
    <w:tmpl w:val="E972416A"/>
    <w:lvl w:ilvl="0">
      <w:start w:val="1"/>
      <w:numFmt w:val="decimal"/>
      <w:pStyle w:val="Overskrift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D91C34"/>
    <w:multiLevelType w:val="hybridMultilevel"/>
    <w:tmpl w:val="DBFE3FB2"/>
    <w:lvl w:ilvl="0" w:tplc="DD5A539A">
      <w:start w:val="1"/>
      <w:numFmt w:val="bullet"/>
      <w:lvlText w:val=""/>
      <w:lvlJc w:val="left"/>
      <w:pPr>
        <w:ind w:left="567" w:hanging="283"/>
      </w:pPr>
      <w:rPr>
        <w:rFonts w:ascii="Symbol" w:hAnsi="Symbol" w:hint="default"/>
        <w:color w:val="auto"/>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D200761"/>
    <w:multiLevelType w:val="multilevel"/>
    <w:tmpl w:val="83444E9A"/>
    <w:lvl w:ilvl="0">
      <w:start w:val="1"/>
      <w:numFmt w:val="decimal"/>
      <w:lvlText w:val="%1"/>
      <w:lvlJc w:val="left"/>
      <w:pPr>
        <w:ind w:left="0" w:firstLine="0"/>
      </w:pPr>
      <w:rPr>
        <w:rFonts w:asciiTheme="minorHAnsi" w:hAnsiTheme="minorHAnsi" w:hint="default"/>
        <w:b w:val="0"/>
        <w:i w:val="0"/>
        <w:sz w:val="32"/>
      </w:rPr>
    </w:lvl>
    <w:lvl w:ilvl="1">
      <w:start w:val="1"/>
      <w:numFmt w:val="decimal"/>
      <w:lvlText w:val="%1.%2"/>
      <w:lvlJc w:val="left"/>
      <w:pPr>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DC54D7E"/>
    <w:multiLevelType w:val="multilevel"/>
    <w:tmpl w:val="67102FF4"/>
    <w:lvl w:ilvl="0">
      <w:start w:val="1"/>
      <w:numFmt w:val="decimal"/>
      <w:lvlText w:val="%1."/>
      <w:lvlJc w:val="left"/>
      <w:pPr>
        <w:tabs>
          <w:tab w:val="num" w:pos="567"/>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15:restartNumberingAfterBreak="0">
    <w:nsid w:val="6A371F81"/>
    <w:multiLevelType w:val="multilevel"/>
    <w:tmpl w:val="8ABE1E66"/>
    <w:lvl w:ilvl="0">
      <w:start w:val="1"/>
      <w:numFmt w:val="decimal"/>
      <w:lvlText w:val="%1."/>
      <w:lvlJc w:val="left"/>
      <w:pPr>
        <w:tabs>
          <w:tab w:val="num" w:pos="567"/>
        </w:tabs>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2314B2"/>
    <w:multiLevelType w:val="multilevel"/>
    <w:tmpl w:val="181C6D04"/>
    <w:lvl w:ilvl="0">
      <w:start w:val="1"/>
      <w:numFmt w:val="decimal"/>
      <w:lvlText w:val="%1."/>
      <w:lvlJc w:val="left"/>
      <w:pPr>
        <w:ind w:left="0" w:firstLine="0"/>
      </w:pPr>
      <w:rPr>
        <w:rFonts w:asciiTheme="minorHAnsi" w:hAnsiTheme="minorHAnsi" w:hint="default"/>
        <w:b/>
        <w:i w:val="0"/>
        <w:sz w:val="22"/>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6"/>
  </w:num>
  <w:num w:numId="3">
    <w:abstractNumId w:val="5"/>
  </w:num>
  <w:num w:numId="4">
    <w:abstractNumId w:val="10"/>
  </w:num>
  <w:num w:numId="5">
    <w:abstractNumId w:val="6"/>
  </w:num>
  <w:num w:numId="6">
    <w:abstractNumId w:val="10"/>
  </w:num>
  <w:num w:numId="7">
    <w:abstractNumId w:val="6"/>
  </w:num>
  <w:num w:numId="8">
    <w:abstractNumId w:val="10"/>
  </w:num>
  <w:num w:numId="9">
    <w:abstractNumId w:val="10"/>
  </w:num>
  <w:num w:numId="10">
    <w:abstractNumId w:val="0"/>
  </w:num>
  <w:num w:numId="11">
    <w:abstractNumId w:val="0"/>
  </w:num>
  <w:num w:numId="12">
    <w:abstractNumId w:val="12"/>
  </w:num>
  <w:num w:numId="13">
    <w:abstractNumId w:val="12"/>
  </w:num>
  <w:num w:numId="14">
    <w:abstractNumId w:val="12"/>
  </w:num>
  <w:num w:numId="15">
    <w:abstractNumId w:val="7"/>
  </w:num>
  <w:num w:numId="16">
    <w:abstractNumId w:val="7"/>
  </w:num>
  <w:num w:numId="17">
    <w:abstractNumId w:val="4"/>
  </w:num>
  <w:num w:numId="18">
    <w:abstractNumId w:val="16"/>
  </w:num>
  <w:num w:numId="19">
    <w:abstractNumId w:val="17"/>
  </w:num>
  <w:num w:numId="20">
    <w:abstractNumId w:val="1"/>
  </w:num>
  <w:num w:numId="21">
    <w:abstractNumId w:val="14"/>
  </w:num>
  <w:num w:numId="22">
    <w:abstractNumId w:val="17"/>
  </w:num>
  <w:num w:numId="23">
    <w:abstractNumId w:val="17"/>
  </w:num>
  <w:num w:numId="24">
    <w:abstractNumId w:val="17"/>
  </w:num>
  <w:num w:numId="25">
    <w:abstractNumId w:val="17"/>
  </w:num>
  <w:num w:numId="26">
    <w:abstractNumId w:val="8"/>
  </w:num>
  <w:num w:numId="27">
    <w:abstractNumId w:val="8"/>
  </w:num>
  <w:num w:numId="28">
    <w:abstractNumId w:val="8"/>
  </w:num>
  <w:num w:numId="29">
    <w:abstractNumId w:val="9"/>
  </w:num>
  <w:num w:numId="30">
    <w:abstractNumId w:val="9"/>
  </w:num>
  <w:num w:numId="31">
    <w:abstractNumId w:val="15"/>
  </w:num>
  <w:num w:numId="32">
    <w:abstractNumId w:val="15"/>
  </w:num>
  <w:num w:numId="33">
    <w:abstractNumId w:val="11"/>
  </w:num>
  <w:num w:numId="34">
    <w:abstractNumId w:val="13"/>
  </w:num>
  <w:num w:numId="35">
    <w:abstractNumId w:val="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BE"/>
    <w:rsid w:val="00021184"/>
    <w:rsid w:val="00034DF7"/>
    <w:rsid w:val="000E2DE5"/>
    <w:rsid w:val="000F47D8"/>
    <w:rsid w:val="001000B1"/>
    <w:rsid w:val="00183877"/>
    <w:rsid w:val="001A1AFC"/>
    <w:rsid w:val="001B0429"/>
    <w:rsid w:val="001E4BB5"/>
    <w:rsid w:val="002230EC"/>
    <w:rsid w:val="00246531"/>
    <w:rsid w:val="003625DD"/>
    <w:rsid w:val="00377004"/>
    <w:rsid w:val="00383C21"/>
    <w:rsid w:val="003904FF"/>
    <w:rsid w:val="003C2C23"/>
    <w:rsid w:val="00415BFD"/>
    <w:rsid w:val="00435281"/>
    <w:rsid w:val="004A2B59"/>
    <w:rsid w:val="004C5D97"/>
    <w:rsid w:val="004C618E"/>
    <w:rsid w:val="00516817"/>
    <w:rsid w:val="00522F7F"/>
    <w:rsid w:val="005708E8"/>
    <w:rsid w:val="00571B20"/>
    <w:rsid w:val="005773E1"/>
    <w:rsid w:val="00592597"/>
    <w:rsid w:val="005C13A1"/>
    <w:rsid w:val="005E4426"/>
    <w:rsid w:val="00621278"/>
    <w:rsid w:val="00637B98"/>
    <w:rsid w:val="00672F7F"/>
    <w:rsid w:val="006851F9"/>
    <w:rsid w:val="006D169A"/>
    <w:rsid w:val="006E4629"/>
    <w:rsid w:val="006F7D53"/>
    <w:rsid w:val="00775120"/>
    <w:rsid w:val="007D429A"/>
    <w:rsid w:val="007E2D20"/>
    <w:rsid w:val="007E5229"/>
    <w:rsid w:val="00824F0E"/>
    <w:rsid w:val="0086211C"/>
    <w:rsid w:val="008C4E45"/>
    <w:rsid w:val="008F4CBE"/>
    <w:rsid w:val="00915EEE"/>
    <w:rsid w:val="00931A80"/>
    <w:rsid w:val="00936029"/>
    <w:rsid w:val="0096205B"/>
    <w:rsid w:val="00971F1B"/>
    <w:rsid w:val="00975721"/>
    <w:rsid w:val="009918CC"/>
    <w:rsid w:val="009C01E4"/>
    <w:rsid w:val="009C4CAC"/>
    <w:rsid w:val="00A13BE0"/>
    <w:rsid w:val="00A56A98"/>
    <w:rsid w:val="00AA4052"/>
    <w:rsid w:val="00AD4B29"/>
    <w:rsid w:val="00AE4223"/>
    <w:rsid w:val="00AE4BD2"/>
    <w:rsid w:val="00B81249"/>
    <w:rsid w:val="00B8564A"/>
    <w:rsid w:val="00BB1E8B"/>
    <w:rsid w:val="00BE3DE1"/>
    <w:rsid w:val="00BE65C4"/>
    <w:rsid w:val="00BF19F2"/>
    <w:rsid w:val="00BF1FB5"/>
    <w:rsid w:val="00C709B2"/>
    <w:rsid w:val="00CE730A"/>
    <w:rsid w:val="00CF184A"/>
    <w:rsid w:val="00D40369"/>
    <w:rsid w:val="00D47BD2"/>
    <w:rsid w:val="00D51113"/>
    <w:rsid w:val="00D9245C"/>
    <w:rsid w:val="00E00FD5"/>
    <w:rsid w:val="00E10CC1"/>
    <w:rsid w:val="00E124A1"/>
    <w:rsid w:val="00E12892"/>
    <w:rsid w:val="00E13C89"/>
    <w:rsid w:val="00E42666"/>
    <w:rsid w:val="00E80BA4"/>
    <w:rsid w:val="00E83D31"/>
    <w:rsid w:val="00E85BC5"/>
    <w:rsid w:val="00E86483"/>
    <w:rsid w:val="00E921D0"/>
    <w:rsid w:val="00E92275"/>
    <w:rsid w:val="00E97132"/>
    <w:rsid w:val="00EE3FB7"/>
    <w:rsid w:val="00F646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ED17"/>
  <w14:defaultImageDpi w14:val="32767"/>
  <w15:chartTrackingRefBased/>
  <w15:docId w15:val="{1B74FAFF-14ED-9B4B-B3E6-54C77185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709B2"/>
    <w:pPr>
      <w:spacing w:before="0" w:after="0"/>
    </w:pPr>
    <w:rPr>
      <w:sz w:val="22"/>
      <w:szCs w:val="22"/>
    </w:rPr>
  </w:style>
  <w:style w:type="paragraph" w:styleId="Overskrift1">
    <w:name w:val="heading 1"/>
    <w:basedOn w:val="Normal"/>
    <w:next w:val="Normal"/>
    <w:link w:val="Overskrift1Tegn"/>
    <w:autoRedefine/>
    <w:uiPriority w:val="9"/>
    <w:qFormat/>
    <w:rsid w:val="000F47D8"/>
    <w:pPr>
      <w:keepNext/>
      <w:keepLines/>
      <w:numPr>
        <w:numId w:val="12"/>
      </w:numPr>
      <w:tabs>
        <w:tab w:val="num" w:pos="567"/>
      </w:tabs>
      <w:spacing w:before="60" w:after="120"/>
      <w:outlineLvl w:val="0"/>
    </w:pPr>
    <w:rPr>
      <w:rFonts w:cs="Arial"/>
      <w:color w:val="000000" w:themeColor="text1"/>
      <w:sz w:val="32"/>
      <w:lang w:eastAsia="da-DK"/>
    </w:rPr>
  </w:style>
  <w:style w:type="paragraph" w:styleId="Overskrift2">
    <w:name w:val="heading 2"/>
    <w:basedOn w:val="Normal"/>
    <w:next w:val="Normal"/>
    <w:link w:val="Overskrift2Tegn"/>
    <w:autoRedefine/>
    <w:uiPriority w:val="9"/>
    <w:unhideWhenUsed/>
    <w:qFormat/>
    <w:rsid w:val="00C709B2"/>
    <w:pPr>
      <w:keepNext/>
      <w:keepLines/>
      <w:numPr>
        <w:ilvl w:val="1"/>
        <w:numId w:val="30"/>
      </w:numPr>
      <w:spacing w:before="120" w:after="120"/>
      <w:outlineLvl w:val="1"/>
    </w:pPr>
    <w:rPr>
      <w:rFonts w:eastAsiaTheme="majorEastAsia" w:cs="Times New Roman (Overskrifter C"/>
      <w:b/>
      <w:color w:val="000000" w:themeColor="text1"/>
      <w:szCs w:val="26"/>
    </w:rPr>
  </w:style>
  <w:style w:type="paragraph" w:styleId="Overskrift3">
    <w:name w:val="heading 3"/>
    <w:basedOn w:val="Normal"/>
    <w:next w:val="Normal"/>
    <w:link w:val="Overskrift3Tegn"/>
    <w:uiPriority w:val="9"/>
    <w:unhideWhenUsed/>
    <w:qFormat/>
    <w:rsid w:val="00C709B2"/>
    <w:pPr>
      <w:keepNext/>
      <w:keepLines/>
      <w:tabs>
        <w:tab w:val="left" w:pos="851"/>
      </w:tabs>
      <w:spacing w:after="120"/>
      <w:outlineLvl w:val="2"/>
    </w:pPr>
    <w:rPr>
      <w:rFonts w:eastAsiaTheme="majorEastAsia" w:cs="Times New Roman (Overskrifter C"/>
      <w:color w:val="000000" w:themeColor="text1"/>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709B2"/>
    <w:rPr>
      <w:rFonts w:eastAsiaTheme="majorEastAsia" w:cs="Times New Roman (Overskrifter C"/>
      <w:b/>
      <w:color w:val="000000" w:themeColor="text1"/>
      <w:sz w:val="22"/>
      <w:szCs w:val="26"/>
    </w:rPr>
  </w:style>
  <w:style w:type="character" w:customStyle="1" w:styleId="Overskrift1Tegn">
    <w:name w:val="Overskrift 1 Tegn"/>
    <w:basedOn w:val="Standardskrifttypeiafsnit"/>
    <w:link w:val="Overskrift1"/>
    <w:uiPriority w:val="9"/>
    <w:rsid w:val="000F47D8"/>
    <w:rPr>
      <w:rFonts w:cs="Arial"/>
      <w:color w:val="000000" w:themeColor="text1"/>
      <w:sz w:val="32"/>
      <w:szCs w:val="22"/>
      <w:lang w:eastAsia="da-DK"/>
    </w:rPr>
  </w:style>
  <w:style w:type="paragraph" w:styleId="Brdtekst">
    <w:name w:val="Body Text"/>
    <w:basedOn w:val="Normal"/>
    <w:link w:val="BrdtekstTegn"/>
    <w:uiPriority w:val="1"/>
    <w:qFormat/>
    <w:rsid w:val="00775120"/>
    <w:pPr>
      <w:widowControl w:val="0"/>
      <w:autoSpaceDE w:val="0"/>
      <w:autoSpaceDN w:val="0"/>
      <w:spacing w:before="60" w:after="60"/>
    </w:pPr>
    <w:rPr>
      <w:rFonts w:ascii="Calibri" w:eastAsia="Cambria" w:hAnsi="Calibri" w:cs="Cambria"/>
      <w:sz w:val="20"/>
      <w:szCs w:val="24"/>
      <w:lang w:bidi="en-US"/>
    </w:rPr>
  </w:style>
  <w:style w:type="character" w:customStyle="1" w:styleId="BrdtekstTegn">
    <w:name w:val="Brødtekst Tegn"/>
    <w:basedOn w:val="Standardskrifttypeiafsnit"/>
    <w:link w:val="Brdtekst"/>
    <w:uiPriority w:val="1"/>
    <w:rsid w:val="00775120"/>
    <w:rPr>
      <w:rFonts w:ascii="Calibri" w:eastAsia="Cambria" w:hAnsi="Calibri" w:cs="Cambria"/>
      <w:sz w:val="20"/>
      <w:lang w:bidi="en-US"/>
    </w:rPr>
  </w:style>
  <w:style w:type="character" w:customStyle="1" w:styleId="Overskrift3Tegn">
    <w:name w:val="Overskrift 3 Tegn"/>
    <w:basedOn w:val="Standardskrifttypeiafsnit"/>
    <w:link w:val="Overskrift3"/>
    <w:uiPriority w:val="9"/>
    <w:rsid w:val="00C709B2"/>
    <w:rPr>
      <w:rFonts w:eastAsiaTheme="majorEastAsia" w:cs="Times New Roman (Overskrifter C"/>
      <w:color w:val="000000" w:themeColor="text1"/>
      <w:sz w:val="22"/>
    </w:rPr>
  </w:style>
  <w:style w:type="paragraph" w:customStyle="1" w:styleId="Default">
    <w:name w:val="Default"/>
    <w:rsid w:val="008F4CBE"/>
    <w:pPr>
      <w:autoSpaceDE w:val="0"/>
      <w:autoSpaceDN w:val="0"/>
      <w:adjustRightInd w:val="0"/>
      <w:spacing w:before="0" w:after="0"/>
    </w:pPr>
    <w:rPr>
      <w:rFonts w:ascii="Calibri" w:hAnsi="Calibri" w:cs="Calibri"/>
      <w:color w:val="000000"/>
    </w:rPr>
  </w:style>
  <w:style w:type="table" w:styleId="Tabel-Gitter">
    <w:name w:val="Table Grid"/>
    <w:basedOn w:val="Tabel-Normal"/>
    <w:uiPriority w:val="39"/>
    <w:rsid w:val="00BE65C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851F9"/>
    <w:pPr>
      <w:tabs>
        <w:tab w:val="center" w:pos="4819"/>
        <w:tab w:val="right" w:pos="9638"/>
      </w:tabs>
    </w:pPr>
  </w:style>
  <w:style w:type="character" w:customStyle="1" w:styleId="SidehovedTegn">
    <w:name w:val="Sidehoved Tegn"/>
    <w:basedOn w:val="Standardskrifttypeiafsnit"/>
    <w:link w:val="Sidehoved"/>
    <w:uiPriority w:val="99"/>
    <w:rsid w:val="006851F9"/>
    <w:rPr>
      <w:sz w:val="22"/>
      <w:szCs w:val="22"/>
    </w:rPr>
  </w:style>
  <w:style w:type="paragraph" w:styleId="Sidefod">
    <w:name w:val="footer"/>
    <w:basedOn w:val="Normal"/>
    <w:link w:val="SidefodTegn"/>
    <w:uiPriority w:val="99"/>
    <w:unhideWhenUsed/>
    <w:rsid w:val="006851F9"/>
    <w:pPr>
      <w:tabs>
        <w:tab w:val="center" w:pos="4819"/>
        <w:tab w:val="right" w:pos="9638"/>
      </w:tabs>
    </w:pPr>
  </w:style>
  <w:style w:type="character" w:customStyle="1" w:styleId="SidefodTegn">
    <w:name w:val="Sidefod Tegn"/>
    <w:basedOn w:val="Standardskrifttypeiafsnit"/>
    <w:link w:val="Sidefod"/>
    <w:uiPriority w:val="99"/>
    <w:rsid w:val="006851F9"/>
    <w:rPr>
      <w:sz w:val="22"/>
      <w:szCs w:val="22"/>
    </w:rPr>
  </w:style>
  <w:style w:type="character" w:styleId="Sidetal">
    <w:name w:val="page number"/>
    <w:basedOn w:val="Standardskrifttypeiafsnit"/>
    <w:uiPriority w:val="99"/>
    <w:semiHidden/>
    <w:unhideWhenUsed/>
    <w:rsid w:val="006851F9"/>
  </w:style>
  <w:style w:type="character" w:customStyle="1" w:styleId="apple-converted-space">
    <w:name w:val="apple-converted-space"/>
    <w:basedOn w:val="Standardskrifttypeiafsnit"/>
    <w:rsid w:val="00BB1E8B"/>
  </w:style>
  <w:style w:type="paragraph" w:customStyle="1" w:styleId="Normal1">
    <w:name w:val="Normal1"/>
    <w:basedOn w:val="Normal"/>
    <w:rsid w:val="00BB1E8B"/>
    <w:pPr>
      <w:spacing w:before="100" w:beforeAutospacing="1" w:after="100" w:afterAutospacing="1"/>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3625DD"/>
    <w:pPr>
      <w:ind w:left="720"/>
      <w:contextualSpacing/>
    </w:pPr>
  </w:style>
  <w:style w:type="paragraph" w:styleId="Markeringsbobletekst">
    <w:name w:val="Balloon Text"/>
    <w:basedOn w:val="Normal"/>
    <w:link w:val="MarkeringsbobletekstTegn"/>
    <w:uiPriority w:val="99"/>
    <w:semiHidden/>
    <w:unhideWhenUsed/>
    <w:rsid w:val="00377004"/>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3770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83435">
      <w:bodyDiv w:val="1"/>
      <w:marLeft w:val="0"/>
      <w:marRight w:val="0"/>
      <w:marTop w:val="0"/>
      <w:marBottom w:val="0"/>
      <w:divBdr>
        <w:top w:val="none" w:sz="0" w:space="0" w:color="auto"/>
        <w:left w:val="none" w:sz="0" w:space="0" w:color="auto"/>
        <w:bottom w:val="none" w:sz="0" w:space="0" w:color="auto"/>
        <w:right w:val="none" w:sz="0" w:space="0" w:color="auto"/>
      </w:divBdr>
      <w:divsChild>
        <w:div w:id="523520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487692">
      <w:bodyDiv w:val="1"/>
      <w:marLeft w:val="0"/>
      <w:marRight w:val="0"/>
      <w:marTop w:val="0"/>
      <w:marBottom w:val="0"/>
      <w:divBdr>
        <w:top w:val="none" w:sz="0" w:space="0" w:color="auto"/>
        <w:left w:val="none" w:sz="0" w:space="0" w:color="auto"/>
        <w:bottom w:val="none" w:sz="0" w:space="0" w:color="auto"/>
        <w:right w:val="none" w:sz="0" w:space="0" w:color="auto"/>
      </w:divBdr>
      <w:divsChild>
        <w:div w:id="119323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051397">
      <w:bodyDiv w:val="1"/>
      <w:marLeft w:val="0"/>
      <w:marRight w:val="0"/>
      <w:marTop w:val="0"/>
      <w:marBottom w:val="0"/>
      <w:divBdr>
        <w:top w:val="none" w:sz="0" w:space="0" w:color="auto"/>
        <w:left w:val="none" w:sz="0" w:space="0" w:color="auto"/>
        <w:bottom w:val="none" w:sz="0" w:space="0" w:color="auto"/>
        <w:right w:val="none" w:sz="0" w:space="0" w:color="auto"/>
      </w:divBdr>
      <w:divsChild>
        <w:div w:id="790049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1958</Words>
  <Characters>11949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Eigil Schjønning</dc:creator>
  <cp:keywords/>
  <dc:description/>
  <cp:lastModifiedBy>Eigil Schjønning</cp:lastModifiedBy>
  <cp:revision>2</cp:revision>
  <dcterms:created xsi:type="dcterms:W3CDTF">2020-07-28T10:35:00Z</dcterms:created>
  <dcterms:modified xsi:type="dcterms:W3CDTF">2020-07-28T10:35:00Z</dcterms:modified>
</cp:coreProperties>
</file>