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A6AA5" w14:textId="2C906172" w:rsidR="00FA66F5" w:rsidRPr="00216546" w:rsidRDefault="00765660">
      <w:pPr>
        <w:rPr>
          <w:b/>
          <w:sz w:val="28"/>
          <w:szCs w:val="28"/>
        </w:rPr>
      </w:pPr>
      <w:bookmarkStart w:id="0" w:name="_GoBack"/>
      <w:bookmarkEnd w:id="0"/>
      <w:r w:rsidRPr="00216546">
        <w:rPr>
          <w:b/>
          <w:sz w:val="28"/>
          <w:szCs w:val="28"/>
        </w:rPr>
        <w:t>Bekendtgørelse om omsætning af løbende erstatning</w:t>
      </w:r>
      <w:r w:rsidR="007B5DDB">
        <w:rPr>
          <w:b/>
          <w:sz w:val="28"/>
          <w:szCs w:val="28"/>
        </w:rPr>
        <w:t xml:space="preserve"> for arbejdsskader</w:t>
      </w:r>
      <w:r w:rsidRPr="00216546">
        <w:rPr>
          <w:b/>
          <w:sz w:val="28"/>
          <w:szCs w:val="28"/>
        </w:rPr>
        <w:t xml:space="preserve"> til kapitalbeløb</w:t>
      </w:r>
      <w:r w:rsidR="00286D57">
        <w:rPr>
          <w:rStyle w:val="Slutnotehenvisning"/>
          <w:b/>
          <w:sz w:val="28"/>
          <w:szCs w:val="28"/>
        </w:rPr>
        <w:endnoteReference w:id="1"/>
      </w:r>
    </w:p>
    <w:p w14:paraId="5CC9F350" w14:textId="77777777" w:rsidR="00E4323E" w:rsidRDefault="00E4323E"/>
    <w:p w14:paraId="4A8826D1" w14:textId="27737140" w:rsidR="00E4323E" w:rsidRDefault="00216546">
      <w:r>
        <w:t>I medfør af § 27, stk. 4, i lov om arbejdsskadesikring</w:t>
      </w:r>
      <w:r w:rsidR="00BE5E6F">
        <w:t>,</w:t>
      </w:r>
      <w:r>
        <w:t xml:space="preserve"> </w:t>
      </w:r>
      <w:r w:rsidRPr="00216546">
        <w:t>jf. lovbekendtgørelse nr. 1186 af 19. august 2022</w:t>
      </w:r>
      <w:r w:rsidR="00E465BD">
        <w:t xml:space="preserve"> og § 43, stk. 2, og § 71, stk. 3, i lov om sikring mod følger af arbejdsskade, jf. lovbekendtgørelse nr. 943 af 16. oktober 2000,</w:t>
      </w:r>
      <w:r w:rsidR="00BE5E6F">
        <w:t xml:space="preserve"> fastsættes </w:t>
      </w:r>
      <w:r w:rsidR="00BE5E6F" w:rsidRPr="00BE5E6F">
        <w:t>efter indstilling fra bestyrelsen for Arbejdsmarkedets Erhvervssikring</w:t>
      </w:r>
      <w:r w:rsidR="00BE5E6F">
        <w:t>:</w:t>
      </w:r>
    </w:p>
    <w:p w14:paraId="64460933" w14:textId="52338121" w:rsidR="00BE5E6F" w:rsidRDefault="00BE681E" w:rsidP="00BE681E">
      <w:pPr>
        <w:jc w:val="center"/>
      </w:pPr>
      <w:r w:rsidRPr="00BE681E">
        <w:rPr>
          <w:i/>
        </w:rPr>
        <w:t>1.</w:t>
      </w:r>
      <w:r>
        <w:t xml:space="preserve"> </w:t>
      </w:r>
      <w:r w:rsidRPr="00BE681E">
        <w:rPr>
          <w:i/>
        </w:rPr>
        <w:t>Indledning</w:t>
      </w:r>
    </w:p>
    <w:p w14:paraId="1BF8D19B" w14:textId="59114DD9" w:rsidR="0095327D" w:rsidRDefault="00D6054E">
      <w:r w:rsidRPr="00E73982">
        <w:rPr>
          <w:b/>
        </w:rPr>
        <w:t xml:space="preserve">§ </w:t>
      </w:r>
      <w:r w:rsidR="002A2A09">
        <w:rPr>
          <w:b/>
        </w:rPr>
        <w:t>1</w:t>
      </w:r>
      <w:r w:rsidRPr="00E73982">
        <w:rPr>
          <w:b/>
        </w:rPr>
        <w:t xml:space="preserve">. </w:t>
      </w:r>
      <w:r w:rsidR="008C7847" w:rsidRPr="00C72053">
        <w:t>E</w:t>
      </w:r>
      <w:r w:rsidR="008C7847">
        <w:t>fter indstilling fra bestyrelsen for Arbejdsmarkedets Erhvervssikring offentliggør b</w:t>
      </w:r>
      <w:r>
        <w:t>eskæftigelsesministeren</w:t>
      </w:r>
      <w:r w:rsidR="008C7847">
        <w:t xml:space="preserve"> </w:t>
      </w:r>
      <w:r>
        <w:t xml:space="preserve">årligt </w:t>
      </w:r>
      <w:r w:rsidR="008B1BF7" w:rsidRPr="008B1BF7">
        <w:t xml:space="preserve">inden udgangen af oktober måned </w:t>
      </w:r>
      <w:r>
        <w:t>faktorerne for omsætning af løbende erstatning</w:t>
      </w:r>
      <w:r w:rsidR="0020788D">
        <w:t xml:space="preserve"> efter </w:t>
      </w:r>
      <w:r w:rsidR="004E60E7">
        <w:t xml:space="preserve">lov om </w:t>
      </w:r>
      <w:r w:rsidR="0020788D">
        <w:t>arbejdsskadesikring</w:t>
      </w:r>
      <w:r>
        <w:t xml:space="preserve"> til kapitalbeløb, der tilkendes og beregnes med virkning fra 1. januar det følgende år</w:t>
      </w:r>
      <w:r w:rsidR="008C7847">
        <w:t>.</w:t>
      </w:r>
      <w:r>
        <w:t xml:space="preserve"> </w:t>
      </w:r>
      <w:r w:rsidR="008C7847">
        <w:t>Faktorerne offentlig</w:t>
      </w:r>
      <w:r w:rsidR="00E655EB">
        <w:t>g</w:t>
      </w:r>
      <w:r w:rsidR="008C7847">
        <w:t xml:space="preserve">øres </w:t>
      </w:r>
      <w:r>
        <w:t xml:space="preserve">i vejledning om faktorer for omsætning af løbende </w:t>
      </w:r>
      <w:r w:rsidR="008C7847">
        <w:t>erstatning</w:t>
      </w:r>
      <w:r w:rsidR="008C1DE8">
        <w:t xml:space="preserve"> for arbejdsskader</w:t>
      </w:r>
      <w:r>
        <w:t xml:space="preserve"> til kapitalbeløb.</w:t>
      </w:r>
      <w:r w:rsidR="0095327D" w:rsidRPr="0095327D">
        <w:t xml:space="preserve"> </w:t>
      </w:r>
    </w:p>
    <w:p w14:paraId="1AB03117" w14:textId="64089723" w:rsidR="005110A1" w:rsidRDefault="0095327D" w:rsidP="000B0553">
      <w:pPr>
        <w:jc w:val="center"/>
        <w:rPr>
          <w:i/>
          <w:iCs/>
        </w:rPr>
      </w:pPr>
      <w:r>
        <w:rPr>
          <w:i/>
          <w:iCs/>
        </w:rPr>
        <w:t>2. Erstatning for tab af erhvervsevne og tab af forsørger</w:t>
      </w:r>
    </w:p>
    <w:p w14:paraId="6DDBCB3B" w14:textId="3E3BFD0F" w:rsidR="006A6B17" w:rsidRPr="006A6B17" w:rsidRDefault="008C1DE8" w:rsidP="000B0553">
      <w:pPr>
        <w:jc w:val="center"/>
        <w:rPr>
          <w:i/>
          <w:iCs/>
        </w:rPr>
      </w:pPr>
      <w:r>
        <w:rPr>
          <w:i/>
          <w:iCs/>
        </w:rPr>
        <w:t>A</w:t>
      </w:r>
      <w:r w:rsidR="006A6B17" w:rsidRPr="006A6B17">
        <w:rPr>
          <w:i/>
          <w:iCs/>
        </w:rPr>
        <w:t>rbejdsskader indtruffet 1. januar 2021 eller senere</w:t>
      </w:r>
    </w:p>
    <w:p w14:paraId="43C94560" w14:textId="24A9C340" w:rsidR="00560BCB" w:rsidRDefault="00560BCB" w:rsidP="00560BCB">
      <w:pPr>
        <w:rPr>
          <w:i/>
        </w:rPr>
      </w:pPr>
      <w:r>
        <w:rPr>
          <w:b/>
        </w:rPr>
        <w:t>§ 2</w:t>
      </w:r>
      <w:r w:rsidRPr="00D6556E">
        <w:rPr>
          <w:b/>
        </w:rPr>
        <w:t>.</w:t>
      </w:r>
      <w:r>
        <w:t xml:space="preserve"> </w:t>
      </w:r>
      <w:r w:rsidRPr="006A6B17">
        <w:t>En løbende erstatning for tab af erhvervsevne, tilkendt efter §§ 17 og 17</w:t>
      </w:r>
      <w:r w:rsidR="004E01B2">
        <w:t xml:space="preserve"> </w:t>
      </w:r>
      <w:r w:rsidRPr="006A6B17">
        <w:t xml:space="preserve">a i lov om arbejdsskadesikring, omsættes til et kapitalbeløb ved at gange den årlige erstatning på omsætningstidspunktet med den </w:t>
      </w:r>
      <w:r>
        <w:t xml:space="preserve">relevante </w:t>
      </w:r>
      <w:r w:rsidRPr="006A6B17">
        <w:t>fak</w:t>
      </w:r>
      <w:r>
        <w:t>tor,</w:t>
      </w:r>
      <w:r w:rsidRPr="006A6B17">
        <w:t xml:space="preserve"> som står ud for den tilskadekomnes alder på omsætningstidspunktet</w:t>
      </w:r>
      <w:r>
        <w:t xml:space="preserve"> i vejledningen om faktorer for omsætning af løbende erstatning</w:t>
      </w:r>
      <w:r w:rsidR="008C1DE8">
        <w:t xml:space="preserve"> for arbejdsskader</w:t>
      </w:r>
      <w:r>
        <w:t xml:space="preserve"> til kapitalbeløb</w:t>
      </w:r>
      <w:r w:rsidR="008C1DE8">
        <w:t>.</w:t>
      </w:r>
    </w:p>
    <w:p w14:paraId="492FAB33" w14:textId="391E39E8" w:rsidR="00560BCB" w:rsidRPr="006A6B17" w:rsidRDefault="00560BCB" w:rsidP="00560BCB">
      <w:r w:rsidRPr="000B0553">
        <w:rPr>
          <w:b/>
        </w:rPr>
        <w:t xml:space="preserve">§ </w:t>
      </w:r>
      <w:r>
        <w:rPr>
          <w:b/>
        </w:rPr>
        <w:t>3</w:t>
      </w:r>
      <w:r w:rsidRPr="000B0553">
        <w:rPr>
          <w:b/>
        </w:rPr>
        <w:t>.</w:t>
      </w:r>
      <w:r>
        <w:t xml:space="preserve"> </w:t>
      </w:r>
      <w:r w:rsidRPr="006A6B17">
        <w:t xml:space="preserve">En løbende erstatning for tab af forsørger tilkendt efter § 20, stk. 2, </w:t>
      </w:r>
      <w:r w:rsidR="00F0523A">
        <w:t xml:space="preserve">i lov om </w:t>
      </w:r>
      <w:r w:rsidR="00F0523A" w:rsidRPr="006A6B17">
        <w:t xml:space="preserve">arbejdsskadesikring </w:t>
      </w:r>
      <w:r w:rsidRPr="006A6B17">
        <w:t>omsættes til et kapitalbeløb ved at gange den årlige erstatning på omsætningstidspunktet med den</w:t>
      </w:r>
      <w:r>
        <w:t xml:space="preserve"> relevante</w:t>
      </w:r>
      <w:r w:rsidRPr="006A6B17">
        <w:t xml:space="preserve"> faktor i </w:t>
      </w:r>
      <w:r>
        <w:t>vejledningen om faktorer for omsætning af løbende erstatning</w:t>
      </w:r>
      <w:r w:rsidR="008C1DE8">
        <w:t xml:space="preserve"> for arbejdsskader</w:t>
      </w:r>
      <w:r>
        <w:t xml:space="preserve"> til kapitalbeløb</w:t>
      </w:r>
      <w:r w:rsidRPr="006A6B17">
        <w:t>, som står ud for den efterladtes alder og restperioden af erstatningen på omsætningstidspunktet.</w:t>
      </w:r>
    </w:p>
    <w:p w14:paraId="4A0CBAFB" w14:textId="18984A1A" w:rsidR="0095327D" w:rsidRDefault="0095327D" w:rsidP="0095327D">
      <w:r w:rsidRPr="00055827">
        <w:rPr>
          <w:b/>
        </w:rPr>
        <w:t xml:space="preserve">§ </w:t>
      </w:r>
      <w:r w:rsidR="009B65BF">
        <w:rPr>
          <w:b/>
        </w:rPr>
        <w:t>4</w:t>
      </w:r>
      <w:r w:rsidRPr="00055827">
        <w:rPr>
          <w:b/>
        </w:rPr>
        <w:t xml:space="preserve">. </w:t>
      </w:r>
      <w:r w:rsidRPr="006A6B17">
        <w:t xml:space="preserve">Faktorerne </w:t>
      </w:r>
      <w:r>
        <w:t xml:space="preserve">for omsætning af løbende </w:t>
      </w:r>
      <w:r w:rsidR="008C7847">
        <w:t>erstatning</w:t>
      </w:r>
      <w:r>
        <w:t xml:space="preserve"> til kapitalbeløb fastsættes </w:t>
      </w:r>
      <w:r w:rsidRPr="006A6B17">
        <w:t>på grundlag af følgende forudsætninger:</w:t>
      </w:r>
    </w:p>
    <w:p w14:paraId="656E031A" w14:textId="77777777" w:rsidR="0095327D" w:rsidRDefault="0095327D" w:rsidP="0095327D">
      <w:pPr>
        <w:pStyle w:val="Listeafsnit"/>
        <w:numPr>
          <w:ilvl w:val="0"/>
          <w:numId w:val="4"/>
        </w:numPr>
      </w:pPr>
      <w:r w:rsidRPr="00055827">
        <w:t>En dødelighed for erstatningsmodtageren fastsat som et simpelt gennemsnit af mænds og kvinders dødelighed som fastsat i Finanstilsynets benchmark for den observerede nuværende dødelighed kombineret med Finanstilsynets benchmark for de forventede frem</w:t>
      </w:r>
      <w:r>
        <w:t>tidige levetidsforbedringer</w:t>
      </w:r>
      <w:r w:rsidRPr="00055827">
        <w:t>.</w:t>
      </w:r>
    </w:p>
    <w:p w14:paraId="4879E711" w14:textId="77777777" w:rsidR="0095327D" w:rsidRDefault="0095327D" w:rsidP="0095327D">
      <w:pPr>
        <w:pStyle w:val="Listeafsnit"/>
        <w:numPr>
          <w:ilvl w:val="0"/>
          <w:numId w:val="4"/>
        </w:numPr>
      </w:pPr>
      <w:r w:rsidRPr="00055827">
        <w:t xml:space="preserve">En rentefod, fastsat som gennemsnittet af de årsgennemsnitlige effektive renter for 30-årige realkreditobligationer </w:t>
      </w:r>
      <w:r>
        <w:t>baseret på et 5-årigt gennemsnit. Der anvendes å</w:t>
      </w:r>
      <w:r w:rsidRPr="00055827">
        <w:t>rsgennemsnit af Finans Danmarks ugentligt opgjorte lange obligationsrente for realkreditobligationer.</w:t>
      </w:r>
    </w:p>
    <w:p w14:paraId="07A2633A" w14:textId="77777777" w:rsidR="0095327D" w:rsidRDefault="0095327D" w:rsidP="0095327D">
      <w:pPr>
        <w:pStyle w:val="Listeafsnit"/>
        <w:numPr>
          <w:ilvl w:val="0"/>
          <w:numId w:val="4"/>
        </w:numPr>
      </w:pPr>
      <w:r w:rsidRPr="00055827">
        <w:t>En</w:t>
      </w:r>
      <w:r>
        <w:t xml:space="preserve"> beskatning af kapitalafkast</w:t>
      </w:r>
      <w:r w:rsidRPr="00055827">
        <w:t xml:space="preserve">, fastsat som summen af satserne for </w:t>
      </w:r>
      <w:r>
        <w:t>bundskatten</w:t>
      </w:r>
      <w:r w:rsidRPr="00055827">
        <w:t>, jf. lov om indkomstskat for personer m.v. (personskatteloven), den landsgennemsnitlige kommuneskat og de</w:t>
      </w:r>
      <w:r>
        <w:t>n landsgennemsnitlige kirkeskat</w:t>
      </w:r>
      <w:r w:rsidRPr="00055827">
        <w:t>.</w:t>
      </w:r>
    </w:p>
    <w:p w14:paraId="7BC558B2" w14:textId="77777777" w:rsidR="0095327D" w:rsidRDefault="0095327D" w:rsidP="0095327D">
      <w:pPr>
        <w:pStyle w:val="Listeafsnit"/>
        <w:numPr>
          <w:ilvl w:val="0"/>
          <w:numId w:val="4"/>
        </w:numPr>
      </w:pPr>
      <w:r w:rsidRPr="00055827">
        <w:t>En beskatning a</w:t>
      </w:r>
      <w:r>
        <w:t>f løbende erstatning</w:t>
      </w:r>
      <w:r w:rsidRPr="00055827">
        <w:t xml:space="preserve">, fastsat som summen af satserne </w:t>
      </w:r>
      <w:r>
        <w:t>for bundskatten</w:t>
      </w:r>
      <w:r w:rsidRPr="00055827">
        <w:t>, jf. lov om indkomstskat for personer m.v. (personskatteloven), den landsgennemsnitlige kommuneskat og den landsgennemsnitlige kirkeskat.</w:t>
      </w:r>
    </w:p>
    <w:p w14:paraId="5CE8A072" w14:textId="77777777" w:rsidR="0095327D" w:rsidRDefault="0095327D" w:rsidP="0095327D">
      <w:pPr>
        <w:pStyle w:val="Listeafsnit"/>
        <w:numPr>
          <w:ilvl w:val="0"/>
          <w:numId w:val="4"/>
        </w:numPr>
      </w:pPr>
      <w:r>
        <w:t>En løntalsregulering af løbende erstatning, fastsat som gennemsnittet af 2,0 pct. tillagt tilpasningsprocenten, jf. lov om en satsreguleringsprocent, baseret på et 5-årigt gennemsnit.</w:t>
      </w:r>
    </w:p>
    <w:p w14:paraId="5264B36A" w14:textId="77777777" w:rsidR="0095327D" w:rsidRPr="006A6B17" w:rsidRDefault="0095327D" w:rsidP="006A6B17"/>
    <w:p w14:paraId="7B3942DE" w14:textId="2A3D2F64" w:rsidR="00430728" w:rsidRPr="006A6B17" w:rsidRDefault="002A2A09" w:rsidP="00430728">
      <w:r w:rsidRPr="00C72053">
        <w:rPr>
          <w:b/>
        </w:rPr>
        <w:lastRenderedPageBreak/>
        <w:t xml:space="preserve">§ </w:t>
      </w:r>
      <w:r w:rsidR="009B65BF">
        <w:rPr>
          <w:b/>
        </w:rPr>
        <w:t>5</w:t>
      </w:r>
      <w:r w:rsidR="00430728" w:rsidRPr="00C72053">
        <w:rPr>
          <w:b/>
        </w:rPr>
        <w:t>.</w:t>
      </w:r>
      <w:r w:rsidR="00430728">
        <w:t xml:space="preserve"> </w:t>
      </w:r>
      <w:r w:rsidR="00430728" w:rsidRPr="006A6B17">
        <w:t>Når den tilskadekomnes alder opgjort i år og måneder ligger mellem den</w:t>
      </w:r>
      <w:r w:rsidR="00430728">
        <w:t xml:space="preserve"> højeste alder angivet i </w:t>
      </w:r>
      <w:r w:rsidR="001B1F77">
        <w:t xml:space="preserve">tabellen med faktorer for erstatningsophøret svarende til den laveste folkepensionsalder </w:t>
      </w:r>
      <w:r w:rsidR="00430728">
        <w:t xml:space="preserve">i </w:t>
      </w:r>
      <w:r w:rsidR="00056997">
        <w:t>vejledningen om faktorer for omsætning af løbende erstatning</w:t>
      </w:r>
      <w:r w:rsidR="00626ED4">
        <w:t xml:space="preserve"> for arbejdsskader</w:t>
      </w:r>
      <w:r w:rsidR="00056997">
        <w:t xml:space="preserve"> til kapitalbeløb</w:t>
      </w:r>
      <w:r w:rsidR="00430728" w:rsidRPr="006A6B17">
        <w:t xml:space="preserve"> og folkepensionsalderen, jf. lov om social pension, fratrukket 2 år, benyttes mellemliggende faktorer</w:t>
      </w:r>
      <w:r w:rsidR="00430728">
        <w:t xml:space="preserve"> for erstatning for tab af erhvervsevne</w:t>
      </w:r>
      <w:r w:rsidR="00430728" w:rsidRPr="006A6B17">
        <w:t xml:space="preserve"> mellem faktoren for den højeste alder angivet i</w:t>
      </w:r>
      <w:r w:rsidR="001B1F77">
        <w:t xml:space="preserve"> tabellen med faktorer for erstatningsophøret svarende til den laveste folkepensionsalder</w:t>
      </w:r>
      <w:r w:rsidR="00430728" w:rsidRPr="006A6B17">
        <w:t xml:space="preserve"> </w:t>
      </w:r>
      <w:r w:rsidR="00430728">
        <w:t xml:space="preserve"> i </w:t>
      </w:r>
      <w:r w:rsidR="00056997">
        <w:t xml:space="preserve">vejledningen om faktorer for omsætning af løbende erstatning </w:t>
      </w:r>
      <w:r w:rsidR="00626ED4">
        <w:t xml:space="preserve">for arbejdsskader </w:t>
      </w:r>
      <w:r w:rsidR="00056997">
        <w:t>til kapitalbeløb efter lov om arbejdsskadesikring</w:t>
      </w:r>
      <w:r w:rsidR="00430728" w:rsidRPr="006A6B17">
        <w:t xml:space="preserve"> og </w:t>
      </w:r>
      <w:r w:rsidR="00430728">
        <w:t xml:space="preserve">en faktor fastsat efter principperne for beskatning, jf. § </w:t>
      </w:r>
      <w:r w:rsidR="00F306C5">
        <w:t>4</w:t>
      </w:r>
      <w:r w:rsidR="00430728">
        <w:t>, nr. 4</w:t>
      </w:r>
      <w:r w:rsidR="00430728" w:rsidRPr="006A6B17">
        <w:t>.</w:t>
      </w:r>
    </w:p>
    <w:p w14:paraId="5EC736D5" w14:textId="7AD0DDE3" w:rsidR="00430728" w:rsidRDefault="00430728" w:rsidP="00430728">
      <w:r w:rsidRPr="000B0553">
        <w:rPr>
          <w:i/>
        </w:rPr>
        <w:t xml:space="preserve">Stk. </w:t>
      </w:r>
      <w:r w:rsidR="002A2A09">
        <w:rPr>
          <w:i/>
        </w:rPr>
        <w:t>2</w:t>
      </w:r>
      <w:r w:rsidRPr="000B0553">
        <w:rPr>
          <w:i/>
        </w:rPr>
        <w:t>.</w:t>
      </w:r>
      <w:r>
        <w:t xml:space="preserve"> </w:t>
      </w:r>
      <w:r w:rsidRPr="006A6B17">
        <w:t xml:space="preserve">Når den tilskadekomne på tidspunktet for afgørelsen om erstatning for tab af erhvervsevne er 2 år eller mindre fra at nå folkepensionsalderen, jf. i lov om social pension, fastsættes kapitalbeløbet ved at gange den årlige erstatning på afgørelsestidspunktet med </w:t>
      </w:r>
      <w:r w:rsidR="00107425">
        <w:t xml:space="preserve">en faktor fastsat efter principperne for beskatning, jf. § </w:t>
      </w:r>
      <w:r w:rsidR="00F306C5">
        <w:t>4</w:t>
      </w:r>
      <w:r w:rsidR="00107425">
        <w:t>, nr. 4</w:t>
      </w:r>
      <w:r w:rsidRPr="006A6B17">
        <w:t>. Det samme gælder tilskadekomne, der har nået folkepensionsalderen.</w:t>
      </w:r>
    </w:p>
    <w:p w14:paraId="1B8F70B5" w14:textId="77777777" w:rsidR="00430728" w:rsidRDefault="00430728" w:rsidP="00430728"/>
    <w:p w14:paraId="61248BB7" w14:textId="29426451" w:rsidR="00055827" w:rsidRDefault="00430728" w:rsidP="006A6B17">
      <w:r w:rsidRPr="000B0553" w:rsidDel="00430728">
        <w:rPr>
          <w:i/>
        </w:rPr>
        <w:t xml:space="preserve"> </w:t>
      </w:r>
    </w:p>
    <w:p w14:paraId="5210CBEA" w14:textId="46A3945E" w:rsidR="006A6B17" w:rsidRPr="006A6B17" w:rsidRDefault="00DA7F0F" w:rsidP="00CB023A">
      <w:pPr>
        <w:jc w:val="center"/>
        <w:rPr>
          <w:i/>
          <w:iCs/>
        </w:rPr>
      </w:pPr>
      <w:r w:rsidRPr="00DA7F0F">
        <w:rPr>
          <w:i/>
          <w:iCs/>
        </w:rPr>
        <w:t xml:space="preserve"> </w:t>
      </w:r>
      <w:r w:rsidR="00626ED4">
        <w:rPr>
          <w:i/>
          <w:iCs/>
        </w:rPr>
        <w:t>A</w:t>
      </w:r>
      <w:r w:rsidR="006A6B17" w:rsidRPr="006A6B17">
        <w:rPr>
          <w:i/>
          <w:iCs/>
        </w:rPr>
        <w:t>rbejdsskader indtruffet i tiden 1. januar 2011 til 31. december 2020</w:t>
      </w:r>
    </w:p>
    <w:p w14:paraId="178EE23D" w14:textId="77777777" w:rsidR="000349B4" w:rsidRDefault="000349B4" w:rsidP="00DA7F0F">
      <w:pPr>
        <w:rPr>
          <w:b/>
        </w:rPr>
      </w:pPr>
    </w:p>
    <w:p w14:paraId="57A68ECA" w14:textId="79B61165" w:rsidR="000349B4" w:rsidRDefault="000349B4" w:rsidP="000349B4">
      <w:pPr>
        <w:rPr>
          <w:i/>
        </w:rPr>
      </w:pPr>
      <w:r>
        <w:rPr>
          <w:b/>
        </w:rPr>
        <w:t xml:space="preserve">§ </w:t>
      </w:r>
      <w:r w:rsidR="009B65BF">
        <w:rPr>
          <w:b/>
        </w:rPr>
        <w:t>6</w:t>
      </w:r>
      <w:r w:rsidRPr="00D6556E">
        <w:rPr>
          <w:b/>
        </w:rPr>
        <w:t>.</w:t>
      </w:r>
      <w:r>
        <w:t xml:space="preserve"> </w:t>
      </w:r>
      <w:r w:rsidRPr="006A6B17">
        <w:t>En løbende erstatning for tab af erhvervsevne, tilkendt efter §§ 17 og 17</w:t>
      </w:r>
      <w:r w:rsidR="004E01B2">
        <w:t xml:space="preserve"> </w:t>
      </w:r>
      <w:r w:rsidRPr="006A6B17">
        <w:t xml:space="preserve">a i lov om arbejdsskadesikring, omsættes til et kapitalbeløb ved at gange den årlige erstatning på omsætningstidspunktet med den </w:t>
      </w:r>
      <w:r>
        <w:t xml:space="preserve">relevante </w:t>
      </w:r>
      <w:r w:rsidRPr="006A6B17">
        <w:t>fak</w:t>
      </w:r>
      <w:r>
        <w:t>tor,</w:t>
      </w:r>
      <w:r w:rsidRPr="006A6B17">
        <w:t xml:space="preserve"> som står ud for den tilskadekomnes alder på omsætningstidspunktet</w:t>
      </w:r>
      <w:r>
        <w:t xml:space="preserve"> i vejledningen om faktorer for omsætning af løbende erstatning</w:t>
      </w:r>
      <w:r w:rsidR="00626ED4">
        <w:t xml:space="preserve"> for arbejdsskader</w:t>
      </w:r>
      <w:r>
        <w:t xml:space="preserve"> til kapitalbeløb</w:t>
      </w:r>
      <w:r w:rsidR="00626ED4">
        <w:t>.</w:t>
      </w:r>
    </w:p>
    <w:p w14:paraId="2BC0D119" w14:textId="6193942B" w:rsidR="000349B4" w:rsidRDefault="000349B4" w:rsidP="000349B4">
      <w:r w:rsidRPr="000B0553">
        <w:rPr>
          <w:b/>
        </w:rPr>
        <w:t xml:space="preserve">§ </w:t>
      </w:r>
      <w:r w:rsidR="009B65BF">
        <w:rPr>
          <w:b/>
        </w:rPr>
        <w:t>7</w:t>
      </w:r>
      <w:r w:rsidRPr="000B0553">
        <w:rPr>
          <w:b/>
        </w:rPr>
        <w:t>.</w:t>
      </w:r>
      <w:r>
        <w:t xml:space="preserve"> </w:t>
      </w:r>
      <w:r w:rsidRPr="006A6B17">
        <w:t xml:space="preserve">En løbende erstatning for tab af forsørger tilkendt efter § 20, stk. 2, </w:t>
      </w:r>
      <w:r w:rsidR="00F0523A">
        <w:t xml:space="preserve">i lov om </w:t>
      </w:r>
      <w:r w:rsidR="00F0523A" w:rsidRPr="006A6B17">
        <w:t xml:space="preserve">arbejdsskadesikring </w:t>
      </w:r>
      <w:r w:rsidRPr="006A6B17">
        <w:t>omsættes til et kapitalbeløb ved at gange den årlige erstatning på omsætningstidspunktet med den</w:t>
      </w:r>
      <w:r>
        <w:t xml:space="preserve"> relevante</w:t>
      </w:r>
      <w:r w:rsidRPr="006A6B17">
        <w:t xml:space="preserve"> faktor i </w:t>
      </w:r>
      <w:r>
        <w:t>vejledningen om faktorer for omsætning af løbende erstatning</w:t>
      </w:r>
      <w:r w:rsidR="00626ED4">
        <w:t xml:space="preserve"> for arbejdsskader</w:t>
      </w:r>
      <w:r>
        <w:t xml:space="preserve"> til kapitalbeløb</w:t>
      </w:r>
      <w:r w:rsidRPr="006A6B17">
        <w:t>, som står ud for den efterladtes alder og restperioden af erstatningen på omsætningstidspunktet.</w:t>
      </w:r>
    </w:p>
    <w:p w14:paraId="69F04CAF" w14:textId="77777777" w:rsidR="000349B4" w:rsidRDefault="000349B4" w:rsidP="00DA7F0F">
      <w:pPr>
        <w:rPr>
          <w:b/>
        </w:rPr>
      </w:pPr>
    </w:p>
    <w:p w14:paraId="0D95E21D" w14:textId="1C8755AF" w:rsidR="00DA7F0F" w:rsidRDefault="00DA7F0F" w:rsidP="00DA7F0F">
      <w:r w:rsidRPr="00CB023A">
        <w:rPr>
          <w:b/>
        </w:rPr>
        <w:t xml:space="preserve">§ </w:t>
      </w:r>
      <w:r w:rsidR="009B65BF">
        <w:rPr>
          <w:b/>
        </w:rPr>
        <w:t>8</w:t>
      </w:r>
      <w:r w:rsidRPr="00CB023A">
        <w:rPr>
          <w:b/>
        </w:rPr>
        <w:t>.</w:t>
      </w:r>
      <w:r>
        <w:t xml:space="preserve"> </w:t>
      </w:r>
      <w:r w:rsidRPr="006A6B17">
        <w:t xml:space="preserve">Faktorerne </w:t>
      </w:r>
      <w:r w:rsidR="00107425" w:rsidRPr="00107425">
        <w:t xml:space="preserve">for omsætning af løbende </w:t>
      </w:r>
      <w:r w:rsidR="008C7847">
        <w:t>erstatning</w:t>
      </w:r>
      <w:r w:rsidR="00107425" w:rsidRPr="00107425">
        <w:t xml:space="preserve"> til kapitalbeløb fastsættes </w:t>
      </w:r>
      <w:r w:rsidRPr="006A6B17">
        <w:t>på grundlag af følgende forudsætninger:</w:t>
      </w:r>
    </w:p>
    <w:p w14:paraId="4A1039B7" w14:textId="77777777" w:rsidR="00DA7F0F" w:rsidRDefault="00DA7F0F" w:rsidP="00DA7F0F">
      <w:pPr>
        <w:pStyle w:val="Listeafsnit"/>
        <w:numPr>
          <w:ilvl w:val="0"/>
          <w:numId w:val="5"/>
        </w:numPr>
      </w:pPr>
      <w:r w:rsidRPr="00CB023A">
        <w:t>En dødelighed for erstatningsmodtageren fastsat som et simpelt gennemsnit af mænds og kvinders dødelighed som fastsat i det tekniske livsgrundlag G82.</w:t>
      </w:r>
    </w:p>
    <w:p w14:paraId="6B8310BF" w14:textId="77777777" w:rsidR="00DA7F0F" w:rsidRDefault="00DA7F0F" w:rsidP="00DA7F0F">
      <w:pPr>
        <w:pStyle w:val="Listeafsnit"/>
        <w:numPr>
          <w:ilvl w:val="0"/>
          <w:numId w:val="5"/>
        </w:numPr>
      </w:pPr>
      <w:r>
        <w:t>En rentefod</w:t>
      </w:r>
      <w:r w:rsidRPr="00CB023A">
        <w:t xml:space="preserve">, fastsat som gennemsnittet af de årsgennemsnitlige effektive renter for 30-årige realkreditobligationer </w:t>
      </w:r>
      <w:r>
        <w:t>baseret på et 5-årigt gennemsnit</w:t>
      </w:r>
      <w:r w:rsidRPr="00CB023A">
        <w:t xml:space="preserve">. </w:t>
      </w:r>
      <w:r>
        <w:t>Der anvendes</w:t>
      </w:r>
      <w:r w:rsidRPr="00CB023A">
        <w:t xml:space="preserve"> årsgennemsnit af Finans Danmarks ugentligt opgjorte lange obligationsrente for realkreditobligationer.</w:t>
      </w:r>
    </w:p>
    <w:p w14:paraId="1E26657A" w14:textId="77777777" w:rsidR="00DA7F0F" w:rsidRDefault="00DA7F0F" w:rsidP="00DA7F0F">
      <w:pPr>
        <w:pStyle w:val="Listeafsnit"/>
        <w:numPr>
          <w:ilvl w:val="0"/>
          <w:numId w:val="5"/>
        </w:numPr>
      </w:pPr>
      <w:r w:rsidRPr="00CB023A">
        <w:t>En beskatning af kapita</w:t>
      </w:r>
      <w:r>
        <w:t>lafkast</w:t>
      </w:r>
      <w:r w:rsidRPr="00CB023A">
        <w:t xml:space="preserve">, fastsat som summen af satserne </w:t>
      </w:r>
      <w:r>
        <w:t>for bundskatten</w:t>
      </w:r>
      <w:r w:rsidRPr="00CB023A">
        <w:t xml:space="preserve">, jf. lov om indkomstskat for personer m.v. (personskatteloven), den </w:t>
      </w:r>
      <w:r>
        <w:t>landsgennemsnitlige kommuneskat</w:t>
      </w:r>
      <w:r w:rsidRPr="00CB023A">
        <w:t xml:space="preserve"> og den landsgennemsnitlige kirkeskat.</w:t>
      </w:r>
    </w:p>
    <w:p w14:paraId="420FB6FD" w14:textId="77777777" w:rsidR="00DA7F0F" w:rsidRDefault="00DA7F0F" w:rsidP="00DA7F0F">
      <w:pPr>
        <w:pStyle w:val="Listeafsnit"/>
        <w:numPr>
          <w:ilvl w:val="0"/>
          <w:numId w:val="5"/>
        </w:numPr>
      </w:pPr>
      <w:r w:rsidRPr="00CB023A">
        <w:t>En besk</w:t>
      </w:r>
      <w:r>
        <w:t>atning af løbende erstatning</w:t>
      </w:r>
      <w:r w:rsidRPr="00CB023A">
        <w:t>, fastsat som summen af satserne for bundskatten, jf. lov om indkomstskat for personer m.v. (personskatteloven), den landsgennemsnitlige kommuneskat og den landsgennemsnitlige kirkeskat.</w:t>
      </w:r>
    </w:p>
    <w:p w14:paraId="6FEBCE31" w14:textId="77777777" w:rsidR="00DA7F0F" w:rsidRDefault="00DA7F0F" w:rsidP="00DA7F0F">
      <w:pPr>
        <w:pStyle w:val="Listeafsnit"/>
        <w:numPr>
          <w:ilvl w:val="0"/>
          <w:numId w:val="5"/>
        </w:numPr>
      </w:pPr>
      <w:r>
        <w:t>En løntalsregulering af løbende erstatning, fastsat som gennemsnittet af 2,0 pct. tillagt tilpasningsprocenten, jf. lov om en satsreguleringsprocent, baseret på et 5-årigt gennemsnit.</w:t>
      </w:r>
    </w:p>
    <w:p w14:paraId="2D4F5724" w14:textId="77777777" w:rsidR="00DA7F0F" w:rsidRPr="006A6B17" w:rsidRDefault="00DA7F0F" w:rsidP="006A6B17"/>
    <w:p w14:paraId="1887EB27" w14:textId="39A62266" w:rsidR="006A6B17" w:rsidRPr="006A6B17" w:rsidRDefault="002A2A09" w:rsidP="006A6B17">
      <w:r w:rsidRPr="00C72053">
        <w:rPr>
          <w:b/>
        </w:rPr>
        <w:t xml:space="preserve">§ </w:t>
      </w:r>
      <w:r w:rsidR="009B65BF">
        <w:rPr>
          <w:b/>
        </w:rPr>
        <w:t>9</w:t>
      </w:r>
      <w:r w:rsidR="00CB023A" w:rsidRPr="00C72053">
        <w:rPr>
          <w:b/>
        </w:rPr>
        <w:t>.</w:t>
      </w:r>
      <w:r w:rsidR="00CB023A">
        <w:t xml:space="preserve"> </w:t>
      </w:r>
      <w:r w:rsidR="006A6B17" w:rsidRPr="006A6B17">
        <w:t xml:space="preserve">Når den tilskadekomnes alder opgjort i år og måneder ligger mellem den højeste alder angivet i </w:t>
      </w:r>
      <w:r w:rsidR="001B1F77">
        <w:t>tabellen med faktorer for erstatningsophøret svarende til den laveste folkepensionsalder</w:t>
      </w:r>
      <w:r w:rsidR="006A6B17" w:rsidRPr="006A6B17">
        <w:t xml:space="preserve"> </w:t>
      </w:r>
      <w:r w:rsidR="00107425">
        <w:t xml:space="preserve">i </w:t>
      </w:r>
      <w:r w:rsidR="00056997">
        <w:t>vejledningen om faktorer for omsætning af løbende erstatning</w:t>
      </w:r>
      <w:r w:rsidR="00626ED4">
        <w:t xml:space="preserve"> for arbejdsskader</w:t>
      </w:r>
      <w:r w:rsidR="00056997">
        <w:t xml:space="preserve"> til kapitalbeløb</w:t>
      </w:r>
      <w:r w:rsidR="00107425">
        <w:t xml:space="preserve"> </w:t>
      </w:r>
      <w:r w:rsidR="006A6B17" w:rsidRPr="006A6B17">
        <w:t xml:space="preserve">og folkepensionsalderen, jf. lov om social pension, fratrukket 2 år, benyttes mellemliggende faktorer mellem faktoren for den højeste alder angivet i </w:t>
      </w:r>
      <w:r w:rsidR="001B1F77">
        <w:t>tabellen med faktorer for erstatningsophøret svarende til den laveste folkepensionsalder</w:t>
      </w:r>
      <w:r w:rsidR="001B1F77" w:rsidRPr="006A6B17" w:rsidDel="001B1F77">
        <w:t xml:space="preserve"> </w:t>
      </w:r>
      <w:r w:rsidR="00107425">
        <w:t xml:space="preserve">i </w:t>
      </w:r>
      <w:r w:rsidR="00056997">
        <w:t>vejledningen om faktorer for omsætning af løbende erstatning</w:t>
      </w:r>
      <w:r w:rsidR="00626ED4">
        <w:t xml:space="preserve"> for arbejdsskader</w:t>
      </w:r>
      <w:r w:rsidR="00056997">
        <w:t xml:space="preserve"> til kapitalbeløb</w:t>
      </w:r>
      <w:r w:rsidR="006A6B17" w:rsidRPr="006A6B17">
        <w:t xml:space="preserve"> og </w:t>
      </w:r>
      <w:r w:rsidR="00107425">
        <w:t xml:space="preserve">en faktor fastsat efter principperne for beskatning, jf. § </w:t>
      </w:r>
      <w:r w:rsidR="00F306C5">
        <w:t>8</w:t>
      </w:r>
      <w:r w:rsidR="00107425">
        <w:t>, nr. 4</w:t>
      </w:r>
      <w:r w:rsidR="006A6B17" w:rsidRPr="006A6B17">
        <w:t>.</w:t>
      </w:r>
    </w:p>
    <w:p w14:paraId="3154F150" w14:textId="31C0632E" w:rsidR="006A6B17" w:rsidRPr="006A6B17" w:rsidRDefault="00CB023A" w:rsidP="006A6B17">
      <w:r w:rsidRPr="00CB023A">
        <w:rPr>
          <w:i/>
        </w:rPr>
        <w:t xml:space="preserve">Stk. </w:t>
      </w:r>
      <w:r w:rsidR="002A2A09">
        <w:rPr>
          <w:i/>
        </w:rPr>
        <w:t>2</w:t>
      </w:r>
      <w:r w:rsidRPr="00CB023A">
        <w:rPr>
          <w:i/>
        </w:rPr>
        <w:t>.</w:t>
      </w:r>
      <w:r>
        <w:t xml:space="preserve"> </w:t>
      </w:r>
      <w:r w:rsidR="006A6B17" w:rsidRPr="006A6B17">
        <w:t xml:space="preserve">Når den tilskadekomne på tidspunktet for afgørelsen om erstatning for tab af er 2 år eller mindre fra at nå folkepensionsalderen, jf. lov om social pension, fastsættes kapitalbeløbet ved at gange den årlige erstatning på afgørelsestidspunktet med </w:t>
      </w:r>
      <w:r w:rsidR="00107425" w:rsidRPr="00107425">
        <w:t xml:space="preserve">en faktor fastsat efter principperne for beskatning, jf. § </w:t>
      </w:r>
      <w:r w:rsidR="00F306C5">
        <w:t>8</w:t>
      </w:r>
      <w:r w:rsidR="00107425" w:rsidRPr="00107425">
        <w:t>, nr. 4</w:t>
      </w:r>
      <w:r w:rsidR="006A6B17" w:rsidRPr="006A6B17">
        <w:t>. Det samme gælder tilskadekomne, der har nået folkepensionsalderen.</w:t>
      </w:r>
    </w:p>
    <w:p w14:paraId="0B9ECC91" w14:textId="609EE1AC" w:rsidR="00025DF3" w:rsidRDefault="00025DF3" w:rsidP="00025DF3"/>
    <w:p w14:paraId="61039EFA" w14:textId="73455B2A" w:rsidR="00025DF3" w:rsidRPr="00025DF3" w:rsidRDefault="00626ED4" w:rsidP="00025DF3">
      <w:pPr>
        <w:jc w:val="center"/>
        <w:rPr>
          <w:i/>
          <w:iCs/>
        </w:rPr>
      </w:pPr>
      <w:r>
        <w:rPr>
          <w:i/>
          <w:iCs/>
        </w:rPr>
        <w:t>A</w:t>
      </w:r>
      <w:r w:rsidR="00B71C37" w:rsidRPr="00B71C37">
        <w:rPr>
          <w:i/>
          <w:iCs/>
        </w:rPr>
        <w:t xml:space="preserve">rbejdsskader indtruffet </w:t>
      </w:r>
      <w:r w:rsidR="00025DF3" w:rsidRPr="00025DF3">
        <w:rPr>
          <w:i/>
          <w:iCs/>
        </w:rPr>
        <w:t>i tiden 1. juli 2007 til 31. december 2010</w:t>
      </w:r>
    </w:p>
    <w:p w14:paraId="3E30CFF8" w14:textId="24F04D38" w:rsidR="000349B4" w:rsidRDefault="000349B4" w:rsidP="000349B4">
      <w:pPr>
        <w:rPr>
          <w:i/>
        </w:rPr>
      </w:pPr>
      <w:r>
        <w:rPr>
          <w:b/>
        </w:rPr>
        <w:t xml:space="preserve">§ </w:t>
      </w:r>
      <w:r w:rsidR="009B65BF">
        <w:rPr>
          <w:b/>
        </w:rPr>
        <w:t>10</w:t>
      </w:r>
      <w:r w:rsidRPr="00D6556E">
        <w:rPr>
          <w:b/>
        </w:rPr>
        <w:t>.</w:t>
      </w:r>
      <w:r>
        <w:t xml:space="preserve"> </w:t>
      </w:r>
      <w:r w:rsidRPr="006A6B17">
        <w:t>En løbende erstatning for tab af erhvervsevne, tilkendt efter §§ 17 og 17</w:t>
      </w:r>
      <w:r w:rsidR="00B30351">
        <w:t xml:space="preserve"> </w:t>
      </w:r>
      <w:r w:rsidRPr="006A6B17">
        <w:t xml:space="preserve">a i lov om arbejdsskadesikring, omsættes til et kapitalbeløb ved at gange den årlige erstatning på omsætningstidspunktet med den </w:t>
      </w:r>
      <w:r>
        <w:t xml:space="preserve">relevante </w:t>
      </w:r>
      <w:r w:rsidRPr="006A6B17">
        <w:t>fak</w:t>
      </w:r>
      <w:r>
        <w:t>tor,</w:t>
      </w:r>
      <w:r w:rsidRPr="006A6B17">
        <w:t xml:space="preserve"> som står ud for den tilskadekomnes alder på omsætningstidspunktet</w:t>
      </w:r>
      <w:r>
        <w:t xml:space="preserve"> i vejledningen om faktorer for omsætning af løbende erstatning</w:t>
      </w:r>
      <w:r w:rsidR="00626ED4">
        <w:t xml:space="preserve"> for arbejdsskader</w:t>
      </w:r>
      <w:r>
        <w:t xml:space="preserve"> til kapitalbeløb</w:t>
      </w:r>
      <w:r w:rsidR="00626ED4">
        <w:t>.</w:t>
      </w:r>
    </w:p>
    <w:p w14:paraId="71A74444" w14:textId="68DB4F22" w:rsidR="000349B4" w:rsidRDefault="000349B4" w:rsidP="000349B4">
      <w:r w:rsidRPr="000B0553">
        <w:rPr>
          <w:b/>
        </w:rPr>
        <w:t xml:space="preserve">§ </w:t>
      </w:r>
      <w:r w:rsidR="009B65BF">
        <w:rPr>
          <w:b/>
        </w:rPr>
        <w:t>11</w:t>
      </w:r>
      <w:r w:rsidRPr="000B0553">
        <w:rPr>
          <w:b/>
        </w:rPr>
        <w:t>.</w:t>
      </w:r>
      <w:r>
        <w:t xml:space="preserve"> </w:t>
      </w:r>
      <w:r w:rsidRPr="006A6B17">
        <w:t>En løbende erstatning for tab af forsørger tilkendt efter § 20, stk. 2,</w:t>
      </w:r>
      <w:r w:rsidR="00F0523A">
        <w:t xml:space="preserve"> i lov om </w:t>
      </w:r>
      <w:r w:rsidR="00F0523A" w:rsidRPr="006A6B17">
        <w:t>arbejdsskadesikring</w:t>
      </w:r>
      <w:r w:rsidRPr="006A6B17">
        <w:t xml:space="preserve"> omsættes til et kapitalbeløb ved at gange den årlige erstatning på omsætningstidspunktet med den</w:t>
      </w:r>
      <w:r>
        <w:t xml:space="preserve"> relevante</w:t>
      </w:r>
      <w:r w:rsidRPr="006A6B17">
        <w:t xml:space="preserve"> faktor i </w:t>
      </w:r>
      <w:r>
        <w:t>vejledningen om faktorer for omsætning af løbende erstatning</w:t>
      </w:r>
      <w:r w:rsidR="00B30351">
        <w:t xml:space="preserve"> For arbejdsskader</w:t>
      </w:r>
      <w:r>
        <w:t xml:space="preserve"> til kapitalbeløb</w:t>
      </w:r>
      <w:r w:rsidRPr="006A6B17">
        <w:t>, som står ud for den efterladtes alder og restperioden af erstatningen på omsætningstidspunktet.</w:t>
      </w:r>
    </w:p>
    <w:p w14:paraId="06C6CAF5" w14:textId="77777777" w:rsidR="000349B4" w:rsidRDefault="000349B4" w:rsidP="00763152">
      <w:pPr>
        <w:jc w:val="both"/>
        <w:rPr>
          <w:b/>
          <w:iCs/>
        </w:rPr>
      </w:pPr>
    </w:p>
    <w:p w14:paraId="7ED670F1" w14:textId="09D2B6A8" w:rsidR="00763152" w:rsidRPr="00D10F53" w:rsidRDefault="00763152" w:rsidP="00763152">
      <w:pPr>
        <w:jc w:val="both"/>
      </w:pPr>
      <w:r>
        <w:rPr>
          <w:b/>
          <w:iCs/>
        </w:rPr>
        <w:t xml:space="preserve">§ </w:t>
      </w:r>
      <w:r w:rsidR="009B65BF">
        <w:rPr>
          <w:b/>
          <w:iCs/>
        </w:rPr>
        <w:t>12</w:t>
      </w:r>
      <w:r>
        <w:rPr>
          <w:b/>
          <w:iCs/>
        </w:rPr>
        <w:t xml:space="preserve">. </w:t>
      </w:r>
      <w:r w:rsidRPr="00D10F53">
        <w:t xml:space="preserve">Faktorerne </w:t>
      </w:r>
      <w:r w:rsidRPr="00107425">
        <w:t xml:space="preserve">for omsætning af løbende </w:t>
      </w:r>
      <w:r w:rsidR="008C7847">
        <w:t>erstatning</w:t>
      </w:r>
      <w:r w:rsidRPr="00107425">
        <w:t xml:space="preserve"> til kapitalbeløb fastsættes</w:t>
      </w:r>
      <w:r w:rsidRPr="00D10F53" w:rsidDel="00763152">
        <w:t xml:space="preserve"> </w:t>
      </w:r>
      <w:r w:rsidRPr="00D10F53">
        <w:t>på grundlag af følgende forudsætninger:</w:t>
      </w:r>
    </w:p>
    <w:p w14:paraId="03B7D613" w14:textId="5EA3C22E" w:rsidR="00763152" w:rsidRPr="00D10F53" w:rsidRDefault="00763152" w:rsidP="00763152">
      <w:pPr>
        <w:jc w:val="both"/>
      </w:pPr>
      <w:r w:rsidRPr="00D10F53">
        <w:t xml:space="preserve">1) En dødelighed for erstatningsmodtageren </w:t>
      </w:r>
      <w:r w:rsidR="0023707A" w:rsidRPr="00CB023A">
        <w:t xml:space="preserve">fastsat som et simpelt gennemsnit af mænds og kvinders dødelighed </w:t>
      </w:r>
      <w:r w:rsidRPr="00D10F53">
        <w:t>som fastsat i det tekniske livsgrundlag G82.</w:t>
      </w:r>
    </w:p>
    <w:p w14:paraId="3E9C4895" w14:textId="73B6095E" w:rsidR="00763152" w:rsidRPr="00D10F53" w:rsidRDefault="00763152" w:rsidP="00763152">
      <w:pPr>
        <w:jc w:val="both"/>
      </w:pPr>
      <w:r w:rsidRPr="00D10F53">
        <w:t>2) En rentefo</w:t>
      </w:r>
      <w:r>
        <w:t>d</w:t>
      </w:r>
      <w:r w:rsidR="001F07B2">
        <w:t xml:space="preserve"> på 5,25 pct. p.a.</w:t>
      </w:r>
      <w:r w:rsidRPr="00D10F53">
        <w:t xml:space="preserve">, fastsat som gennemsnittet af de af Nationalbanken opgjorte årsgennemsnitlige effektive renter for 30-årige realkreditobligationer </w:t>
      </w:r>
      <w:r w:rsidR="001F07B2">
        <w:t>for årene 2004 til 2008</w:t>
      </w:r>
      <w:r>
        <w:t>.</w:t>
      </w:r>
    </w:p>
    <w:p w14:paraId="0C994004" w14:textId="7115267F" w:rsidR="00763152" w:rsidRPr="00D10F53" w:rsidRDefault="00763152" w:rsidP="00763152">
      <w:pPr>
        <w:jc w:val="both"/>
      </w:pPr>
      <w:r w:rsidRPr="00D10F53">
        <w:t>3) En beskatning af kapitalafkast</w:t>
      </w:r>
      <w:r w:rsidR="001F07B2">
        <w:t xml:space="preserve"> på 38,59 pct.</w:t>
      </w:r>
      <w:r w:rsidRPr="00D10F53">
        <w:t xml:space="preserve">, fastsat som summen af satserne for indkomståret </w:t>
      </w:r>
      <w:r w:rsidR="001F07B2">
        <w:t xml:space="preserve">2009 </w:t>
      </w:r>
      <w:r w:rsidRPr="00D10F53">
        <w:t>for bundskatten</w:t>
      </w:r>
      <w:r w:rsidR="001F07B2">
        <w:t xml:space="preserve"> (5,04 pct.)</w:t>
      </w:r>
      <w:r w:rsidRPr="00D10F53">
        <w:t>, jf. lov om indkomstskat for personer mv. (personskatteloven), sundhedsbidraget</w:t>
      </w:r>
      <w:r w:rsidR="001F07B2">
        <w:t xml:space="preserve"> (8,0 pct.)</w:t>
      </w:r>
      <w:r w:rsidRPr="00D10F53">
        <w:t xml:space="preserve">, den landsgennemsnitlige kommuneskat </w:t>
      </w:r>
      <w:r w:rsidR="004D5C2F" w:rsidRPr="004D5C2F">
        <w:t xml:space="preserve">(24,82 pct.) </w:t>
      </w:r>
      <w:r w:rsidRPr="00D10F53">
        <w:t>og den landsgennemsnitlige kirkeskat</w:t>
      </w:r>
      <w:r w:rsidR="004D5C2F">
        <w:t xml:space="preserve"> </w:t>
      </w:r>
      <w:r w:rsidR="004D5C2F" w:rsidRPr="004D5C2F">
        <w:t>(0,73 pct.)</w:t>
      </w:r>
      <w:r w:rsidRPr="00D10F53">
        <w:t>.</w:t>
      </w:r>
    </w:p>
    <w:p w14:paraId="6E39A2A8" w14:textId="7F1A1325" w:rsidR="00763152" w:rsidRPr="00D10F53" w:rsidRDefault="00763152" w:rsidP="00763152">
      <w:pPr>
        <w:jc w:val="both"/>
      </w:pPr>
      <w:r w:rsidRPr="00D10F53">
        <w:t>4) En beskatning af løbende ydelse</w:t>
      </w:r>
      <w:r w:rsidR="004D5C2F">
        <w:t xml:space="preserve"> på </w:t>
      </w:r>
      <w:r w:rsidR="004D5C2F" w:rsidRPr="004D5C2F">
        <w:t>41,59 pct.</w:t>
      </w:r>
      <w:r w:rsidRPr="00D10F53">
        <w:t>, fastsat som gennemsnittet af henholdsvis summen af satserne for bundskatten</w:t>
      </w:r>
      <w:r w:rsidR="004D5C2F">
        <w:t xml:space="preserve"> </w:t>
      </w:r>
      <w:r w:rsidR="004D5C2F" w:rsidRPr="004D5C2F">
        <w:t>(5,04 pct.)</w:t>
      </w:r>
      <w:r w:rsidRPr="00D10F53">
        <w:t>, jf. lov om indkomstskat for personer mv. (personskatteloven), sundhedsbidraget</w:t>
      </w:r>
      <w:r w:rsidR="004D5C2F">
        <w:t xml:space="preserve"> </w:t>
      </w:r>
      <w:r w:rsidR="004D5C2F" w:rsidRPr="004D5C2F">
        <w:t>(8,0 pct.)</w:t>
      </w:r>
      <w:r w:rsidRPr="00D10F53">
        <w:t xml:space="preserve">, den landsgennemsnitlige kommuneskat </w:t>
      </w:r>
      <w:r w:rsidR="004D5C2F" w:rsidRPr="004D5C2F">
        <w:t xml:space="preserve">(24,82 pct.) </w:t>
      </w:r>
      <w:r w:rsidR="004D5C2F">
        <w:t xml:space="preserve"> </w:t>
      </w:r>
      <w:r w:rsidRPr="00D10F53">
        <w:t xml:space="preserve">og den landsgennemsnitlige kirkeskat </w:t>
      </w:r>
      <w:r w:rsidR="004D5C2F" w:rsidRPr="004D5C2F">
        <w:t xml:space="preserve">(0,73 pct.) </w:t>
      </w:r>
      <w:r w:rsidRPr="00D10F53">
        <w:t xml:space="preserve">og summen af satserne for bundskatten </w:t>
      </w:r>
      <w:r w:rsidR="004D5C2F" w:rsidRPr="004D5C2F">
        <w:t xml:space="preserve">(5,04 pct.) </w:t>
      </w:r>
      <w:r w:rsidRPr="00D10F53">
        <w:t>og mellemskatten</w:t>
      </w:r>
      <w:r w:rsidR="004D5C2F">
        <w:t xml:space="preserve"> </w:t>
      </w:r>
      <w:r w:rsidR="004D5C2F" w:rsidRPr="004D5C2F">
        <w:t>(6,0 pct.)</w:t>
      </w:r>
      <w:r w:rsidRPr="00D10F53">
        <w:t>, jf. lov om indkomstskat for personer mv. (personskatteloven), sundhedsbidraget</w:t>
      </w:r>
      <w:r w:rsidR="004D5C2F">
        <w:t xml:space="preserve"> </w:t>
      </w:r>
      <w:r w:rsidR="004D5C2F" w:rsidRPr="004D5C2F">
        <w:t>(8,0 pct.)</w:t>
      </w:r>
      <w:r w:rsidRPr="00D10F53">
        <w:t xml:space="preserve">, den landsgennemsnitlige kommuneskat </w:t>
      </w:r>
      <w:r w:rsidR="004D5C2F" w:rsidRPr="004D5C2F">
        <w:t xml:space="preserve">(24,82 pct.) </w:t>
      </w:r>
      <w:r w:rsidRPr="00D10F53">
        <w:t>og den landsgennemsnitlige kirkeskat</w:t>
      </w:r>
      <w:r w:rsidR="004D5C2F">
        <w:t xml:space="preserve"> </w:t>
      </w:r>
      <w:r w:rsidR="004D5C2F" w:rsidRPr="004D5C2F">
        <w:t>(0,73 pct.)</w:t>
      </w:r>
      <w:r w:rsidRPr="00D10F53">
        <w:t>.</w:t>
      </w:r>
    </w:p>
    <w:p w14:paraId="3421F2A1" w14:textId="29926026" w:rsidR="00763152" w:rsidRPr="00D10F53" w:rsidRDefault="00763152" w:rsidP="00763152">
      <w:pPr>
        <w:jc w:val="both"/>
      </w:pPr>
      <w:r w:rsidRPr="00D10F53">
        <w:lastRenderedPageBreak/>
        <w:t>5) En løntalsregulering af løbende ydelse</w:t>
      </w:r>
      <w:r w:rsidR="004D5C2F">
        <w:t xml:space="preserve"> </w:t>
      </w:r>
      <w:r w:rsidR="004D5C2F" w:rsidRPr="004D5C2F">
        <w:t>på 3,12 pct. årligt</w:t>
      </w:r>
      <w:r w:rsidRPr="00D10F53">
        <w:t>, fastsat som gennemsnittet af 2,0 pct. tillagt tilpasningsprocenten, jf. lov om en satsreguleringsprocent,</w:t>
      </w:r>
      <w:r>
        <w:t xml:space="preserve"> </w:t>
      </w:r>
      <w:r w:rsidR="004D5C2F">
        <w:rPr>
          <w:rFonts w:ascii="Questa-Regular" w:hAnsi="Questa-Regular"/>
          <w:color w:val="212529"/>
          <w:sz w:val="23"/>
          <w:szCs w:val="23"/>
          <w:shd w:val="clear" w:color="auto" w:fill="F9F9FB"/>
        </w:rPr>
        <w:t> </w:t>
      </w:r>
      <w:r w:rsidR="004D5C2F" w:rsidRPr="000C4389">
        <w:t>for årene 2006 til 2010</w:t>
      </w:r>
      <w:r w:rsidRPr="00D10F53">
        <w:t>.</w:t>
      </w:r>
    </w:p>
    <w:p w14:paraId="13129BA7" w14:textId="4F25F936" w:rsidR="00763152" w:rsidRPr="00C72053" w:rsidRDefault="00763152" w:rsidP="00025DF3">
      <w:pPr>
        <w:rPr>
          <w:b/>
          <w:iCs/>
        </w:rPr>
      </w:pPr>
    </w:p>
    <w:p w14:paraId="0AE78F0D" w14:textId="538C2A6F" w:rsidR="00025DF3" w:rsidRPr="00025DF3" w:rsidRDefault="002A2A09" w:rsidP="00025DF3">
      <w:r w:rsidRPr="00C72053">
        <w:rPr>
          <w:b/>
          <w:iCs/>
        </w:rPr>
        <w:t>§ 1</w:t>
      </w:r>
      <w:r w:rsidR="009B65BF">
        <w:rPr>
          <w:b/>
          <w:iCs/>
        </w:rPr>
        <w:t>3</w:t>
      </w:r>
      <w:r w:rsidR="00160B76" w:rsidRPr="00C72053">
        <w:rPr>
          <w:b/>
        </w:rPr>
        <w:t>.</w:t>
      </w:r>
      <w:r w:rsidR="00160B76">
        <w:t xml:space="preserve"> </w:t>
      </w:r>
      <w:r w:rsidR="00025DF3" w:rsidRPr="00025DF3">
        <w:t xml:space="preserve">Når den tilskadekomnes alder opgjort i år og måneder ligger mellem den højeste alder angivet i </w:t>
      </w:r>
      <w:r w:rsidR="001B1F77" w:rsidRPr="001B1F77">
        <w:t xml:space="preserve"> </w:t>
      </w:r>
      <w:r w:rsidR="001B1F77">
        <w:t>tabellen med faktorer for erstatningsophøret svarende til den laveste folkepensionsalder</w:t>
      </w:r>
      <w:r w:rsidR="00763152">
        <w:t xml:space="preserve"> i </w:t>
      </w:r>
      <w:r w:rsidR="00056997">
        <w:t>vejledningen om faktorer for omsætning af løbende erstatning</w:t>
      </w:r>
      <w:r w:rsidR="00B30351">
        <w:t xml:space="preserve"> for arbejdsskader</w:t>
      </w:r>
      <w:r w:rsidR="00056997">
        <w:t xml:space="preserve"> til kapitalbeløb </w:t>
      </w:r>
      <w:r w:rsidR="00025DF3" w:rsidRPr="00025DF3">
        <w:t xml:space="preserve">og folkepensionsalderen, jf. lov om social pension, fratrukket 2 år, benyttes mellemliggende faktorer mellem faktoren for den højeste alder angivet i </w:t>
      </w:r>
      <w:r w:rsidR="001B1F77">
        <w:t>tabellen med faktorer for erstatningsophøret svarende til den laveste folkepensionsalder</w:t>
      </w:r>
      <w:r w:rsidR="00025DF3" w:rsidRPr="00025DF3">
        <w:t xml:space="preserve"> og </w:t>
      </w:r>
      <w:r w:rsidR="00763152">
        <w:t xml:space="preserve">en faktor fastsat efter principperne for beskatning, jf. </w:t>
      </w:r>
      <w:r w:rsidR="002D2ABA">
        <w:t>9</w:t>
      </w:r>
      <w:r w:rsidR="00763152">
        <w:t>, nr. 4</w:t>
      </w:r>
      <w:r w:rsidR="00025DF3" w:rsidRPr="00025DF3">
        <w:t>.</w:t>
      </w:r>
    </w:p>
    <w:p w14:paraId="7067AEA0" w14:textId="427BFDAF" w:rsidR="00025DF3" w:rsidRPr="00025DF3" w:rsidRDefault="00160B76" w:rsidP="00025DF3">
      <w:r w:rsidRPr="00160B76">
        <w:rPr>
          <w:i/>
        </w:rPr>
        <w:t xml:space="preserve">Stk. </w:t>
      </w:r>
      <w:r w:rsidR="002A2A09">
        <w:rPr>
          <w:i/>
        </w:rPr>
        <w:t>2</w:t>
      </w:r>
      <w:r w:rsidRPr="00160B76">
        <w:rPr>
          <w:i/>
        </w:rPr>
        <w:t>.</w:t>
      </w:r>
      <w:r>
        <w:t xml:space="preserve"> </w:t>
      </w:r>
      <w:r w:rsidR="00025DF3" w:rsidRPr="00025DF3">
        <w:t>Når den tilskadekomne på tidspunktet for afgørelsen om erstatning for tab af erhvervsevne eller forsikringsselskabets</w:t>
      </w:r>
      <w:r w:rsidR="007208C3">
        <w:t xml:space="preserve"> eller </w:t>
      </w:r>
      <w:r w:rsidR="00025DF3" w:rsidRPr="00025DF3">
        <w:t xml:space="preserve">Arbejdsmarkedets Erhvervssikrings stillingtagen efter § 15, stk. 3, er 2 år eller mindre fra at nå folkepensionsalderen, jf. § 1a i lov om social pension, fastsættes kapitalbeløbet ved at gange den årlige erstatning på afgørelsestidspunktet med </w:t>
      </w:r>
      <w:r w:rsidR="00763152">
        <w:t xml:space="preserve">en faktor fastsat efter principperne for beskatning, jf. § </w:t>
      </w:r>
      <w:r w:rsidR="002D2ABA">
        <w:t>9</w:t>
      </w:r>
      <w:r w:rsidR="00763152">
        <w:t>, nr. 4</w:t>
      </w:r>
      <w:r w:rsidR="00025DF3" w:rsidRPr="00025DF3">
        <w:t>. Det samme gælder tilskadekomne, der har nået folkepensionsalderen.</w:t>
      </w:r>
    </w:p>
    <w:p w14:paraId="39E5F4B7" w14:textId="77777777" w:rsidR="00D10F53" w:rsidRDefault="00D10F53" w:rsidP="009D6798">
      <w:pPr>
        <w:jc w:val="both"/>
      </w:pPr>
    </w:p>
    <w:p w14:paraId="2176D9C0" w14:textId="77777777" w:rsidR="00160B76" w:rsidRPr="00025DF3" w:rsidRDefault="00160B76" w:rsidP="00025DF3"/>
    <w:p w14:paraId="031C81DF" w14:textId="7D3E1EF0" w:rsidR="00025DF3" w:rsidRPr="00025DF3" w:rsidRDefault="00B30351" w:rsidP="00160B76">
      <w:pPr>
        <w:jc w:val="center"/>
        <w:rPr>
          <w:i/>
          <w:iCs/>
        </w:rPr>
      </w:pPr>
      <w:r>
        <w:rPr>
          <w:i/>
          <w:iCs/>
        </w:rPr>
        <w:t>U</w:t>
      </w:r>
      <w:r w:rsidR="00025DF3" w:rsidRPr="00025DF3">
        <w:rPr>
          <w:i/>
          <w:iCs/>
        </w:rPr>
        <w:t>lykker indtrådt i tiden 1. januar 2004 til 30. juni 2007 og erhvervssygdomme anmeldt i tiden 1. januar 2005 til 30. juni 2007</w:t>
      </w:r>
    </w:p>
    <w:p w14:paraId="5B9F3B64" w14:textId="465CEAB4" w:rsidR="000349B4" w:rsidRDefault="000349B4" w:rsidP="000349B4">
      <w:pPr>
        <w:rPr>
          <w:i/>
        </w:rPr>
      </w:pPr>
      <w:r>
        <w:rPr>
          <w:b/>
        </w:rPr>
        <w:t xml:space="preserve">§ </w:t>
      </w:r>
      <w:r w:rsidR="009B65BF">
        <w:rPr>
          <w:b/>
        </w:rPr>
        <w:t>14</w:t>
      </w:r>
      <w:r w:rsidRPr="00D6556E">
        <w:rPr>
          <w:b/>
        </w:rPr>
        <w:t>.</w:t>
      </w:r>
      <w:r>
        <w:t xml:space="preserve"> </w:t>
      </w:r>
      <w:r w:rsidRPr="006A6B17">
        <w:t xml:space="preserve">En løbende erstatning for tab af erhvervsevne, tilkendt efter §§ 17 og 17a i lov om arbejdsskadesikring, omsættes til et kapitalbeløb ved at gange den årlige erstatning på omsætningstidspunktet med den </w:t>
      </w:r>
      <w:r>
        <w:t xml:space="preserve">relevante </w:t>
      </w:r>
      <w:r w:rsidRPr="006A6B17">
        <w:t>fak</w:t>
      </w:r>
      <w:r>
        <w:t>tor,</w:t>
      </w:r>
      <w:r w:rsidRPr="006A6B17">
        <w:t xml:space="preserve"> som står ud for den tilskadekomnes alder på omsætningstidspunktet</w:t>
      </w:r>
      <w:r>
        <w:t xml:space="preserve"> i vejledningen om faktorer for omsætning af løbende erstatning</w:t>
      </w:r>
      <w:r w:rsidR="00AA6C5B">
        <w:t xml:space="preserve"> for arbejdsskader</w:t>
      </w:r>
      <w:r>
        <w:t xml:space="preserve"> til kapitalbeløb</w:t>
      </w:r>
      <w:r w:rsidR="00AA6C5B">
        <w:t>.</w:t>
      </w:r>
    </w:p>
    <w:p w14:paraId="06B6580E" w14:textId="6A78C29A" w:rsidR="000349B4" w:rsidRDefault="000349B4" w:rsidP="000349B4">
      <w:r w:rsidRPr="000B0553">
        <w:rPr>
          <w:b/>
        </w:rPr>
        <w:t xml:space="preserve">§ </w:t>
      </w:r>
      <w:r w:rsidR="009B65BF">
        <w:rPr>
          <w:b/>
        </w:rPr>
        <w:t>15</w:t>
      </w:r>
      <w:r w:rsidRPr="000B0553">
        <w:rPr>
          <w:b/>
        </w:rPr>
        <w:t>.</w:t>
      </w:r>
      <w:r>
        <w:t xml:space="preserve"> </w:t>
      </w:r>
      <w:r w:rsidRPr="006A6B17">
        <w:t xml:space="preserve">En løbende erstatning for tab af forsørger tilkendt efter § 20, stk. 2, </w:t>
      </w:r>
      <w:r w:rsidR="00AA6C5B">
        <w:t xml:space="preserve">i lov om </w:t>
      </w:r>
      <w:r w:rsidR="00AA6C5B" w:rsidRPr="006A6B17">
        <w:t xml:space="preserve">arbejdsskadesikring </w:t>
      </w:r>
      <w:r w:rsidRPr="006A6B17">
        <w:t>omsættes til et kapitalbeløb ved at gange den årlige erstatning på omsætningstidspunktet med den</w:t>
      </w:r>
      <w:r>
        <w:t xml:space="preserve"> relevante</w:t>
      </w:r>
      <w:r w:rsidRPr="006A6B17">
        <w:t xml:space="preserve"> faktor i </w:t>
      </w:r>
      <w:r>
        <w:t>vejledningen om faktorer for omsætning af løbende erstatning</w:t>
      </w:r>
      <w:r w:rsidR="00AA6C5B">
        <w:t xml:space="preserve"> for arbejdsskader</w:t>
      </w:r>
      <w:r>
        <w:t xml:space="preserve"> til kapitalbeløb</w:t>
      </w:r>
      <w:r w:rsidRPr="006A6B17">
        <w:t>, som står ud for den efterladtes alder og restperioden af erstatningen på omsætningstidspunktet.</w:t>
      </w:r>
    </w:p>
    <w:p w14:paraId="31CAD838" w14:textId="5A4B6BB1" w:rsidR="009D1C40" w:rsidRDefault="009D1C40" w:rsidP="00025DF3"/>
    <w:p w14:paraId="0F699B0D" w14:textId="34660644" w:rsidR="009C509F" w:rsidRDefault="007208C3" w:rsidP="00025DF3">
      <w:r w:rsidRPr="007208C3">
        <w:rPr>
          <w:b/>
        </w:rPr>
        <w:t>§ 1</w:t>
      </w:r>
      <w:r w:rsidR="009B65BF">
        <w:rPr>
          <w:b/>
        </w:rPr>
        <w:t>6</w:t>
      </w:r>
      <w:r w:rsidRPr="007208C3">
        <w:rPr>
          <w:b/>
        </w:rPr>
        <w:t>.</w:t>
      </w:r>
      <w:r>
        <w:t xml:space="preserve"> </w:t>
      </w:r>
      <w:r w:rsidR="00C7337D" w:rsidRPr="00C7337D">
        <w:t>Faktorerne for omsætning af løbende erstatning til kapitalbeløb fastsættes på grundlag af følgende forudsætninger</w:t>
      </w:r>
      <w:r w:rsidR="00C7337D">
        <w:t>:</w:t>
      </w:r>
    </w:p>
    <w:p w14:paraId="6453E389" w14:textId="72437A96" w:rsidR="00C7337D" w:rsidRDefault="00C7337D" w:rsidP="00C7337D">
      <w:r>
        <w:t xml:space="preserve">1) En dødelighed for erstatningsmodtageren </w:t>
      </w:r>
      <w:r w:rsidR="00111264" w:rsidRPr="00111264">
        <w:t xml:space="preserve">fastsat som et simpelt gennemsnit af mænds og kvinders dødelighed som fastsat i </w:t>
      </w:r>
      <w:r>
        <w:t>det tekniske ulykkesgrundlag U74.</w:t>
      </w:r>
    </w:p>
    <w:p w14:paraId="32DE6DDB" w14:textId="4AA5C586" w:rsidR="009C509F" w:rsidRDefault="00C7337D" w:rsidP="00C7337D">
      <w:r>
        <w:t xml:space="preserve">2) En grundlagsrente på 10 pct. </w:t>
      </w:r>
      <w:r w:rsidR="001601DD">
        <w:rPr>
          <w:rFonts w:ascii="Questa-Regular" w:hAnsi="Questa-Regular"/>
          <w:color w:val="212529"/>
          <w:sz w:val="23"/>
          <w:szCs w:val="23"/>
          <w:shd w:val="clear" w:color="auto" w:fill="F9F9FB"/>
        </w:rPr>
        <w:t xml:space="preserve">p.a. </w:t>
      </w:r>
      <w:r>
        <w:t>som fastsat i det tekniske ulykkesgrundlag U74</w:t>
      </w:r>
      <w:r w:rsidR="00244E72">
        <w:t>,10%</w:t>
      </w:r>
      <w:r>
        <w:t>.</w:t>
      </w:r>
    </w:p>
    <w:p w14:paraId="69F085CD" w14:textId="77777777" w:rsidR="00C7337D" w:rsidRPr="00025DF3" w:rsidRDefault="00C7337D" w:rsidP="00C7337D"/>
    <w:p w14:paraId="093F640D" w14:textId="059868ED" w:rsidR="00025DF3" w:rsidRPr="00025DF3" w:rsidRDefault="00AA6C5B" w:rsidP="00E70683">
      <w:pPr>
        <w:jc w:val="center"/>
        <w:rPr>
          <w:i/>
          <w:iCs/>
        </w:rPr>
      </w:pPr>
      <w:r>
        <w:rPr>
          <w:i/>
          <w:iCs/>
        </w:rPr>
        <w:t>U</w:t>
      </w:r>
      <w:r w:rsidR="00025DF3" w:rsidRPr="00025DF3">
        <w:rPr>
          <w:i/>
          <w:iCs/>
        </w:rPr>
        <w:t>lykker, kortvarige skadelige påvirkninger og pludselige løfteskader indtrådt i tiden 1. april 1978 til 31. december 2003 og erhvervssygdomme anmeldt i tiden 1. april 1978 til 31. december 200</w:t>
      </w:r>
      <w:r w:rsidR="00D70F2D">
        <w:rPr>
          <w:i/>
          <w:iCs/>
        </w:rPr>
        <w:t>4</w:t>
      </w:r>
    </w:p>
    <w:p w14:paraId="1025D512" w14:textId="2B1FB542" w:rsidR="00B23CFE" w:rsidRDefault="00B23CFE" w:rsidP="00025DF3">
      <w:r w:rsidRPr="00AA6C5B">
        <w:rPr>
          <w:b/>
        </w:rPr>
        <w:t xml:space="preserve">§ </w:t>
      </w:r>
      <w:r w:rsidR="009B65BF">
        <w:rPr>
          <w:b/>
        </w:rPr>
        <w:t>17</w:t>
      </w:r>
      <w:r w:rsidRPr="00AA6C5B">
        <w:rPr>
          <w:b/>
        </w:rPr>
        <w:t>.</w:t>
      </w:r>
      <w:r>
        <w:rPr>
          <w:b/>
        </w:rPr>
        <w:t xml:space="preserve"> </w:t>
      </w:r>
      <w:r w:rsidRPr="00B23CFE">
        <w:t>En løbende erstatning</w:t>
      </w:r>
      <w:r>
        <w:t xml:space="preserve"> for tab af erhvervsevne, tilkendt efter § 32 i lov om sikring mod følger af arbejdsskade, omsættes til et kapitalbeløb ved at gange den årlige erstatning på omsætningstidspunktet med </w:t>
      </w:r>
      <w:r>
        <w:lastRenderedPageBreak/>
        <w:t>den relevante faktor</w:t>
      </w:r>
      <w:r w:rsidRPr="00B23CFE">
        <w:t>, som står ud for den tilskadekomnes alder på omsætningstidspunktet i vejledningen om faktorer for omsætning af løbende erstatning</w:t>
      </w:r>
      <w:r w:rsidR="00AA6C5B">
        <w:t xml:space="preserve"> for arbejdsskader</w:t>
      </w:r>
      <w:r w:rsidRPr="00B23CFE">
        <w:t xml:space="preserve"> til kapitalbeløb</w:t>
      </w:r>
      <w:r w:rsidR="00AA6C5B">
        <w:t>.</w:t>
      </w:r>
    </w:p>
    <w:p w14:paraId="244258C8" w14:textId="77777777" w:rsidR="004E01B2" w:rsidRDefault="004E01B2" w:rsidP="004E01B2">
      <w:r>
        <w:rPr>
          <w:b/>
        </w:rPr>
        <w:t xml:space="preserve">§ 18. </w:t>
      </w:r>
      <w:r w:rsidRPr="004E01B2">
        <w:t>En løbende erstatning for tab af forsørger, tilkendt efter § 36, stk. 2, i lov om sikring mod følger af arbejdsskade,</w:t>
      </w:r>
      <w:r>
        <w:rPr>
          <w:b/>
        </w:rPr>
        <w:t xml:space="preserve"> </w:t>
      </w:r>
      <w:r w:rsidRPr="006A6B17">
        <w:t>omsættes til et kapitalbeløb ved at gange den årlige erstatning på omsætningstidspunktet med den</w:t>
      </w:r>
      <w:r>
        <w:t xml:space="preserve"> relevante</w:t>
      </w:r>
      <w:r w:rsidRPr="006A6B17">
        <w:t xml:space="preserve"> faktor i </w:t>
      </w:r>
      <w:r>
        <w:t>vejledningen om faktorer for omsætning af løbende erstatning for arbejdsskader til kapitalbeløb</w:t>
      </w:r>
      <w:r w:rsidRPr="006A6B17">
        <w:t>, som står ud for den efterladtes alder og restperioden af erstatningen på omsætningstidspunktet.</w:t>
      </w:r>
    </w:p>
    <w:p w14:paraId="7A7969E8" w14:textId="25AE215B" w:rsidR="004E01B2" w:rsidRDefault="004E01B2" w:rsidP="00025DF3">
      <w:pPr>
        <w:rPr>
          <w:b/>
        </w:rPr>
      </w:pPr>
    </w:p>
    <w:p w14:paraId="48EC57F8" w14:textId="42FDF35C" w:rsidR="00025DF3" w:rsidRDefault="002A2A09" w:rsidP="00025DF3">
      <w:r>
        <w:rPr>
          <w:b/>
        </w:rPr>
        <w:t>§ 1</w:t>
      </w:r>
      <w:r w:rsidR="004E01B2">
        <w:rPr>
          <w:b/>
        </w:rPr>
        <w:t>9</w:t>
      </w:r>
      <w:r w:rsidR="00763152" w:rsidRPr="00C72053">
        <w:rPr>
          <w:b/>
        </w:rPr>
        <w:t>.</w:t>
      </w:r>
      <w:r w:rsidR="00763152">
        <w:t xml:space="preserve"> </w:t>
      </w:r>
      <w:r w:rsidR="00111264" w:rsidRPr="00111264">
        <w:t xml:space="preserve">Faktorerne for omsætning af løbende erstatning til kapitalbeløb fastsættes på grundlag af følgende forudsætninger: </w:t>
      </w:r>
    </w:p>
    <w:p w14:paraId="33749C11" w14:textId="77777777" w:rsidR="00111264" w:rsidRDefault="00111264" w:rsidP="00111264">
      <w:r>
        <w:t xml:space="preserve">1) En dødelighed for erstatningsmodtageren </w:t>
      </w:r>
      <w:r w:rsidRPr="00111264">
        <w:t xml:space="preserve">fastsat som et simpelt gennemsnit af mænds og kvinders dødelighed som fastsat i </w:t>
      </w:r>
      <w:r>
        <w:t>det tekniske ulykkesgrundlag U74.</w:t>
      </w:r>
    </w:p>
    <w:p w14:paraId="5A18C5E6" w14:textId="2E125F70" w:rsidR="00111264" w:rsidRDefault="00111264" w:rsidP="00111264">
      <w:r>
        <w:t xml:space="preserve">2) En grundlagsrente på 10 pct. </w:t>
      </w:r>
      <w:r>
        <w:rPr>
          <w:rFonts w:ascii="Questa-Regular" w:hAnsi="Questa-Regular"/>
          <w:color w:val="212529"/>
          <w:sz w:val="23"/>
          <w:szCs w:val="23"/>
          <w:shd w:val="clear" w:color="auto" w:fill="F9F9FB"/>
        </w:rPr>
        <w:t xml:space="preserve">p.a. </w:t>
      </w:r>
      <w:r>
        <w:t>som fastsat i det tekniske ulykkesgrundlag U74</w:t>
      </w:r>
      <w:r w:rsidR="00AD3E39">
        <w:t>,10%</w:t>
      </w:r>
      <w:r>
        <w:t>.</w:t>
      </w:r>
    </w:p>
    <w:p w14:paraId="45BD9860" w14:textId="77777777" w:rsidR="00111264" w:rsidRPr="00025DF3" w:rsidRDefault="00111264" w:rsidP="00111264"/>
    <w:p w14:paraId="2DF79EEF" w14:textId="59FEEA58" w:rsidR="00025DF3" w:rsidRPr="00025DF3" w:rsidRDefault="00BD22B1" w:rsidP="00025DF3">
      <w:r w:rsidRPr="00C72053">
        <w:rPr>
          <w:b/>
        </w:rPr>
        <w:t xml:space="preserve">§ </w:t>
      </w:r>
      <w:r w:rsidR="004E01B2">
        <w:rPr>
          <w:b/>
        </w:rPr>
        <w:t>20</w:t>
      </w:r>
      <w:r w:rsidRPr="00C72053">
        <w:rPr>
          <w:b/>
        </w:rPr>
        <w:t>.</w:t>
      </w:r>
      <w:r w:rsidR="009D1C40" w:rsidRPr="00C72053">
        <w:rPr>
          <w:b/>
        </w:rPr>
        <w:t xml:space="preserve"> </w:t>
      </w:r>
      <w:r w:rsidR="00025DF3" w:rsidRPr="00025DF3">
        <w:t xml:space="preserve">Når en efterladt er berettiget til et afløsningsbeløb efter § 36, stk. 5, i lov om sikring mod følger af arbejdsskade, ved det fyldte 65. år, skal kapitalbeløbet forhøjes med et beløb, der beregnes ved at gange den årlige erstatning med den faktor i </w:t>
      </w:r>
      <w:r w:rsidR="001B1F77">
        <w:t>tabellen for værdi af afløsningsbeløb ved det fyldte 65. år</w:t>
      </w:r>
      <w:r w:rsidR="006E4897">
        <w:t xml:space="preserve"> i vejledning om faktorer for omsætning af løbende </w:t>
      </w:r>
      <w:r w:rsidR="008C7847">
        <w:t>erstatning</w:t>
      </w:r>
      <w:r w:rsidR="00AA6C5B">
        <w:t xml:space="preserve"> for arbejdsskader</w:t>
      </w:r>
      <w:r w:rsidR="006E4897">
        <w:t xml:space="preserve"> til kapitalbeløb</w:t>
      </w:r>
      <w:r w:rsidR="00025DF3" w:rsidRPr="00025DF3">
        <w:t>, der står ud for den efterladtes alder på omsætningstidspunktet.</w:t>
      </w:r>
    </w:p>
    <w:p w14:paraId="0F990880" w14:textId="44296700" w:rsidR="00025DF3" w:rsidRPr="00025DF3" w:rsidRDefault="009D1C40" w:rsidP="00025DF3">
      <w:r w:rsidRPr="009D1C40">
        <w:rPr>
          <w:i/>
        </w:rPr>
        <w:t xml:space="preserve">Stk. </w:t>
      </w:r>
      <w:r w:rsidR="00BD22B1">
        <w:rPr>
          <w:i/>
        </w:rPr>
        <w:t>2</w:t>
      </w:r>
      <w:r w:rsidRPr="009D1C40">
        <w:rPr>
          <w:i/>
        </w:rPr>
        <w:t>.</w:t>
      </w:r>
      <w:r>
        <w:t xml:space="preserve"> </w:t>
      </w:r>
      <w:r w:rsidR="00025DF3" w:rsidRPr="00025DF3">
        <w:t>Når en efterladt er berettiget til et afløsningsbeløb efter § 36, stk. 4, i lov om sikring mod følger af arbejdsskade, ved det fyldte 67. år, skal kapitalbeløbet forhøjes med et beløb, der beregnes ved at gange den årlige erstatning med den faktor i tabel</w:t>
      </w:r>
      <w:r w:rsidR="008C1DE8">
        <w:t>len</w:t>
      </w:r>
      <w:r w:rsidR="00025DF3" w:rsidRPr="00025DF3">
        <w:t xml:space="preserve"> </w:t>
      </w:r>
      <w:r w:rsidR="008C1DE8">
        <w:t>for værdi af afløsningsbeløb ved det fyldte 67. år</w:t>
      </w:r>
      <w:r w:rsidR="006E4897">
        <w:t xml:space="preserve"> i vejledning</w:t>
      </w:r>
      <w:r w:rsidR="009C509F">
        <w:t>en</w:t>
      </w:r>
      <w:r w:rsidR="006E4897">
        <w:t xml:space="preserve"> om faktorer for omsætning af løbende </w:t>
      </w:r>
      <w:r w:rsidR="008C7847">
        <w:t>erstatning</w:t>
      </w:r>
      <w:r w:rsidR="00AA6C5B">
        <w:t xml:space="preserve"> for arbejdsskader</w:t>
      </w:r>
      <w:r w:rsidR="006E4897">
        <w:t xml:space="preserve"> til kapitalbeløb</w:t>
      </w:r>
      <w:r w:rsidR="00025DF3" w:rsidRPr="00025DF3">
        <w:t>, der står ud for den efterladtes alder på omsætningstidspunktet.</w:t>
      </w:r>
    </w:p>
    <w:p w14:paraId="7CE7C986" w14:textId="438135F6" w:rsidR="00025DF3" w:rsidRPr="00025DF3" w:rsidRDefault="009D1C40" w:rsidP="00025DF3">
      <w:r w:rsidRPr="009D1C40">
        <w:rPr>
          <w:i/>
        </w:rPr>
        <w:t xml:space="preserve">Stk. </w:t>
      </w:r>
      <w:r w:rsidR="00BD22B1">
        <w:rPr>
          <w:i/>
        </w:rPr>
        <w:t>3</w:t>
      </w:r>
      <w:r w:rsidRPr="009D1C40">
        <w:rPr>
          <w:i/>
        </w:rPr>
        <w:t>.</w:t>
      </w:r>
      <w:r>
        <w:t xml:space="preserve"> </w:t>
      </w:r>
      <w:r w:rsidR="00025DF3" w:rsidRPr="00025DF3">
        <w:t>Tabel</w:t>
      </w:r>
      <w:r w:rsidR="008C1DE8">
        <w:t>len for værdi af afløsningsbeløb ved det fyldte 67. år</w:t>
      </w:r>
      <w:r w:rsidR="00025DF3" w:rsidRPr="00025DF3">
        <w:t xml:space="preserve"> anvendes i sager, hvor der før 1. juli 1999 allerede er truffet afgørelse om løbende erstatning for tab af forsørger, jf. § 17, stk. 5, i lov nr. 288 af 12. maj 1999.</w:t>
      </w:r>
    </w:p>
    <w:p w14:paraId="0001AF84" w14:textId="77777777" w:rsidR="00A6769F" w:rsidRDefault="00A6769F" w:rsidP="009D1C40">
      <w:pPr>
        <w:jc w:val="center"/>
        <w:rPr>
          <w:i/>
          <w:iCs/>
        </w:rPr>
      </w:pPr>
    </w:p>
    <w:p w14:paraId="122D7CE8" w14:textId="28FE2BE3" w:rsidR="004E362D" w:rsidRDefault="001F79A7" w:rsidP="009D1C40">
      <w:pPr>
        <w:jc w:val="center"/>
        <w:rPr>
          <w:i/>
          <w:iCs/>
        </w:rPr>
      </w:pPr>
      <w:r>
        <w:rPr>
          <w:i/>
          <w:iCs/>
        </w:rPr>
        <w:t xml:space="preserve">3. </w:t>
      </w:r>
      <w:r w:rsidR="004E362D">
        <w:rPr>
          <w:i/>
          <w:iCs/>
        </w:rPr>
        <w:t xml:space="preserve">Erstatning for </w:t>
      </w:r>
      <w:r w:rsidR="00A6769F" w:rsidRPr="00A6769F">
        <w:rPr>
          <w:i/>
          <w:iCs/>
        </w:rPr>
        <w:t>fremtidige permanente udgifter</w:t>
      </w:r>
      <w:r w:rsidR="00A6769F">
        <w:rPr>
          <w:i/>
          <w:iCs/>
        </w:rPr>
        <w:t xml:space="preserve"> til behandling</w:t>
      </w:r>
    </w:p>
    <w:p w14:paraId="76508397" w14:textId="043AF96F" w:rsidR="00560BCB" w:rsidRDefault="00560BCB" w:rsidP="00560BCB">
      <w:pPr>
        <w:rPr>
          <w:i/>
          <w:iCs/>
        </w:rPr>
      </w:pPr>
      <w:r w:rsidRPr="00D6556E">
        <w:rPr>
          <w:b/>
        </w:rPr>
        <w:t xml:space="preserve">§ </w:t>
      </w:r>
      <w:r w:rsidR="004E01B2">
        <w:rPr>
          <w:b/>
        </w:rPr>
        <w:t>21</w:t>
      </w:r>
      <w:r w:rsidRPr="00D6556E">
        <w:rPr>
          <w:b/>
        </w:rPr>
        <w:t>.</w:t>
      </w:r>
      <w:r>
        <w:t xml:space="preserve"> Erstatning for fremtidige permanente udgifter til helbredelse, optræning og hjælpemidler efter lov om arbejdsskadesikring § 15, stk. 3, beregnes som et kapitalbeløb ved at gange den forventede gennemsnitlige årlige udgift til helbredelse, optræning og hjælpemidler med den relevante kapitaliseringsfaktor,</w:t>
      </w:r>
      <w:r w:rsidRPr="003845C1">
        <w:t xml:space="preserve"> </w:t>
      </w:r>
      <w:r w:rsidRPr="006A6B17">
        <w:t xml:space="preserve">som står ud for den tilskadekomnes alder på </w:t>
      </w:r>
      <w:r>
        <w:t>afgørelses</w:t>
      </w:r>
      <w:r w:rsidRPr="006A6B17">
        <w:t>tidspunktet</w:t>
      </w:r>
      <w:r w:rsidR="00AA6C5B">
        <w:t xml:space="preserve"> </w:t>
      </w:r>
      <w:r>
        <w:t>i vejledningen om faktorer for omsætning af løbende erstatning</w:t>
      </w:r>
      <w:r w:rsidR="00AA6C5B">
        <w:t xml:space="preserve"> for arbejdsskader</w:t>
      </w:r>
      <w:r>
        <w:t xml:space="preserve"> til kapitalbeløb.</w:t>
      </w:r>
    </w:p>
    <w:p w14:paraId="66B77847" w14:textId="77777777" w:rsidR="00560BCB" w:rsidRDefault="00560BCB" w:rsidP="004E362D">
      <w:pPr>
        <w:rPr>
          <w:b/>
        </w:rPr>
      </w:pPr>
    </w:p>
    <w:p w14:paraId="6FED911A" w14:textId="4D51F5E2" w:rsidR="004E362D" w:rsidRDefault="004E362D" w:rsidP="004E362D">
      <w:r>
        <w:rPr>
          <w:b/>
        </w:rPr>
        <w:t xml:space="preserve">§ </w:t>
      </w:r>
      <w:r w:rsidR="009B65BF">
        <w:rPr>
          <w:b/>
        </w:rPr>
        <w:t>2</w:t>
      </w:r>
      <w:r w:rsidR="004E01B2">
        <w:rPr>
          <w:b/>
        </w:rPr>
        <w:t>2</w:t>
      </w:r>
      <w:r>
        <w:rPr>
          <w:b/>
        </w:rPr>
        <w:t xml:space="preserve">. </w:t>
      </w:r>
      <w:r>
        <w:t>Faktorerne</w:t>
      </w:r>
      <w:r w:rsidR="001F79A7">
        <w:t xml:space="preserve"> for omsætning af </w:t>
      </w:r>
      <w:r w:rsidR="001F79A7" w:rsidRPr="00C72053">
        <w:t>fremtidige permanente udgifter til behandling</w:t>
      </w:r>
      <w:r>
        <w:t xml:space="preserve"> fastsættes på grundlag af følgende forudsætninger:</w:t>
      </w:r>
    </w:p>
    <w:p w14:paraId="07E48DC8" w14:textId="77777777" w:rsidR="004E362D" w:rsidRDefault="004E362D" w:rsidP="004E362D">
      <w:pPr>
        <w:pStyle w:val="Listeafsnit"/>
        <w:numPr>
          <w:ilvl w:val="0"/>
          <w:numId w:val="7"/>
        </w:numPr>
        <w:spacing w:line="256" w:lineRule="auto"/>
      </w:pPr>
      <w:r>
        <w:lastRenderedPageBreak/>
        <w:t>En dødelighed for erstatningsmodtageren fastsat som et simpelt gennemsnit af mænds og kvinders dødelighed som fastsat i Finanstilsynets benchmark for den observerede nuværende dødelighed kombineret med Finanstilsynets benchmark for de forventede fremtidige levetidsforbedringer.</w:t>
      </w:r>
    </w:p>
    <w:p w14:paraId="661FE488" w14:textId="77777777" w:rsidR="004E362D" w:rsidRDefault="004E362D" w:rsidP="004E362D">
      <w:pPr>
        <w:pStyle w:val="Listeafsnit"/>
        <w:numPr>
          <w:ilvl w:val="0"/>
          <w:numId w:val="7"/>
        </w:numPr>
        <w:spacing w:line="256" w:lineRule="auto"/>
      </w:pPr>
      <w:r>
        <w:t>En rentefod, fastsat som gennemsnittet af de årsgennemsnitlige effektive renter for 30-årige realkreditobligationer baseret på et 5-årigt gennemsnit. Der anvendes årsgennemsnit af Finans Danmarks ugentligt opgjorte lange obligationsrente for realkreditobligationer.</w:t>
      </w:r>
    </w:p>
    <w:p w14:paraId="78FEF364" w14:textId="37CC145C" w:rsidR="004E362D" w:rsidRPr="00A6769F" w:rsidRDefault="00E914AB" w:rsidP="00A6769F">
      <w:pPr>
        <w:pStyle w:val="Listeafsnit"/>
        <w:numPr>
          <w:ilvl w:val="0"/>
          <w:numId w:val="7"/>
        </w:numPr>
        <w:rPr>
          <w:i/>
          <w:iCs/>
        </w:rPr>
      </w:pPr>
      <w:r w:rsidRPr="00E914AB">
        <w:t xml:space="preserve">En løntalsregulering af den forventede gennemsnitlige årlige udgift, fastsat som gennemsnittet af 2,0 pct. tillagt tilpasningsprocenten, jf. lov om en satsreguleringsprocent, baseret på et 5-årigt gennemsnit. </w:t>
      </w:r>
    </w:p>
    <w:p w14:paraId="3F66A426" w14:textId="77777777" w:rsidR="00381268" w:rsidRDefault="00381268" w:rsidP="00706C1B">
      <w:pPr>
        <w:jc w:val="center"/>
        <w:rPr>
          <w:i/>
          <w:iCs/>
        </w:rPr>
      </w:pPr>
    </w:p>
    <w:p w14:paraId="08061BEC" w14:textId="77777777" w:rsidR="009C509F" w:rsidRDefault="009C509F" w:rsidP="00025DF3"/>
    <w:p w14:paraId="7FE0A0E8" w14:textId="3E22BABE" w:rsidR="00D54982" w:rsidRPr="00D54982" w:rsidRDefault="00D54982" w:rsidP="00D54982">
      <w:pPr>
        <w:jc w:val="center"/>
        <w:rPr>
          <w:i/>
        </w:rPr>
      </w:pPr>
      <w:r w:rsidRPr="00D54982">
        <w:rPr>
          <w:i/>
        </w:rPr>
        <w:t>Ikrafttrædelse og overgangsbestemmelser</w:t>
      </w:r>
    </w:p>
    <w:p w14:paraId="1AD81A8F" w14:textId="7D907F2D" w:rsidR="009A3FFF" w:rsidRDefault="001170B9" w:rsidP="00D54982">
      <w:pPr>
        <w:rPr>
          <w:b/>
        </w:rPr>
      </w:pPr>
      <w:r>
        <w:rPr>
          <w:b/>
          <w:iCs/>
        </w:rPr>
        <w:t xml:space="preserve">§ </w:t>
      </w:r>
      <w:r w:rsidR="009B65BF">
        <w:rPr>
          <w:b/>
          <w:iCs/>
        </w:rPr>
        <w:t>2</w:t>
      </w:r>
      <w:r w:rsidR="00D54982" w:rsidRPr="00D54982">
        <w:rPr>
          <w:b/>
          <w:iCs/>
        </w:rPr>
        <w:t>.</w:t>
      </w:r>
      <w:r w:rsidR="00D54982" w:rsidRPr="00D54982">
        <w:rPr>
          <w:b/>
        </w:rPr>
        <w:t> </w:t>
      </w:r>
      <w:r w:rsidR="009A3FFF" w:rsidRPr="009A3FFF">
        <w:t xml:space="preserve">Bekendtgørelsen træder i kraft den </w:t>
      </w:r>
      <w:r w:rsidR="008C396A">
        <w:t>1. juli</w:t>
      </w:r>
      <w:r w:rsidR="009A3FFF" w:rsidRPr="009A3FFF">
        <w:t xml:space="preserve"> 202</w:t>
      </w:r>
      <w:r w:rsidR="008C396A">
        <w:t>4</w:t>
      </w:r>
      <w:r w:rsidR="009A3FFF" w:rsidRPr="009A3FFF">
        <w:t>.</w:t>
      </w:r>
    </w:p>
    <w:p w14:paraId="0C1E9FD7" w14:textId="5715434F" w:rsidR="00D54982" w:rsidRPr="00D54982" w:rsidRDefault="00D54982" w:rsidP="00D54982">
      <w:r w:rsidRPr="00D54982">
        <w:rPr>
          <w:i/>
          <w:iCs/>
        </w:rPr>
        <w:t>Stk. 2.</w:t>
      </w:r>
      <w:r w:rsidRPr="00D54982">
        <w:t> </w:t>
      </w:r>
      <w:r w:rsidR="00EF5C4D">
        <w:t xml:space="preserve">Fra 1. januar 2030 finder reglerne i §§ </w:t>
      </w:r>
      <w:r w:rsidR="004B48ED">
        <w:t>2</w:t>
      </w:r>
      <w:r w:rsidR="009B65BF">
        <w:t>5</w:t>
      </w:r>
      <w:r w:rsidR="00EF5C4D">
        <w:t>anvendelse</w:t>
      </w:r>
      <w:r w:rsidR="001170B9">
        <w:t xml:space="preserve"> </w:t>
      </w:r>
      <w:r w:rsidR="00CF57D3">
        <w:t xml:space="preserve">i </w:t>
      </w:r>
      <w:r w:rsidR="001170B9">
        <w:t xml:space="preserve">sager </w:t>
      </w:r>
      <w:r w:rsidR="00921E29" w:rsidRPr="00921E29">
        <w:t>om ulykker, kortvarige skadelige påvirkninger, pludselige løfteskader, der er indtruffet før 1. januar 2021, og erhvervssygdomme, der er anmeldt før 1. januar 2021</w:t>
      </w:r>
      <w:r w:rsidR="00EF5C4D">
        <w:t xml:space="preserve">, jf. dog stk. </w:t>
      </w:r>
      <w:r w:rsidR="00F306C5">
        <w:t>3.</w:t>
      </w:r>
    </w:p>
    <w:p w14:paraId="0DE6C19E" w14:textId="2F9825D2" w:rsidR="00D54982" w:rsidRDefault="00D54982" w:rsidP="00D54982">
      <w:r w:rsidRPr="00D54982">
        <w:rPr>
          <w:i/>
          <w:iCs/>
        </w:rPr>
        <w:t>Stk. 3.</w:t>
      </w:r>
      <w:r w:rsidRPr="00D54982">
        <w:t xml:space="preserve"> Tilskadekomne og efterladte har fra 1. januar 2030 ret til kapitalerstatning beregnet efter tidligere </w:t>
      </w:r>
      <w:r w:rsidR="009A3FFF">
        <w:t>regler</w:t>
      </w:r>
      <w:r w:rsidRPr="00D54982">
        <w:t xml:space="preserve">, når kapitalerstatningen efter den tidligere lovgivning har en højere værdi end kapitalerstatningen beregnet efter </w:t>
      </w:r>
      <w:r w:rsidR="00EF5C4D">
        <w:t xml:space="preserve">§§ </w:t>
      </w:r>
      <w:r w:rsidR="009B65BF">
        <w:t>2-</w:t>
      </w:r>
      <w:r w:rsidR="001F79A7">
        <w:t>5</w:t>
      </w:r>
      <w:r w:rsidRPr="00D54982">
        <w:t>.</w:t>
      </w:r>
    </w:p>
    <w:p w14:paraId="4723F4C6" w14:textId="0CBD5829" w:rsidR="00694C1C" w:rsidRPr="00D54982" w:rsidRDefault="00340D95" w:rsidP="00D54982">
      <w:r w:rsidRPr="00340D95">
        <w:rPr>
          <w:i/>
        </w:rPr>
        <w:t>Stk. 4</w:t>
      </w:r>
      <w:r w:rsidR="00694C1C" w:rsidRPr="00340D95">
        <w:rPr>
          <w:i/>
        </w:rPr>
        <w:t>.</w:t>
      </w:r>
      <w:r w:rsidR="00694C1C">
        <w:t xml:space="preserve"> Bekendtgørelse nr. 1700 af 15. december 2015 om omsætning af løbende </w:t>
      </w:r>
      <w:r w:rsidR="008C7847">
        <w:t>erstatning</w:t>
      </w:r>
      <w:r w:rsidR="00694C1C">
        <w:t xml:space="preserve"> til kapitalbeløb for arbejdsskader før den 1. januar 2011 ophæves.</w:t>
      </w:r>
    </w:p>
    <w:p w14:paraId="7DF75B75" w14:textId="77777777" w:rsidR="00D54982" w:rsidRDefault="00D54982" w:rsidP="00D54982"/>
    <w:sectPr w:rsidR="00D54982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2F097" w16cex:dateUtc="2024-02-23T09:23:00Z"/>
  <w16cex:commentExtensible w16cex:durableId="2982F0D3" w16cex:dateUtc="2024-02-23T09:24:00Z"/>
  <w16cex:commentExtensible w16cex:durableId="2982F173" w16cex:dateUtc="2024-02-23T09:26:00Z"/>
  <w16cex:commentExtensible w16cex:durableId="2982F007" w16cex:dateUtc="2024-02-23T09:20:00Z"/>
  <w16cex:commentExtensible w16cex:durableId="2982FB02" w16cex:dateUtc="2024-02-23T10:07:00Z"/>
  <w16cex:commentExtensible w16cex:durableId="2982F29C" w16cex:dateUtc="2024-02-23T09:31:00Z"/>
  <w16cex:commentExtensible w16cex:durableId="2982F53E" w16cex:dateUtc="2024-02-23T09:43:00Z"/>
  <w16cex:commentExtensible w16cex:durableId="2982F72E" w16cex:dateUtc="2024-02-23T09:51:00Z"/>
  <w16cex:commentExtensible w16cex:durableId="2982F55F" w16cex:dateUtc="2024-02-23T09:43:00Z"/>
  <w16cex:commentExtensible w16cex:durableId="2982F5E7" w16cex:dateUtc="2024-02-23T09:45:00Z"/>
  <w16cex:commentExtensible w16cex:durableId="2982FAF5" w16cex:dateUtc="2024-02-23T10:07:00Z"/>
  <w16cex:commentExtensible w16cex:durableId="2982F70B" w16cex:dateUtc="2024-02-23T09:50:00Z"/>
  <w16cex:commentExtensible w16cex:durableId="2982F962" w16cex:dateUtc="2024-02-23T10:00:00Z"/>
  <w16cex:commentExtensible w16cex:durableId="29830EDB" w16cex:dateUtc="2024-02-23T11:32:00Z"/>
  <w16cex:commentExtensible w16cex:durableId="2982FB19" w16cex:dateUtc="2024-02-23T10:08:00Z"/>
  <w16cex:commentExtensible w16cex:durableId="29830BBD" w16cex:dateUtc="2024-02-23T11:19:00Z"/>
  <w16cex:commentExtensible w16cex:durableId="2982FB5E" w16cex:dateUtc="2024-02-23T10:09:00Z"/>
  <w16cex:commentExtensible w16cex:durableId="2982FC5B" w16cex:dateUtc="2024-02-23T10:13:00Z"/>
  <w16cex:commentExtensible w16cex:durableId="2983081F" w16cex:dateUtc="2024-02-23T11:03:00Z"/>
  <w16cex:commentExtensible w16cex:durableId="29831932" w16cex:dateUtc="2024-02-23T12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69F6CB" w16cid:durableId="2982F097"/>
  <w16cid:commentId w16cid:paraId="28A7C044" w16cid:durableId="2982F0D3"/>
  <w16cid:commentId w16cid:paraId="444AAC50" w16cid:durableId="2982F173"/>
  <w16cid:commentId w16cid:paraId="5648DE87" w16cid:durableId="2982EF2E"/>
  <w16cid:commentId w16cid:paraId="21EEB3FA" w16cid:durableId="2982F007"/>
  <w16cid:commentId w16cid:paraId="4B66B28B" w16cid:durableId="2982FB02"/>
  <w16cid:commentId w16cid:paraId="049E9698" w16cid:durableId="2982EF2F"/>
  <w16cid:commentId w16cid:paraId="723F782E" w16cid:durableId="2982F29C"/>
  <w16cid:commentId w16cid:paraId="13F47B0D" w16cid:durableId="2982F53E"/>
  <w16cid:commentId w16cid:paraId="424C9B8C" w16cid:durableId="2982F72E"/>
  <w16cid:commentId w16cid:paraId="5B828649" w16cid:durableId="2982F55F"/>
  <w16cid:commentId w16cid:paraId="68E395BC" w16cid:durableId="2982EF30"/>
  <w16cid:commentId w16cid:paraId="14FB6364" w16cid:durableId="2982F5E7"/>
  <w16cid:commentId w16cid:paraId="57688D70" w16cid:durableId="2982EF31"/>
  <w16cid:commentId w16cid:paraId="32A7F39D" w16cid:durableId="2982FAF5"/>
  <w16cid:commentId w16cid:paraId="686FDB26" w16cid:durableId="2982F70B"/>
  <w16cid:commentId w16cid:paraId="114E5E2C" w16cid:durableId="2982F962"/>
  <w16cid:commentId w16cid:paraId="1A3D62EA" w16cid:durableId="2982EF32"/>
  <w16cid:commentId w16cid:paraId="401EB3FC" w16cid:durableId="2982EF33"/>
  <w16cid:commentId w16cid:paraId="312781A4" w16cid:durableId="29830EDB"/>
  <w16cid:commentId w16cid:paraId="76B42071" w16cid:durableId="2982FB19"/>
  <w16cid:commentId w16cid:paraId="1DDF74AD" w16cid:durableId="29830BBD"/>
  <w16cid:commentId w16cid:paraId="10A83D65" w16cid:durableId="2982FB5E"/>
  <w16cid:commentId w16cid:paraId="57F1588F" w16cid:durableId="2982FC5B"/>
  <w16cid:commentId w16cid:paraId="112669CD" w16cid:durableId="2982EF34"/>
  <w16cid:commentId w16cid:paraId="656BD953" w16cid:durableId="2983081F"/>
  <w16cid:commentId w16cid:paraId="314DB461" w16cid:durableId="298319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44F43" w14:textId="77777777" w:rsidR="00F236DA" w:rsidRDefault="00F236DA" w:rsidP="00286D57">
      <w:pPr>
        <w:spacing w:after="0" w:line="240" w:lineRule="auto"/>
      </w:pPr>
      <w:r>
        <w:separator/>
      </w:r>
    </w:p>
  </w:endnote>
  <w:endnote w:type="continuationSeparator" w:id="0">
    <w:p w14:paraId="1789728E" w14:textId="77777777" w:rsidR="00F236DA" w:rsidRDefault="00F236DA" w:rsidP="00286D57">
      <w:pPr>
        <w:spacing w:after="0" w:line="240" w:lineRule="auto"/>
      </w:pPr>
      <w:r>
        <w:continuationSeparator/>
      </w:r>
    </w:p>
  </w:endnote>
  <w:endnote w:id="1">
    <w:p w14:paraId="2AD03D55" w14:textId="4ABCB4A7" w:rsidR="00431E83" w:rsidRDefault="00431E83">
      <w:pPr>
        <w:pStyle w:val="Slutnotetekst"/>
      </w:pPr>
      <w:r>
        <w:rPr>
          <w:rStyle w:val="Slutnotehenvisning"/>
        </w:rPr>
        <w:endnoteRef/>
      </w:r>
      <w:r>
        <w:t xml:space="preserve"> Bekendtgørelsen</w:t>
      </w:r>
      <w:r w:rsidRPr="00286D57">
        <w:t xml:space="preserve"> gennemfører dele af Rådets direktiv 79/7 EØF af 19. december 1978 om gradvis gennemførelse af princippet om ligebehandling af mænd og kvinder med hensyn til social sikring, EF-Tidende 1978, nr. L 6, side 24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81530" w14:textId="77777777" w:rsidR="00F236DA" w:rsidRDefault="00F236DA" w:rsidP="00286D57">
      <w:pPr>
        <w:spacing w:after="0" w:line="240" w:lineRule="auto"/>
      </w:pPr>
      <w:r>
        <w:separator/>
      </w:r>
    </w:p>
  </w:footnote>
  <w:footnote w:type="continuationSeparator" w:id="0">
    <w:p w14:paraId="619CE74E" w14:textId="77777777" w:rsidR="00F236DA" w:rsidRDefault="00F236DA" w:rsidP="00286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232670"/>
      <w:docPartObj>
        <w:docPartGallery w:val="Watermarks"/>
        <w:docPartUnique/>
      </w:docPartObj>
    </w:sdtPr>
    <w:sdtEndPr/>
    <w:sdtContent>
      <w:p w14:paraId="6E58E468" w14:textId="5E49F31C" w:rsidR="00431E83" w:rsidRDefault="00F236DA">
        <w:pPr>
          <w:pStyle w:val="Sidehoved"/>
        </w:pPr>
        <w:r>
          <w:pict w14:anchorId="0DA0DC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LADD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5D70"/>
    <w:multiLevelType w:val="hybridMultilevel"/>
    <w:tmpl w:val="DB5AB7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71ED"/>
    <w:multiLevelType w:val="hybridMultilevel"/>
    <w:tmpl w:val="2DCA0B4E"/>
    <w:lvl w:ilvl="0" w:tplc="3AF8AD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5E26"/>
    <w:multiLevelType w:val="hybridMultilevel"/>
    <w:tmpl w:val="5C72DC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030EA"/>
    <w:multiLevelType w:val="hybridMultilevel"/>
    <w:tmpl w:val="956CD8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778AE"/>
    <w:multiLevelType w:val="hybridMultilevel"/>
    <w:tmpl w:val="5C72DC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B58E3"/>
    <w:multiLevelType w:val="hybridMultilevel"/>
    <w:tmpl w:val="E52C7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C2DEE"/>
    <w:multiLevelType w:val="hybridMultilevel"/>
    <w:tmpl w:val="CFDA61E6"/>
    <w:lvl w:ilvl="0" w:tplc="3998E30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D1240"/>
    <w:multiLevelType w:val="hybridMultilevel"/>
    <w:tmpl w:val="5C72DC0C"/>
    <w:lvl w:ilvl="0" w:tplc="F48AD1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AE"/>
    <w:rsid w:val="00000E6B"/>
    <w:rsid w:val="000129B0"/>
    <w:rsid w:val="00013EAC"/>
    <w:rsid w:val="00025DF3"/>
    <w:rsid w:val="000349B4"/>
    <w:rsid w:val="000435C7"/>
    <w:rsid w:val="00043A61"/>
    <w:rsid w:val="00047835"/>
    <w:rsid w:val="00055827"/>
    <w:rsid w:val="00056997"/>
    <w:rsid w:val="00072C1B"/>
    <w:rsid w:val="000B0553"/>
    <w:rsid w:val="000B0E6D"/>
    <w:rsid w:val="000C4389"/>
    <w:rsid w:val="000D6C8D"/>
    <w:rsid w:val="00107425"/>
    <w:rsid w:val="00111264"/>
    <w:rsid w:val="001170B9"/>
    <w:rsid w:val="00117388"/>
    <w:rsid w:val="00135E59"/>
    <w:rsid w:val="00150894"/>
    <w:rsid w:val="001601DD"/>
    <w:rsid w:val="00160B76"/>
    <w:rsid w:val="00165B5F"/>
    <w:rsid w:val="00167566"/>
    <w:rsid w:val="0017250A"/>
    <w:rsid w:val="0019614C"/>
    <w:rsid w:val="001B1F77"/>
    <w:rsid w:val="001D44BF"/>
    <w:rsid w:val="001F07B2"/>
    <w:rsid w:val="001F79A7"/>
    <w:rsid w:val="00206027"/>
    <w:rsid w:val="0020788D"/>
    <w:rsid w:val="00216546"/>
    <w:rsid w:val="00231B3B"/>
    <w:rsid w:val="00232858"/>
    <w:rsid w:val="0023707A"/>
    <w:rsid w:val="00244E72"/>
    <w:rsid w:val="00254CD7"/>
    <w:rsid w:val="00267B9C"/>
    <w:rsid w:val="00286D57"/>
    <w:rsid w:val="00297FA1"/>
    <w:rsid w:val="002A2A09"/>
    <w:rsid w:val="002D2ABA"/>
    <w:rsid w:val="00304D6F"/>
    <w:rsid w:val="00305BBC"/>
    <w:rsid w:val="003274AE"/>
    <w:rsid w:val="00334AF3"/>
    <w:rsid w:val="00340D95"/>
    <w:rsid w:val="00381268"/>
    <w:rsid w:val="003845C1"/>
    <w:rsid w:val="003F5233"/>
    <w:rsid w:val="003F5DFA"/>
    <w:rsid w:val="00406CA3"/>
    <w:rsid w:val="00410656"/>
    <w:rsid w:val="00430728"/>
    <w:rsid w:val="00431E83"/>
    <w:rsid w:val="00441C1C"/>
    <w:rsid w:val="00456BA0"/>
    <w:rsid w:val="004B48ED"/>
    <w:rsid w:val="004D5C2F"/>
    <w:rsid w:val="004E01B2"/>
    <w:rsid w:val="004E362D"/>
    <w:rsid w:val="004E60E7"/>
    <w:rsid w:val="00504A8A"/>
    <w:rsid w:val="005110A1"/>
    <w:rsid w:val="005442DA"/>
    <w:rsid w:val="00560BCB"/>
    <w:rsid w:val="005670EA"/>
    <w:rsid w:val="00573AED"/>
    <w:rsid w:val="00583697"/>
    <w:rsid w:val="005F1461"/>
    <w:rsid w:val="005F7BF3"/>
    <w:rsid w:val="00626ED4"/>
    <w:rsid w:val="0065581E"/>
    <w:rsid w:val="00671D9F"/>
    <w:rsid w:val="00693B7B"/>
    <w:rsid w:val="00694C1C"/>
    <w:rsid w:val="006A6B17"/>
    <w:rsid w:val="006E0B56"/>
    <w:rsid w:val="006E4897"/>
    <w:rsid w:val="00706C1B"/>
    <w:rsid w:val="00707628"/>
    <w:rsid w:val="007208C3"/>
    <w:rsid w:val="00740ADA"/>
    <w:rsid w:val="007443B1"/>
    <w:rsid w:val="00746ED9"/>
    <w:rsid w:val="0074769D"/>
    <w:rsid w:val="00763152"/>
    <w:rsid w:val="00765660"/>
    <w:rsid w:val="007B5DDB"/>
    <w:rsid w:val="007C23FF"/>
    <w:rsid w:val="007C638D"/>
    <w:rsid w:val="007D54F4"/>
    <w:rsid w:val="007E2E74"/>
    <w:rsid w:val="0083440D"/>
    <w:rsid w:val="008B1BF7"/>
    <w:rsid w:val="008C1DE8"/>
    <w:rsid w:val="008C396A"/>
    <w:rsid w:val="008C7847"/>
    <w:rsid w:val="008E3A93"/>
    <w:rsid w:val="00921E29"/>
    <w:rsid w:val="0095327D"/>
    <w:rsid w:val="00955A0A"/>
    <w:rsid w:val="009A3FFF"/>
    <w:rsid w:val="009A4042"/>
    <w:rsid w:val="009B65BF"/>
    <w:rsid w:val="009C509F"/>
    <w:rsid w:val="009D1C40"/>
    <w:rsid w:val="009D5A10"/>
    <w:rsid w:val="009D6798"/>
    <w:rsid w:val="00A032D7"/>
    <w:rsid w:val="00A41802"/>
    <w:rsid w:val="00A475D5"/>
    <w:rsid w:val="00A50213"/>
    <w:rsid w:val="00A56E03"/>
    <w:rsid w:val="00A6769F"/>
    <w:rsid w:val="00A75426"/>
    <w:rsid w:val="00A80973"/>
    <w:rsid w:val="00AA6C5B"/>
    <w:rsid w:val="00AC46FB"/>
    <w:rsid w:val="00AD3E39"/>
    <w:rsid w:val="00B102AE"/>
    <w:rsid w:val="00B23CFE"/>
    <w:rsid w:val="00B30351"/>
    <w:rsid w:val="00B43133"/>
    <w:rsid w:val="00B45A44"/>
    <w:rsid w:val="00B71C37"/>
    <w:rsid w:val="00B75FFB"/>
    <w:rsid w:val="00B80DF3"/>
    <w:rsid w:val="00BC7933"/>
    <w:rsid w:val="00BD22B1"/>
    <w:rsid w:val="00BE5E6F"/>
    <w:rsid w:val="00BE681E"/>
    <w:rsid w:val="00BF4029"/>
    <w:rsid w:val="00C17D4E"/>
    <w:rsid w:val="00C72053"/>
    <w:rsid w:val="00C7337D"/>
    <w:rsid w:val="00C85600"/>
    <w:rsid w:val="00C878C3"/>
    <w:rsid w:val="00C95C80"/>
    <w:rsid w:val="00CB023A"/>
    <w:rsid w:val="00CB5F60"/>
    <w:rsid w:val="00CF57D3"/>
    <w:rsid w:val="00D019D6"/>
    <w:rsid w:val="00D10F53"/>
    <w:rsid w:val="00D273E9"/>
    <w:rsid w:val="00D54982"/>
    <w:rsid w:val="00D6054E"/>
    <w:rsid w:val="00D6556E"/>
    <w:rsid w:val="00D70F2D"/>
    <w:rsid w:val="00DA7F0F"/>
    <w:rsid w:val="00DB73DF"/>
    <w:rsid w:val="00DC13C4"/>
    <w:rsid w:val="00DD1AAB"/>
    <w:rsid w:val="00DD6E39"/>
    <w:rsid w:val="00DF520A"/>
    <w:rsid w:val="00E1020E"/>
    <w:rsid w:val="00E17DA4"/>
    <w:rsid w:val="00E4323E"/>
    <w:rsid w:val="00E465BD"/>
    <w:rsid w:val="00E655EB"/>
    <w:rsid w:val="00E70683"/>
    <w:rsid w:val="00E73982"/>
    <w:rsid w:val="00E914AB"/>
    <w:rsid w:val="00EC4D76"/>
    <w:rsid w:val="00EF5C4D"/>
    <w:rsid w:val="00F0523A"/>
    <w:rsid w:val="00F236DA"/>
    <w:rsid w:val="00F24465"/>
    <w:rsid w:val="00F306C5"/>
    <w:rsid w:val="00F442D6"/>
    <w:rsid w:val="00F65AB3"/>
    <w:rsid w:val="00F743FE"/>
    <w:rsid w:val="00FA66F5"/>
    <w:rsid w:val="00FE5515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8DFB0E"/>
  <w15:chartTrackingRefBased/>
  <w15:docId w15:val="{A556BF8C-51BD-4A6B-BFE3-1BAB40EC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1B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B5F60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286D57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86D57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86D57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1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13C4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71D9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71D9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71D9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1D9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1D9F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56E03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0788D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B73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73DF"/>
  </w:style>
  <w:style w:type="paragraph" w:styleId="Sidefod">
    <w:name w:val="footer"/>
    <w:basedOn w:val="Normal"/>
    <w:link w:val="SidefodTegn"/>
    <w:uiPriority w:val="99"/>
    <w:unhideWhenUsed/>
    <w:rsid w:val="00DB73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73DF"/>
  </w:style>
  <w:style w:type="paragraph" w:styleId="Korrektur">
    <w:name w:val="Revision"/>
    <w:hidden/>
    <w:uiPriority w:val="99"/>
    <w:semiHidden/>
    <w:rsid w:val="003F5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4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5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8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0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0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1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4C16645D02D9F4086C4AA669126D5D1" ma:contentTypeVersion="0" ma:contentTypeDescription="GetOrganized dokument" ma:contentTypeScope="" ma:versionID="71a1cc4335657f595b6f7b2fd0e8fb5a">
  <xsd:schema xmlns:xsd="http://www.w3.org/2001/XMLSchema" xmlns:xs="http://www.w3.org/2001/XMLSchema" xmlns:p="http://schemas.microsoft.com/office/2006/metadata/properties" xmlns:ns1="http://schemas.microsoft.com/sharepoint/v3" xmlns:ns2="B9DF3B88-A4C3-4EBA-8621-E7145326BB52" xmlns:ns3="8330c79f-ad6a-4eec-a78c-6a8cc091d28e" targetNamespace="http://schemas.microsoft.com/office/2006/metadata/properties" ma:root="true" ma:fieldsID="7f469d57fee79bb1dcf4658ed3ff335a" ns1:_="" ns2:_="" ns3:_="">
    <xsd:import namespace="http://schemas.microsoft.com/sharepoint/v3"/>
    <xsd:import namespace="B9DF3B88-A4C3-4EBA-8621-E7145326BB52"/>
    <xsd:import namespace="8330c79f-ad6a-4eec-a78c-6a8cc091d28e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43B35B5F-01B6-44BB-B010-57AFA86FF488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43B35B5F-01B6-44BB-B010-57AFA86FF488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B9DF3B88-A4C3-4EBA-8621-E7145326BB52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5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9" nillable="true" ma:displayName="Sider" ma:decimals="0" ma:internalName="CCMPageCount" ma:readOnly="true">
      <xsd:simpleType>
        <xsd:restriction base="dms:Number"/>
      </xsd:simpleType>
    </xsd:element>
    <xsd:element name="CCMCommentCount" ma:index="6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6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3B88-A4C3-4EBA-8621-E7145326BB52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0c79f-ad6a-4eec-a78c-6a8cc091d28e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5f7d2b6b-af88-493d-a6f0-d97f4ec43229}" ma:internalName="TaxCatchAll" ma:showField="CatchAllData" ma:web="8330c79f-ad6a-4eec-a78c-6a8cc091d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http://schemas.microsoft.com/sharepoint/v3" xsi:nil="true"/>
    <RecipientsLookup xmlns="http://schemas.microsoft.com/sharepoint/v3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Korrespondance xmlns="http://schemas.microsoft.com/sharepoint/v3">Udgående</Korrespondance>
    <CCMCognitiveType xmlns="http://schemas.microsoft.com/sharepoint/v3" xsi:nil="true"/>
    <Arkiveringsform xmlns="B9DF3B88-A4C3-4EBA-8621-E7145326BB52">01 Lagret fuldt elektronisk i GO</Arkiveringsform>
    <ReceivedDate xmlns="http://schemas.microsoft.com/sharepoint/v3" xsi:nil="true"/>
    <SvarFrist xmlns="http://schemas.microsoft.com/sharepoint/v3" xsi:nil="true"/>
    <Offentlighed xmlns="http://schemas.microsoft.com/sharepoint/v3">Åbent</Offentlighed>
    <Besvaret xmlns="http://schemas.microsoft.com/sharepoint/v3">false</Besvaret>
    <SenderLookup xmlns="http://schemas.microsoft.com/sharepoint/v3" xsi:nil="true"/>
    <CaseOwner xmlns="http://schemas.microsoft.com/sharepoint/v3">
      <UserInfo>
        <DisplayName>Mette Ploug Krølner</DisplayName>
        <AccountId>131</AccountId>
        <AccountType/>
      </UserInfo>
    </CaseOwner>
    <CCMManageRelations xmlns="http://schemas.microsoft.com/sharepoint/v3" xsi:nil="true"/>
    <BatchId xmlns="B9DF3B88-A4C3-4EBA-8621-E7145326BB52" xsi:nil="true"/>
    <TrackID xmlns="http://schemas.microsoft.com/sharepoint/v3" xsi:nil="true"/>
    <CCMAgendaDocumentStatus xmlns="http://schemas.microsoft.com/sharepoint/v3" xsi:nil="true"/>
    <Svarpaa xmlns="http://schemas.microsoft.com/sharepoint/v3"/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Bekendtgørelse</TermName>
          <TermId xmlns="http://schemas.microsoft.com/office/infopath/2007/PartnerControls">b67a6736-50b5-48e5-b10a-a577bf59966a</TermId>
        </TermInfo>
      </Terms>
    </j47fd6f0962548568c75b0a0598df3a6>
    <Dato xmlns="http://schemas.microsoft.com/sharepoint/v3">2023-04-04T10:44:59+00:00</Dato>
    <CCMMeetingCaseId xmlns="http://schemas.microsoft.com/sharepoint/v3" xsi:nil="true"/>
    <CCMAgendaStatus xmlns="http://schemas.microsoft.com/sharepoint/v3" xsi:nil="true"/>
    <TaxCatchAll xmlns="8330c79f-ad6a-4eec-a78c-6a8cc091d28e">
      <Value>26</Value>
    </TaxCatchAll>
    <CCMDescription xmlns="B9DF3B88-A4C3-4EBA-8621-E7145326BB52" xsi:nil="true"/>
    <Beskrivelse xmlns="B9DF3B88-A4C3-4EBA-8621-E7145326BB52" xsi:nil="true"/>
    <CCMMetadataExtractionStatus xmlns="http://schemas.microsoft.com/sharepoint/v3">CCMPageCount:InProgress;CCMCommentCount:InProgress</CCMMetadataExtractionStatus>
    <LocalAttachment xmlns="http://schemas.microsoft.com/sharepoint/v3">false</LocalAttachment>
    <Related xmlns="http://schemas.microsoft.com/sharepoint/v3">false</Related>
    <CCMSystemID xmlns="http://schemas.microsoft.com/sharepoint/v3">587169d6-a954-4482-abac-4e855a7b599d</CCMSystemID>
    <CCMVisualId xmlns="http://schemas.microsoft.com/sharepoint/v3">20235000550</CCMVisualId>
    <Finalized xmlns="http://schemas.microsoft.com/sharepoint/v3">false</Finalized>
    <DocID xmlns="http://schemas.microsoft.com/sharepoint/v3">7181786</DocID>
    <CaseRecordNumber xmlns="http://schemas.microsoft.com/sharepoint/v3">0</CaseRecordNumber>
    <CaseID xmlns="http://schemas.microsoft.com/sharepoint/v3">20235000550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F4D6A-0E7D-43EC-A46B-8DB61E43B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DF3B88-A4C3-4EBA-8621-E7145326BB52"/>
    <ds:schemaRef ds:uri="8330c79f-ad6a-4eec-a78c-6a8cc091d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DAC43-3EFD-4941-A09D-7379746059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DF3B88-A4C3-4EBA-8621-E7145326BB52"/>
    <ds:schemaRef ds:uri="8330c79f-ad6a-4eec-a78c-6a8cc091d28e"/>
  </ds:schemaRefs>
</ds:datastoreItem>
</file>

<file path=customXml/itemProps3.xml><?xml version="1.0" encoding="utf-8"?>
<ds:datastoreItem xmlns:ds="http://schemas.openxmlformats.org/officeDocument/2006/customXml" ds:itemID="{7A691D10-4484-41AB-BE84-BFB1BD6BE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68DF6-1345-437E-8A2C-07D1FA17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2395</Words>
  <Characters>14613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Kapitaliseringsfaktor bekendtgørelse - efter udkast fra AES 2024-02-23</vt:lpstr>
    </vt:vector>
  </TitlesOfParts>
  <Company>Statens It</Company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Kapitaliseringsfaktor bekendtgørelse - efter udkast fra AES 2024-02-23</dc:title>
  <dc:subject/>
  <dc:creator>Mette Ploug Krølner</dc:creator>
  <cp:keywords/>
  <dc:description/>
  <cp:lastModifiedBy>Laila Damtoft Pedersen</cp:lastModifiedBy>
  <cp:revision>2</cp:revision>
  <cp:lastPrinted>2024-02-26T08:51:00Z</cp:lastPrinted>
  <dcterms:created xsi:type="dcterms:W3CDTF">2024-04-12T07:25:00Z</dcterms:created>
  <dcterms:modified xsi:type="dcterms:W3CDTF">2024-04-12T07:25:00Z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0x010100AC085CFC53BC46CEA2EADE194AD9D48200D4C16645D02D9F4086C4AA669126D5D1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heckoutUser">
    <vt:lpwstr>131</vt:lpwstr>
  </property>
  <property fmtid="{D5CDD505-2E9C-101B-9397-08002B2CF9AE}" pid="8" name="Dokumenttype2">
    <vt:lpwstr>26;#Bekendtgørelse|b67a6736-50b5-48e5-b10a-a577bf59966a</vt:lpwstr>
  </property>
  <property fmtid="{D5CDD505-2E9C-101B-9397-08002B2CF9AE}" pid="9" name="CCMSystem">
    <vt:lpwstr> </vt:lpwstr>
  </property>
  <property fmtid="{D5CDD505-2E9C-101B-9397-08002B2CF9AE}" pid="10" name="CCMReplyToDocCacheId_AA145BE6-B859-401A-B2E0-03BB3E7048FC_">
    <vt:lpwstr>CCMReplyToDocCacheId_AA145BE6-B859-401A-B2E0-03BB3E7048FC_3865ba99-9bc2-4930-9ab0-adaead49dea9</vt:lpwstr>
  </property>
  <property fmtid="{D5CDD505-2E9C-101B-9397-08002B2CF9AE}" pid="11" name="CCMEventContext">
    <vt:lpwstr>69d54bb0-4a96-4337-b1d7-a72623c3a683</vt:lpwstr>
  </property>
  <property fmtid="{D5CDD505-2E9C-101B-9397-08002B2CF9AE}" pid="12" name="kFormat">
    <vt:i4>0</vt:i4>
  </property>
</Properties>
</file>