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B" w:rsidRDefault="00621745" w:rsidP="00526261">
      <w:r>
        <w:t>Høringsliste</w:t>
      </w:r>
    </w:p>
    <w:p w:rsidR="00621745" w:rsidRDefault="00621745" w:rsidP="00621745"/>
    <w:p w:rsidR="00A1693E" w:rsidRDefault="00A1693E" w:rsidP="00A1693E">
      <w:pPr>
        <w:rPr>
          <w:iCs/>
        </w:rPr>
      </w:pPr>
      <w:bookmarkStart w:id="0" w:name="_GoBack"/>
      <w:bookmarkEnd w:id="0"/>
      <w:r w:rsidRPr="00A1693E">
        <w:rPr>
          <w:iCs/>
        </w:rPr>
        <w:t>Advokatsamfundet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AgroSkat as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AE 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ATP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Børsmæglerforeningen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CEPOS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Cevea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Danmarks Rederiforening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Danmarks Skibskreditfond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Aktionærforening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 xml:space="preserve"> Dansk Bygger</w:t>
      </w:r>
      <w:r>
        <w:rPr>
          <w:iCs/>
        </w:rPr>
        <w:t>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Ejendomsmæglerforening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Erhverv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Gartneri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Iværksætterforening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 Revisorforening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Danske Advokater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Den Danske Fondsmæglerforening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Den danske Skatteborgerforening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DI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DVCA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Ejendomsforeningen Danmark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Ejerlederne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Finansrådet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lastRenderedPageBreak/>
        <w:t>FSR – Danske Revisorer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Forsikring &amp; Pension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Handel Transport og Service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Horesta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Håndværksrådet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InvesteringsForeningsRådet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KL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Landbrug &amp; Fødevarer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Lokale Pengeinstitutter</w:t>
      </w:r>
    </w:p>
    <w:p w:rsidR="00A1693E" w:rsidRPr="000D1814" w:rsidRDefault="00A1693E" w:rsidP="00A1693E">
      <w:pPr>
        <w:rPr>
          <w:iCs/>
        </w:rPr>
      </w:pPr>
      <w:r w:rsidRPr="000D1814">
        <w:rPr>
          <w:iCs/>
        </w:rPr>
        <w:t>Nasdaq OMX Copenhagen A/S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Nationalbanken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Realkreditforeningen</w:t>
      </w:r>
    </w:p>
    <w:p w:rsidR="00A1693E" w:rsidRDefault="00A1693E" w:rsidP="00A1693E">
      <w:pPr>
        <w:rPr>
          <w:iCs/>
        </w:rPr>
      </w:pPr>
      <w:r w:rsidRPr="00A1693E">
        <w:rPr>
          <w:iCs/>
        </w:rPr>
        <w:t>Realkreditrådet</w:t>
      </w:r>
    </w:p>
    <w:p w:rsidR="009047E2" w:rsidRDefault="00A1693E" w:rsidP="00621745">
      <w:pPr>
        <w:rPr>
          <w:iCs/>
        </w:rPr>
      </w:pPr>
      <w:r w:rsidRPr="00A1693E">
        <w:rPr>
          <w:iCs/>
        </w:rPr>
        <w:t>SRF Skattefaglig</w:t>
      </w:r>
    </w:p>
    <w:p w:rsidR="00E965B6" w:rsidRDefault="00A1693E" w:rsidP="00621745">
      <w:r w:rsidRPr="00A1693E">
        <w:rPr>
          <w:iCs/>
        </w:rPr>
        <w:t>Videncentret for Landbrug</w:t>
      </w:r>
    </w:p>
    <w:sectPr w:rsidR="00E965B6" w:rsidSect="00153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compat/>
  <w:rsids>
    <w:rsidRoot w:val="00621745"/>
    <w:rsid w:val="000D1814"/>
    <w:rsid w:val="0015365B"/>
    <w:rsid w:val="00281A6F"/>
    <w:rsid w:val="0034618D"/>
    <w:rsid w:val="003A70D4"/>
    <w:rsid w:val="00465B4F"/>
    <w:rsid w:val="004D2CBA"/>
    <w:rsid w:val="00526261"/>
    <w:rsid w:val="00563628"/>
    <w:rsid w:val="00621745"/>
    <w:rsid w:val="006907F2"/>
    <w:rsid w:val="0073355F"/>
    <w:rsid w:val="009047E2"/>
    <w:rsid w:val="009C61E7"/>
    <w:rsid w:val="00A1693E"/>
    <w:rsid w:val="00BC4624"/>
    <w:rsid w:val="00CB13F8"/>
    <w:rsid w:val="00E9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</dc:creator>
  <cp:keywords/>
  <dc:description/>
  <cp:lastModifiedBy>Susanne Poulsen</cp:lastModifiedBy>
  <cp:revision>2</cp:revision>
  <cp:lastPrinted>2012-08-31T12:24:00Z</cp:lastPrinted>
  <dcterms:created xsi:type="dcterms:W3CDTF">2012-09-03T08:26:00Z</dcterms:created>
  <dcterms:modified xsi:type="dcterms:W3CDTF">2012-09-03T08:26:00Z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C:\Users\W17595\AppData\Local\Temp\SJ20120831122549191.DOCX</vt:lpwstr>
  </property>
  <property fmtid="{D5CDD505-2E9C-101B-9397-08002B2CF9AE}" pid="3" name="title">
    <vt:lpwstr>Høringsliste</vt:lpwstr>
  </property>
  <property fmtid="{D5CDD505-2E9C-101B-9397-08002B2CF9AE}" pid="4" name="command">
    <vt:lpwstr/>
  </property>
</Properties>
</file>