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rPr>
          <w:sz w:val="24"/>
        </w:rPr>
      </w:pPr>
    </w:p>
    <w:p w:rsidR="00D51A92" w:rsidRDefault="00D51A92">
      <w:pPr>
        <w:spacing w:after="0"/>
        <w:rPr>
          <w:sz w:val="24"/>
        </w:rPr>
      </w:pPr>
    </w:p>
    <w:p w:rsidR="00D51A92" w:rsidRDefault="00D51A92">
      <w:pPr>
        <w:pStyle w:val="Overskrift1"/>
        <w:spacing w:after="0" w:line="240" w:lineRule="auto"/>
      </w:pPr>
      <w:r>
        <w:t>Resumé</w:t>
      </w:r>
    </w:p>
    <w:p w:rsidR="00D51A92" w:rsidRDefault="00D51A92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af</w:t>
      </w:r>
    </w:p>
    <w:p w:rsidR="00D51A92" w:rsidRDefault="00DC5443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 173 - </w:t>
      </w:r>
      <w:r w:rsidR="00A11E5E">
        <w:rPr>
          <w:b/>
          <w:bCs/>
          <w:sz w:val="24"/>
        </w:rPr>
        <w:t xml:space="preserve">Forslag til lov om ændring af </w:t>
      </w:r>
      <w:r w:rsidR="001F4570" w:rsidRPr="001F4570">
        <w:rPr>
          <w:b/>
          <w:bCs/>
          <w:sz w:val="24"/>
        </w:rPr>
        <w:t>selskabsskatteloven, kildeskatt</w:t>
      </w:r>
      <w:r w:rsidR="001F4570" w:rsidRPr="001F4570">
        <w:rPr>
          <w:b/>
          <w:bCs/>
          <w:sz w:val="24"/>
        </w:rPr>
        <w:t>e</w:t>
      </w:r>
      <w:r w:rsidR="001F4570" w:rsidRPr="001F4570">
        <w:rPr>
          <w:b/>
          <w:bCs/>
          <w:sz w:val="24"/>
        </w:rPr>
        <w:t xml:space="preserve">loven, skattekontrolloven, skatteforvaltningsloven </w:t>
      </w:r>
      <w:r w:rsidR="00A11E5E">
        <w:rPr>
          <w:b/>
          <w:bCs/>
          <w:sz w:val="24"/>
        </w:rPr>
        <w:t>og forskellige a</w:t>
      </w:r>
      <w:r w:rsidR="00A11E5E">
        <w:rPr>
          <w:b/>
          <w:bCs/>
          <w:sz w:val="24"/>
        </w:rPr>
        <w:t>n</w:t>
      </w:r>
      <w:r w:rsidR="00A11E5E">
        <w:rPr>
          <w:b/>
          <w:bCs/>
          <w:sz w:val="24"/>
        </w:rPr>
        <w:t>dre love</w:t>
      </w:r>
    </w:p>
    <w:p w:rsidR="00A11E5E" w:rsidRDefault="00A11E5E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center"/>
        <w:rPr>
          <w:bCs/>
          <w:sz w:val="24"/>
        </w:rPr>
      </w:pPr>
      <w:r>
        <w:rPr>
          <w:bCs/>
          <w:sz w:val="24"/>
        </w:rPr>
        <w:t xml:space="preserve">(Styrkelse af indsatsen mod </w:t>
      </w:r>
      <w:proofErr w:type="spellStart"/>
      <w:r>
        <w:rPr>
          <w:bCs/>
          <w:sz w:val="24"/>
        </w:rPr>
        <w:t>nulskatteselskaber</w:t>
      </w:r>
      <w:proofErr w:type="spellEnd"/>
      <w:r>
        <w:rPr>
          <w:bCs/>
          <w:sz w:val="24"/>
        </w:rPr>
        <w:t>, beregning af indkomsten i et fast driftssted og åbenhed om selskabers skattebetalinger m.v.)</w:t>
      </w:r>
    </w:p>
    <w:p w:rsidR="00A11E5E" w:rsidRDefault="00A11E5E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bCs/>
          <w:sz w:val="24"/>
        </w:rPr>
      </w:pPr>
    </w:p>
    <w:p w:rsidR="00DC5443" w:rsidRDefault="00DC5443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  <w:bookmarkStart w:id="0" w:name="Quickmark"/>
      <w:bookmarkEnd w:id="0"/>
      <w:r>
        <w:rPr>
          <w:sz w:val="24"/>
        </w:rPr>
        <w:t xml:space="preserve">Lovforslaget er vedtaget den 13. juni 2012 med støtte fra </w:t>
      </w:r>
      <w:r w:rsidRPr="00352AC5">
        <w:rPr>
          <w:sz w:val="24"/>
        </w:rPr>
        <w:t>Socialdemokr</w:t>
      </w:r>
      <w:r w:rsidRPr="00352AC5">
        <w:rPr>
          <w:sz w:val="24"/>
        </w:rPr>
        <w:t>a</w:t>
      </w:r>
      <w:r w:rsidRPr="00352AC5">
        <w:rPr>
          <w:sz w:val="24"/>
        </w:rPr>
        <w:t>terne, Radikale Venstre</w:t>
      </w:r>
      <w:r w:rsidR="00F2116F">
        <w:rPr>
          <w:sz w:val="24"/>
        </w:rPr>
        <w:t>,</w:t>
      </w:r>
      <w:r w:rsidRPr="00352AC5">
        <w:rPr>
          <w:sz w:val="24"/>
        </w:rPr>
        <w:t xml:space="preserve"> Socialistisk Folkeparti og Enhedslisten</w:t>
      </w:r>
      <w:r>
        <w:rPr>
          <w:sz w:val="24"/>
        </w:rPr>
        <w:t>. Venstre, Dansk Folkeparti, Liberal Allia</w:t>
      </w:r>
      <w:r>
        <w:rPr>
          <w:sz w:val="24"/>
        </w:rPr>
        <w:t>n</w:t>
      </w:r>
      <w:r>
        <w:rPr>
          <w:sz w:val="24"/>
        </w:rPr>
        <w:t xml:space="preserve">ce og Det Konservative Folkeparti stemte imod. </w:t>
      </w:r>
    </w:p>
    <w:p w:rsidR="00DC5443" w:rsidRDefault="00DC5443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352AC5" w:rsidRDefault="00352AC5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  <w:r>
        <w:rPr>
          <w:sz w:val="24"/>
        </w:rPr>
        <w:t>F</w:t>
      </w:r>
      <w:r w:rsidRPr="00352AC5">
        <w:rPr>
          <w:sz w:val="24"/>
        </w:rPr>
        <w:t xml:space="preserve">orslaget </w:t>
      </w:r>
      <w:r>
        <w:rPr>
          <w:sz w:val="24"/>
        </w:rPr>
        <w:t xml:space="preserve">indeholder </w:t>
      </w:r>
      <w:r w:rsidRPr="00352AC5">
        <w:rPr>
          <w:sz w:val="24"/>
        </w:rPr>
        <w:t xml:space="preserve">en udmøntning af </w:t>
      </w:r>
      <w:r w:rsidR="001F4570">
        <w:rPr>
          <w:sz w:val="24"/>
        </w:rPr>
        <w:t xml:space="preserve">en del af </w:t>
      </w:r>
      <w:r w:rsidRPr="00352AC5">
        <w:rPr>
          <w:sz w:val="24"/>
        </w:rPr>
        <w:t>aftalen om finansloven for 2012 mellem regeringen (Socialdemokraterne, Radikale Venstre og Socialistisk Folkeparti) og Enhedsl</w:t>
      </w:r>
      <w:r w:rsidRPr="00352AC5">
        <w:rPr>
          <w:sz w:val="24"/>
        </w:rPr>
        <w:t>i</w:t>
      </w:r>
      <w:r w:rsidRPr="00352AC5">
        <w:rPr>
          <w:sz w:val="24"/>
        </w:rPr>
        <w:t>sten</w:t>
      </w:r>
      <w:r w:rsidR="005E146B">
        <w:rPr>
          <w:sz w:val="24"/>
        </w:rPr>
        <w:t>,</w:t>
      </w:r>
      <w:r w:rsidR="001F4570">
        <w:rPr>
          <w:sz w:val="24"/>
        </w:rPr>
        <w:t xml:space="preserve"> vedrørende </w:t>
      </w:r>
      <w:r w:rsidRPr="00352AC5">
        <w:rPr>
          <w:sz w:val="24"/>
        </w:rPr>
        <w:t>selskabsbeskatning.</w:t>
      </w:r>
    </w:p>
    <w:p w:rsidR="00352AC5" w:rsidRDefault="00352AC5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9F22E7" w:rsidRDefault="00352AC5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  <w:r>
        <w:rPr>
          <w:sz w:val="24"/>
        </w:rPr>
        <w:t>Der indgår en begrænsning af adgangen til at fremføre underskud til mo</w:t>
      </w:r>
      <w:r>
        <w:rPr>
          <w:sz w:val="24"/>
        </w:rPr>
        <w:t>d</w:t>
      </w:r>
      <w:r>
        <w:rPr>
          <w:sz w:val="24"/>
        </w:rPr>
        <w:t>regning i efterfølgende års positive skattepligtige indkomst. Forslaget o</w:t>
      </w:r>
      <w:r>
        <w:rPr>
          <w:sz w:val="24"/>
        </w:rPr>
        <w:t>m</w:t>
      </w:r>
      <w:r>
        <w:rPr>
          <w:sz w:val="24"/>
        </w:rPr>
        <w:t>fatter selskaber</w:t>
      </w:r>
      <w:r w:rsidR="005E146B">
        <w:rPr>
          <w:sz w:val="24"/>
        </w:rPr>
        <w:t>,</w:t>
      </w:r>
      <w:r>
        <w:rPr>
          <w:sz w:val="24"/>
        </w:rPr>
        <w:t xml:space="preserve"> og går ud på, </w:t>
      </w:r>
      <w:r w:rsidRPr="00352AC5">
        <w:rPr>
          <w:sz w:val="24"/>
        </w:rPr>
        <w:t xml:space="preserve">at </w:t>
      </w:r>
      <w:r>
        <w:rPr>
          <w:sz w:val="24"/>
        </w:rPr>
        <w:t xml:space="preserve">underskud kan modregnes fuldt ud i </w:t>
      </w:r>
      <w:r w:rsidR="007503CE">
        <w:rPr>
          <w:sz w:val="24"/>
        </w:rPr>
        <w:t>pos</w:t>
      </w:r>
      <w:r w:rsidR="007503CE">
        <w:rPr>
          <w:sz w:val="24"/>
        </w:rPr>
        <w:t>i</w:t>
      </w:r>
      <w:r w:rsidR="007503CE">
        <w:rPr>
          <w:sz w:val="24"/>
        </w:rPr>
        <w:t>tiv indkomst op til 7,5 mio. kr.</w:t>
      </w:r>
      <w:r>
        <w:rPr>
          <w:sz w:val="24"/>
        </w:rPr>
        <w:t xml:space="preserve"> mens </w:t>
      </w:r>
      <w:r w:rsidRPr="00352AC5">
        <w:rPr>
          <w:sz w:val="24"/>
        </w:rPr>
        <w:t xml:space="preserve">et resterende underskud højst kan nedbringe den resterende indkomst med 60 pct. </w:t>
      </w:r>
      <w:r w:rsidR="009F22E7">
        <w:rPr>
          <w:sz w:val="24"/>
        </w:rPr>
        <w:t xml:space="preserve">Grænsen på </w:t>
      </w:r>
      <w:r w:rsidR="007503CE">
        <w:rPr>
          <w:sz w:val="24"/>
        </w:rPr>
        <w:t>7,5</w:t>
      </w:r>
      <w:r w:rsidR="009F22E7">
        <w:rPr>
          <w:sz w:val="24"/>
        </w:rPr>
        <w:t xml:space="preserve"> mio. kr. reguleres efter personskattelovens § 20. Når der er tale om sambeskatning, skal begrænsningen efter forslaget ske på sambeskatningsniveau.</w:t>
      </w:r>
      <w:r w:rsidR="00B120C6">
        <w:rPr>
          <w:sz w:val="24"/>
        </w:rPr>
        <w:t xml:space="preserve"> I sa</w:t>
      </w:r>
      <w:r w:rsidR="00B120C6">
        <w:rPr>
          <w:sz w:val="24"/>
        </w:rPr>
        <w:t>m</w:t>
      </w:r>
      <w:r w:rsidR="00B120C6">
        <w:rPr>
          <w:sz w:val="24"/>
        </w:rPr>
        <w:t>menhæng hermed sikres</w:t>
      </w:r>
      <w:r w:rsidR="007503CE">
        <w:rPr>
          <w:sz w:val="24"/>
        </w:rPr>
        <w:t>,</w:t>
      </w:r>
      <w:r w:rsidR="00B120C6">
        <w:rPr>
          <w:sz w:val="24"/>
        </w:rPr>
        <w:t xml:space="preserve"> at der ikke via omstrukturering kan ske overfø</w:t>
      </w:r>
      <w:r w:rsidR="00B120C6">
        <w:rPr>
          <w:sz w:val="24"/>
        </w:rPr>
        <w:t>r</w:t>
      </w:r>
      <w:r w:rsidR="00B120C6">
        <w:rPr>
          <w:sz w:val="24"/>
        </w:rPr>
        <w:t xml:space="preserve">sel af underskud fra en koncern til en anden. </w:t>
      </w:r>
      <w:r w:rsidR="009F22E7">
        <w:rPr>
          <w:sz w:val="24"/>
        </w:rPr>
        <w:t xml:space="preserve"> </w:t>
      </w:r>
    </w:p>
    <w:p w:rsidR="009F22E7" w:rsidRDefault="009F22E7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352AC5" w:rsidRDefault="009F22E7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  <w:r>
        <w:rPr>
          <w:sz w:val="24"/>
        </w:rPr>
        <w:t xml:space="preserve">Endvidere indføres et krav om </w:t>
      </w:r>
      <w:r w:rsidR="00352AC5" w:rsidRPr="00352AC5">
        <w:rPr>
          <w:sz w:val="24"/>
        </w:rPr>
        <w:t>særlige revisorerklæringer i forhold til u</w:t>
      </w:r>
      <w:r w:rsidR="00352AC5" w:rsidRPr="00352AC5">
        <w:rPr>
          <w:sz w:val="24"/>
        </w:rPr>
        <w:t>n</w:t>
      </w:r>
      <w:r w:rsidR="00352AC5" w:rsidRPr="00352AC5">
        <w:rPr>
          <w:sz w:val="24"/>
        </w:rPr>
        <w:t xml:space="preserve">derskudsselskaber. </w:t>
      </w:r>
      <w:r>
        <w:rPr>
          <w:sz w:val="24"/>
        </w:rPr>
        <w:t xml:space="preserve">Kravet rettes mod </w:t>
      </w:r>
      <w:r w:rsidR="00352AC5" w:rsidRPr="00352AC5">
        <w:rPr>
          <w:sz w:val="24"/>
        </w:rPr>
        <w:t>selskaber, som påkalder sig særlig opmærksomhed på baggrund af en r</w:t>
      </w:r>
      <w:r w:rsidR="00352AC5" w:rsidRPr="00352AC5">
        <w:rPr>
          <w:sz w:val="24"/>
        </w:rPr>
        <w:t>i</w:t>
      </w:r>
      <w:r w:rsidR="00352AC5" w:rsidRPr="00352AC5">
        <w:rPr>
          <w:sz w:val="24"/>
        </w:rPr>
        <w:t xml:space="preserve">sikovurdering. F.eks. </w:t>
      </w:r>
      <w:r w:rsidR="00390B07">
        <w:rPr>
          <w:sz w:val="24"/>
        </w:rPr>
        <w:t xml:space="preserve">visse </w:t>
      </w:r>
      <w:r w:rsidR="00352AC5" w:rsidRPr="00352AC5">
        <w:rPr>
          <w:sz w:val="24"/>
        </w:rPr>
        <w:t xml:space="preserve">selskaber, som </w:t>
      </w:r>
      <w:r w:rsidR="00390B07">
        <w:rPr>
          <w:sz w:val="24"/>
        </w:rPr>
        <w:t xml:space="preserve">de seneste 4 år </w:t>
      </w:r>
      <w:r w:rsidR="00352AC5" w:rsidRPr="00352AC5">
        <w:rPr>
          <w:sz w:val="24"/>
        </w:rPr>
        <w:t>har haft underskud eller selskaber, der har transakti</w:t>
      </w:r>
      <w:r w:rsidR="00352AC5" w:rsidRPr="00352AC5">
        <w:rPr>
          <w:sz w:val="24"/>
        </w:rPr>
        <w:t>o</w:t>
      </w:r>
      <w:r w:rsidR="00352AC5" w:rsidRPr="00352AC5">
        <w:rPr>
          <w:sz w:val="24"/>
        </w:rPr>
        <w:t xml:space="preserve">ner med </w:t>
      </w:r>
      <w:proofErr w:type="spellStart"/>
      <w:r w:rsidR="00352AC5" w:rsidRPr="00352AC5">
        <w:rPr>
          <w:sz w:val="24"/>
        </w:rPr>
        <w:t>lavskattelande</w:t>
      </w:r>
      <w:proofErr w:type="spellEnd"/>
      <w:r w:rsidR="00352AC5" w:rsidRPr="00352AC5">
        <w:rPr>
          <w:sz w:val="24"/>
        </w:rPr>
        <w:t xml:space="preserve">. </w:t>
      </w:r>
      <w:r>
        <w:rPr>
          <w:sz w:val="24"/>
        </w:rPr>
        <w:t>Tanken er, at revisor skal erklære sig om, hvorvidt der ved det udførte arbejde er forhold, som giver anledning til at konkl</w:t>
      </w:r>
      <w:r>
        <w:rPr>
          <w:sz w:val="24"/>
        </w:rPr>
        <w:t>u</w:t>
      </w:r>
      <w:r>
        <w:rPr>
          <w:sz w:val="24"/>
        </w:rPr>
        <w:t xml:space="preserve">dere, at selskabers transfer </w:t>
      </w:r>
      <w:proofErr w:type="spellStart"/>
      <w:r>
        <w:rPr>
          <w:sz w:val="24"/>
        </w:rPr>
        <w:t>pricing</w:t>
      </w:r>
      <w:proofErr w:type="spellEnd"/>
      <w:r>
        <w:rPr>
          <w:sz w:val="24"/>
        </w:rPr>
        <w:t xml:space="preserve"> dokumentation ikke giver et retvisende billede, ikke er udarbe</w:t>
      </w:r>
      <w:r>
        <w:rPr>
          <w:sz w:val="24"/>
        </w:rPr>
        <w:t>j</w:t>
      </w:r>
      <w:r>
        <w:rPr>
          <w:sz w:val="24"/>
        </w:rPr>
        <w:t>det i overensstemmelse med reglerne eller ikke er i overensstemmelse med armslængd</w:t>
      </w:r>
      <w:r>
        <w:rPr>
          <w:sz w:val="24"/>
        </w:rPr>
        <w:t>e</w:t>
      </w:r>
      <w:r>
        <w:rPr>
          <w:sz w:val="24"/>
        </w:rPr>
        <w:t xml:space="preserve">princippet. </w:t>
      </w:r>
    </w:p>
    <w:p w:rsidR="009F22E7" w:rsidRPr="00352AC5" w:rsidRDefault="009F22E7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0E1819" w:rsidRDefault="000E1819" w:rsidP="00DC5443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ind w:right="1603"/>
        <w:jc w:val="both"/>
        <w:rPr>
          <w:sz w:val="24"/>
        </w:rPr>
      </w:pPr>
      <w:r>
        <w:rPr>
          <w:sz w:val="24"/>
        </w:rPr>
        <w:t xml:space="preserve">I forhold til bøder </w:t>
      </w:r>
      <w:r w:rsidR="00DC5443">
        <w:rPr>
          <w:sz w:val="24"/>
        </w:rPr>
        <w:t>gennemføres</w:t>
      </w:r>
      <w:r w:rsidR="009F22E7">
        <w:rPr>
          <w:sz w:val="24"/>
        </w:rPr>
        <w:t xml:space="preserve"> en ændring af d</w:t>
      </w:r>
      <w:r w:rsidR="00352AC5" w:rsidRPr="00352AC5">
        <w:rPr>
          <w:sz w:val="24"/>
        </w:rPr>
        <w:t>e generelle bøderegler</w:t>
      </w:r>
      <w:r w:rsidR="005E146B">
        <w:rPr>
          <w:sz w:val="24"/>
        </w:rPr>
        <w:t>,</w:t>
      </w:r>
      <w:r w:rsidR="00352AC5" w:rsidRPr="00352AC5">
        <w:rPr>
          <w:sz w:val="24"/>
        </w:rPr>
        <w:t xml:space="preserve"> s</w:t>
      </w:r>
      <w:r w:rsidR="00352AC5" w:rsidRPr="00352AC5">
        <w:rPr>
          <w:sz w:val="24"/>
        </w:rPr>
        <w:t>å</w:t>
      </w:r>
      <w:r w:rsidR="00352AC5" w:rsidRPr="00352AC5">
        <w:rPr>
          <w:sz w:val="24"/>
        </w:rPr>
        <w:t>ledes at det fremgår, at bødeberegningen kan tage udgangspunkt i forske</w:t>
      </w:r>
      <w:r w:rsidR="00352AC5" w:rsidRPr="00352AC5">
        <w:rPr>
          <w:sz w:val="24"/>
        </w:rPr>
        <w:t>l</w:t>
      </w:r>
      <w:r w:rsidR="00352AC5" w:rsidRPr="00352AC5">
        <w:rPr>
          <w:sz w:val="24"/>
        </w:rPr>
        <w:t>lige objektive kriterier og den mulige skattefordel</w:t>
      </w:r>
      <w:r>
        <w:rPr>
          <w:sz w:val="24"/>
        </w:rPr>
        <w:t xml:space="preserve">. </w:t>
      </w:r>
      <w:r w:rsidRPr="00F83B19">
        <w:rPr>
          <w:sz w:val="24"/>
        </w:rPr>
        <w:t>Den</w:t>
      </w:r>
      <w:r>
        <w:rPr>
          <w:sz w:val="24"/>
        </w:rPr>
        <w:t>ne</w:t>
      </w:r>
      <w:r w:rsidRPr="00F83B19">
        <w:rPr>
          <w:sz w:val="24"/>
        </w:rPr>
        <w:t xml:space="preserve"> ændring </w:t>
      </w:r>
      <w:r w:rsidR="005E146B">
        <w:rPr>
          <w:sz w:val="24"/>
        </w:rPr>
        <w:t>har b</w:t>
      </w:r>
      <w:r w:rsidR="005E146B">
        <w:rPr>
          <w:sz w:val="24"/>
        </w:rPr>
        <w:t>e</w:t>
      </w:r>
      <w:r w:rsidR="005E146B">
        <w:rPr>
          <w:sz w:val="24"/>
        </w:rPr>
        <w:t xml:space="preserve">tydning for </w:t>
      </w:r>
      <w:r w:rsidRPr="00F83B19">
        <w:rPr>
          <w:sz w:val="24"/>
        </w:rPr>
        <w:t>udmåling af bøde i forbindelse med manglende eller mange</w:t>
      </w:r>
      <w:r w:rsidRPr="00F83B19">
        <w:rPr>
          <w:sz w:val="24"/>
        </w:rPr>
        <w:t>l</w:t>
      </w:r>
      <w:r w:rsidRPr="00F83B19">
        <w:rPr>
          <w:sz w:val="24"/>
        </w:rPr>
        <w:t xml:space="preserve">fuld transfer </w:t>
      </w:r>
      <w:proofErr w:type="spellStart"/>
      <w:r w:rsidRPr="00F83B19">
        <w:rPr>
          <w:sz w:val="24"/>
        </w:rPr>
        <w:t>pricing</w:t>
      </w:r>
      <w:proofErr w:type="spellEnd"/>
      <w:r w:rsidRPr="00F83B19">
        <w:rPr>
          <w:sz w:val="24"/>
        </w:rPr>
        <w:t xml:space="preserve"> dokumentation,</w:t>
      </w:r>
      <w:r w:rsidR="005E146B">
        <w:rPr>
          <w:sz w:val="24"/>
        </w:rPr>
        <w:t xml:space="preserve"> idet den samtidig </w:t>
      </w:r>
      <w:r>
        <w:rPr>
          <w:sz w:val="24"/>
        </w:rPr>
        <w:t xml:space="preserve">giver </w:t>
      </w:r>
      <w:r w:rsidRPr="00F83B19">
        <w:rPr>
          <w:sz w:val="24"/>
        </w:rPr>
        <w:t>retning</w:t>
      </w:r>
      <w:r w:rsidRPr="00F83B19">
        <w:rPr>
          <w:sz w:val="24"/>
        </w:rPr>
        <w:t>s</w:t>
      </w:r>
      <w:r w:rsidRPr="00F83B19">
        <w:rPr>
          <w:sz w:val="24"/>
        </w:rPr>
        <w:t>lin</w:t>
      </w:r>
      <w:r>
        <w:rPr>
          <w:sz w:val="24"/>
        </w:rPr>
        <w:t>j</w:t>
      </w:r>
      <w:r w:rsidRPr="00F83B19">
        <w:rPr>
          <w:sz w:val="24"/>
        </w:rPr>
        <w:t xml:space="preserve">er </w:t>
      </w:r>
      <w:r w:rsidRPr="00F83B19">
        <w:rPr>
          <w:sz w:val="24"/>
        </w:rPr>
        <w:lastRenderedPageBreak/>
        <w:t>for bødeudmålingen ved overtrædelse af andre oplysningspligter.</w:t>
      </w:r>
      <w:r>
        <w:rPr>
          <w:sz w:val="24"/>
        </w:rPr>
        <w:t xml:space="preserve"> Samtidig indfør</w:t>
      </w:r>
      <w:r w:rsidR="00DC5443">
        <w:rPr>
          <w:sz w:val="24"/>
        </w:rPr>
        <w:t>es</w:t>
      </w:r>
      <w:r>
        <w:rPr>
          <w:sz w:val="24"/>
        </w:rPr>
        <w:t xml:space="preserve"> </w:t>
      </w:r>
      <w:r w:rsidR="00352AC5" w:rsidRPr="00352AC5">
        <w:rPr>
          <w:sz w:val="24"/>
        </w:rPr>
        <w:t>en fast bødestørrelse på 250.000 kr. (grundbeløb) med ti</w:t>
      </w:r>
      <w:r w:rsidR="00352AC5" w:rsidRPr="00352AC5">
        <w:rPr>
          <w:sz w:val="24"/>
        </w:rPr>
        <w:t>l</w:t>
      </w:r>
      <w:r w:rsidR="00352AC5" w:rsidRPr="00352AC5">
        <w:rPr>
          <w:sz w:val="24"/>
        </w:rPr>
        <w:t xml:space="preserve">læg på 10 pct. af den forhøjede indkomst for manglende eller mangelfuld transfer </w:t>
      </w:r>
      <w:proofErr w:type="spellStart"/>
      <w:r w:rsidR="00352AC5" w:rsidRPr="00352AC5">
        <w:rPr>
          <w:sz w:val="24"/>
        </w:rPr>
        <w:t>pricing</w:t>
      </w:r>
      <w:proofErr w:type="spellEnd"/>
      <w:r w:rsidR="00352AC5" w:rsidRPr="00352AC5">
        <w:rPr>
          <w:sz w:val="24"/>
        </w:rPr>
        <w:t xml:space="preserve"> dokumentation.</w:t>
      </w:r>
    </w:p>
    <w:p w:rsidR="000E1819" w:rsidRDefault="000E1819" w:rsidP="000E1819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7D4FCA" w:rsidRDefault="000E1819" w:rsidP="007503C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right="1603"/>
        <w:jc w:val="both"/>
        <w:rPr>
          <w:sz w:val="24"/>
        </w:rPr>
      </w:pPr>
      <w:r>
        <w:rPr>
          <w:sz w:val="24"/>
        </w:rPr>
        <w:t xml:space="preserve">Herudover </w:t>
      </w:r>
      <w:r w:rsidR="00DC5443">
        <w:rPr>
          <w:sz w:val="24"/>
        </w:rPr>
        <w:t>indføres</w:t>
      </w:r>
      <w:r>
        <w:rPr>
          <w:sz w:val="24"/>
        </w:rPr>
        <w:t xml:space="preserve"> der</w:t>
      </w:r>
      <w:r w:rsidRPr="000E1819">
        <w:rPr>
          <w:sz w:val="24"/>
        </w:rPr>
        <w:t xml:space="preserve"> </w:t>
      </w:r>
      <w:r w:rsidRPr="00352AC5">
        <w:rPr>
          <w:sz w:val="24"/>
        </w:rPr>
        <w:t>hæftelse for selskabsskatter</w:t>
      </w:r>
      <w:r w:rsidR="00B120C6">
        <w:rPr>
          <w:sz w:val="24"/>
        </w:rPr>
        <w:t xml:space="preserve"> og </w:t>
      </w:r>
      <w:r w:rsidR="00B120C6" w:rsidRPr="00352AC5">
        <w:rPr>
          <w:sz w:val="24"/>
        </w:rPr>
        <w:t>kildeskatter på re</w:t>
      </w:r>
      <w:r w:rsidR="00B120C6" w:rsidRPr="00352AC5">
        <w:rPr>
          <w:sz w:val="24"/>
        </w:rPr>
        <w:t>n</w:t>
      </w:r>
      <w:r w:rsidR="00B120C6" w:rsidRPr="00352AC5">
        <w:rPr>
          <w:sz w:val="24"/>
        </w:rPr>
        <w:t>ter, royalties og udbytter</w:t>
      </w:r>
      <w:r w:rsidRPr="00352AC5">
        <w:rPr>
          <w:sz w:val="24"/>
        </w:rPr>
        <w:t xml:space="preserve"> i sambeskat</w:t>
      </w:r>
      <w:r w:rsidR="007D4FCA">
        <w:rPr>
          <w:sz w:val="24"/>
        </w:rPr>
        <w:t>ningsforhold</w:t>
      </w:r>
      <w:r w:rsidRPr="00352AC5">
        <w:rPr>
          <w:sz w:val="24"/>
        </w:rPr>
        <w:t xml:space="preserve">. </w:t>
      </w:r>
      <w:r w:rsidR="007D4FCA">
        <w:rPr>
          <w:sz w:val="24"/>
        </w:rPr>
        <w:t>Der indfør</w:t>
      </w:r>
      <w:r w:rsidR="00DC5443">
        <w:rPr>
          <w:sz w:val="24"/>
        </w:rPr>
        <w:t>es</w:t>
      </w:r>
      <w:r w:rsidR="007D4FCA">
        <w:rPr>
          <w:sz w:val="24"/>
        </w:rPr>
        <w:t xml:space="preserve"> en diff</w:t>
      </w:r>
      <w:r w:rsidR="007D4FCA">
        <w:rPr>
          <w:sz w:val="24"/>
        </w:rPr>
        <w:t>e</w:t>
      </w:r>
      <w:r w:rsidR="007D4FCA">
        <w:rPr>
          <w:sz w:val="24"/>
        </w:rPr>
        <w:t>rentieret hæftelse, hvorefter hæftelsen vil afhænge af, om selskabet er helt e</w:t>
      </w:r>
      <w:r w:rsidR="007D4FCA">
        <w:rPr>
          <w:sz w:val="24"/>
        </w:rPr>
        <w:t>l</w:t>
      </w:r>
      <w:r w:rsidR="007D4FCA">
        <w:rPr>
          <w:sz w:val="24"/>
        </w:rPr>
        <w:t xml:space="preserve">ler kun delvist ejet af andre selskaber i koncernen. </w:t>
      </w:r>
    </w:p>
    <w:p w:rsidR="00EE6C64" w:rsidRDefault="000E1819" w:rsidP="007503CE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ind w:right="1603"/>
        <w:jc w:val="both"/>
        <w:rPr>
          <w:sz w:val="24"/>
        </w:rPr>
      </w:pPr>
      <w:r>
        <w:rPr>
          <w:sz w:val="24"/>
        </w:rPr>
        <w:t xml:space="preserve">Endelig indgår et forslag om </w:t>
      </w:r>
      <w:r w:rsidR="00352AC5" w:rsidRPr="00352AC5">
        <w:rPr>
          <w:sz w:val="24"/>
        </w:rPr>
        <w:t xml:space="preserve">åbenhed </w:t>
      </w:r>
      <w:r>
        <w:rPr>
          <w:sz w:val="24"/>
        </w:rPr>
        <w:t xml:space="preserve">i forhold til </w:t>
      </w:r>
      <w:r w:rsidR="00352AC5" w:rsidRPr="00352AC5">
        <w:rPr>
          <w:sz w:val="24"/>
        </w:rPr>
        <w:t>selskabers skattebetali</w:t>
      </w:r>
      <w:r w:rsidR="00352AC5" w:rsidRPr="00352AC5">
        <w:rPr>
          <w:sz w:val="24"/>
        </w:rPr>
        <w:t>n</w:t>
      </w:r>
      <w:r w:rsidR="00352AC5" w:rsidRPr="00352AC5">
        <w:rPr>
          <w:sz w:val="24"/>
        </w:rPr>
        <w:t>ger.</w:t>
      </w:r>
      <w:r w:rsidR="00EE6C64">
        <w:rPr>
          <w:sz w:val="24"/>
        </w:rPr>
        <w:t xml:space="preserve"> </w:t>
      </w:r>
      <w:r w:rsidR="00EE6C64" w:rsidRPr="00A71418">
        <w:rPr>
          <w:iCs/>
          <w:sz w:val="24"/>
        </w:rPr>
        <w:t>Åbenheden vil efter forslaget omfatte de selskaber m.v., der er skatt</w:t>
      </w:r>
      <w:r w:rsidR="00EE6C64" w:rsidRPr="00A71418">
        <w:rPr>
          <w:iCs/>
          <w:sz w:val="24"/>
        </w:rPr>
        <w:t>e</w:t>
      </w:r>
      <w:r w:rsidR="00EE6C64" w:rsidRPr="00A71418">
        <w:rPr>
          <w:iCs/>
          <w:sz w:val="24"/>
        </w:rPr>
        <w:t>pligtige til Danmark og som er undergivet en selvangivelsespligt.</w:t>
      </w:r>
      <w:r w:rsidR="00EE6C64">
        <w:rPr>
          <w:iCs/>
          <w:sz w:val="24"/>
        </w:rPr>
        <w:t xml:space="preserve"> </w:t>
      </w:r>
      <w:r w:rsidR="00EE6C64" w:rsidRPr="00A71418">
        <w:rPr>
          <w:iCs/>
          <w:sz w:val="24"/>
        </w:rPr>
        <w:t>De o</w:t>
      </w:r>
      <w:r w:rsidR="00EE6C64" w:rsidRPr="00A71418">
        <w:rPr>
          <w:iCs/>
          <w:sz w:val="24"/>
        </w:rPr>
        <w:t>p</w:t>
      </w:r>
      <w:r w:rsidR="00EE6C64" w:rsidRPr="00A71418">
        <w:rPr>
          <w:iCs/>
          <w:sz w:val="24"/>
        </w:rPr>
        <w:t>lysninger, der skal kunne offentliggøres, er den skattepligtige indkomst, anvendte gamle underskud og den beregnede skat for indkomståret. Tilsv</w:t>
      </w:r>
      <w:r w:rsidR="00EE6C64" w:rsidRPr="00A71418">
        <w:rPr>
          <w:iCs/>
          <w:sz w:val="24"/>
        </w:rPr>
        <w:t>a</w:t>
      </w:r>
      <w:r w:rsidR="00EE6C64" w:rsidRPr="00A71418">
        <w:rPr>
          <w:iCs/>
          <w:sz w:val="24"/>
        </w:rPr>
        <w:t>rende oplysninger vil blive offentliggjort</w:t>
      </w:r>
      <w:r w:rsidR="00EE6C64">
        <w:rPr>
          <w:iCs/>
          <w:sz w:val="24"/>
        </w:rPr>
        <w:t>,</w:t>
      </w:r>
      <w:r w:rsidR="00EE6C64" w:rsidRPr="00A71418">
        <w:rPr>
          <w:iCs/>
          <w:sz w:val="24"/>
        </w:rPr>
        <w:t xml:space="preserve"> for så vidt angår kulbrinteb</w:t>
      </w:r>
      <w:r w:rsidR="00EE6C64" w:rsidRPr="00A71418">
        <w:rPr>
          <w:iCs/>
          <w:sz w:val="24"/>
        </w:rPr>
        <w:t>e</w:t>
      </w:r>
      <w:r w:rsidR="00EE6C64" w:rsidRPr="00A71418">
        <w:rPr>
          <w:iCs/>
          <w:sz w:val="24"/>
        </w:rPr>
        <w:t>skatningen. Endvidere vil det blive offentliggjort, hvilken skattepligtsb</w:t>
      </w:r>
      <w:r w:rsidR="00EE6C64" w:rsidRPr="00A71418">
        <w:rPr>
          <w:iCs/>
          <w:sz w:val="24"/>
        </w:rPr>
        <w:t>e</w:t>
      </w:r>
      <w:r w:rsidR="00EE6C64" w:rsidRPr="00A71418">
        <w:rPr>
          <w:iCs/>
          <w:sz w:val="24"/>
        </w:rPr>
        <w:t>stemmelse i selskabsskatteloven eller fondsbeskatningsloven selskabet m.v. er omfattet af, samt om selskabet m.v. beskattes efter tonnageskatt</w:t>
      </w:r>
      <w:r w:rsidR="00EE6C64" w:rsidRPr="00A71418">
        <w:rPr>
          <w:iCs/>
          <w:sz w:val="24"/>
        </w:rPr>
        <w:t>e</w:t>
      </w:r>
      <w:r w:rsidR="00EE6C64" w:rsidRPr="00A71418">
        <w:rPr>
          <w:iCs/>
          <w:sz w:val="24"/>
        </w:rPr>
        <w:t>loven.</w:t>
      </w:r>
      <w:r w:rsidR="00EE6C64" w:rsidRPr="00EE6C64">
        <w:rPr>
          <w:iCs/>
          <w:sz w:val="24"/>
        </w:rPr>
        <w:t xml:space="preserve"> </w:t>
      </w:r>
      <w:r w:rsidR="00B120C6">
        <w:rPr>
          <w:iCs/>
          <w:sz w:val="24"/>
        </w:rPr>
        <w:t>I forhold til sambeskatning</w:t>
      </w:r>
      <w:r w:rsidR="00103B76">
        <w:rPr>
          <w:iCs/>
          <w:sz w:val="24"/>
        </w:rPr>
        <w:t>er</w:t>
      </w:r>
      <w:r w:rsidR="00B120C6">
        <w:rPr>
          <w:iCs/>
          <w:sz w:val="24"/>
        </w:rPr>
        <w:t xml:space="preserve"> vil oplysningerne om selskabet ske samlet for de sambeskattede selskaber med angivelse af, hvilke selskaber, der indgår i sambeskatningen. </w:t>
      </w:r>
      <w:r w:rsidR="00EE6C64" w:rsidRPr="00A71418">
        <w:rPr>
          <w:iCs/>
          <w:sz w:val="24"/>
        </w:rPr>
        <w:t>Oplysninger om selskabernes m.v. skatt</w:t>
      </w:r>
      <w:r w:rsidR="00EE6C64" w:rsidRPr="00A71418">
        <w:rPr>
          <w:iCs/>
          <w:sz w:val="24"/>
        </w:rPr>
        <w:t>e</w:t>
      </w:r>
      <w:r w:rsidR="00EE6C64" w:rsidRPr="00A71418">
        <w:rPr>
          <w:iCs/>
          <w:sz w:val="24"/>
        </w:rPr>
        <w:t xml:space="preserve">forhold vil blive gjort offentligt tilgængelige på </w:t>
      </w:r>
      <w:proofErr w:type="spellStart"/>
      <w:r w:rsidR="00EE6C64" w:rsidRPr="00A71418">
        <w:rPr>
          <w:iCs/>
          <w:sz w:val="24"/>
        </w:rPr>
        <w:t>S</w:t>
      </w:r>
      <w:r w:rsidR="00EE6C64">
        <w:rPr>
          <w:iCs/>
          <w:sz w:val="24"/>
        </w:rPr>
        <w:t>KAT</w:t>
      </w:r>
      <w:r w:rsidR="00EE6C64" w:rsidRPr="00A71418">
        <w:rPr>
          <w:iCs/>
          <w:sz w:val="24"/>
        </w:rPr>
        <w:t>s</w:t>
      </w:r>
      <w:proofErr w:type="spellEnd"/>
      <w:r w:rsidR="00EE6C64" w:rsidRPr="00A71418">
        <w:rPr>
          <w:iCs/>
          <w:sz w:val="24"/>
        </w:rPr>
        <w:t xml:space="preserve"> hjemmeside i fo</w:t>
      </w:r>
      <w:r w:rsidR="00EE6C64" w:rsidRPr="00A71418">
        <w:rPr>
          <w:iCs/>
          <w:sz w:val="24"/>
        </w:rPr>
        <w:t>r</w:t>
      </w:r>
      <w:r w:rsidR="00EE6C64" w:rsidRPr="00A71418">
        <w:rPr>
          <w:iCs/>
          <w:sz w:val="24"/>
        </w:rPr>
        <w:t>bindelse med udsendelsen af årsopgørelsen.</w:t>
      </w:r>
    </w:p>
    <w:p w:rsidR="00EE6C64" w:rsidRDefault="00EE6C64" w:rsidP="00755C3B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ind w:right="1603"/>
        <w:jc w:val="both"/>
        <w:rPr>
          <w:sz w:val="24"/>
        </w:rPr>
      </w:pPr>
    </w:p>
    <w:p w:rsidR="00352AC5" w:rsidRPr="00352AC5" w:rsidRDefault="00352AC5" w:rsidP="00755C3B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ind w:right="1603"/>
        <w:jc w:val="both"/>
        <w:rPr>
          <w:sz w:val="24"/>
        </w:rPr>
      </w:pPr>
      <w:r w:rsidRPr="00352AC5">
        <w:rPr>
          <w:sz w:val="24"/>
        </w:rPr>
        <w:t xml:space="preserve">Ud over de elementer, der vedrører udmøntning af finanslovsaftalens del om selskabsbeskatning, indgår der i lovforslaget tillige en </w:t>
      </w:r>
      <w:r w:rsidR="00257A8A">
        <w:rPr>
          <w:sz w:val="24"/>
        </w:rPr>
        <w:t>række andre j</w:t>
      </w:r>
      <w:r w:rsidR="00257A8A">
        <w:rPr>
          <w:sz w:val="24"/>
        </w:rPr>
        <w:t>u</w:t>
      </w:r>
      <w:r w:rsidR="00257A8A">
        <w:rPr>
          <w:sz w:val="24"/>
        </w:rPr>
        <w:t xml:space="preserve">steringer, herunder en </w:t>
      </w:r>
      <w:r w:rsidRPr="00352AC5">
        <w:rPr>
          <w:sz w:val="24"/>
        </w:rPr>
        <w:t xml:space="preserve">justering af reglerne om opgørelse af indkomsten i et såkaldt fast driftssted (en filial m.v.).    </w:t>
      </w:r>
    </w:p>
    <w:p w:rsidR="00352AC5" w:rsidRDefault="00352AC5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CD5C02" w:rsidRDefault="00CD5C02" w:rsidP="00CD5C02">
      <w:pPr>
        <w:pStyle w:val="Sidefod"/>
        <w:spacing w:after="0"/>
        <w:ind w:right="1603"/>
        <w:jc w:val="both"/>
        <w:rPr>
          <w:sz w:val="24"/>
        </w:rPr>
      </w:pPr>
      <w:r w:rsidRPr="00EA7A09">
        <w:rPr>
          <w:sz w:val="24"/>
        </w:rPr>
        <w:t xml:space="preserve">En begrænsning af selskabernes </w:t>
      </w:r>
      <w:r w:rsidRPr="00C034BF">
        <w:rPr>
          <w:i/>
          <w:sz w:val="24"/>
        </w:rPr>
        <w:t>underskud</w:t>
      </w:r>
      <w:r w:rsidRPr="00EA7A09">
        <w:rPr>
          <w:sz w:val="24"/>
        </w:rPr>
        <w:t xml:space="preserve"> medfører et umiddelbart me</w:t>
      </w:r>
      <w:r w:rsidRPr="00EA7A09">
        <w:rPr>
          <w:sz w:val="24"/>
        </w:rPr>
        <w:t>r</w:t>
      </w:r>
      <w:r w:rsidRPr="00EA7A09">
        <w:rPr>
          <w:sz w:val="24"/>
        </w:rPr>
        <w:t xml:space="preserve">provenu på </w:t>
      </w:r>
      <w:r w:rsidR="00AE71BF">
        <w:rPr>
          <w:sz w:val="24"/>
        </w:rPr>
        <w:t>685</w:t>
      </w:r>
      <w:r w:rsidRPr="00EA7A09">
        <w:rPr>
          <w:sz w:val="24"/>
        </w:rPr>
        <w:t xml:space="preserve"> mio. kr. i 2013. Forslaget medfører en rentefordel for det offentlige og skønnes at me</w:t>
      </w:r>
      <w:r w:rsidR="00856D96">
        <w:rPr>
          <w:sz w:val="24"/>
        </w:rPr>
        <w:t xml:space="preserve">dføre et varigt merprovenu på </w:t>
      </w:r>
      <w:r w:rsidR="00AE71BF">
        <w:rPr>
          <w:sz w:val="24"/>
        </w:rPr>
        <w:t>70</w:t>
      </w:r>
      <w:r w:rsidRPr="00EA7A09">
        <w:rPr>
          <w:sz w:val="24"/>
        </w:rPr>
        <w:t xml:space="preserve"> mio. kr. årligt efter tilbageløb.</w:t>
      </w:r>
    </w:p>
    <w:p w:rsidR="00CD5C02" w:rsidRDefault="00CD5C02" w:rsidP="00CD5C02">
      <w:pPr>
        <w:pStyle w:val="Sidefod"/>
        <w:spacing w:after="0"/>
        <w:jc w:val="both"/>
        <w:rPr>
          <w:sz w:val="24"/>
        </w:rPr>
      </w:pPr>
    </w:p>
    <w:p w:rsidR="00EE6C64" w:rsidRDefault="00CD5C02" w:rsidP="00225BF2">
      <w:pPr>
        <w:pStyle w:val="Sidefod"/>
        <w:spacing w:after="0"/>
        <w:ind w:right="1603"/>
        <w:jc w:val="both"/>
        <w:rPr>
          <w:sz w:val="24"/>
        </w:rPr>
      </w:pPr>
      <w:r>
        <w:rPr>
          <w:sz w:val="24"/>
        </w:rPr>
        <w:t xml:space="preserve">For så vidt angår den del af lovforslaget, der omhandler </w:t>
      </w:r>
      <w:r w:rsidRPr="00C034BF">
        <w:rPr>
          <w:i/>
          <w:sz w:val="24"/>
        </w:rPr>
        <w:t>revisorerklæri</w:t>
      </w:r>
      <w:r w:rsidRPr="00C034BF">
        <w:rPr>
          <w:i/>
          <w:sz w:val="24"/>
        </w:rPr>
        <w:t>n</w:t>
      </w:r>
      <w:r w:rsidRPr="00C034BF">
        <w:rPr>
          <w:i/>
          <w:sz w:val="24"/>
        </w:rPr>
        <w:t>ger, bøder</w:t>
      </w:r>
      <w:r>
        <w:rPr>
          <w:i/>
          <w:sz w:val="24"/>
        </w:rPr>
        <w:t>,</w:t>
      </w:r>
      <w:r w:rsidRPr="00C034BF">
        <w:rPr>
          <w:i/>
          <w:sz w:val="24"/>
        </w:rPr>
        <w:t xml:space="preserve"> hæftelse</w:t>
      </w:r>
      <w:r w:rsidR="00F35535">
        <w:rPr>
          <w:i/>
          <w:sz w:val="24"/>
        </w:rPr>
        <w:t xml:space="preserve"> i sambeskatningsforhold</w:t>
      </w:r>
      <w:r>
        <w:rPr>
          <w:i/>
          <w:sz w:val="24"/>
        </w:rPr>
        <w:t xml:space="preserve"> og åbenhed om skattebet</w:t>
      </w:r>
      <w:r>
        <w:rPr>
          <w:i/>
          <w:sz w:val="24"/>
        </w:rPr>
        <w:t>a</w:t>
      </w:r>
      <w:r>
        <w:rPr>
          <w:i/>
          <w:sz w:val="24"/>
        </w:rPr>
        <w:t>ling</w:t>
      </w:r>
      <w:r w:rsidRPr="005615D9">
        <w:rPr>
          <w:sz w:val="24"/>
        </w:rPr>
        <w:t xml:space="preserve">, </w:t>
      </w:r>
      <w:r w:rsidR="00225BF2" w:rsidRPr="005615D9">
        <w:rPr>
          <w:sz w:val="24"/>
        </w:rPr>
        <w:t>bidrager elementer</w:t>
      </w:r>
      <w:r w:rsidR="00225BF2">
        <w:rPr>
          <w:sz w:val="24"/>
        </w:rPr>
        <w:t xml:space="preserve">ne primært </w:t>
      </w:r>
      <w:r w:rsidR="00225BF2" w:rsidRPr="005615D9">
        <w:rPr>
          <w:sz w:val="24"/>
        </w:rPr>
        <w:t>til sikring af skattegrundlaget og ska</w:t>
      </w:r>
      <w:r w:rsidR="00225BF2" w:rsidRPr="005615D9">
        <w:rPr>
          <w:sz w:val="24"/>
        </w:rPr>
        <w:t>t</w:t>
      </w:r>
      <w:r w:rsidR="00225BF2" w:rsidRPr="005615D9">
        <w:rPr>
          <w:sz w:val="24"/>
        </w:rPr>
        <w:t>tebetalingen fra især multinationale selskaber</w:t>
      </w:r>
      <w:r w:rsidR="00225BF2">
        <w:rPr>
          <w:sz w:val="24"/>
        </w:rPr>
        <w:t>.</w:t>
      </w:r>
    </w:p>
    <w:p w:rsidR="00EE6C64" w:rsidRDefault="00EE6C64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CD5C02" w:rsidRDefault="00CD5C02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EE6C64" w:rsidRPr="00352AC5" w:rsidRDefault="00EE6C64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D51A92" w:rsidRDefault="00D51A92" w:rsidP="00352AC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spacing w:after="0"/>
        <w:jc w:val="both"/>
        <w:rPr>
          <w:sz w:val="24"/>
        </w:rPr>
      </w:pPr>
    </w:p>
    <w:p w:rsidR="00D51A92" w:rsidRDefault="00D51A92" w:rsidP="00352AC5">
      <w:pPr>
        <w:spacing w:after="0"/>
        <w:jc w:val="both"/>
      </w:pPr>
    </w:p>
    <w:sectPr w:rsidR="00D51A92" w:rsidSect="00FC280F">
      <w:footerReference w:type="default" r:id="rId6"/>
      <w:headerReference w:type="first" r:id="rId7"/>
      <w:pgSz w:w="11906" w:h="16838" w:code="9"/>
      <w:pgMar w:top="1258" w:right="1826" w:bottom="1134" w:left="1247" w:header="180" w:footer="709" w:gutter="0"/>
      <w:paperSrc w:first="256" w:other="2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E4" w:rsidRDefault="009447E4">
      <w:r>
        <w:separator/>
      </w:r>
    </w:p>
  </w:endnote>
  <w:endnote w:type="continuationSeparator" w:id="0">
    <w:p w:rsidR="009447E4" w:rsidRDefault="0094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7E4" w:rsidRDefault="009447E4">
    <w:pPr>
      <w:pStyle w:val="DepartementSidefod"/>
      <w:jc w:val="right"/>
    </w:pPr>
    <w:r>
      <w:t xml:space="preserve">Side </w:t>
    </w:r>
    <w:r w:rsidR="00DB54DD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DB54DD">
      <w:rPr>
        <w:rStyle w:val="Sidetal"/>
      </w:rPr>
      <w:fldChar w:fldCharType="separate"/>
    </w:r>
    <w:r w:rsidR="00980A49">
      <w:rPr>
        <w:rStyle w:val="Sidetal"/>
        <w:noProof/>
      </w:rPr>
      <w:t>2</w:t>
    </w:r>
    <w:r w:rsidR="00DB54DD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E4" w:rsidRDefault="009447E4">
      <w:r>
        <w:separator/>
      </w:r>
    </w:p>
  </w:footnote>
  <w:footnote w:type="continuationSeparator" w:id="0">
    <w:p w:rsidR="009447E4" w:rsidRDefault="00944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8699" w:tblpY="1"/>
      <w:tblOverlap w:val="never"/>
      <w:tblW w:w="2484" w:type="dxa"/>
      <w:tblInd w:w="805" w:type="dxa"/>
      <w:tblCellMar>
        <w:top w:w="2262" w:type="dxa"/>
      </w:tblCellMar>
      <w:tblLook w:val="01E0"/>
    </w:tblPr>
    <w:tblGrid>
      <w:gridCol w:w="2484"/>
    </w:tblGrid>
    <w:tr w:rsidR="009447E4">
      <w:trPr>
        <w:trHeight w:val="13551"/>
      </w:trPr>
      <w:tc>
        <w:tcPr>
          <w:tcW w:w="2484" w:type="dxa"/>
        </w:tcPr>
        <w:p w:rsidR="009447E4" w:rsidRDefault="009447E4">
          <w:pPr>
            <w:pStyle w:val="Departementtekst"/>
            <w:ind w:right="-105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  <w:lang w:val="en-GB"/>
            </w:rPr>
            <w:t xml:space="preserve">   </w:t>
          </w:r>
          <w:r>
            <w:rPr>
              <w:rFonts w:ascii="Arial" w:hAnsi="Arial" w:cs="Arial"/>
              <w:sz w:val="14"/>
            </w:rPr>
            <w:t xml:space="preserve">J.nr. </w:t>
          </w:r>
          <w:bookmarkStart w:id="1" w:name="sagsnr"/>
          <w:r>
            <w:rPr>
              <w:rFonts w:ascii="Arial" w:hAnsi="Arial" w:cs="Arial"/>
              <w:sz w:val="14"/>
            </w:rPr>
            <w:t>2011-411-0044</w:t>
          </w:r>
          <w:bookmarkEnd w:id="1"/>
        </w:p>
        <w:p w:rsidR="009447E4" w:rsidRDefault="009447E4">
          <w:pPr>
            <w:pStyle w:val="Departementtekst"/>
            <w:ind w:right="-105"/>
            <w:rPr>
              <w:rFonts w:ascii="Arial" w:hAnsi="Arial" w:cs="Arial"/>
              <w:bCs/>
              <w:sz w:val="14"/>
            </w:rPr>
          </w:pPr>
          <w:r>
            <w:rPr>
              <w:rFonts w:ascii="Arial" w:hAnsi="Arial" w:cs="Arial"/>
              <w:bCs/>
              <w:sz w:val="14"/>
            </w:rPr>
            <w:t xml:space="preserve">   Dato: </w:t>
          </w:r>
          <w:r w:rsidR="00DC5443">
            <w:rPr>
              <w:rFonts w:ascii="Arial" w:hAnsi="Arial" w:cs="Arial"/>
              <w:bCs/>
              <w:sz w:val="14"/>
            </w:rPr>
            <w:t>13</w:t>
          </w:r>
          <w:r>
            <w:rPr>
              <w:rFonts w:ascii="Arial" w:hAnsi="Arial" w:cs="Arial"/>
              <w:bCs/>
              <w:sz w:val="14"/>
            </w:rPr>
            <w:t xml:space="preserve">. </w:t>
          </w:r>
          <w:r w:rsidR="00DC5443">
            <w:rPr>
              <w:rFonts w:ascii="Arial" w:hAnsi="Arial" w:cs="Arial"/>
              <w:bCs/>
              <w:sz w:val="14"/>
            </w:rPr>
            <w:t>juni</w:t>
          </w:r>
          <w:r>
            <w:rPr>
              <w:rFonts w:ascii="Arial" w:hAnsi="Arial" w:cs="Arial"/>
              <w:bCs/>
              <w:sz w:val="14"/>
            </w:rPr>
            <w:t xml:space="preserve"> 2012</w:t>
          </w:r>
        </w:p>
        <w:p w:rsidR="009447E4" w:rsidRDefault="009447E4">
          <w:pPr>
            <w:pStyle w:val="Departementtekst"/>
            <w:tabs>
              <w:tab w:val="left" w:pos="720"/>
            </w:tabs>
            <w:ind w:left="540" w:right="-105"/>
            <w:rPr>
              <w:sz w:val="14"/>
            </w:rPr>
          </w:pPr>
        </w:p>
        <w:p w:rsidR="009447E4" w:rsidRDefault="009447E4">
          <w:pPr>
            <w:pStyle w:val="Departementtekst"/>
            <w:ind w:left="540" w:right="-105"/>
            <w:rPr>
              <w:sz w:val="14"/>
            </w:rPr>
          </w:pPr>
        </w:p>
        <w:p w:rsidR="009447E4" w:rsidRDefault="009447E4">
          <w:pPr>
            <w:pStyle w:val="Departementtekst"/>
            <w:ind w:left="540" w:right="-105"/>
            <w:rPr>
              <w:sz w:val="14"/>
            </w:rPr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  <w:p w:rsidR="009447E4" w:rsidRDefault="009447E4">
          <w:pPr>
            <w:pStyle w:val="Departementtekst"/>
          </w:pPr>
        </w:p>
      </w:tc>
    </w:tr>
  </w:tbl>
  <w:p w:rsidR="009447E4" w:rsidRDefault="00DB54DD">
    <w:pPr>
      <w:pStyle w:val="Departementtekst"/>
      <w:ind w:right="-13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i1025" type="#_x0000_t75" alt="SKM" style="width:225pt;height:66pt;visibility:visible">
          <v:imagedata r:id="rId1" o:title="SK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304"/>
  <w:autoHyphenation/>
  <w:hyphenationZone w:val="284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92"/>
    <w:rsid w:val="00024D2C"/>
    <w:rsid w:val="00047231"/>
    <w:rsid w:val="000E1819"/>
    <w:rsid w:val="00103B76"/>
    <w:rsid w:val="00120E85"/>
    <w:rsid w:val="001247BF"/>
    <w:rsid w:val="00146645"/>
    <w:rsid w:val="00167259"/>
    <w:rsid w:val="001A3C2C"/>
    <w:rsid w:val="001F4570"/>
    <w:rsid w:val="00206275"/>
    <w:rsid w:val="00225BF2"/>
    <w:rsid w:val="002531C7"/>
    <w:rsid w:val="00257A8A"/>
    <w:rsid w:val="00352AC5"/>
    <w:rsid w:val="00390B07"/>
    <w:rsid w:val="003D180E"/>
    <w:rsid w:val="004677B5"/>
    <w:rsid w:val="00490F30"/>
    <w:rsid w:val="004B1FE2"/>
    <w:rsid w:val="005B5195"/>
    <w:rsid w:val="005E146B"/>
    <w:rsid w:val="00603C17"/>
    <w:rsid w:val="006922AD"/>
    <w:rsid w:val="006E51FE"/>
    <w:rsid w:val="007503CE"/>
    <w:rsid w:val="00755C3B"/>
    <w:rsid w:val="007B24FE"/>
    <w:rsid w:val="007D4FCA"/>
    <w:rsid w:val="00856D96"/>
    <w:rsid w:val="009447E4"/>
    <w:rsid w:val="00980A49"/>
    <w:rsid w:val="009A421F"/>
    <w:rsid w:val="009E061A"/>
    <w:rsid w:val="009F22E7"/>
    <w:rsid w:val="00A11E5E"/>
    <w:rsid w:val="00A83395"/>
    <w:rsid w:val="00AE71BF"/>
    <w:rsid w:val="00AF370D"/>
    <w:rsid w:val="00B120C6"/>
    <w:rsid w:val="00B24027"/>
    <w:rsid w:val="00BB49A8"/>
    <w:rsid w:val="00BD0E88"/>
    <w:rsid w:val="00C9103B"/>
    <w:rsid w:val="00CB3A87"/>
    <w:rsid w:val="00CD5C02"/>
    <w:rsid w:val="00D51A92"/>
    <w:rsid w:val="00DB54DD"/>
    <w:rsid w:val="00DC4278"/>
    <w:rsid w:val="00DC5443"/>
    <w:rsid w:val="00E01B96"/>
    <w:rsid w:val="00E56860"/>
    <w:rsid w:val="00EA6935"/>
    <w:rsid w:val="00EE6C64"/>
    <w:rsid w:val="00F2116F"/>
    <w:rsid w:val="00F35535"/>
    <w:rsid w:val="00F80D5D"/>
    <w:rsid w:val="00FC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80E"/>
    <w:pPr>
      <w:spacing w:after="150"/>
    </w:pPr>
    <w:rPr>
      <w:sz w:val="23"/>
      <w:szCs w:val="24"/>
    </w:rPr>
  </w:style>
  <w:style w:type="paragraph" w:styleId="Overskrift1">
    <w:name w:val="heading 1"/>
    <w:basedOn w:val="Normal"/>
    <w:next w:val="Normal"/>
    <w:qFormat/>
    <w:rsid w:val="00FC280F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spacing w:line="288" w:lineRule="auto"/>
      <w:jc w:val="center"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C280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C280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280F"/>
  </w:style>
  <w:style w:type="paragraph" w:styleId="Markeringsbobletekst">
    <w:name w:val="Balloon Text"/>
    <w:basedOn w:val="Normal"/>
    <w:link w:val="MarkeringsbobletekstTegn"/>
    <w:rsid w:val="00E56860"/>
    <w:pPr>
      <w:spacing w:after="0"/>
    </w:pPr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FC280F"/>
    <w:pPr>
      <w:spacing w:after="240" w:line="240" w:lineRule="atLeast"/>
    </w:pPr>
    <w:rPr>
      <w:spacing w:val="-5"/>
      <w:szCs w:val="20"/>
      <w:lang w:eastAsia="en-US"/>
    </w:rPr>
  </w:style>
  <w:style w:type="character" w:styleId="Hyperlink">
    <w:name w:val="Hyperlink"/>
    <w:basedOn w:val="Standardskrifttypeiafsnit"/>
    <w:rsid w:val="00FC280F"/>
    <w:rPr>
      <w:color w:val="0000FF"/>
      <w:u w:val="single"/>
    </w:rPr>
  </w:style>
  <w:style w:type="paragraph" w:customStyle="1" w:styleId="Adressat">
    <w:name w:val="Adressat"/>
    <w:rsid w:val="00FC280F"/>
    <w:pPr>
      <w:spacing w:after="150" w:line="180" w:lineRule="exact"/>
      <w:jc w:val="both"/>
    </w:pPr>
    <w:rPr>
      <w:sz w:val="23"/>
      <w:szCs w:val="24"/>
    </w:rPr>
  </w:style>
  <w:style w:type="paragraph" w:customStyle="1" w:styleId="Departementtekst">
    <w:name w:val="Departement tekst"/>
    <w:rsid w:val="00FC280F"/>
    <w:pPr>
      <w:spacing w:after="130"/>
    </w:pPr>
    <w:rPr>
      <w:rFonts w:ascii="Verdana" w:hAnsi="Verdana"/>
      <w:sz w:val="17"/>
      <w:szCs w:val="24"/>
    </w:rPr>
  </w:style>
  <w:style w:type="paragraph" w:customStyle="1" w:styleId="Vedrrendetitel">
    <w:name w:val="Vedrørende titel"/>
    <w:next w:val="Normal"/>
    <w:rsid w:val="00FC280F"/>
    <w:pPr>
      <w:spacing w:after="90"/>
    </w:pPr>
    <w:rPr>
      <w:rFonts w:ascii="Verdana" w:hAnsi="Verdana"/>
      <w:b/>
      <w:sz w:val="15"/>
      <w:szCs w:val="24"/>
    </w:rPr>
  </w:style>
  <w:style w:type="paragraph" w:customStyle="1" w:styleId="DepartementSidefod">
    <w:name w:val="Departement Sidefod"/>
    <w:rsid w:val="00FC280F"/>
    <w:pPr>
      <w:spacing w:after="170"/>
    </w:pPr>
    <w:rPr>
      <w:rFonts w:ascii="Verdana" w:hAnsi="Verdana"/>
      <w:sz w:val="13"/>
      <w:szCs w:val="13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5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Skrivebord\tmp\Kopi%20af%20%5bCaptia%5d%20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Kopi af [Captia] Brev</Template>
  <TotalTime>139</TotalTime>
  <Pages>2</Pages>
  <Words>624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Skatteministeriet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/>
  <cp:keywords/>
  <dc:description/>
  <cp:lastModifiedBy>w17728</cp:lastModifiedBy>
  <cp:revision>4</cp:revision>
  <cp:lastPrinted>2012-03-23T12:06:00Z</cp:lastPrinted>
  <dcterms:created xsi:type="dcterms:W3CDTF">2012-06-13T14:13:00Z</dcterms:created>
  <dcterms:modified xsi:type="dcterms:W3CDTF">2012-06-13T14:21:00Z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ds@skm.dk</vt:lpwstr>
  </property>
  <property fmtid="{D5CDD505-2E9C-101B-9397-08002B2CF9AE}" pid="3" name="dir">
    <vt:lpwstr>+45 33 92 44 62</vt:lpwstr>
  </property>
  <property fmtid="{D5CDD505-2E9C-101B-9397-08002B2CF9AE}" pid="4" name="mobil">
    <vt:lpwstr>+45 20 20 20 20</vt:lpwstr>
  </property>
  <property fmtid="{D5CDD505-2E9C-101B-9397-08002B2CF9AE}" pid="5" name="path">
    <vt:lpwstr>C:\DOCUME~1\w17728\LOKALE~1\Temp\SJ20120613141406698 [DOK692342].DOCX</vt:lpwstr>
  </property>
  <property fmtid="{D5CDD505-2E9C-101B-9397-08002B2CF9AE}" pid="6" name="title">
    <vt:lpwstr>Resume - lovforslaget er vedtaget</vt:lpwstr>
  </property>
  <property fmtid="{D5CDD505-2E9C-101B-9397-08002B2CF9AE}" pid="7" name="command">
    <vt:lpwstr>&amp;x_infomerge=1</vt:lpwstr>
  </property>
  <property fmtid="{D5CDD505-2E9C-101B-9397-08002B2CF9AE}" pid="8" name="_AdHocReviewCycleID">
    <vt:i4>-723837567</vt:i4>
  </property>
  <property fmtid="{D5CDD505-2E9C-101B-9397-08002B2CF9AE}" pid="9" name="_NewReviewCycle">
    <vt:lpwstr/>
  </property>
  <property fmtid="{D5CDD505-2E9C-101B-9397-08002B2CF9AE}" pid="10" name="_EmailSubject">
    <vt:lpwstr>L 173 - Resume - lovforslaget er vedtaget</vt:lpwstr>
  </property>
  <property fmtid="{D5CDD505-2E9C-101B-9397-08002B2CF9AE}" pid="11" name="_AuthorEmail">
    <vt:lpwstr>Margrete.Kiil@skat.dk</vt:lpwstr>
  </property>
  <property fmtid="{D5CDD505-2E9C-101B-9397-08002B2CF9AE}" pid="12" name="_AuthorEmailDisplayName">
    <vt:lpwstr>Margrete Kiil</vt:lpwstr>
  </property>
</Properties>
</file>